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D346DB" w14:textId="77777777" w:rsidR="002F699D" w:rsidRPr="00145819" w:rsidRDefault="00F71BD7" w:rsidP="00CD3C05">
      <w:pPr>
        <w:pStyle w:val="NormalWeb"/>
        <w:shd w:val="clear" w:color="auto" w:fill="FFFFFF"/>
        <w:spacing w:before="180" w:beforeAutospacing="0" w:after="180" w:afterAutospacing="0"/>
        <w:jc w:val="center"/>
        <w:rPr>
          <w:b/>
          <w:sz w:val="36"/>
          <w:szCs w:val="36"/>
        </w:rPr>
      </w:pPr>
      <w:r w:rsidRPr="00145819">
        <w:rPr>
          <w:b/>
          <w:sz w:val="36"/>
          <w:szCs w:val="36"/>
        </w:rPr>
        <w:t>France : l</w:t>
      </w:r>
      <w:r w:rsidR="00575BB8" w:rsidRPr="00145819">
        <w:rPr>
          <w:b/>
          <w:sz w:val="36"/>
          <w:szCs w:val="36"/>
        </w:rPr>
        <w:t>a loi Sapin II</w:t>
      </w:r>
      <w:r w:rsidR="002F699D" w:rsidRPr="00145819">
        <w:rPr>
          <w:b/>
          <w:sz w:val="36"/>
          <w:szCs w:val="36"/>
        </w:rPr>
        <w:t xml:space="preserve"> et la lutte contre les fonds vautours</w:t>
      </w:r>
    </w:p>
    <w:p w14:paraId="594AE5D6" w14:textId="77777777" w:rsidR="005638D4" w:rsidRDefault="005638D4" w:rsidP="00CD3C05">
      <w:pPr>
        <w:pStyle w:val="NormalWeb"/>
        <w:shd w:val="clear" w:color="auto" w:fill="FFFFFF"/>
        <w:spacing w:before="0" w:beforeAutospacing="0" w:after="0" w:afterAutospacing="0"/>
        <w:jc w:val="center"/>
      </w:pPr>
    </w:p>
    <w:p w14:paraId="58107E51" w14:textId="77777777" w:rsidR="005638D4" w:rsidRDefault="005638D4" w:rsidP="00CD3C05">
      <w:pPr>
        <w:pStyle w:val="NormalWeb"/>
        <w:shd w:val="clear" w:color="auto" w:fill="FFFFFF"/>
        <w:spacing w:before="0" w:beforeAutospacing="0" w:after="0" w:afterAutospacing="0"/>
        <w:jc w:val="center"/>
      </w:pPr>
    </w:p>
    <w:p w14:paraId="5352332C" w14:textId="3A0B217D" w:rsidR="00F71BD7" w:rsidRDefault="00F71BD7" w:rsidP="00CD3C05">
      <w:pPr>
        <w:pStyle w:val="NormalWeb"/>
        <w:shd w:val="clear" w:color="auto" w:fill="FFFFFF"/>
        <w:spacing w:before="0" w:beforeAutospacing="0" w:after="0" w:afterAutospacing="0"/>
        <w:jc w:val="center"/>
      </w:pPr>
      <w:r>
        <w:t xml:space="preserve">Justin </w:t>
      </w:r>
      <w:r w:rsidRPr="00F71BD7">
        <w:rPr>
          <w:smallCaps/>
        </w:rPr>
        <w:t>Vanderschuren</w:t>
      </w:r>
    </w:p>
    <w:p w14:paraId="1382033E" w14:textId="72A054A6" w:rsidR="00F93957" w:rsidRDefault="00F71BD7" w:rsidP="00CD3C05">
      <w:pPr>
        <w:pStyle w:val="NormalWeb"/>
        <w:shd w:val="clear" w:color="auto" w:fill="FFFFFF"/>
        <w:spacing w:before="0" w:beforeAutospacing="0" w:after="0" w:afterAutospacing="0"/>
        <w:jc w:val="center"/>
        <w:rPr>
          <w:sz w:val="20"/>
          <w:szCs w:val="20"/>
        </w:rPr>
      </w:pPr>
      <w:r w:rsidRPr="00F71BD7">
        <w:rPr>
          <w:sz w:val="20"/>
          <w:szCs w:val="20"/>
        </w:rPr>
        <w:t>Doctorant</w:t>
      </w:r>
      <w:r w:rsidR="004925D2">
        <w:rPr>
          <w:sz w:val="20"/>
          <w:szCs w:val="20"/>
        </w:rPr>
        <w:t xml:space="preserve"> et assistant</w:t>
      </w:r>
      <w:r w:rsidR="005F6CD7">
        <w:rPr>
          <w:sz w:val="20"/>
          <w:szCs w:val="20"/>
        </w:rPr>
        <w:t xml:space="preserve"> à l’Université catholique de Louvain</w:t>
      </w:r>
      <w:r w:rsidR="00B745EC">
        <w:rPr>
          <w:sz w:val="20"/>
          <w:szCs w:val="20"/>
        </w:rPr>
        <w:t xml:space="preserve"> (Belgique)</w:t>
      </w:r>
    </w:p>
    <w:p w14:paraId="31260550" w14:textId="3AF28E10" w:rsidR="005638D4" w:rsidRDefault="005638D4" w:rsidP="00CD3C05">
      <w:pPr>
        <w:pStyle w:val="NormalWeb"/>
        <w:shd w:val="clear" w:color="auto" w:fill="FFFFFF"/>
        <w:spacing w:before="0" w:beforeAutospacing="0" w:after="0" w:afterAutospacing="0"/>
        <w:jc w:val="center"/>
        <w:rPr>
          <w:sz w:val="20"/>
          <w:szCs w:val="20"/>
        </w:rPr>
      </w:pPr>
    </w:p>
    <w:p w14:paraId="0640D01D" w14:textId="77777777" w:rsidR="005638D4" w:rsidRDefault="005638D4" w:rsidP="00CD3C05">
      <w:pPr>
        <w:pStyle w:val="NormalWeb"/>
        <w:shd w:val="clear" w:color="auto" w:fill="FFFFFF"/>
        <w:spacing w:before="0" w:beforeAutospacing="0" w:after="0" w:afterAutospacing="0"/>
        <w:jc w:val="center"/>
        <w:rPr>
          <w:sz w:val="20"/>
          <w:szCs w:val="20"/>
        </w:rPr>
      </w:pPr>
    </w:p>
    <w:p w14:paraId="7DC31658" w14:textId="511A97BD" w:rsidR="00F71BD7" w:rsidRPr="00F93957" w:rsidRDefault="00F71BD7" w:rsidP="00CD3C05">
      <w:pPr>
        <w:pStyle w:val="NormalWeb"/>
        <w:shd w:val="clear" w:color="auto" w:fill="FFFFFF"/>
        <w:spacing w:before="0" w:beforeAutospacing="0" w:after="0" w:afterAutospacing="0"/>
        <w:jc w:val="center"/>
        <w:rPr>
          <w:smallCaps/>
          <w:sz w:val="20"/>
          <w:szCs w:val="20"/>
        </w:rPr>
      </w:pPr>
    </w:p>
    <w:p w14:paraId="403D3058" w14:textId="54D92CFB" w:rsidR="000843EE" w:rsidRPr="00CD3C05" w:rsidRDefault="005F6CD7" w:rsidP="00CD3C05">
      <w:pPr>
        <w:jc w:val="center"/>
        <w:rPr>
          <w:b/>
          <w:i/>
        </w:rPr>
      </w:pPr>
      <w:r w:rsidRPr="00CD3C05">
        <w:rPr>
          <w:b/>
          <w:i/>
        </w:rPr>
        <w:t>Résumé</w:t>
      </w:r>
    </w:p>
    <w:p w14:paraId="06747BE9" w14:textId="4E97D7D6" w:rsidR="000843EE" w:rsidRDefault="000843EE" w:rsidP="00122BF6">
      <w:pPr>
        <w:jc w:val="both"/>
        <w:rPr>
          <w:b/>
          <w:i/>
        </w:rPr>
      </w:pPr>
      <w:r w:rsidRPr="00122BF6">
        <w:rPr>
          <w:b/>
          <w:i/>
        </w:rPr>
        <w:t xml:space="preserve">Avec la loi </w:t>
      </w:r>
      <w:r w:rsidR="00B64910" w:rsidRPr="00122BF6">
        <w:rPr>
          <w:b/>
          <w:i/>
        </w:rPr>
        <w:t xml:space="preserve">n° 2016-1691 </w:t>
      </w:r>
      <w:r w:rsidRPr="00122BF6">
        <w:rPr>
          <w:b/>
          <w:i/>
        </w:rPr>
        <w:t xml:space="preserve">du 9 décembre 2016 relative à la transparence, à la lutte contre la corruption et à la modernisation de la vie économique, dite la « loi Sapin II », le législateur français cherche, par la mise en place d’un mécanisme original, </w:t>
      </w:r>
      <w:r w:rsidR="005B37A6" w:rsidRPr="00122BF6">
        <w:rPr>
          <w:b/>
          <w:i/>
        </w:rPr>
        <w:t>à circonscrire</w:t>
      </w:r>
      <w:r w:rsidRPr="00122BF6">
        <w:rPr>
          <w:b/>
          <w:i/>
        </w:rPr>
        <w:t xml:space="preserve"> les acti</w:t>
      </w:r>
      <w:r w:rsidR="001B6ED8">
        <w:rPr>
          <w:b/>
          <w:i/>
        </w:rPr>
        <w:t xml:space="preserve">vités de certains créanciers </w:t>
      </w:r>
      <w:r w:rsidR="001B6ED8" w:rsidRPr="001B6ED8">
        <w:rPr>
          <w:b/>
          <w:i/>
          <w:szCs w:val="24"/>
        </w:rPr>
        <w:t>d’</w:t>
      </w:r>
      <w:r w:rsidR="001B6ED8" w:rsidRPr="001B6ED8">
        <w:rPr>
          <w:rFonts w:cs="Times New Roman"/>
          <w:b/>
          <w:i/>
          <w:szCs w:val="24"/>
          <w:shd w:val="clear" w:color="auto" w:fill="FFFFFF"/>
        </w:rPr>
        <w:t>É</w:t>
      </w:r>
      <w:r w:rsidRPr="001B6ED8">
        <w:rPr>
          <w:b/>
          <w:i/>
          <w:szCs w:val="24"/>
        </w:rPr>
        <w:t>t</w:t>
      </w:r>
      <w:r w:rsidRPr="00122BF6">
        <w:rPr>
          <w:b/>
          <w:i/>
        </w:rPr>
        <w:t>ats. En légiférant de la sorte, il s’inscrit dans une mouvance plus large de lutte contre les fonds vautours, déjà empruntée par son voisin belge, que notamment le Conseil des droits de l’homme des Nations Unies et le Parlement européen appellent de leurs vœux.</w:t>
      </w:r>
    </w:p>
    <w:p w14:paraId="32400F33" w14:textId="4DFE0341" w:rsidR="005638D4" w:rsidRDefault="005638D4" w:rsidP="00122BF6">
      <w:pPr>
        <w:jc w:val="both"/>
        <w:rPr>
          <w:b/>
          <w:i/>
        </w:rPr>
      </w:pPr>
    </w:p>
    <w:p w14:paraId="24CFAD68" w14:textId="77777777" w:rsidR="005638D4" w:rsidRPr="00122BF6" w:rsidRDefault="005638D4" w:rsidP="00122BF6">
      <w:pPr>
        <w:jc w:val="both"/>
        <w:rPr>
          <w:b/>
          <w:i/>
        </w:rPr>
      </w:pPr>
    </w:p>
    <w:p w14:paraId="3DC24840" w14:textId="72998C09" w:rsidR="00E73819" w:rsidRPr="00CD3C05" w:rsidRDefault="005F6CD7" w:rsidP="00CD3C05">
      <w:pPr>
        <w:jc w:val="center"/>
        <w:rPr>
          <w:b/>
          <w:bCs/>
          <w:i/>
          <w:iCs/>
          <w:lang w:val="en-US"/>
        </w:rPr>
      </w:pPr>
      <w:r w:rsidRPr="00CD3C05">
        <w:rPr>
          <w:b/>
          <w:bCs/>
          <w:i/>
          <w:iCs/>
          <w:lang w:val="en-US"/>
        </w:rPr>
        <w:t>Abstract</w:t>
      </w:r>
    </w:p>
    <w:p w14:paraId="615A9857" w14:textId="7F036527" w:rsidR="00E73819" w:rsidRDefault="00E73819" w:rsidP="00122BF6">
      <w:pPr>
        <w:jc w:val="both"/>
        <w:rPr>
          <w:b/>
          <w:bCs/>
          <w:i/>
          <w:iCs/>
          <w:lang w:val="en-US"/>
        </w:rPr>
      </w:pPr>
      <w:r w:rsidRPr="007D3470">
        <w:rPr>
          <w:b/>
          <w:bCs/>
          <w:i/>
          <w:iCs/>
          <w:lang w:val="en-US"/>
        </w:rPr>
        <w:t>With Act nr. 2016-1691 of 9 December 2016 on the transparency, on the fight against corruption and on the modernization of the economy</w:t>
      </w:r>
      <w:r w:rsidR="00122BF6" w:rsidRPr="007D3470">
        <w:rPr>
          <w:b/>
          <w:bCs/>
          <w:i/>
          <w:iCs/>
          <w:lang w:val="en-US"/>
        </w:rPr>
        <w:t xml:space="preserve"> (so-</w:t>
      </w:r>
      <w:r w:rsidRPr="007D3470">
        <w:rPr>
          <w:b/>
          <w:bCs/>
          <w:i/>
          <w:iCs/>
          <w:lang w:val="en-US"/>
        </w:rPr>
        <w:t xml:space="preserve">called “Sapin II” Act), the French Parliament </w:t>
      </w:r>
      <w:r w:rsidR="00122BF6" w:rsidRPr="007D3470">
        <w:rPr>
          <w:b/>
          <w:bCs/>
          <w:i/>
          <w:iCs/>
          <w:lang w:val="en-US"/>
        </w:rPr>
        <w:t>introduces an innovative mechanism restricting the activities of some States creditors</w:t>
      </w:r>
      <w:r w:rsidRPr="007D3470">
        <w:rPr>
          <w:b/>
          <w:bCs/>
          <w:i/>
          <w:iCs/>
          <w:lang w:val="en-US"/>
        </w:rPr>
        <w:t xml:space="preserve">. </w:t>
      </w:r>
      <w:r w:rsidR="00122BF6" w:rsidRPr="007D3470">
        <w:rPr>
          <w:b/>
          <w:bCs/>
          <w:i/>
          <w:iCs/>
          <w:lang w:val="en-US"/>
        </w:rPr>
        <w:t xml:space="preserve">Doing so, the French Parliament </w:t>
      </w:r>
      <w:r w:rsidRPr="007D3470">
        <w:rPr>
          <w:b/>
          <w:bCs/>
          <w:i/>
          <w:iCs/>
          <w:lang w:val="en-US"/>
        </w:rPr>
        <w:t xml:space="preserve">is taking part in a wider legal action trend against vulture funds called upon by the United Nations human rights Council as well as </w:t>
      </w:r>
      <w:r w:rsidR="005F6CD7">
        <w:rPr>
          <w:b/>
          <w:bCs/>
          <w:i/>
          <w:iCs/>
          <w:lang w:val="en-US"/>
        </w:rPr>
        <w:t xml:space="preserve">by </w:t>
      </w:r>
      <w:r w:rsidRPr="007D3470">
        <w:rPr>
          <w:b/>
          <w:bCs/>
          <w:i/>
          <w:iCs/>
          <w:lang w:val="en-US"/>
        </w:rPr>
        <w:t>the European Parliament, and already established by the Belgian Parliament.</w:t>
      </w:r>
    </w:p>
    <w:p w14:paraId="404C7EF5" w14:textId="6D52965D" w:rsidR="005E3C31" w:rsidRDefault="005E3C31" w:rsidP="00122BF6">
      <w:pPr>
        <w:jc w:val="both"/>
        <w:rPr>
          <w:bCs/>
          <w:iCs/>
          <w:lang w:val="en-US"/>
        </w:rPr>
      </w:pPr>
    </w:p>
    <w:p w14:paraId="145F6898" w14:textId="77777777" w:rsidR="005638D4" w:rsidRPr="00030F47" w:rsidRDefault="005638D4" w:rsidP="00122BF6">
      <w:pPr>
        <w:jc w:val="both"/>
        <w:rPr>
          <w:bCs/>
          <w:iCs/>
          <w:lang w:val="en-US"/>
        </w:rPr>
      </w:pPr>
    </w:p>
    <w:p w14:paraId="3796DD4C" w14:textId="72CCC21E" w:rsidR="00030F47" w:rsidRDefault="00030F47" w:rsidP="00122BF6">
      <w:pPr>
        <w:jc w:val="both"/>
        <w:rPr>
          <w:bCs/>
          <w:iCs/>
          <w:smallCaps/>
        </w:rPr>
      </w:pPr>
      <w:r w:rsidRPr="00030F47">
        <w:rPr>
          <w:rFonts w:cs="Times New Roman"/>
          <w:szCs w:val="24"/>
          <w:shd w:val="clear" w:color="auto" w:fill="FFFFFF"/>
        </w:rPr>
        <w:t>É</w:t>
      </w:r>
      <w:r w:rsidR="005E3C31" w:rsidRPr="00030F47">
        <w:rPr>
          <w:bCs/>
          <w:iCs/>
          <w:smallCaps/>
        </w:rPr>
        <w:t>tats étrangers</w:t>
      </w:r>
      <w:r>
        <w:rPr>
          <w:bCs/>
          <w:iCs/>
          <w:smallCaps/>
        </w:rPr>
        <w:t xml:space="preserve"> </w:t>
      </w:r>
      <w:r w:rsidRPr="00030F47">
        <w:rPr>
          <w:bCs/>
          <w:iCs/>
          <w:smallCaps/>
        </w:rPr>
        <w:t>–</w:t>
      </w:r>
      <w:r w:rsidR="005E3C31" w:rsidRPr="00030F47">
        <w:rPr>
          <w:bCs/>
          <w:iCs/>
          <w:smallCaps/>
        </w:rPr>
        <w:t xml:space="preserve"> Fonds vautours – Mesures conservatoire</w:t>
      </w:r>
      <w:r w:rsidR="006D109D">
        <w:rPr>
          <w:bCs/>
          <w:iCs/>
          <w:smallCaps/>
        </w:rPr>
        <w:t>s et mesures d’exécution forcée</w:t>
      </w:r>
      <w:bookmarkStart w:id="0" w:name="_GoBack"/>
      <w:bookmarkEnd w:id="0"/>
    </w:p>
    <w:p w14:paraId="044329F0" w14:textId="39A316A7" w:rsidR="00030F47" w:rsidRDefault="00030F47" w:rsidP="00122BF6">
      <w:pPr>
        <w:jc w:val="both"/>
        <w:rPr>
          <w:bCs/>
          <w:iCs/>
          <w:smallCaps/>
        </w:rPr>
      </w:pPr>
    </w:p>
    <w:p w14:paraId="40A8DDD5" w14:textId="77777777" w:rsidR="005638D4" w:rsidRPr="00030F47" w:rsidRDefault="005638D4" w:rsidP="00122BF6">
      <w:pPr>
        <w:jc w:val="both"/>
        <w:rPr>
          <w:bCs/>
          <w:iCs/>
          <w:smallCaps/>
        </w:rPr>
      </w:pPr>
    </w:p>
    <w:p w14:paraId="2BCC66D1" w14:textId="2D4768DB" w:rsidR="00030F47" w:rsidRPr="00030F47" w:rsidRDefault="00030F47" w:rsidP="00122BF6">
      <w:pPr>
        <w:jc w:val="both"/>
        <w:rPr>
          <w:smallCaps/>
        </w:rPr>
      </w:pPr>
      <w:r w:rsidRPr="00030F47">
        <w:rPr>
          <w:smallCaps/>
        </w:rPr>
        <w:t>Loi n° 2016-1691 du 9 décembre 2016 relative à la transparence, à la lutte contre la corruption et à la modernisation de la vie économique</w:t>
      </w:r>
    </w:p>
    <w:p w14:paraId="6B931A51" w14:textId="2481AAC2" w:rsidR="005638D4" w:rsidRDefault="005638D4" w:rsidP="000843EE">
      <w:pPr>
        <w:pStyle w:val="NormalWeb"/>
        <w:shd w:val="clear" w:color="auto" w:fill="FFFFFF"/>
        <w:spacing w:before="180" w:beforeAutospacing="0" w:after="180" w:afterAutospacing="0"/>
        <w:jc w:val="both"/>
        <w:rPr>
          <w:sz w:val="22"/>
          <w:szCs w:val="22"/>
        </w:rPr>
      </w:pPr>
      <w:r>
        <w:rPr>
          <w:sz w:val="22"/>
          <w:szCs w:val="22"/>
        </w:rPr>
        <w:br w:type="page"/>
      </w:r>
    </w:p>
    <w:p w14:paraId="05659808" w14:textId="77777777" w:rsidR="00F71BD7" w:rsidRDefault="00F71BD7" w:rsidP="005638D4">
      <w:pPr>
        <w:pStyle w:val="Titre1"/>
        <w:pBdr>
          <w:top w:val="none" w:sz="0" w:space="0" w:color="auto"/>
          <w:left w:val="none" w:sz="0" w:space="0" w:color="auto"/>
          <w:bottom w:val="none" w:sz="0" w:space="0" w:color="auto"/>
          <w:right w:val="none" w:sz="0" w:space="0" w:color="auto"/>
        </w:pBdr>
      </w:pPr>
      <w:r>
        <w:lastRenderedPageBreak/>
        <w:t>Introduction</w:t>
      </w:r>
    </w:p>
    <w:p w14:paraId="25860F19" w14:textId="77777777" w:rsidR="00F71BD7" w:rsidRDefault="00F71BD7" w:rsidP="00F71BD7"/>
    <w:p w14:paraId="22FE01A8" w14:textId="77777777" w:rsidR="004925D2" w:rsidRDefault="00834579" w:rsidP="00834579">
      <w:pPr>
        <w:jc w:val="both"/>
      </w:pPr>
      <w:r w:rsidRPr="00834579">
        <w:rPr>
          <w:b/>
        </w:rPr>
        <w:t>1. La protec</w:t>
      </w:r>
      <w:r w:rsidR="001B6ED8">
        <w:rPr>
          <w:b/>
        </w:rPr>
        <w:t xml:space="preserve">tion des biens </w:t>
      </w:r>
      <w:r w:rsidR="001B6ED8" w:rsidRPr="001B6ED8">
        <w:rPr>
          <w:b/>
          <w:szCs w:val="24"/>
        </w:rPr>
        <w:t xml:space="preserve">appartenant aux </w:t>
      </w:r>
      <w:r w:rsidR="001B6ED8" w:rsidRPr="001B6ED8">
        <w:rPr>
          <w:rFonts w:cs="Times New Roman"/>
          <w:b/>
          <w:szCs w:val="24"/>
          <w:shd w:val="clear" w:color="auto" w:fill="FFFFFF"/>
        </w:rPr>
        <w:t>É</w:t>
      </w:r>
      <w:r w:rsidRPr="001B6ED8">
        <w:rPr>
          <w:b/>
          <w:szCs w:val="24"/>
        </w:rPr>
        <w:t>tats</w:t>
      </w:r>
      <w:r w:rsidRPr="00834579">
        <w:rPr>
          <w:b/>
        </w:rPr>
        <w:t xml:space="preserve"> étrangers -</w:t>
      </w:r>
      <w:r>
        <w:t xml:space="preserve"> </w:t>
      </w:r>
      <w:r w:rsidR="004925D2">
        <w:t xml:space="preserve">La </w:t>
      </w:r>
      <w:r w:rsidR="00873539" w:rsidRPr="00603B33">
        <w:t>loi</w:t>
      </w:r>
      <w:r w:rsidR="001B7FBB">
        <w:t xml:space="preserve"> française n° 2016-1691</w:t>
      </w:r>
      <w:r w:rsidR="00873539" w:rsidRPr="00603B33">
        <w:t xml:space="preserve"> du 9 décembre 2016 relative à la transparence, à la lutte contre la corruption et à la modernisation de la vie économique</w:t>
      </w:r>
      <w:r w:rsidR="00D0240B">
        <w:rPr>
          <w:rStyle w:val="Appelnotedebasdep"/>
        </w:rPr>
        <w:footnoteReference w:id="1"/>
      </w:r>
      <w:r w:rsidR="004925D2">
        <w:t xml:space="preserve">, dite la </w:t>
      </w:r>
      <w:r w:rsidR="00362846">
        <w:t>« loi</w:t>
      </w:r>
      <w:r w:rsidR="00BB14C6">
        <w:t> </w:t>
      </w:r>
      <w:r w:rsidR="004925D2">
        <w:t>Sapin II</w:t>
      </w:r>
      <w:r w:rsidR="00BB14C6">
        <w:t> »</w:t>
      </w:r>
      <w:r w:rsidR="004925D2">
        <w:t>,</w:t>
      </w:r>
      <w:r w:rsidR="00873539">
        <w:t xml:space="preserve"> </w:t>
      </w:r>
      <w:r w:rsidR="00FD3FF9">
        <w:t xml:space="preserve">apporte </w:t>
      </w:r>
      <w:r w:rsidR="00C50655">
        <w:t xml:space="preserve">au droit français </w:t>
      </w:r>
      <w:r w:rsidR="00FD3FF9">
        <w:t>son</w:t>
      </w:r>
      <w:r w:rsidR="003B5737">
        <w:t xml:space="preserve"> lot de nouveautés en matière de droit de l’exécution quand </w:t>
      </w:r>
      <w:r w:rsidR="001B6ED8">
        <w:t xml:space="preserve">est débiteur un </w:t>
      </w:r>
      <w:r w:rsidR="001B6ED8" w:rsidRPr="001B6ED8">
        <w:rPr>
          <w:rFonts w:cs="Times New Roman"/>
          <w:szCs w:val="24"/>
          <w:shd w:val="clear" w:color="auto" w:fill="FFFFFF"/>
        </w:rPr>
        <w:t>É</w:t>
      </w:r>
      <w:r w:rsidR="003B5737" w:rsidRPr="001B6ED8">
        <w:rPr>
          <w:szCs w:val="24"/>
        </w:rPr>
        <w:t>ta</w:t>
      </w:r>
      <w:r w:rsidR="003B5737">
        <w:t>t étranger dont les biens</w:t>
      </w:r>
      <w:r w:rsidR="00DE7BAE">
        <w:t xml:space="preserve"> situés en France</w:t>
      </w:r>
      <w:r w:rsidR="003B5737">
        <w:t xml:space="preserve"> sont visés par des mesures conservatoires ou des mesures d’exécution forcée.</w:t>
      </w:r>
    </w:p>
    <w:p w14:paraId="05926021" w14:textId="77777777" w:rsidR="00873539" w:rsidRDefault="004925D2" w:rsidP="00873539">
      <w:pPr>
        <w:jc w:val="both"/>
      </w:pPr>
      <w:r>
        <w:t xml:space="preserve">L’article 59 de la loi </w:t>
      </w:r>
      <w:r w:rsidR="003B5737">
        <w:t xml:space="preserve">traite </w:t>
      </w:r>
      <w:r w:rsidR="00B11B87">
        <w:t xml:space="preserve">généralement </w:t>
      </w:r>
      <w:r w:rsidR="003B5737">
        <w:t xml:space="preserve">de l’immunité d’exécution étatique en </w:t>
      </w:r>
      <w:r w:rsidR="003B5737">
        <w:rPr>
          <w:color w:val="000000"/>
        </w:rPr>
        <w:t xml:space="preserve">réglant la façon dont des mesures </w:t>
      </w:r>
      <w:r w:rsidR="00362846">
        <w:rPr>
          <w:color w:val="000000"/>
        </w:rPr>
        <w:t>de contrainte</w:t>
      </w:r>
      <w:r w:rsidR="003B5737">
        <w:rPr>
          <w:color w:val="000000"/>
        </w:rPr>
        <w:t xml:space="preserve"> s</w:t>
      </w:r>
      <w:r w:rsidR="001B6ED8">
        <w:rPr>
          <w:color w:val="000000"/>
        </w:rPr>
        <w:t xml:space="preserve">ur les biens appartenant à des </w:t>
      </w:r>
      <w:r w:rsidR="001B6ED8" w:rsidRPr="001B6ED8">
        <w:rPr>
          <w:rFonts w:cs="Times New Roman"/>
          <w:szCs w:val="24"/>
          <w:shd w:val="clear" w:color="auto" w:fill="FFFFFF"/>
        </w:rPr>
        <w:t>É</w:t>
      </w:r>
      <w:r w:rsidR="003B5737">
        <w:rPr>
          <w:color w:val="000000"/>
        </w:rPr>
        <w:t>tats étrangers</w:t>
      </w:r>
      <w:r w:rsidR="00201489">
        <w:rPr>
          <w:color w:val="000000"/>
        </w:rPr>
        <w:t xml:space="preserve"> peuvent être mises en œuvre</w:t>
      </w:r>
      <w:r w:rsidR="003B5737">
        <w:rPr>
          <w:color w:val="000000"/>
        </w:rPr>
        <w:t>.</w:t>
      </w:r>
      <w:r w:rsidR="00BB14C6">
        <w:t xml:space="preserve"> </w:t>
      </w:r>
      <w:r>
        <w:t>L’article 60</w:t>
      </w:r>
      <w:r w:rsidR="00BB14C6">
        <w:t>,</w:t>
      </w:r>
      <w:r>
        <w:t xml:space="preserve"> </w:t>
      </w:r>
      <w:r w:rsidR="00B11B87">
        <w:t>spécifiquement</w:t>
      </w:r>
      <w:r w:rsidR="00BB14C6">
        <w:t>,</w:t>
      </w:r>
      <w:r>
        <w:t xml:space="preserve"> </w:t>
      </w:r>
      <w:r w:rsidR="00873539">
        <w:t>limite</w:t>
      </w:r>
      <w:r w:rsidR="00BB14C6">
        <w:t xml:space="preserve"> </w:t>
      </w:r>
      <w:r w:rsidR="00362846">
        <w:t>les</w:t>
      </w:r>
      <w:r>
        <w:t xml:space="preserve"> possibilité</w:t>
      </w:r>
      <w:r w:rsidR="00362846">
        <w:t>s</w:t>
      </w:r>
      <w:r>
        <w:t xml:space="preserve"> </w:t>
      </w:r>
      <w:r w:rsidR="003B5737">
        <w:t>de</w:t>
      </w:r>
      <w:r w:rsidR="00873539">
        <w:t xml:space="preserve"> </w:t>
      </w:r>
      <w:r w:rsidR="003B5737">
        <w:t>mise en œuvre</w:t>
      </w:r>
      <w:r w:rsidR="00873539">
        <w:t xml:space="preserve"> de </w:t>
      </w:r>
      <w:r w:rsidR="00BB14C6">
        <w:t>telles mesures</w:t>
      </w:r>
      <w:r w:rsidR="00873539">
        <w:t xml:space="preserve"> </w:t>
      </w:r>
      <w:r w:rsidR="00362846">
        <w:t xml:space="preserve">lorsqu’elles </w:t>
      </w:r>
      <w:r w:rsidR="00B3777C">
        <w:t>sont en lien avec</w:t>
      </w:r>
      <w:r w:rsidR="00362846">
        <w:t xml:space="preserve"> de</w:t>
      </w:r>
      <w:r w:rsidR="00B3777C">
        <w:t>s</w:t>
      </w:r>
      <w:r w:rsidR="00362846">
        <w:t xml:space="preserve"> dettes</w:t>
      </w:r>
      <w:r w:rsidR="00BB14C6">
        <w:t xml:space="preserve"> </w:t>
      </w:r>
      <w:r w:rsidR="003B5907">
        <w:t>souveraine</w:t>
      </w:r>
      <w:r w:rsidR="00362846">
        <w:t>s</w:t>
      </w:r>
      <w:r w:rsidR="003B5907">
        <w:t xml:space="preserve"> litigieuse</w:t>
      </w:r>
      <w:r w:rsidR="00362846">
        <w:t>s</w:t>
      </w:r>
      <w:r w:rsidR="003B5907">
        <w:t xml:space="preserve">, luttant </w:t>
      </w:r>
      <w:r w:rsidR="00B11B87">
        <w:t>ainsi</w:t>
      </w:r>
      <w:r w:rsidR="003B5907">
        <w:t xml:space="preserve"> contre les activités de certains créanciers</w:t>
      </w:r>
      <w:r w:rsidR="00362846">
        <w:t xml:space="preserve"> « vautours »</w:t>
      </w:r>
      <w:r w:rsidR="00747BAB">
        <w:rPr>
          <w:rStyle w:val="Appelnotedebasdep"/>
        </w:rPr>
        <w:footnoteReference w:id="2"/>
      </w:r>
      <w:r w:rsidR="007031CF">
        <w:t xml:space="preserve"> </w:t>
      </w:r>
      <w:r w:rsidR="007031CF">
        <w:rPr>
          <w:rStyle w:val="Appelnotedebasdep"/>
        </w:rPr>
        <w:footnoteReference w:id="3"/>
      </w:r>
      <w:r w:rsidR="00747BAB">
        <w:t>.</w:t>
      </w:r>
    </w:p>
    <w:p w14:paraId="5B7E7A26" w14:textId="77777777" w:rsidR="003B5907" w:rsidRDefault="00B11B87" w:rsidP="00873539">
      <w:pPr>
        <w:jc w:val="both"/>
      </w:pPr>
      <w:r>
        <w:t>Avec l’adoption de la loi Sapin II, l</w:t>
      </w:r>
      <w:r w:rsidR="003B5907" w:rsidRPr="001B7FBB">
        <w:t xml:space="preserve">e législateur français fait ce que son homologue belge </w:t>
      </w:r>
      <w:r>
        <w:t>fit</w:t>
      </w:r>
      <w:r w:rsidR="003B5907" w:rsidRPr="001B7FBB">
        <w:t xml:space="preserve"> un peu plus d’un an auparavant en légiférant en matière d’immunité d’exécution étatique, d’une part, en matière de lutte contre les activités des fonds vautours, d’autre part. Furent respectivement adoptées</w:t>
      </w:r>
      <w:r w:rsidR="00A12838">
        <w:t xml:space="preserve"> o</w:t>
      </w:r>
      <w:r w:rsidR="00C50655">
        <w:t>utre-Quiévrain</w:t>
      </w:r>
      <w:r>
        <w:t xml:space="preserve">, </w:t>
      </w:r>
      <w:r w:rsidR="00A12838">
        <w:t xml:space="preserve">dans le </w:t>
      </w:r>
      <w:r>
        <w:t>courant de l’été 2015,</w:t>
      </w:r>
      <w:r w:rsidR="003B5907" w:rsidRPr="001B7FBB">
        <w:t xml:space="preserve"> la loi du 23 août 2015 insérant dans le Code judiciaire belge un article 1412</w:t>
      </w:r>
      <w:r w:rsidR="003B5907" w:rsidRPr="001B7FBB">
        <w:rPr>
          <w:i/>
        </w:rPr>
        <w:t>quinquies</w:t>
      </w:r>
      <w:r w:rsidR="003B5907" w:rsidRPr="001B7FBB">
        <w:t xml:space="preserve"> régissant la saisie de biens appartenant à une puissance étrangère ou à un</w:t>
      </w:r>
      <w:r w:rsidR="00A12838">
        <w:t>e</w:t>
      </w:r>
      <w:r w:rsidR="003B5907" w:rsidRPr="001B7FBB">
        <w:t xml:space="preserve"> organisation supranationale ou international</w:t>
      </w:r>
      <w:r w:rsidR="00A12838">
        <w:t>e</w:t>
      </w:r>
      <w:r w:rsidR="003B5907" w:rsidRPr="001B7FBB">
        <w:t xml:space="preserve"> de droit public et la loi du 12 juillet 2015 relative à la lutte contre les activités des fonds vautours</w:t>
      </w:r>
      <w:r w:rsidR="00362846">
        <w:rPr>
          <w:rStyle w:val="Appelnotedebasdep"/>
        </w:rPr>
        <w:footnoteReference w:id="4"/>
      </w:r>
      <w:r w:rsidR="003B5907">
        <w:t>.</w:t>
      </w:r>
    </w:p>
    <w:p w14:paraId="1E20EB6F" w14:textId="656C616A" w:rsidR="00765D7E" w:rsidRPr="00B3777C" w:rsidRDefault="003B5907" w:rsidP="00873539">
      <w:pPr>
        <w:jc w:val="both"/>
      </w:pPr>
      <w:r>
        <w:lastRenderedPageBreak/>
        <w:t xml:space="preserve">La présente contribution </w:t>
      </w:r>
      <w:r w:rsidR="00732B99">
        <w:t>entend faire</w:t>
      </w:r>
      <w:r>
        <w:t xml:space="preserve"> le point </w:t>
      </w:r>
      <w:r w:rsidR="00D11CBE">
        <w:t xml:space="preserve">sur le </w:t>
      </w:r>
      <w:r w:rsidR="00876864">
        <w:t>mécanisme</w:t>
      </w:r>
      <w:r>
        <w:t xml:space="preserve"> mis en place par le législateur </w:t>
      </w:r>
      <w:r w:rsidR="00732B99">
        <w:t xml:space="preserve">français </w:t>
      </w:r>
      <w:r>
        <w:t>afin de lutter contre les activités desdits fonds vautours</w:t>
      </w:r>
      <w:r w:rsidR="00D11CBE">
        <w:t xml:space="preserve"> en procédant à l’analyse de l’article 60 de la loi Sapin II</w:t>
      </w:r>
      <w:r w:rsidR="00B3777C">
        <w:rPr>
          <w:rStyle w:val="Appelnotedebasdep"/>
        </w:rPr>
        <w:footnoteReference w:id="5"/>
      </w:r>
      <w:r w:rsidR="00D11CBE">
        <w:t>.</w:t>
      </w:r>
      <w:r w:rsidR="00584358">
        <w:t xml:space="preserve"> Nous analyserons, dans un premier temps, le contexte ayant présidé à l’adopt</w:t>
      </w:r>
      <w:r w:rsidR="00544A48">
        <w:t xml:space="preserve">ion de l’article anti-fonds vautours </w:t>
      </w:r>
      <w:r w:rsidR="00584358">
        <w:t>(</w:t>
      </w:r>
      <w:r w:rsidR="009012AA">
        <w:rPr>
          <w:i/>
        </w:rPr>
        <w:t>section</w:t>
      </w:r>
      <w:r w:rsidR="005638D4">
        <w:rPr>
          <w:i/>
        </w:rPr>
        <w:t xml:space="preserve"> I</w:t>
      </w:r>
      <w:r w:rsidR="00584358">
        <w:t>) et nous intéresserons, dans un deuxième temps, au mécanisme mis en place (</w:t>
      </w:r>
      <w:r w:rsidR="009012AA">
        <w:rPr>
          <w:i/>
        </w:rPr>
        <w:t>section</w:t>
      </w:r>
      <w:r w:rsidR="005638D4">
        <w:rPr>
          <w:i/>
        </w:rPr>
        <w:t xml:space="preserve"> II</w:t>
      </w:r>
      <w:r w:rsidR="00584358">
        <w:t>). Les conditions d’application d</w:t>
      </w:r>
      <w:r w:rsidR="00544A48">
        <w:t xml:space="preserve">e celui-ci </w:t>
      </w:r>
      <w:r w:rsidR="00584358">
        <w:t>feront ensuite l’objet d’une analyse (</w:t>
      </w:r>
      <w:r w:rsidR="009012AA">
        <w:rPr>
          <w:i/>
        </w:rPr>
        <w:t>section</w:t>
      </w:r>
      <w:r w:rsidR="005638D4">
        <w:rPr>
          <w:i/>
        </w:rPr>
        <w:t xml:space="preserve"> III</w:t>
      </w:r>
      <w:r w:rsidR="00584358">
        <w:t>)</w:t>
      </w:r>
      <w:r w:rsidR="00544A48">
        <w:t>,</w:t>
      </w:r>
      <w:r w:rsidR="00584358">
        <w:t xml:space="preserve"> laquelle précèdera l’évaluation de sa conformité au droit constitutionnel français, d’une part, aux droits européen et international, d’autre part (</w:t>
      </w:r>
      <w:r w:rsidR="009012AA">
        <w:rPr>
          <w:i/>
        </w:rPr>
        <w:t>section</w:t>
      </w:r>
      <w:r w:rsidR="005638D4">
        <w:rPr>
          <w:i/>
        </w:rPr>
        <w:t xml:space="preserve"> IV</w:t>
      </w:r>
      <w:r w:rsidR="006542ED">
        <w:t xml:space="preserve">). </w:t>
      </w:r>
      <w:r w:rsidR="00765D7E">
        <w:rPr>
          <w:highlight w:val="cyan"/>
        </w:rPr>
        <w:br w:type="page"/>
      </w:r>
    </w:p>
    <w:p w14:paraId="6FF4BCD1" w14:textId="1D139BFB" w:rsidR="00F71BD7" w:rsidRDefault="005638D4" w:rsidP="005638D4">
      <w:pPr>
        <w:pStyle w:val="Titre1"/>
        <w:pBdr>
          <w:top w:val="none" w:sz="0" w:space="0" w:color="auto"/>
          <w:left w:val="none" w:sz="0" w:space="0" w:color="auto"/>
          <w:bottom w:val="none" w:sz="0" w:space="0" w:color="auto"/>
          <w:right w:val="none" w:sz="0" w:space="0" w:color="auto"/>
        </w:pBdr>
        <w:ind w:left="360"/>
      </w:pPr>
      <w:r>
        <w:lastRenderedPageBreak/>
        <w:t xml:space="preserve">Section I : </w:t>
      </w:r>
      <w:r w:rsidR="00DB3E17" w:rsidRPr="001B7FBB">
        <w:t>Le contexte de l’intervention législative</w:t>
      </w:r>
    </w:p>
    <w:p w14:paraId="1AFC804F" w14:textId="77777777" w:rsidR="00C20801" w:rsidRPr="001B7FBB" w:rsidRDefault="00C20801" w:rsidP="00C20801"/>
    <w:p w14:paraId="63D31D34" w14:textId="77777777" w:rsidR="00D0240B" w:rsidRPr="00272974" w:rsidRDefault="00834579" w:rsidP="00D0240B">
      <w:pPr>
        <w:spacing w:line="240" w:lineRule="auto"/>
        <w:jc w:val="both"/>
        <w:rPr>
          <w:bCs/>
          <w:color w:val="000000"/>
          <w:szCs w:val="24"/>
        </w:rPr>
      </w:pPr>
      <w:r>
        <w:rPr>
          <w:b/>
        </w:rPr>
        <w:t>2</w:t>
      </w:r>
      <w:r w:rsidR="003B5907">
        <w:rPr>
          <w:b/>
        </w:rPr>
        <w:t>. Un phénomène qui n’est pas nouveau -</w:t>
      </w:r>
      <w:r w:rsidR="00D0240B">
        <w:rPr>
          <w:b/>
        </w:rPr>
        <w:t xml:space="preserve"> </w:t>
      </w:r>
      <w:r w:rsidR="00D0240B" w:rsidRPr="00272974">
        <w:rPr>
          <w:bCs/>
          <w:color w:val="000000"/>
          <w:szCs w:val="24"/>
        </w:rPr>
        <w:t>Depuis de nombreuses années, l’action de certains créanciers à l’encontre d’</w:t>
      </w:r>
      <w:r w:rsidR="001B6ED8" w:rsidRPr="001B6ED8">
        <w:rPr>
          <w:rFonts w:cs="Times New Roman"/>
          <w:szCs w:val="24"/>
          <w:shd w:val="clear" w:color="auto" w:fill="FFFFFF"/>
        </w:rPr>
        <w:t>É</w:t>
      </w:r>
      <w:r w:rsidR="00D0240B" w:rsidRPr="00272974">
        <w:rPr>
          <w:bCs/>
          <w:color w:val="000000"/>
          <w:szCs w:val="24"/>
        </w:rPr>
        <w:t xml:space="preserve">tats souverains dont ils détiennent une partie de la dette est décriée. Ceux-ci, souvent qualifiés de </w:t>
      </w:r>
      <w:r w:rsidR="00D0240B">
        <w:rPr>
          <w:bCs/>
          <w:color w:val="000000"/>
          <w:szCs w:val="24"/>
        </w:rPr>
        <w:t>« </w:t>
      </w:r>
      <w:r w:rsidR="00D0240B" w:rsidRPr="00272974">
        <w:rPr>
          <w:bCs/>
          <w:color w:val="000000"/>
          <w:szCs w:val="24"/>
        </w:rPr>
        <w:t>fonds vautours</w:t>
      </w:r>
      <w:r w:rsidR="00D0240B">
        <w:rPr>
          <w:bCs/>
          <w:color w:val="000000"/>
          <w:szCs w:val="24"/>
        </w:rPr>
        <w:t> »</w:t>
      </w:r>
      <w:r w:rsidR="0030196C">
        <w:rPr>
          <w:bCs/>
          <w:color w:val="000000"/>
          <w:szCs w:val="24"/>
        </w:rPr>
        <w:t xml:space="preserve"> ou encore parfois de « fonds procéduriers »</w:t>
      </w:r>
      <w:r w:rsidR="00D0240B" w:rsidRPr="00272974">
        <w:rPr>
          <w:bCs/>
          <w:color w:val="000000"/>
          <w:szCs w:val="24"/>
        </w:rPr>
        <w:t xml:space="preserve">, rachètent sur le marché secondaire des créances bradées dont les débiteurs sont des </w:t>
      </w:r>
      <w:r w:rsidR="001B6ED8" w:rsidRPr="001B6ED8">
        <w:rPr>
          <w:rFonts w:cs="Times New Roman"/>
          <w:szCs w:val="24"/>
          <w:shd w:val="clear" w:color="auto" w:fill="FFFFFF"/>
        </w:rPr>
        <w:t>É</w:t>
      </w:r>
      <w:r w:rsidR="00D0240B" w:rsidRPr="00272974">
        <w:rPr>
          <w:bCs/>
          <w:color w:val="000000"/>
          <w:szCs w:val="24"/>
        </w:rPr>
        <w:t>tats en difficulté pour, après que ces derniers ont montré des signes de mieux-être économique, en poursuivre le remboursement à leur valeur nominale devant les juridictions du monde entier</w:t>
      </w:r>
      <w:r w:rsidR="00070130" w:rsidRPr="00272974">
        <w:rPr>
          <w:rStyle w:val="Appelnotedebasdep"/>
          <w:rFonts w:cs="Times New Roman"/>
          <w:bCs/>
          <w:color w:val="000000"/>
          <w:szCs w:val="24"/>
        </w:rPr>
        <w:footnoteReference w:id="6"/>
      </w:r>
      <w:r w:rsidR="00D0240B" w:rsidRPr="00272974">
        <w:rPr>
          <w:bCs/>
          <w:color w:val="000000"/>
          <w:szCs w:val="24"/>
        </w:rPr>
        <w:t>. Lesdites créances sont rachetées aux prêteurs originaires souhaitant, tant que faire se peut, récupérer une partie des montants prêtés qui servirent au financement d’</w:t>
      </w:r>
      <w:r w:rsidR="001B6ED8" w:rsidRPr="001B6ED8">
        <w:rPr>
          <w:rFonts w:cs="Times New Roman"/>
          <w:szCs w:val="24"/>
          <w:shd w:val="clear" w:color="auto" w:fill="FFFFFF"/>
        </w:rPr>
        <w:t>É</w:t>
      </w:r>
      <w:r w:rsidR="00D0240B" w:rsidRPr="00272974">
        <w:rPr>
          <w:bCs/>
          <w:color w:val="000000"/>
          <w:szCs w:val="24"/>
        </w:rPr>
        <w:t>tats devenus incapables de les rembourser. Les fonds vautours cherchent à obtenir d’importants gains résultant de la différence entre le prix d’acquisition des titres de dettes souveraines et la valeur nominale de ceux-ci majorée d’intérêts (voire d’amendes) par eux poursuivie</w:t>
      </w:r>
      <w:r w:rsidR="00070130">
        <w:rPr>
          <w:rStyle w:val="Appelnotedebasdep"/>
          <w:bCs/>
          <w:color w:val="000000"/>
          <w:szCs w:val="24"/>
        </w:rPr>
        <w:footnoteReference w:id="7"/>
      </w:r>
      <w:r w:rsidR="00070130">
        <w:rPr>
          <w:bCs/>
          <w:color w:val="000000"/>
          <w:szCs w:val="24"/>
        </w:rPr>
        <w:t>.</w:t>
      </w:r>
    </w:p>
    <w:p w14:paraId="3514512C" w14:textId="77777777" w:rsidR="00AA1922" w:rsidRDefault="00D0240B" w:rsidP="00D0240B">
      <w:pPr>
        <w:jc w:val="both"/>
        <w:rPr>
          <w:b/>
        </w:rPr>
      </w:pPr>
      <w:r w:rsidRPr="00272974">
        <w:rPr>
          <w:bCs/>
          <w:color w:val="000000"/>
          <w:szCs w:val="24"/>
        </w:rPr>
        <w:t xml:space="preserve">Le </w:t>
      </w:r>
      <w:r w:rsidRPr="00237577">
        <w:rPr>
          <w:bCs/>
          <w:i/>
          <w:color w:val="000000"/>
          <w:szCs w:val="24"/>
        </w:rPr>
        <w:t>modus operandi</w:t>
      </w:r>
      <w:r w:rsidRPr="00272974">
        <w:rPr>
          <w:bCs/>
          <w:color w:val="000000"/>
          <w:szCs w:val="24"/>
        </w:rPr>
        <w:t xml:space="preserve"> de ces créanciers est, sans doute, </w:t>
      </w:r>
      <w:r>
        <w:rPr>
          <w:bCs/>
          <w:color w:val="000000"/>
          <w:szCs w:val="24"/>
        </w:rPr>
        <w:t>légalement</w:t>
      </w:r>
      <w:r w:rsidRPr="00272974">
        <w:rPr>
          <w:bCs/>
          <w:color w:val="000000"/>
          <w:szCs w:val="24"/>
        </w:rPr>
        <w:t xml:space="preserve"> incontestable. Il n’en demeure pas moins que ces derniers essuient la bronca de leurs détracteurs qui stigmatisent l’immoralité de leur comportement</w:t>
      </w:r>
      <w:r w:rsidRPr="00272974">
        <w:rPr>
          <w:rStyle w:val="Appelnotedebasdep"/>
          <w:rFonts w:cs="Times New Roman"/>
          <w:bCs/>
          <w:color w:val="000000"/>
          <w:szCs w:val="24"/>
        </w:rPr>
        <w:footnoteReference w:id="8"/>
      </w:r>
      <w:r w:rsidRPr="00272974">
        <w:rPr>
          <w:bCs/>
          <w:color w:val="000000"/>
          <w:szCs w:val="24"/>
        </w:rPr>
        <w:t xml:space="preserve">. </w:t>
      </w:r>
      <w:r w:rsidR="00EB2014">
        <w:rPr>
          <w:bCs/>
          <w:color w:val="000000"/>
          <w:szCs w:val="24"/>
        </w:rPr>
        <w:t>L</w:t>
      </w:r>
      <w:r w:rsidRPr="00272974">
        <w:rPr>
          <w:bCs/>
          <w:color w:val="000000"/>
          <w:szCs w:val="24"/>
        </w:rPr>
        <w:t xml:space="preserve">eurs actions ciblent généralement des </w:t>
      </w:r>
      <w:r w:rsidR="001B6ED8" w:rsidRPr="001B6ED8">
        <w:rPr>
          <w:rFonts w:cs="Times New Roman"/>
          <w:szCs w:val="24"/>
          <w:shd w:val="clear" w:color="auto" w:fill="FFFFFF"/>
        </w:rPr>
        <w:t>É</w:t>
      </w:r>
      <w:r w:rsidRPr="00272974">
        <w:rPr>
          <w:bCs/>
          <w:color w:val="000000"/>
          <w:szCs w:val="24"/>
        </w:rPr>
        <w:t xml:space="preserve">tats pauvres à la dette souveraine colossale qui voient ainsi leurs finances potentiellement amputées des prétentions desdits fonds, là où les montants poursuivis paraissent essentiels au bien-être de leur population. </w:t>
      </w:r>
      <w:r w:rsidR="00070130" w:rsidRPr="00272974">
        <w:rPr>
          <w:bCs/>
          <w:color w:val="000000"/>
          <w:szCs w:val="24"/>
        </w:rPr>
        <w:t xml:space="preserve">Le procédé </w:t>
      </w:r>
      <w:r w:rsidR="00B3777C">
        <w:rPr>
          <w:bCs/>
          <w:color w:val="000000"/>
          <w:szCs w:val="24"/>
        </w:rPr>
        <w:t xml:space="preserve">aussi </w:t>
      </w:r>
      <w:r w:rsidR="00070130" w:rsidRPr="00272974">
        <w:rPr>
          <w:bCs/>
          <w:color w:val="000000"/>
          <w:szCs w:val="24"/>
        </w:rPr>
        <w:t xml:space="preserve">met en difficulté des </w:t>
      </w:r>
      <w:r w:rsidR="001B6ED8" w:rsidRPr="001B6ED8">
        <w:rPr>
          <w:rFonts w:cs="Times New Roman"/>
          <w:szCs w:val="24"/>
          <w:shd w:val="clear" w:color="auto" w:fill="FFFFFF"/>
        </w:rPr>
        <w:t>É</w:t>
      </w:r>
      <w:r w:rsidR="00070130" w:rsidRPr="00272974">
        <w:rPr>
          <w:bCs/>
          <w:color w:val="000000"/>
          <w:szCs w:val="24"/>
        </w:rPr>
        <w:t xml:space="preserve">tats aux finances publiques </w:t>
      </w:r>
      <w:r w:rsidR="00070130">
        <w:rPr>
          <w:bCs/>
          <w:color w:val="000000"/>
          <w:szCs w:val="24"/>
        </w:rPr>
        <w:t xml:space="preserve">parfois </w:t>
      </w:r>
      <w:r w:rsidR="00070130" w:rsidRPr="00272974">
        <w:rPr>
          <w:bCs/>
          <w:color w:val="000000"/>
          <w:szCs w:val="24"/>
        </w:rPr>
        <w:t>à peine rétablies, les contraignant souvent à de nouveaux emprunts et, partant, les exposant à de nouvelles poursuites.</w:t>
      </w:r>
      <w:r w:rsidR="00BD747E">
        <w:rPr>
          <w:bCs/>
          <w:color w:val="000000"/>
          <w:szCs w:val="24"/>
        </w:rPr>
        <w:t xml:space="preserve"> </w:t>
      </w:r>
      <w:r w:rsidRPr="00272974">
        <w:rPr>
          <w:szCs w:val="24"/>
        </w:rPr>
        <w:lastRenderedPageBreak/>
        <w:t xml:space="preserve">En outre, </w:t>
      </w:r>
      <w:r w:rsidRPr="00272974">
        <w:rPr>
          <w:bCs/>
          <w:color w:val="000000"/>
          <w:szCs w:val="24"/>
        </w:rPr>
        <w:t>l’activité des fonds vautours perturbe les actions collectives de restructuration des dettes de pays fortement endettés</w:t>
      </w:r>
      <w:r w:rsidRPr="00272974">
        <w:rPr>
          <w:rStyle w:val="Appelnotedebasdep"/>
          <w:rFonts w:cs="Times New Roman"/>
          <w:bCs/>
          <w:color w:val="000000"/>
          <w:szCs w:val="24"/>
        </w:rPr>
        <w:footnoteReference w:id="9"/>
      </w:r>
      <w:r w:rsidRPr="00272974">
        <w:rPr>
          <w:bCs/>
          <w:color w:val="000000"/>
          <w:szCs w:val="24"/>
        </w:rPr>
        <w:t>.</w:t>
      </w:r>
      <w:r w:rsidR="003B5907">
        <w:rPr>
          <w:b/>
        </w:rPr>
        <w:t xml:space="preserve"> </w:t>
      </w:r>
    </w:p>
    <w:p w14:paraId="677AD36F" w14:textId="77777777" w:rsidR="00765D7E" w:rsidRDefault="00EF3A2D" w:rsidP="00765D7E">
      <w:pPr>
        <w:jc w:val="both"/>
      </w:pPr>
      <w:r w:rsidRPr="00EF3A2D">
        <w:t>Et la</w:t>
      </w:r>
      <w:r w:rsidRPr="00EF3A2D">
        <w:rPr>
          <w:rFonts w:cs="Times New Roman"/>
        </w:rPr>
        <w:t xml:space="preserve"> France</w:t>
      </w:r>
      <w:r w:rsidRPr="006E7C7D">
        <w:rPr>
          <w:rFonts w:cs="Times New Roman"/>
        </w:rPr>
        <w:t xml:space="preserve"> n’est p</w:t>
      </w:r>
      <w:r w:rsidR="001B6ED8">
        <w:rPr>
          <w:rFonts w:cs="Times New Roman"/>
        </w:rPr>
        <w:t>as étrangère aux contentieux d’</w:t>
      </w:r>
      <w:r w:rsidR="001B6ED8" w:rsidRPr="001B6ED8">
        <w:rPr>
          <w:rFonts w:cs="Times New Roman"/>
          <w:szCs w:val="24"/>
          <w:shd w:val="clear" w:color="auto" w:fill="FFFFFF"/>
        </w:rPr>
        <w:t>É</w:t>
      </w:r>
      <w:r w:rsidRPr="006E7C7D">
        <w:rPr>
          <w:rFonts w:cs="Times New Roman"/>
        </w:rPr>
        <w:t>tats étrangers en proie à l’action de fonds vautours comme en témoignent par exemple les procédures intentées par le fonds NML Capital à l’encontre de la République argentine</w:t>
      </w:r>
      <w:r w:rsidRPr="006E7C7D">
        <w:rPr>
          <w:rStyle w:val="Appelnotedebasdep"/>
          <w:rFonts w:cs="Times New Roman"/>
        </w:rPr>
        <w:footnoteReference w:id="10"/>
      </w:r>
      <w:r w:rsidRPr="006E7C7D">
        <w:rPr>
          <w:rFonts w:cs="Times New Roman"/>
        </w:rPr>
        <w:t xml:space="preserve">. En commission </w:t>
      </w:r>
      <w:r w:rsidRPr="006E7C7D">
        <w:rPr>
          <w:rFonts w:cs="Times New Roman"/>
          <w:szCs w:val="24"/>
        </w:rPr>
        <w:t>des lois constitutionnelles, de législation, du suffrage</w:t>
      </w:r>
      <w:r>
        <w:rPr>
          <w:rFonts w:cs="Times New Roman"/>
          <w:szCs w:val="24"/>
        </w:rPr>
        <w:t xml:space="preserve"> </w:t>
      </w:r>
      <w:r w:rsidRPr="006E7C7D">
        <w:rPr>
          <w:rFonts w:cs="Times New Roman"/>
          <w:szCs w:val="24"/>
        </w:rPr>
        <w:t>universel, du Règlement et d’administration générale</w:t>
      </w:r>
      <w:r w:rsidR="004D0921">
        <w:rPr>
          <w:rFonts w:cs="Times New Roman"/>
          <w:szCs w:val="24"/>
        </w:rPr>
        <w:t>, Alain</w:t>
      </w:r>
      <w:r>
        <w:rPr>
          <w:rFonts w:cs="Times New Roman"/>
          <w:szCs w:val="24"/>
        </w:rPr>
        <w:t xml:space="preserve"> Anziani fit ainsi valoir au sujet de système français qu’il est « </w:t>
      </w:r>
      <w:r w:rsidRPr="003D179F">
        <w:rPr>
          <w:rFonts w:cs="Times New Roman"/>
          <w:szCs w:val="24"/>
        </w:rPr>
        <w:t>très favorable aux créanciers d’États endettés, par exemple des fonds</w:t>
      </w:r>
      <w:r>
        <w:rPr>
          <w:rFonts w:cs="Times New Roman"/>
          <w:szCs w:val="24"/>
        </w:rPr>
        <w:t xml:space="preserve"> </w:t>
      </w:r>
      <w:r w:rsidRPr="003D179F">
        <w:rPr>
          <w:rFonts w:cs="Times New Roman"/>
          <w:szCs w:val="24"/>
        </w:rPr>
        <w:t xml:space="preserve">spéculatifs, qui viennent saisir les biens de ces </w:t>
      </w:r>
      <w:r>
        <w:rPr>
          <w:rFonts w:cs="Times New Roman"/>
          <w:szCs w:val="24"/>
        </w:rPr>
        <w:t xml:space="preserve">États sur notre territoire, par </w:t>
      </w:r>
      <w:r w:rsidRPr="003D179F">
        <w:rPr>
          <w:rFonts w:cs="Times New Roman"/>
          <w:szCs w:val="24"/>
        </w:rPr>
        <w:t>facilité – c’est arrivé en particulier à l’ambassade d’Argentine, dont les</w:t>
      </w:r>
      <w:r>
        <w:rPr>
          <w:rFonts w:cs="Times New Roman"/>
          <w:szCs w:val="24"/>
        </w:rPr>
        <w:t xml:space="preserve"> </w:t>
      </w:r>
      <w:r w:rsidRPr="003D179F">
        <w:rPr>
          <w:rFonts w:cs="Times New Roman"/>
          <w:szCs w:val="24"/>
        </w:rPr>
        <w:t>comptes ont été saisis...</w:t>
      </w:r>
      <w:r>
        <w:rPr>
          <w:rFonts w:cs="Times New Roman"/>
          <w:szCs w:val="24"/>
        </w:rPr>
        <w:t> »</w:t>
      </w:r>
      <w:r>
        <w:rPr>
          <w:rStyle w:val="Appelnotedebasdep"/>
          <w:rFonts w:cs="Times New Roman"/>
          <w:szCs w:val="24"/>
        </w:rPr>
        <w:footnoteReference w:id="11"/>
      </w:r>
      <w:r>
        <w:rPr>
          <w:rFonts w:cs="Times New Roman"/>
          <w:szCs w:val="24"/>
        </w:rPr>
        <w:t>.</w:t>
      </w:r>
    </w:p>
    <w:p w14:paraId="6E0E29FB" w14:textId="77777777" w:rsidR="00EF3A2D" w:rsidRDefault="00EF3A2D" w:rsidP="00EF3A2D">
      <w:pPr>
        <w:autoSpaceDE w:val="0"/>
        <w:autoSpaceDN w:val="0"/>
        <w:adjustRightInd w:val="0"/>
        <w:spacing w:after="0" w:line="240" w:lineRule="auto"/>
        <w:jc w:val="both"/>
        <w:rPr>
          <w:rFonts w:cs="Times New Roman"/>
          <w:szCs w:val="24"/>
        </w:rPr>
      </w:pPr>
    </w:p>
    <w:p w14:paraId="306D682A" w14:textId="7156709F" w:rsidR="0030196C" w:rsidRDefault="004C4A92" w:rsidP="0030196C">
      <w:pPr>
        <w:jc w:val="both"/>
      </w:pPr>
      <w:r>
        <w:rPr>
          <w:b/>
        </w:rPr>
        <w:t>3</w:t>
      </w:r>
      <w:r w:rsidR="006E7B84">
        <w:rPr>
          <w:b/>
        </w:rPr>
        <w:t xml:space="preserve">. </w:t>
      </w:r>
      <w:r w:rsidR="00C8261E">
        <w:rPr>
          <w:b/>
        </w:rPr>
        <w:t>La</w:t>
      </w:r>
      <w:r w:rsidR="006E7B84">
        <w:rPr>
          <w:b/>
        </w:rPr>
        <w:t xml:space="preserve"> </w:t>
      </w:r>
      <w:r w:rsidR="00117D01">
        <w:rPr>
          <w:b/>
        </w:rPr>
        <w:t>visée</w:t>
      </w:r>
      <w:r w:rsidR="009C3099">
        <w:rPr>
          <w:b/>
        </w:rPr>
        <w:t xml:space="preserve"> législative </w:t>
      </w:r>
      <w:r w:rsidR="00A12838">
        <w:rPr>
          <w:b/>
        </w:rPr>
        <w:t>-</w:t>
      </w:r>
      <w:r>
        <w:rPr>
          <w:b/>
        </w:rPr>
        <w:t xml:space="preserve"> </w:t>
      </w:r>
      <w:r w:rsidR="0018437C" w:rsidRPr="0018437C">
        <w:t>Lors de l’audition commune de la</w:t>
      </w:r>
      <w:r w:rsidR="00281E29" w:rsidRPr="0018437C">
        <w:t xml:space="preserve"> commission des lois constitutionnelles, de la législation et de l’administration générale de la République</w:t>
      </w:r>
      <w:r w:rsidR="0018437C" w:rsidRPr="0018437C">
        <w:t xml:space="preserve"> avec</w:t>
      </w:r>
      <w:r w:rsidR="0018437C">
        <w:t xml:space="preserve"> la commission des Affaires économiques et la commission des Finances de l’Assemblée nationale, </w:t>
      </w:r>
      <w:r>
        <w:t>Dominique Potier</w:t>
      </w:r>
      <w:r w:rsidR="00281E29">
        <w:t>, c</w:t>
      </w:r>
      <w:r w:rsidR="0030196C">
        <w:t>ommentant l’article du projet de loi visant à régler généralement</w:t>
      </w:r>
      <w:r w:rsidR="001B6ED8">
        <w:t xml:space="preserve"> les immunités d’exécution des </w:t>
      </w:r>
      <w:r w:rsidR="001B6ED8" w:rsidRPr="001B6ED8">
        <w:rPr>
          <w:rFonts w:cs="Times New Roman"/>
          <w:szCs w:val="24"/>
          <w:shd w:val="clear" w:color="auto" w:fill="FFFFFF"/>
        </w:rPr>
        <w:t>É</w:t>
      </w:r>
      <w:r w:rsidR="0030196C">
        <w:t>tats étrangers</w:t>
      </w:r>
      <w:r w:rsidR="00281E29">
        <w:t xml:space="preserve">, indiqua </w:t>
      </w:r>
      <w:r w:rsidR="0030196C">
        <w:t xml:space="preserve">que « (n)ous devons prendre des mesures de protection des biens acquis par des pays tiers sur notre sol et concourir à débarrasser l’économie de ces fonds vautours qui sont souvent les mêmes que l’on retrouve dans les </w:t>
      </w:r>
      <w:r w:rsidR="0030196C" w:rsidRPr="002C6745">
        <w:rPr>
          <w:i/>
        </w:rPr>
        <w:lastRenderedPageBreak/>
        <w:t>Panama Papers</w:t>
      </w:r>
      <w:r w:rsidR="0030196C">
        <w:t>, acteurs d’une économie de la fraude et de la triche qui désespère le peuple et fabrique de la misère au bout du monde comme au bout de la rue »</w:t>
      </w:r>
      <w:r w:rsidR="0030196C">
        <w:rPr>
          <w:rStyle w:val="Appelnotedebasdep"/>
        </w:rPr>
        <w:footnoteReference w:id="12"/>
      </w:r>
      <w:r w:rsidR="00281E29">
        <w:t xml:space="preserve"> </w:t>
      </w:r>
      <w:r w:rsidR="00281E29">
        <w:rPr>
          <w:rStyle w:val="Appelnotedebasdep"/>
        </w:rPr>
        <w:footnoteReference w:id="13"/>
      </w:r>
      <w:r w:rsidR="0030196C">
        <w:t>.</w:t>
      </w:r>
    </w:p>
    <w:p w14:paraId="7041CEF9" w14:textId="5064A93C" w:rsidR="00B41D0F" w:rsidRDefault="000A0232" w:rsidP="00B41D0F">
      <w:pPr>
        <w:jc w:val="both"/>
      </w:pPr>
      <w:r>
        <w:t>L</w:t>
      </w:r>
      <w:r w:rsidR="000C422C">
        <w:t>ors des débats à l’Assemblée nationale, l’éthique poursuivie par le projet de loi à l’origine de la</w:t>
      </w:r>
      <w:r w:rsidR="00B46169">
        <w:t xml:space="preserve"> loi Sapin II</w:t>
      </w:r>
      <w:r w:rsidR="00281E29">
        <w:t>,</w:t>
      </w:r>
      <w:r w:rsidR="00B46169">
        <w:t xml:space="preserve"> </w:t>
      </w:r>
      <w:r w:rsidR="00281E29">
        <w:t>et singulièrement par l’article anti-fonds vautours envisagé</w:t>
      </w:r>
      <w:r w:rsidR="004C4A92">
        <w:t xml:space="preserve">, </w:t>
      </w:r>
      <w:r w:rsidR="00B46169">
        <w:t xml:space="preserve">fut soulignée </w:t>
      </w:r>
      <w:r w:rsidR="000C422C">
        <w:t>par</w:t>
      </w:r>
      <w:r w:rsidR="00B46169">
        <w:t xml:space="preserve"> </w:t>
      </w:r>
      <w:r w:rsidR="000C422C">
        <w:t>Sébastien</w:t>
      </w:r>
      <w:r w:rsidR="00117D01">
        <w:t xml:space="preserve"> Denaja</w:t>
      </w:r>
      <w:r w:rsidR="000C422C">
        <w:t>. Ce député</w:t>
      </w:r>
      <w:r w:rsidR="00B46169">
        <w:t xml:space="preserve"> indiqua que la législation s’inscrivait dans le mouvement « de la lutte contre la finance dévoyée », « (n)on pas </w:t>
      </w:r>
      <w:r w:rsidR="00B46169">
        <w:rPr>
          <w:rFonts w:cs="Times New Roman"/>
        </w:rPr>
        <w:t>[la finance] qui participe au développement de l’économie réelle mais celle, toute puissante, vorace, dont le seul but est de créer de la richesse non pas pour les peuples mais afin de l’accaparer, tels ces fonds vautours à la rapacité mortifère,… »</w:t>
      </w:r>
      <w:r w:rsidR="00B46169">
        <w:rPr>
          <w:rStyle w:val="Appelnotedebasdep"/>
          <w:rFonts w:cs="Times New Roman"/>
        </w:rPr>
        <w:footnoteReference w:id="14"/>
      </w:r>
      <w:r w:rsidR="00B46169">
        <w:rPr>
          <w:rFonts w:cs="Times New Roman"/>
        </w:rPr>
        <w:t>.</w:t>
      </w:r>
      <w:r w:rsidR="000C422C">
        <w:rPr>
          <w:rFonts w:cs="Times New Roman"/>
        </w:rPr>
        <w:t xml:space="preserve"> Et Dominique</w:t>
      </w:r>
      <w:r w:rsidR="007F024F">
        <w:rPr>
          <w:rFonts w:cs="Times New Roman"/>
        </w:rPr>
        <w:t xml:space="preserve"> Potier</w:t>
      </w:r>
      <w:r w:rsidR="00D42366">
        <w:rPr>
          <w:rFonts w:cs="Times New Roman"/>
        </w:rPr>
        <w:t xml:space="preserve">, </w:t>
      </w:r>
      <w:r w:rsidR="00D42366">
        <w:rPr>
          <w:szCs w:val="24"/>
        </w:rPr>
        <w:t>un des fers de lance de la lutte contre les activités des fonds vautours,</w:t>
      </w:r>
      <w:r w:rsidR="00117D01">
        <w:rPr>
          <w:rFonts w:cs="Times New Roman"/>
        </w:rPr>
        <w:t xml:space="preserve"> </w:t>
      </w:r>
      <w:r w:rsidR="000C422C">
        <w:rPr>
          <w:rFonts w:cs="Times New Roman"/>
        </w:rPr>
        <w:t>de se féliciter</w:t>
      </w:r>
      <w:r w:rsidR="004A1E02">
        <w:rPr>
          <w:rFonts w:cs="Times New Roman"/>
        </w:rPr>
        <w:t xml:space="preserve"> que « la France se dote enfin d’un dispositif de lutte contre les fonds vautours, symbole de cette finance que nous voulons condamner et mettre à terre »</w:t>
      </w:r>
      <w:r w:rsidR="004A1E02">
        <w:rPr>
          <w:rStyle w:val="Appelnotedebasdep"/>
          <w:rFonts w:cs="Times New Roman"/>
        </w:rPr>
        <w:footnoteReference w:id="15"/>
      </w:r>
      <w:r w:rsidR="004A1E02">
        <w:rPr>
          <w:rFonts w:cs="Times New Roman"/>
        </w:rPr>
        <w:t>.</w:t>
      </w:r>
      <w:r w:rsidR="00B41D0F">
        <w:rPr>
          <w:rFonts w:cs="Times New Roman"/>
        </w:rPr>
        <w:t xml:space="preserve"> </w:t>
      </w:r>
      <w:r w:rsidR="00B41D0F">
        <w:t>Sandrine Mazetier parla, quant à elle, d’une « bataille contre l’optimisation fiscale, contre les fonds vautours, pour la transparence et contre l’impunité, afin de mettre de l’éthique dans la mondialisation »</w:t>
      </w:r>
      <w:r w:rsidR="00B41D0F">
        <w:rPr>
          <w:rStyle w:val="Appelnotedebasdep"/>
        </w:rPr>
        <w:footnoteReference w:id="16"/>
      </w:r>
      <w:r w:rsidR="00B41D0F">
        <w:t>.</w:t>
      </w:r>
      <w:r w:rsidR="00892AA1">
        <w:t xml:space="preserve"> </w:t>
      </w:r>
      <w:r w:rsidR="00892AA1">
        <w:rPr>
          <w:rFonts w:cs="Times New Roman"/>
          <w:color w:val="000000"/>
          <w:szCs w:val="24"/>
          <w:shd w:val="clear" w:color="auto" w:fill="FFFFFF"/>
        </w:rPr>
        <w:t>De ces fonds vautours, Marie-Noëlle Lienemann dit qu</w:t>
      </w:r>
      <w:r w:rsidR="001B6ED8">
        <w:rPr>
          <w:rFonts w:cs="Times New Roman"/>
          <w:color w:val="000000"/>
          <w:szCs w:val="24"/>
          <w:shd w:val="clear" w:color="auto" w:fill="FFFFFF"/>
        </w:rPr>
        <w:t xml:space="preserve">’ils sont « les prédateurs des </w:t>
      </w:r>
      <w:r w:rsidR="001B6ED8" w:rsidRPr="001B6ED8">
        <w:rPr>
          <w:rFonts w:cs="Times New Roman"/>
          <w:szCs w:val="24"/>
          <w:shd w:val="clear" w:color="auto" w:fill="FFFFFF"/>
        </w:rPr>
        <w:t>É</w:t>
      </w:r>
      <w:r w:rsidR="00892AA1">
        <w:rPr>
          <w:rFonts w:cs="Times New Roman"/>
          <w:color w:val="000000"/>
          <w:szCs w:val="24"/>
          <w:shd w:val="clear" w:color="auto" w:fill="FFFFFF"/>
        </w:rPr>
        <w:t xml:space="preserve">tats et de l’intérêt général », que « (c)ela est d’autant plus vrai que cela touche parfois des pays du tiers-monde » et que « (l’)aide publique au développement que ces derniers reçoivent se retrouve parfois concernée par ces fonds ». Et la </w:t>
      </w:r>
      <w:r w:rsidR="00892AA1" w:rsidRPr="00892AA1">
        <w:rPr>
          <w:rFonts w:cs="Times New Roman"/>
          <w:color w:val="000000"/>
          <w:szCs w:val="24"/>
          <w:shd w:val="clear" w:color="auto" w:fill="FFFFFF"/>
        </w:rPr>
        <w:t>sénatrice</w:t>
      </w:r>
      <w:r w:rsidR="00892AA1">
        <w:rPr>
          <w:rFonts w:cs="Times New Roman"/>
          <w:color w:val="000000"/>
          <w:szCs w:val="24"/>
          <w:shd w:val="clear" w:color="auto" w:fill="FFFFFF"/>
        </w:rPr>
        <w:t xml:space="preserve"> de conclure qu’ « (i)l </w:t>
      </w:r>
      <w:r w:rsidR="00892AA1">
        <w:rPr>
          <w:rFonts w:cs="Times New Roman"/>
          <w:color w:val="000000"/>
          <w:szCs w:val="24"/>
          <w:shd w:val="clear" w:color="auto" w:fill="FFFFFF"/>
        </w:rPr>
        <w:lastRenderedPageBreak/>
        <w:t>faut donc leur mener un combat sans merc</w:t>
      </w:r>
      <w:r w:rsidR="00892AA1" w:rsidRPr="00861FFA">
        <w:rPr>
          <w:rFonts w:cs="Times New Roman"/>
          <w:color w:val="000000"/>
          <w:szCs w:val="24"/>
          <w:shd w:val="clear" w:color="auto" w:fill="FFFFFF"/>
        </w:rPr>
        <w:t>i » et que « (n)otre pays s’honorerait à adopter la position que le gouvernement propose »</w:t>
      </w:r>
      <w:r w:rsidR="00892AA1" w:rsidRPr="00861FFA">
        <w:rPr>
          <w:rStyle w:val="Appelnotedebasdep"/>
          <w:rFonts w:cs="Times New Roman"/>
          <w:color w:val="000000"/>
          <w:szCs w:val="24"/>
          <w:shd w:val="clear" w:color="auto" w:fill="FFFFFF"/>
        </w:rPr>
        <w:footnoteReference w:id="17"/>
      </w:r>
      <w:r w:rsidR="00861FFA" w:rsidRPr="00861FFA">
        <w:rPr>
          <w:rFonts w:cs="Times New Roman"/>
          <w:color w:val="000000"/>
          <w:szCs w:val="24"/>
          <w:shd w:val="clear" w:color="auto" w:fill="FFFFFF"/>
        </w:rPr>
        <w:t>.</w:t>
      </w:r>
    </w:p>
    <w:p w14:paraId="27AE1DBF" w14:textId="5A650092" w:rsidR="00C8261E" w:rsidRPr="00BD747E" w:rsidRDefault="00BD747E" w:rsidP="006E7B84">
      <w:pPr>
        <w:jc w:val="both"/>
      </w:pPr>
      <w:r>
        <w:t>Remarquons que l</w:t>
      </w:r>
      <w:r w:rsidR="00660430">
        <w:t>a lutte contre les fonds vautours n’est pas l’</w:t>
      </w:r>
      <w:r>
        <w:t>apanage du législateur français ;</w:t>
      </w:r>
      <w:r w:rsidR="00660430">
        <w:t xml:space="preserve"> d’autres pays poursuiv</w:t>
      </w:r>
      <w:r>
        <w:t>e</w:t>
      </w:r>
      <w:r w:rsidR="00660430">
        <w:t>nt le même objectif. Ainsi, t</w:t>
      </w:r>
      <w:r w:rsidR="00EF3A2D">
        <w:t>ant</w:t>
      </w:r>
      <w:r w:rsidR="00660430">
        <w:t xml:space="preserve"> le Royaume-Uni</w:t>
      </w:r>
      <w:r w:rsidR="00660430">
        <w:rPr>
          <w:rStyle w:val="Appelnotedebasdep"/>
        </w:rPr>
        <w:footnoteReference w:id="18"/>
      </w:r>
      <w:r w:rsidR="00EF3A2D">
        <w:t xml:space="preserve"> que la Belgique</w:t>
      </w:r>
      <w:r w:rsidR="00EF3A2D">
        <w:rPr>
          <w:rStyle w:val="Appelnotedebasdep"/>
        </w:rPr>
        <w:footnoteReference w:id="19"/>
      </w:r>
      <w:r w:rsidR="00660430">
        <w:t xml:space="preserve"> ont adopté des législations spécifiques visant à circonscrire l’action de ceux-ci tandis d’autres pays de l’Union européenne paraissent vouloir suivre cette voie</w:t>
      </w:r>
      <w:r w:rsidR="00660430">
        <w:rPr>
          <w:rStyle w:val="Appelnotedebasdep"/>
        </w:rPr>
        <w:footnoteReference w:id="20"/>
      </w:r>
      <w:r w:rsidR="00660430">
        <w:t>.</w:t>
      </w:r>
      <w:r w:rsidR="00EF3A2D">
        <w:t xml:space="preserve"> </w:t>
      </w:r>
      <w:r w:rsidR="00660430">
        <w:t xml:space="preserve">Quoique les parlementaires </w:t>
      </w:r>
      <w:r>
        <w:t xml:space="preserve">français </w:t>
      </w:r>
      <w:r w:rsidR="00660430">
        <w:t>ayant présenté l’amendement à l’origine de l’article 60 de la loi Sapin II admirent s’être inspiré</w:t>
      </w:r>
      <w:r w:rsidR="00EF3A2D">
        <w:t>s</w:t>
      </w:r>
      <w:r w:rsidR="00660430">
        <w:t xml:space="preserve"> des législations </w:t>
      </w:r>
      <w:r w:rsidR="00462BA2">
        <w:t>du Royaume-Uni</w:t>
      </w:r>
      <w:r w:rsidR="00660430">
        <w:t xml:space="preserve"> et belge</w:t>
      </w:r>
      <w:r w:rsidR="00660430">
        <w:rPr>
          <w:rStyle w:val="Appelnotedebasdep"/>
        </w:rPr>
        <w:footnoteReference w:id="21"/>
      </w:r>
      <w:r>
        <w:t xml:space="preserve">, </w:t>
      </w:r>
      <w:r w:rsidR="00660430">
        <w:t>Michel Sapin indiqua</w:t>
      </w:r>
      <w:r>
        <w:t>, au Sénat,</w:t>
      </w:r>
      <w:r w:rsidR="00FE44E5">
        <w:t xml:space="preserve"> que l’article</w:t>
      </w:r>
      <w:r w:rsidR="00660430">
        <w:t xml:space="preserve"> </w:t>
      </w:r>
      <w:r w:rsidR="00FE44E5">
        <w:t>novateur</w:t>
      </w:r>
      <w:r w:rsidR="00660430">
        <w:t xml:space="preserve"> pour lutter contre les pratiques prédatrices des fonds vautours « placera la France à la pointe de ce combat, avec un bon équilibre entre efficacité et constitutionnalité »</w:t>
      </w:r>
      <w:r w:rsidR="00660430">
        <w:rPr>
          <w:rStyle w:val="Appelnotedebasdep"/>
        </w:rPr>
        <w:footnoteReference w:id="22"/>
      </w:r>
      <w:r w:rsidR="00660430">
        <w:t xml:space="preserve">. C’est </w:t>
      </w:r>
      <w:r w:rsidR="002B3856">
        <w:t>dans le même ordre d’idée que Dominique</w:t>
      </w:r>
      <w:r w:rsidR="00660430">
        <w:t xml:space="preserve"> Potier affirma, sans ambages, avoir initié le c</w:t>
      </w:r>
      <w:r>
        <w:t>ombat contre les fonds vautours</w:t>
      </w:r>
      <w:r w:rsidR="00660430">
        <w:t xml:space="preserve"> au moyen d’une législation qui « fera école en Europe »</w:t>
      </w:r>
      <w:r w:rsidR="00660430">
        <w:rPr>
          <w:rStyle w:val="Appelnotedebasdep"/>
        </w:rPr>
        <w:footnoteReference w:id="23"/>
      </w:r>
      <w:r>
        <w:t xml:space="preserve">. </w:t>
      </w:r>
      <w:r w:rsidR="00AC0E17" w:rsidRPr="0030196C">
        <w:rPr>
          <w:rFonts w:cs="Times New Roman"/>
          <w:szCs w:val="24"/>
        </w:rPr>
        <w:t xml:space="preserve">Notons </w:t>
      </w:r>
      <w:r w:rsidR="00AC0E17">
        <w:rPr>
          <w:rFonts w:cs="Times New Roman"/>
          <w:szCs w:val="24"/>
        </w:rPr>
        <w:t>encore que</w:t>
      </w:r>
      <w:r w:rsidR="00AC0E17" w:rsidRPr="0030196C">
        <w:rPr>
          <w:rFonts w:cs="Times New Roman"/>
          <w:szCs w:val="24"/>
        </w:rPr>
        <w:t xml:space="preserve"> la volonté d’entraver </w:t>
      </w:r>
      <w:r w:rsidR="00AC0E17">
        <w:rPr>
          <w:rFonts w:cs="Times New Roman"/>
          <w:szCs w:val="24"/>
        </w:rPr>
        <w:t>les activités des</w:t>
      </w:r>
      <w:r w:rsidR="00AC0E17" w:rsidRPr="0030196C">
        <w:rPr>
          <w:rFonts w:cs="Times New Roman"/>
          <w:szCs w:val="24"/>
        </w:rPr>
        <w:t xml:space="preserve"> fonds vautours n’</w:t>
      </w:r>
      <w:r w:rsidR="001B6ED8">
        <w:rPr>
          <w:rFonts w:cs="Times New Roman"/>
          <w:szCs w:val="24"/>
        </w:rPr>
        <w:t>appartient pas à une poignée d’</w:t>
      </w:r>
      <w:r w:rsidR="001B6ED8" w:rsidRPr="001B6ED8">
        <w:rPr>
          <w:rFonts w:cs="Times New Roman"/>
          <w:szCs w:val="24"/>
          <w:shd w:val="clear" w:color="auto" w:fill="FFFFFF"/>
        </w:rPr>
        <w:t>É</w:t>
      </w:r>
      <w:r w:rsidR="00AC0E17">
        <w:rPr>
          <w:rFonts w:cs="Times New Roman"/>
          <w:szCs w:val="24"/>
        </w:rPr>
        <w:t>tats. Ainsi notamment</w:t>
      </w:r>
      <w:r w:rsidR="00AC0E17" w:rsidRPr="0030196C">
        <w:rPr>
          <w:rFonts w:cs="Times New Roman"/>
          <w:szCs w:val="24"/>
        </w:rPr>
        <w:t xml:space="preserve">, </w:t>
      </w:r>
      <w:r w:rsidR="00AC0E17">
        <w:rPr>
          <w:rFonts w:cs="Times New Roman"/>
          <w:szCs w:val="24"/>
        </w:rPr>
        <w:t>l</w:t>
      </w:r>
      <w:r w:rsidR="00AC0E17" w:rsidRPr="00D0240B">
        <w:rPr>
          <w:rFonts w:cs="Times New Roman"/>
          <w:szCs w:val="24"/>
        </w:rPr>
        <w:t xml:space="preserve">e Conseil des droits de l’homme </w:t>
      </w:r>
      <w:r w:rsidR="00AC0E17">
        <w:rPr>
          <w:rFonts w:cs="Times New Roman"/>
          <w:szCs w:val="24"/>
        </w:rPr>
        <w:t>des Nations Unies « </w:t>
      </w:r>
      <w:r w:rsidR="00AC0E17" w:rsidRPr="00D0240B">
        <w:rPr>
          <w:rFonts w:cs="Times New Roman"/>
          <w:szCs w:val="24"/>
        </w:rPr>
        <w:t xml:space="preserve">engage les États à envisager la mise en place de cadres juridiques afin de restreindre les activités prédatrices des fonds rapaces dans leur juridiction </w:t>
      </w:r>
      <w:r w:rsidR="00AC0E17" w:rsidRPr="00D0240B">
        <w:rPr>
          <w:rFonts w:cs="Times New Roman"/>
          <w:color w:val="000000"/>
          <w:szCs w:val="24"/>
        </w:rPr>
        <w:t>»</w:t>
      </w:r>
      <w:r w:rsidR="00AC0E17">
        <w:rPr>
          <w:rStyle w:val="Appelnotedebasdep"/>
          <w:rFonts w:cs="Times New Roman"/>
          <w:color w:val="000000"/>
          <w:szCs w:val="24"/>
        </w:rPr>
        <w:footnoteReference w:id="24"/>
      </w:r>
      <w:r w:rsidR="00AC0E17">
        <w:rPr>
          <w:rFonts w:cs="Times New Roman"/>
          <w:color w:val="000000"/>
          <w:szCs w:val="24"/>
        </w:rPr>
        <w:t>.</w:t>
      </w:r>
      <w:r w:rsidR="00AC0E17">
        <w:rPr>
          <w:rFonts w:cs="Times New Roman"/>
          <w:szCs w:val="24"/>
        </w:rPr>
        <w:t xml:space="preserve"> Aussi, </w:t>
      </w:r>
      <w:r w:rsidR="00AC0E17" w:rsidRPr="0030196C">
        <w:rPr>
          <w:rFonts w:cs="Times New Roman"/>
          <w:szCs w:val="24"/>
        </w:rPr>
        <w:t>le Comité co</w:t>
      </w:r>
      <w:r>
        <w:rPr>
          <w:rFonts w:cs="Times New Roman"/>
          <w:szCs w:val="24"/>
        </w:rPr>
        <w:t xml:space="preserve">nsultatif des droits de l’homme </w:t>
      </w:r>
      <w:r w:rsidR="001B6ED8">
        <w:rPr>
          <w:rFonts w:cs="Times New Roman"/>
          <w:szCs w:val="24"/>
        </w:rPr>
        <w:t xml:space="preserve">recommande aux </w:t>
      </w:r>
      <w:r w:rsidR="001B6ED8" w:rsidRPr="001B6ED8">
        <w:rPr>
          <w:rFonts w:cs="Times New Roman"/>
          <w:szCs w:val="24"/>
          <w:shd w:val="clear" w:color="auto" w:fill="FFFFFF"/>
        </w:rPr>
        <w:t>É</w:t>
      </w:r>
      <w:r w:rsidR="00AC0E17" w:rsidRPr="0030196C">
        <w:rPr>
          <w:rFonts w:cs="Times New Roman"/>
          <w:szCs w:val="24"/>
        </w:rPr>
        <w:t>tats d’ « adopter des lois visant à mettre un frein aux activités prédatrices menées par les fonds vautours sur leur territoire »</w:t>
      </w:r>
      <w:r w:rsidR="00AC0E17" w:rsidRPr="0030196C">
        <w:rPr>
          <w:rStyle w:val="Appelnotedebasdep"/>
          <w:rFonts w:cs="Times New Roman"/>
          <w:szCs w:val="24"/>
        </w:rPr>
        <w:footnoteReference w:id="25"/>
      </w:r>
      <w:r w:rsidR="00AC0E17">
        <w:rPr>
          <w:rFonts w:cs="Times New Roman"/>
          <w:szCs w:val="24"/>
        </w:rPr>
        <w:t xml:space="preserve"> tandis que le Parlement européen </w:t>
      </w:r>
      <w:r w:rsidR="00AC0E17" w:rsidRPr="0030196C">
        <w:rPr>
          <w:rFonts w:cs="Times New Roman"/>
          <w:bCs/>
          <w:szCs w:val="24"/>
          <w:shd w:val="clear" w:color="auto" w:fill="FFFFFF"/>
        </w:rPr>
        <w:t>« </w:t>
      </w:r>
      <w:r w:rsidR="00AC0E17" w:rsidRPr="0030196C">
        <w:rPr>
          <w:rFonts w:cs="Times New Roman"/>
          <w:szCs w:val="24"/>
          <w:shd w:val="clear" w:color="auto" w:fill="FFFFFF"/>
        </w:rPr>
        <w:t>demande aux États membres d’adopter, sous l’impulsion de la Commission, un règlement s’inspirant de la loi belge portant sur la lutte contre la spéculation des fonds vautours sur la dette »</w:t>
      </w:r>
      <w:r w:rsidR="00AC0E17" w:rsidRPr="0030196C">
        <w:rPr>
          <w:rStyle w:val="Appelnotedebasdep"/>
          <w:rFonts w:cs="Times New Roman"/>
          <w:bCs/>
          <w:szCs w:val="24"/>
          <w:shd w:val="clear" w:color="auto" w:fill="FFFFFF"/>
        </w:rPr>
        <w:footnoteReference w:id="26"/>
      </w:r>
      <w:r w:rsidR="00AC0E17" w:rsidRPr="0030196C">
        <w:rPr>
          <w:rFonts w:cs="Times New Roman"/>
          <w:bCs/>
          <w:szCs w:val="24"/>
          <w:shd w:val="clear" w:color="auto" w:fill="FFFFFF"/>
        </w:rPr>
        <w:t>.</w:t>
      </w:r>
    </w:p>
    <w:p w14:paraId="5DB7E274" w14:textId="77777777" w:rsidR="00AC0E17" w:rsidRDefault="00AC0E17" w:rsidP="00600A9B">
      <w:pPr>
        <w:jc w:val="both"/>
        <w:rPr>
          <w:b/>
          <w:szCs w:val="24"/>
        </w:rPr>
      </w:pPr>
    </w:p>
    <w:p w14:paraId="72777393" w14:textId="22F6A0A7" w:rsidR="00BD747E" w:rsidRDefault="00834579" w:rsidP="00600A9B">
      <w:pPr>
        <w:jc w:val="both"/>
        <w:rPr>
          <w:rFonts w:cs="Times New Roman"/>
          <w:color w:val="000000"/>
          <w:szCs w:val="24"/>
          <w:shd w:val="clear" w:color="auto" w:fill="FFFFFF"/>
        </w:rPr>
      </w:pPr>
      <w:r>
        <w:rPr>
          <w:b/>
          <w:szCs w:val="24"/>
        </w:rPr>
        <w:t>4</w:t>
      </w:r>
      <w:r w:rsidR="00C8261E" w:rsidRPr="00600A9B">
        <w:rPr>
          <w:b/>
          <w:szCs w:val="24"/>
        </w:rPr>
        <w:t xml:space="preserve">. </w:t>
      </w:r>
      <w:r w:rsidR="00160D02">
        <w:rPr>
          <w:b/>
          <w:szCs w:val="24"/>
        </w:rPr>
        <w:t xml:space="preserve">Les iniquités </w:t>
      </w:r>
      <w:r w:rsidR="009C3099">
        <w:rPr>
          <w:b/>
          <w:szCs w:val="24"/>
        </w:rPr>
        <w:t>à</w:t>
      </w:r>
      <w:r w:rsidR="00160D02">
        <w:rPr>
          <w:b/>
          <w:szCs w:val="24"/>
        </w:rPr>
        <w:t xml:space="preserve"> contrer</w:t>
      </w:r>
      <w:r w:rsidR="00C8261E" w:rsidRPr="00600A9B">
        <w:rPr>
          <w:b/>
          <w:szCs w:val="24"/>
        </w:rPr>
        <w:t xml:space="preserve"> </w:t>
      </w:r>
      <w:r w:rsidR="00A12838">
        <w:rPr>
          <w:b/>
        </w:rPr>
        <w:t>-</w:t>
      </w:r>
      <w:r w:rsidR="00AF6AD2">
        <w:rPr>
          <w:b/>
          <w:szCs w:val="24"/>
        </w:rPr>
        <w:t xml:space="preserve"> </w:t>
      </w:r>
      <w:r w:rsidR="00D42366">
        <w:rPr>
          <w:szCs w:val="24"/>
        </w:rPr>
        <w:t>Le député Dominique Potier s</w:t>
      </w:r>
      <w:r w:rsidR="00AF6AD2">
        <w:rPr>
          <w:szCs w:val="24"/>
        </w:rPr>
        <w:t>ouligna l’importance</w:t>
      </w:r>
      <w:r w:rsidR="00600A9B" w:rsidRPr="00600A9B">
        <w:rPr>
          <w:szCs w:val="24"/>
        </w:rPr>
        <w:t xml:space="preserve"> de « mettre fin aux pratiques de ces fonds procéduriers qui rachètent à vil prix les dettes des États en situation de défaut de paiement aussi bien sur le marché obligataire que dans des opérations de gré à gré, épuisant ainsi les ressources du pays en confisquant ses biens publics, ses ressources – par exemple, le produit des impôts payés par une société française ou même l’accaparement du remboursement des dettes organisé par les créanciers – mais également en captant l’aide publique au développement</w:t>
      </w:r>
      <w:r w:rsidR="00BD747E">
        <w:rPr>
          <w:szCs w:val="24"/>
        </w:rPr>
        <w:t> »</w:t>
      </w:r>
      <w:r w:rsidR="00600A9B" w:rsidRPr="00600A9B">
        <w:rPr>
          <w:szCs w:val="24"/>
        </w:rPr>
        <w:t xml:space="preserve">. </w:t>
      </w:r>
      <w:r w:rsidR="00BD747E">
        <w:rPr>
          <w:szCs w:val="24"/>
        </w:rPr>
        <w:t>Il ajouta qu’ « (i)</w:t>
      </w:r>
      <w:r w:rsidR="00600A9B" w:rsidRPr="00600A9B">
        <w:rPr>
          <w:szCs w:val="24"/>
        </w:rPr>
        <w:t>ls épuisent donc un État déjà en situation de fragilité et, par ailleurs, empêchent la restructuration de la dette, souvent la seule sortie de secours »</w:t>
      </w:r>
      <w:r w:rsidR="00600A9B" w:rsidRPr="00600A9B">
        <w:rPr>
          <w:rStyle w:val="Appelnotedebasdep"/>
          <w:szCs w:val="24"/>
        </w:rPr>
        <w:footnoteReference w:id="27"/>
      </w:r>
      <w:r w:rsidR="00600A9B" w:rsidRPr="00600A9B">
        <w:rPr>
          <w:szCs w:val="24"/>
        </w:rPr>
        <w:t>.</w:t>
      </w:r>
      <w:r w:rsidR="00643476">
        <w:rPr>
          <w:szCs w:val="24"/>
        </w:rPr>
        <w:t xml:space="preserve"> </w:t>
      </w:r>
      <w:r w:rsidR="00AF6AD2">
        <w:rPr>
          <w:rFonts w:cs="Times New Roman"/>
          <w:szCs w:val="24"/>
        </w:rPr>
        <w:t>Ce constat fait</w:t>
      </w:r>
      <w:r w:rsidR="00643476" w:rsidRPr="00643476">
        <w:rPr>
          <w:rFonts w:cs="Times New Roman"/>
          <w:szCs w:val="24"/>
        </w:rPr>
        <w:t>, l’</w:t>
      </w:r>
      <w:r w:rsidR="00AF6AD2">
        <w:rPr>
          <w:rFonts w:cs="Times New Roman"/>
          <w:szCs w:val="24"/>
        </w:rPr>
        <w:t>exposé sommaire de l</w:t>
      </w:r>
      <w:r w:rsidR="00D42366">
        <w:rPr>
          <w:rFonts w:cs="Times New Roman"/>
          <w:szCs w:val="24"/>
        </w:rPr>
        <w:t>’amendement « fonds vautours »</w:t>
      </w:r>
      <w:r w:rsidR="00AF6AD2">
        <w:rPr>
          <w:rFonts w:cs="Times New Roman"/>
          <w:szCs w:val="24"/>
        </w:rPr>
        <w:t xml:space="preserve"> précise qu’ </w:t>
      </w:r>
      <w:r w:rsidR="00643476" w:rsidRPr="00643476">
        <w:rPr>
          <w:rFonts w:cs="Times New Roman"/>
          <w:szCs w:val="24"/>
        </w:rPr>
        <w:t xml:space="preserve">« (e)u </w:t>
      </w:r>
      <w:r w:rsidR="00643476" w:rsidRPr="00643476">
        <w:rPr>
          <w:rFonts w:cs="Times New Roman"/>
          <w:color w:val="000000"/>
          <w:szCs w:val="24"/>
          <w:shd w:val="clear" w:color="auto" w:fill="FFFFFF"/>
        </w:rPr>
        <w:t>égard au développem</w:t>
      </w:r>
      <w:r w:rsidR="007B117D">
        <w:rPr>
          <w:rFonts w:cs="Times New Roman"/>
          <w:color w:val="000000"/>
          <w:szCs w:val="24"/>
          <w:shd w:val="clear" w:color="auto" w:fill="FFFFFF"/>
        </w:rPr>
        <w:t xml:space="preserve">ent des actions des fonds dits </w:t>
      </w:r>
      <w:r w:rsidR="007B117D">
        <w:t>“</w:t>
      </w:r>
      <w:r w:rsidR="007B117D">
        <w:rPr>
          <w:rFonts w:cs="Times New Roman"/>
          <w:color w:val="000000"/>
          <w:szCs w:val="24"/>
          <w:shd w:val="clear" w:color="auto" w:fill="FFFFFF"/>
        </w:rPr>
        <w:t>procéduriers</w:t>
      </w:r>
      <w:r w:rsidR="007B117D">
        <w:t>”</w:t>
      </w:r>
      <w:r w:rsidR="00643476" w:rsidRPr="00643476">
        <w:rPr>
          <w:rFonts w:cs="Times New Roman"/>
          <w:color w:val="000000"/>
          <w:szCs w:val="24"/>
          <w:shd w:val="clear" w:color="auto" w:fill="FFFFFF"/>
        </w:rPr>
        <w:t xml:space="preserve"> ou </w:t>
      </w:r>
      <w:r w:rsidR="007B117D">
        <w:t>“</w:t>
      </w:r>
      <w:r w:rsidR="00643476" w:rsidRPr="00643476">
        <w:rPr>
          <w:rFonts w:cs="Times New Roman"/>
          <w:color w:val="000000"/>
          <w:szCs w:val="24"/>
          <w:shd w:val="clear" w:color="auto" w:fill="FFFFFF"/>
        </w:rPr>
        <w:t>vaut</w:t>
      </w:r>
      <w:r w:rsidR="007B117D">
        <w:rPr>
          <w:rFonts w:cs="Times New Roman"/>
          <w:color w:val="000000"/>
          <w:szCs w:val="24"/>
          <w:shd w:val="clear" w:color="auto" w:fill="FFFFFF"/>
        </w:rPr>
        <w:t>ours</w:t>
      </w:r>
      <w:r w:rsidR="007B117D">
        <w:t>”</w:t>
      </w:r>
      <w:r w:rsidR="00643476" w:rsidRPr="00643476">
        <w:rPr>
          <w:rFonts w:cs="Times New Roman"/>
          <w:color w:val="000000"/>
          <w:szCs w:val="24"/>
          <w:shd w:val="clear" w:color="auto" w:fill="FFFFFF"/>
        </w:rPr>
        <w:t xml:space="preserve"> et aux effets néfastes sur les restructurations de dette des pays endettés, la mise en place d’un dispositif spécifique apparaît nécessaire »</w:t>
      </w:r>
      <w:r w:rsidR="00643476">
        <w:rPr>
          <w:rStyle w:val="Appelnotedebasdep"/>
          <w:rFonts w:cs="Times New Roman"/>
          <w:color w:val="000000"/>
          <w:szCs w:val="24"/>
          <w:shd w:val="clear" w:color="auto" w:fill="FFFFFF"/>
        </w:rPr>
        <w:footnoteReference w:id="28"/>
      </w:r>
      <w:r w:rsidR="00643476" w:rsidRPr="00643476">
        <w:rPr>
          <w:rFonts w:cs="Times New Roman"/>
          <w:color w:val="000000"/>
          <w:szCs w:val="24"/>
          <w:shd w:val="clear" w:color="auto" w:fill="FFFFFF"/>
        </w:rPr>
        <w:t>.</w:t>
      </w:r>
      <w:r w:rsidR="00AF6AD2">
        <w:rPr>
          <w:rFonts w:cs="Times New Roman"/>
          <w:color w:val="000000"/>
          <w:szCs w:val="24"/>
          <w:shd w:val="clear" w:color="auto" w:fill="FFFFFF"/>
        </w:rPr>
        <w:t xml:space="preserve"> </w:t>
      </w:r>
    </w:p>
    <w:p w14:paraId="6B99BCC5" w14:textId="77777777" w:rsidR="0066225F" w:rsidRPr="00E605F4" w:rsidRDefault="00AF6AD2" w:rsidP="0066225F">
      <w:pPr>
        <w:jc w:val="both"/>
        <w:rPr>
          <w:szCs w:val="24"/>
        </w:rPr>
      </w:pPr>
      <w:r>
        <w:rPr>
          <w:rFonts w:cs="Times New Roman"/>
          <w:color w:val="000000"/>
          <w:szCs w:val="24"/>
          <w:shd w:val="clear" w:color="auto" w:fill="FFFFFF"/>
        </w:rPr>
        <w:t xml:space="preserve">Et </w:t>
      </w:r>
      <w:r w:rsidR="009C3099">
        <w:rPr>
          <w:rFonts w:cs="Times New Roman"/>
          <w:color w:val="000000"/>
          <w:szCs w:val="24"/>
          <w:shd w:val="clear" w:color="auto" w:fill="FFFFFF"/>
        </w:rPr>
        <w:t xml:space="preserve">nombreuses sont </w:t>
      </w:r>
      <w:r>
        <w:rPr>
          <w:rFonts w:cs="Times New Roman"/>
          <w:color w:val="000000"/>
          <w:szCs w:val="24"/>
          <w:shd w:val="clear" w:color="auto" w:fill="FFFFFF"/>
        </w:rPr>
        <w:t>l</w:t>
      </w:r>
      <w:r w:rsidR="0098387B">
        <w:rPr>
          <w:rFonts w:cs="Times New Roman"/>
          <w:color w:val="000000"/>
          <w:szCs w:val="24"/>
          <w:shd w:val="clear" w:color="auto" w:fill="FFFFFF"/>
        </w:rPr>
        <w:t xml:space="preserve">es doléances formulées par les </w:t>
      </w:r>
      <w:r>
        <w:rPr>
          <w:rFonts w:cs="Times New Roman"/>
          <w:color w:val="000000"/>
          <w:szCs w:val="24"/>
          <w:shd w:val="clear" w:color="auto" w:fill="FFFFFF"/>
        </w:rPr>
        <w:t>pères et mères</w:t>
      </w:r>
      <w:r w:rsidR="0098387B">
        <w:rPr>
          <w:rFonts w:cs="Times New Roman"/>
          <w:color w:val="000000"/>
          <w:szCs w:val="24"/>
          <w:shd w:val="clear" w:color="auto" w:fill="FFFFFF"/>
        </w:rPr>
        <w:t xml:space="preserve"> de l’amendement</w:t>
      </w:r>
      <w:r w:rsidR="009C3099">
        <w:rPr>
          <w:rFonts w:cs="Times New Roman"/>
          <w:color w:val="000000"/>
          <w:szCs w:val="24"/>
          <w:shd w:val="clear" w:color="auto" w:fill="FFFFFF"/>
        </w:rPr>
        <w:t xml:space="preserve"> à l’encontre de</w:t>
      </w:r>
      <w:r w:rsidR="009C3099" w:rsidRPr="004D3E6A">
        <w:rPr>
          <w:rFonts w:cs="Times New Roman"/>
          <w:color w:val="000000"/>
          <w:szCs w:val="24"/>
          <w:shd w:val="clear" w:color="auto" w:fill="FFFFFF"/>
        </w:rPr>
        <w:t xml:space="preserve">s fonds </w:t>
      </w:r>
      <w:r w:rsidR="009C3099">
        <w:rPr>
          <w:rFonts w:cs="Times New Roman"/>
          <w:color w:val="000000"/>
          <w:szCs w:val="24"/>
          <w:shd w:val="clear" w:color="auto" w:fill="FFFFFF"/>
        </w:rPr>
        <w:t xml:space="preserve">vautours qu’ils accusent </w:t>
      </w:r>
      <w:r w:rsidR="009C3099" w:rsidRPr="004D3E6A">
        <w:rPr>
          <w:rFonts w:cs="Times New Roman"/>
          <w:color w:val="000000"/>
          <w:szCs w:val="24"/>
          <w:shd w:val="clear" w:color="auto" w:fill="FFFFFF"/>
        </w:rPr>
        <w:t xml:space="preserve">de profiter de la situation </w:t>
      </w:r>
      <w:r w:rsidR="009C3099">
        <w:rPr>
          <w:rFonts w:cs="Times New Roman"/>
          <w:color w:val="000000"/>
          <w:szCs w:val="24"/>
          <w:shd w:val="clear" w:color="auto" w:fill="FFFFFF"/>
        </w:rPr>
        <w:t xml:space="preserve">difficile </w:t>
      </w:r>
      <w:r w:rsidR="009C3099" w:rsidRPr="004D3E6A">
        <w:rPr>
          <w:rFonts w:cs="Times New Roman"/>
          <w:color w:val="000000"/>
          <w:szCs w:val="24"/>
          <w:shd w:val="clear" w:color="auto" w:fill="FFFFFF"/>
        </w:rPr>
        <w:t>d’États fortement endettées pour réaliser des profits démesurés par rapport à leur mise de fonds</w:t>
      </w:r>
      <w:r w:rsidR="00234AC5">
        <w:rPr>
          <w:rStyle w:val="Appelnotedebasdep"/>
          <w:rFonts w:cs="Times New Roman"/>
          <w:color w:val="000000"/>
          <w:szCs w:val="24"/>
          <w:shd w:val="clear" w:color="auto" w:fill="FFFFFF"/>
        </w:rPr>
        <w:footnoteReference w:id="29"/>
      </w:r>
      <w:r w:rsidR="009C3099">
        <w:rPr>
          <w:rFonts w:cs="Times New Roman"/>
          <w:color w:val="000000"/>
          <w:szCs w:val="24"/>
          <w:shd w:val="clear" w:color="auto" w:fill="FFFFFF"/>
        </w:rPr>
        <w:t>.</w:t>
      </w:r>
      <w:r w:rsidR="00BD747E">
        <w:rPr>
          <w:szCs w:val="24"/>
        </w:rPr>
        <w:t xml:space="preserve"> </w:t>
      </w:r>
      <w:r w:rsidR="0098387B">
        <w:rPr>
          <w:rFonts w:cs="Times New Roman"/>
          <w:color w:val="000000"/>
          <w:szCs w:val="24"/>
          <w:shd w:val="clear" w:color="auto" w:fill="FFFFFF"/>
        </w:rPr>
        <w:t>Les fonds vautours</w:t>
      </w:r>
      <w:r w:rsidR="00AA1922" w:rsidRPr="004D3E6A">
        <w:rPr>
          <w:rFonts w:cs="Times New Roman"/>
          <w:color w:val="000000"/>
          <w:szCs w:val="24"/>
          <w:shd w:val="clear" w:color="auto" w:fill="FFFFFF"/>
        </w:rPr>
        <w:t xml:space="preserve"> </w:t>
      </w:r>
      <w:r w:rsidR="0098387B">
        <w:rPr>
          <w:rFonts w:cs="Times New Roman"/>
          <w:color w:val="000000"/>
          <w:szCs w:val="24"/>
          <w:shd w:val="clear" w:color="auto" w:fill="FFFFFF"/>
        </w:rPr>
        <w:t>privent</w:t>
      </w:r>
      <w:r w:rsidR="00AA1922" w:rsidRPr="004D3E6A">
        <w:rPr>
          <w:rFonts w:cs="Times New Roman"/>
          <w:color w:val="000000"/>
          <w:szCs w:val="24"/>
          <w:shd w:val="clear" w:color="auto" w:fill="FFFFFF"/>
        </w:rPr>
        <w:t xml:space="preserve"> les États en situation difficile de sommes nécessaires à leur développement et au bien-être de leurs populations</w:t>
      </w:r>
      <w:r w:rsidR="00C23A49">
        <w:rPr>
          <w:rFonts w:cs="Times New Roman"/>
          <w:color w:val="000000"/>
          <w:szCs w:val="24"/>
          <w:shd w:val="clear" w:color="auto" w:fill="FFFFFF"/>
        </w:rPr>
        <w:t>, pouvant ainsi rendre insoluble une si</w:t>
      </w:r>
      <w:r w:rsidR="001B6ED8">
        <w:rPr>
          <w:rFonts w:cs="Times New Roman"/>
          <w:color w:val="000000"/>
          <w:szCs w:val="24"/>
          <w:shd w:val="clear" w:color="auto" w:fill="FFFFFF"/>
        </w:rPr>
        <w:t xml:space="preserve">tuation de surendettement d’un </w:t>
      </w:r>
      <w:r w:rsidR="001B6ED8" w:rsidRPr="001B6ED8">
        <w:rPr>
          <w:rFonts w:cs="Times New Roman"/>
          <w:szCs w:val="24"/>
          <w:shd w:val="clear" w:color="auto" w:fill="FFFFFF"/>
        </w:rPr>
        <w:t>É</w:t>
      </w:r>
      <w:r w:rsidR="00C23A49">
        <w:rPr>
          <w:rFonts w:cs="Times New Roman"/>
          <w:color w:val="000000"/>
          <w:szCs w:val="24"/>
          <w:shd w:val="clear" w:color="auto" w:fill="FFFFFF"/>
        </w:rPr>
        <w:t>tat.</w:t>
      </w:r>
      <w:r w:rsidR="00AA1922" w:rsidRPr="004D3E6A">
        <w:rPr>
          <w:rFonts w:cs="Times New Roman"/>
          <w:color w:val="000000"/>
          <w:szCs w:val="24"/>
          <w:shd w:val="clear" w:color="auto" w:fill="FFFFFF"/>
        </w:rPr>
        <w:t xml:space="preserve"> </w:t>
      </w:r>
      <w:r w:rsidR="0098387B">
        <w:rPr>
          <w:rFonts w:cs="Times New Roman"/>
          <w:color w:val="000000"/>
          <w:szCs w:val="24"/>
          <w:shd w:val="clear" w:color="auto" w:fill="FFFFFF"/>
        </w:rPr>
        <w:t>Les parlementaires rappellent qu’</w:t>
      </w:r>
      <w:r w:rsidR="00AA1922" w:rsidRPr="004D3E6A">
        <w:rPr>
          <w:rFonts w:cs="Times New Roman"/>
          <w:color w:val="000000"/>
          <w:szCs w:val="24"/>
          <w:shd w:val="clear" w:color="auto" w:fill="FFFFFF"/>
        </w:rPr>
        <w:t>à de nombreuses occasions, leurs recours ont porté sur des fonds provenant de l’aide au pays en développement, aggravant ainsi les difficultés des États en situation financière difficile, qui n’ont souvent pas les moyens matériels et humains d’assurer leur défense devant les tribunaux où ils sont attraits.</w:t>
      </w:r>
      <w:r w:rsidR="00BD747E">
        <w:rPr>
          <w:szCs w:val="24"/>
        </w:rPr>
        <w:t xml:space="preserve"> </w:t>
      </w:r>
      <w:r w:rsidR="0098387B" w:rsidRPr="0098387B">
        <w:rPr>
          <w:rFonts w:cs="Times New Roman"/>
          <w:color w:val="000000"/>
          <w:szCs w:val="24"/>
          <w:shd w:val="clear" w:color="auto" w:fill="FFFFFF"/>
        </w:rPr>
        <w:t xml:space="preserve">Une autre critique formulée à l’encontre des fonds </w:t>
      </w:r>
      <w:r w:rsidR="00BD747E">
        <w:rPr>
          <w:rFonts w:cs="Times New Roman"/>
          <w:color w:val="000000"/>
          <w:szCs w:val="24"/>
          <w:shd w:val="clear" w:color="auto" w:fill="FFFFFF"/>
        </w:rPr>
        <w:t xml:space="preserve">vautours </w:t>
      </w:r>
      <w:r w:rsidR="009C3099">
        <w:rPr>
          <w:rFonts w:cs="Times New Roman"/>
          <w:color w:val="000000"/>
          <w:szCs w:val="24"/>
          <w:shd w:val="clear" w:color="auto" w:fill="FFFFFF"/>
        </w:rPr>
        <w:t>concerne</w:t>
      </w:r>
      <w:r w:rsidR="0098387B" w:rsidRPr="0098387B">
        <w:rPr>
          <w:rFonts w:cs="Times New Roman"/>
          <w:color w:val="000000"/>
          <w:szCs w:val="24"/>
          <w:shd w:val="clear" w:color="auto" w:fill="FFFFFF"/>
        </w:rPr>
        <w:t xml:space="preserve"> la s</w:t>
      </w:r>
      <w:r w:rsidR="009C3099">
        <w:rPr>
          <w:rFonts w:cs="Times New Roman"/>
          <w:color w:val="000000"/>
          <w:szCs w:val="24"/>
          <w:shd w:val="clear" w:color="auto" w:fill="FFFFFF"/>
        </w:rPr>
        <w:t>tratégie du passager clandestin</w:t>
      </w:r>
      <w:r w:rsidR="0098387B" w:rsidRPr="0098387B">
        <w:rPr>
          <w:rFonts w:cs="Times New Roman"/>
          <w:color w:val="000000"/>
          <w:szCs w:val="24"/>
          <w:shd w:val="clear" w:color="auto" w:fill="FFFFFF"/>
        </w:rPr>
        <w:t xml:space="preserve"> qu’ils adoptent </w:t>
      </w:r>
      <w:r w:rsidR="009C3099">
        <w:rPr>
          <w:rFonts w:cs="Times New Roman"/>
          <w:color w:val="000000"/>
          <w:szCs w:val="24"/>
          <w:shd w:val="clear" w:color="auto" w:fill="FFFFFF"/>
        </w:rPr>
        <w:t xml:space="preserve">souvent </w:t>
      </w:r>
      <w:r w:rsidR="0098387B" w:rsidRPr="0098387B">
        <w:rPr>
          <w:rFonts w:cs="Times New Roman"/>
          <w:color w:val="000000"/>
          <w:szCs w:val="24"/>
          <w:shd w:val="clear" w:color="auto" w:fill="FFFFFF"/>
        </w:rPr>
        <w:t>en refusant de participer à toute restructuration quand bien même une large majorité de créanciers y participent ou même en faisant en sorte de les bloquer quand la restructuration est soumise à la règle de l’unanimité</w:t>
      </w:r>
      <w:r w:rsidR="00966A57">
        <w:rPr>
          <w:rStyle w:val="Appelnotedebasdep"/>
          <w:rFonts w:cs="Times New Roman"/>
          <w:color w:val="000000"/>
          <w:szCs w:val="24"/>
          <w:shd w:val="clear" w:color="auto" w:fill="FFFFFF"/>
        </w:rPr>
        <w:footnoteReference w:id="30"/>
      </w:r>
      <w:r w:rsidR="009C3099">
        <w:rPr>
          <w:rFonts w:cs="Times New Roman"/>
          <w:color w:val="000000"/>
          <w:szCs w:val="24"/>
          <w:shd w:val="clear" w:color="auto" w:fill="FFFFFF"/>
        </w:rPr>
        <w:t>. Cette stratégie</w:t>
      </w:r>
      <w:r w:rsidR="0098387B" w:rsidRPr="0098387B">
        <w:rPr>
          <w:rFonts w:cs="Times New Roman"/>
          <w:color w:val="000000"/>
          <w:szCs w:val="24"/>
          <w:shd w:val="clear" w:color="auto" w:fill="FFFFFF"/>
        </w:rPr>
        <w:t xml:space="preserve"> </w:t>
      </w:r>
      <w:r w:rsidR="0098387B">
        <w:rPr>
          <w:rFonts w:cs="Times New Roman"/>
          <w:color w:val="000000"/>
          <w:szCs w:val="24"/>
          <w:shd w:val="clear" w:color="auto" w:fill="FFFFFF"/>
        </w:rPr>
        <w:t>p</w:t>
      </w:r>
      <w:r w:rsidR="009C3099">
        <w:rPr>
          <w:rFonts w:cs="Times New Roman"/>
          <w:color w:val="000000"/>
          <w:szCs w:val="24"/>
          <w:shd w:val="clear" w:color="auto" w:fill="FFFFFF"/>
        </w:rPr>
        <w:t>réjudicie les autres créanciers, notamment l</w:t>
      </w:r>
      <w:r w:rsidR="0098387B">
        <w:rPr>
          <w:rFonts w:cs="Times New Roman"/>
          <w:color w:val="000000"/>
          <w:szCs w:val="24"/>
          <w:shd w:val="clear" w:color="auto" w:fill="FFFFFF"/>
        </w:rPr>
        <w:t>es créanciers publics</w:t>
      </w:r>
      <w:r w:rsidR="009C3099">
        <w:rPr>
          <w:rFonts w:cs="Times New Roman"/>
          <w:color w:val="000000"/>
          <w:szCs w:val="24"/>
          <w:shd w:val="clear" w:color="auto" w:fill="FFFFFF"/>
        </w:rPr>
        <w:t>, et par conséquent les contribuables</w:t>
      </w:r>
      <w:r w:rsidR="00966A57">
        <w:rPr>
          <w:rFonts w:cs="Times New Roman"/>
          <w:color w:val="000000"/>
          <w:szCs w:val="24"/>
          <w:shd w:val="clear" w:color="auto" w:fill="FFFFFF"/>
        </w:rPr>
        <w:t>. L</w:t>
      </w:r>
      <w:r w:rsidR="00C23A49">
        <w:rPr>
          <w:rFonts w:cs="Times New Roman"/>
          <w:color w:val="000000"/>
          <w:szCs w:val="24"/>
          <w:shd w:val="clear" w:color="auto" w:fill="FFFFFF"/>
        </w:rPr>
        <w:t xml:space="preserve">es </w:t>
      </w:r>
      <w:r w:rsidR="00966A57">
        <w:rPr>
          <w:rFonts w:cs="Times New Roman"/>
          <w:color w:val="000000"/>
          <w:szCs w:val="24"/>
          <w:shd w:val="clear" w:color="auto" w:fill="FFFFFF"/>
        </w:rPr>
        <w:t>fonds vautours</w:t>
      </w:r>
      <w:r w:rsidR="00C23A49">
        <w:rPr>
          <w:rFonts w:cs="Times New Roman"/>
          <w:color w:val="000000"/>
          <w:szCs w:val="24"/>
          <w:shd w:val="clear" w:color="auto" w:fill="FFFFFF"/>
        </w:rPr>
        <w:t xml:space="preserve"> viennent accroître la charge </w:t>
      </w:r>
      <w:r w:rsidR="007B0561">
        <w:rPr>
          <w:rFonts w:cs="Times New Roman"/>
          <w:color w:val="000000"/>
          <w:szCs w:val="24"/>
          <w:shd w:val="clear" w:color="auto" w:fill="FFFFFF"/>
        </w:rPr>
        <w:t xml:space="preserve">financière </w:t>
      </w:r>
      <w:r w:rsidR="00C23A49">
        <w:rPr>
          <w:rFonts w:cs="Times New Roman"/>
          <w:color w:val="000000"/>
          <w:szCs w:val="24"/>
          <w:shd w:val="clear" w:color="auto" w:fill="FFFFFF"/>
        </w:rPr>
        <w:t xml:space="preserve">supportée par </w:t>
      </w:r>
      <w:r w:rsidR="00A870C8">
        <w:rPr>
          <w:rFonts w:cs="Times New Roman"/>
          <w:color w:val="000000"/>
          <w:szCs w:val="24"/>
          <w:shd w:val="clear" w:color="auto" w:fill="FFFFFF"/>
        </w:rPr>
        <w:t xml:space="preserve">les autres créanciers. </w:t>
      </w:r>
      <w:r w:rsidR="00A870C8" w:rsidRPr="000E41F4">
        <w:rPr>
          <w:rFonts w:cs="Times New Roman"/>
          <w:szCs w:val="24"/>
          <w:lang w:eastAsia="fr-BE"/>
        </w:rPr>
        <w:t>À</w:t>
      </w:r>
      <w:r w:rsidR="00C23A49">
        <w:rPr>
          <w:rFonts w:cs="Times New Roman"/>
          <w:color w:val="000000"/>
          <w:szCs w:val="24"/>
          <w:shd w:val="clear" w:color="auto" w:fill="FFFFFF"/>
        </w:rPr>
        <w:t xml:space="preserve"> cette charge, s’ajoutent les recouvrements prioritaires qu’ils parviennent parfois à obtenir au préjudice des autres créanciers ayant accepté de participer à la restructuration, dissuadant parfois </w:t>
      </w:r>
      <w:r w:rsidR="00966A57">
        <w:rPr>
          <w:rFonts w:cs="Times New Roman"/>
          <w:color w:val="000000"/>
          <w:szCs w:val="24"/>
          <w:shd w:val="clear" w:color="auto" w:fill="FFFFFF"/>
        </w:rPr>
        <w:t xml:space="preserve">même </w:t>
      </w:r>
      <w:r w:rsidR="00C23A49">
        <w:rPr>
          <w:rFonts w:cs="Times New Roman"/>
          <w:color w:val="000000"/>
          <w:szCs w:val="24"/>
          <w:shd w:val="clear" w:color="auto" w:fill="FFFFFF"/>
        </w:rPr>
        <w:t>d’autres créanciers à participer à une restructuration.</w:t>
      </w:r>
      <w:r w:rsidR="00980D24">
        <w:rPr>
          <w:rFonts w:cs="Times New Roman"/>
          <w:color w:val="000000"/>
          <w:szCs w:val="24"/>
          <w:shd w:val="clear" w:color="auto" w:fill="FFFFFF"/>
        </w:rPr>
        <w:t xml:space="preserve"> </w:t>
      </w:r>
      <w:r w:rsidR="00BD747E">
        <w:rPr>
          <w:rFonts w:cs="Times New Roman"/>
          <w:color w:val="000000"/>
          <w:szCs w:val="24"/>
          <w:shd w:val="clear" w:color="auto" w:fill="FFFFFF"/>
        </w:rPr>
        <w:t>L</w:t>
      </w:r>
      <w:r w:rsidR="00980D24">
        <w:rPr>
          <w:rFonts w:cs="Times New Roman"/>
          <w:color w:val="000000"/>
          <w:szCs w:val="24"/>
          <w:shd w:val="clear" w:color="auto" w:fill="FFFFFF"/>
        </w:rPr>
        <w:t>es parlementaires</w:t>
      </w:r>
      <w:r w:rsidR="00966A57">
        <w:rPr>
          <w:rFonts w:cs="Times New Roman"/>
          <w:color w:val="000000"/>
          <w:szCs w:val="24"/>
          <w:shd w:val="clear" w:color="auto" w:fill="FFFFFF"/>
        </w:rPr>
        <w:t xml:space="preserve"> à l’origine de l’amendement « fonds vautours »</w:t>
      </w:r>
      <w:r w:rsidR="00980D24">
        <w:rPr>
          <w:rFonts w:cs="Times New Roman"/>
          <w:color w:val="000000"/>
          <w:szCs w:val="24"/>
          <w:shd w:val="clear" w:color="auto" w:fill="FFFFFF"/>
        </w:rPr>
        <w:t xml:space="preserve"> indiquent </w:t>
      </w:r>
      <w:r w:rsidR="00BD747E">
        <w:rPr>
          <w:rFonts w:cs="Times New Roman"/>
          <w:color w:val="000000"/>
          <w:szCs w:val="24"/>
          <w:shd w:val="clear" w:color="auto" w:fill="FFFFFF"/>
        </w:rPr>
        <w:t xml:space="preserve">ainsi </w:t>
      </w:r>
      <w:r w:rsidR="00980D24">
        <w:rPr>
          <w:rFonts w:cs="Times New Roman"/>
          <w:color w:val="000000"/>
          <w:szCs w:val="24"/>
          <w:shd w:val="clear" w:color="auto" w:fill="FFFFFF"/>
        </w:rPr>
        <w:t xml:space="preserve">qu’ « (e)n refusant de participer aux efforts financiers réalisés par toute la communauté financière internationale, ces fonds peuvent </w:t>
      </w:r>
      <w:r w:rsidR="007B117D">
        <w:t>[…] </w:t>
      </w:r>
      <w:r w:rsidR="00980D24">
        <w:rPr>
          <w:rFonts w:cs="Times New Roman"/>
          <w:color w:val="000000"/>
          <w:szCs w:val="24"/>
          <w:shd w:val="clear" w:color="auto" w:fill="FFFFFF"/>
        </w:rPr>
        <w:t xml:space="preserve">perturber </w:t>
      </w:r>
      <w:r w:rsidR="007B117D">
        <w:t>[…]</w:t>
      </w:r>
      <w:r w:rsidR="00980D24">
        <w:rPr>
          <w:rFonts w:cs="Times New Roman"/>
          <w:color w:val="000000"/>
          <w:szCs w:val="24"/>
          <w:shd w:val="clear" w:color="auto" w:fill="FFFFFF"/>
        </w:rPr>
        <w:t xml:space="preserve"> les restructura</w:t>
      </w:r>
      <w:r w:rsidR="001B6ED8">
        <w:rPr>
          <w:rFonts w:cs="Times New Roman"/>
          <w:color w:val="000000"/>
          <w:szCs w:val="24"/>
          <w:shd w:val="clear" w:color="auto" w:fill="FFFFFF"/>
        </w:rPr>
        <w:t>tions de dette accordées par l’</w:t>
      </w:r>
      <w:r w:rsidR="001B6ED8" w:rsidRPr="001B6ED8">
        <w:rPr>
          <w:rFonts w:cs="Times New Roman"/>
          <w:szCs w:val="24"/>
          <w:shd w:val="clear" w:color="auto" w:fill="FFFFFF"/>
        </w:rPr>
        <w:t>É</w:t>
      </w:r>
      <w:r w:rsidR="00980D24">
        <w:rPr>
          <w:rFonts w:cs="Times New Roman"/>
          <w:color w:val="000000"/>
          <w:szCs w:val="24"/>
          <w:shd w:val="clear" w:color="auto" w:fill="FFFFFF"/>
        </w:rPr>
        <w:t xml:space="preserve">tat français dans le </w:t>
      </w:r>
      <w:r w:rsidR="00980D24">
        <w:rPr>
          <w:rFonts w:cs="Times New Roman"/>
          <w:color w:val="000000"/>
          <w:szCs w:val="24"/>
          <w:shd w:val="clear" w:color="auto" w:fill="FFFFFF"/>
        </w:rPr>
        <w:lastRenderedPageBreak/>
        <w:t>cadre du Club de Paris »</w:t>
      </w:r>
      <w:r w:rsidR="00966A57">
        <w:rPr>
          <w:rStyle w:val="Appelnotedebasdep"/>
          <w:rFonts w:cs="Times New Roman"/>
          <w:color w:val="000000"/>
          <w:szCs w:val="24"/>
          <w:shd w:val="clear" w:color="auto" w:fill="FFFFFF"/>
        </w:rPr>
        <w:footnoteReference w:id="31"/>
      </w:r>
      <w:r w:rsidR="008A5D7B">
        <w:rPr>
          <w:rFonts w:cs="Times New Roman"/>
          <w:color w:val="000000"/>
          <w:szCs w:val="24"/>
          <w:shd w:val="clear" w:color="auto" w:fill="FFFFFF"/>
        </w:rPr>
        <w:t xml:space="preserve"> </w:t>
      </w:r>
      <w:r w:rsidR="008A5D7B">
        <w:rPr>
          <w:rStyle w:val="Appelnotedebasdep"/>
          <w:rFonts w:cs="Times New Roman"/>
          <w:color w:val="000000"/>
          <w:szCs w:val="24"/>
          <w:shd w:val="clear" w:color="auto" w:fill="FFFFFF"/>
        </w:rPr>
        <w:footnoteReference w:id="32"/>
      </w:r>
      <w:r w:rsidR="008A5D7B">
        <w:rPr>
          <w:rFonts w:cs="Times New Roman"/>
          <w:color w:val="000000"/>
          <w:szCs w:val="24"/>
          <w:shd w:val="clear" w:color="auto" w:fill="FFFFFF"/>
        </w:rPr>
        <w:t>.</w:t>
      </w:r>
      <w:r w:rsidR="00BD747E">
        <w:rPr>
          <w:szCs w:val="24"/>
        </w:rPr>
        <w:t xml:space="preserve"> Finalement, l</w:t>
      </w:r>
      <w:r w:rsidR="00966A57">
        <w:rPr>
          <w:rFonts w:cs="Times New Roman"/>
          <w:color w:val="000000"/>
          <w:szCs w:val="24"/>
          <w:shd w:val="clear" w:color="auto" w:fill="FFFFFF"/>
        </w:rPr>
        <w:t>’exposé de l’amendement épingle</w:t>
      </w:r>
      <w:r w:rsidR="00C23A49">
        <w:rPr>
          <w:rFonts w:cs="Times New Roman"/>
          <w:color w:val="000000"/>
          <w:szCs w:val="24"/>
          <w:shd w:val="clear" w:color="auto" w:fill="FFFFFF"/>
        </w:rPr>
        <w:t xml:space="preserve"> la menace que l’activité des fonds procéduriers représente </w:t>
      </w:r>
      <w:r w:rsidR="00980D24">
        <w:rPr>
          <w:rFonts w:cs="Times New Roman"/>
          <w:color w:val="000000"/>
          <w:szCs w:val="24"/>
          <w:shd w:val="clear" w:color="auto" w:fill="FFFFFF"/>
        </w:rPr>
        <w:t>pour</w:t>
      </w:r>
      <w:r w:rsidR="00C23A49">
        <w:rPr>
          <w:rFonts w:cs="Times New Roman"/>
          <w:color w:val="000000"/>
          <w:szCs w:val="24"/>
          <w:shd w:val="clear" w:color="auto" w:fill="FFFFFF"/>
        </w:rPr>
        <w:t xml:space="preserve"> le fonctionnement des marchés obligataires, menace pouvant dissuader les aut</w:t>
      </w:r>
      <w:r w:rsidR="001B6ED8">
        <w:rPr>
          <w:rFonts w:cs="Times New Roman"/>
          <w:color w:val="000000"/>
          <w:szCs w:val="24"/>
          <w:shd w:val="clear" w:color="auto" w:fill="FFFFFF"/>
        </w:rPr>
        <w:t xml:space="preserve">res créanciers de financer les </w:t>
      </w:r>
      <w:r w:rsidR="001B6ED8" w:rsidRPr="001B6ED8">
        <w:rPr>
          <w:rFonts w:cs="Times New Roman"/>
          <w:szCs w:val="24"/>
          <w:shd w:val="clear" w:color="auto" w:fill="FFFFFF"/>
        </w:rPr>
        <w:t>É</w:t>
      </w:r>
      <w:r w:rsidR="00C23A49">
        <w:rPr>
          <w:rFonts w:cs="Times New Roman"/>
          <w:color w:val="000000"/>
          <w:szCs w:val="24"/>
          <w:shd w:val="clear" w:color="auto" w:fill="FFFFFF"/>
        </w:rPr>
        <w:t>tats en développement, et notamment les créanciers souverains comme la France.</w:t>
      </w:r>
      <w:r w:rsidR="0066225F">
        <w:rPr>
          <w:rFonts w:cs="Times New Roman"/>
          <w:color w:val="000000"/>
          <w:szCs w:val="24"/>
          <w:shd w:val="clear" w:color="auto" w:fill="FFFFFF"/>
        </w:rPr>
        <w:t xml:space="preserve"> </w:t>
      </w:r>
      <w:r w:rsidR="00980D24" w:rsidRPr="00980D24">
        <w:rPr>
          <w:rFonts w:cs="Times New Roman"/>
          <w:color w:val="000000"/>
          <w:szCs w:val="24"/>
          <w:shd w:val="clear" w:color="auto" w:fill="FFFFFF"/>
        </w:rPr>
        <w:t xml:space="preserve">Il </w:t>
      </w:r>
      <w:r w:rsidR="0066225F">
        <w:rPr>
          <w:rFonts w:cs="Times New Roman"/>
          <w:color w:val="000000"/>
          <w:szCs w:val="24"/>
          <w:shd w:val="clear" w:color="auto" w:fill="FFFFFF"/>
        </w:rPr>
        <w:t xml:space="preserve">y </w:t>
      </w:r>
      <w:r w:rsidR="00980D24" w:rsidRPr="00980D24">
        <w:rPr>
          <w:rFonts w:cs="Times New Roman"/>
          <w:color w:val="000000"/>
          <w:szCs w:val="24"/>
          <w:shd w:val="clear" w:color="auto" w:fill="FFFFFF"/>
        </w:rPr>
        <w:t xml:space="preserve">est </w:t>
      </w:r>
      <w:r w:rsidR="0066225F">
        <w:rPr>
          <w:rFonts w:cs="Times New Roman"/>
          <w:color w:val="000000"/>
          <w:szCs w:val="24"/>
          <w:shd w:val="clear" w:color="auto" w:fill="FFFFFF"/>
        </w:rPr>
        <w:t>encore</w:t>
      </w:r>
      <w:r w:rsidR="00E605F4">
        <w:rPr>
          <w:rFonts w:cs="Times New Roman"/>
          <w:color w:val="000000"/>
          <w:szCs w:val="24"/>
          <w:shd w:val="clear" w:color="auto" w:fill="FFFFFF"/>
        </w:rPr>
        <w:t xml:space="preserve"> relevé qu’</w:t>
      </w:r>
      <w:r w:rsidR="00980D24" w:rsidRPr="00980D24">
        <w:rPr>
          <w:rFonts w:cs="Times New Roman"/>
          <w:color w:val="000000"/>
          <w:szCs w:val="24"/>
          <w:shd w:val="clear" w:color="auto" w:fill="FFFFFF"/>
        </w:rPr>
        <w:t>en opérant des saisies sur les flux financiers entre les États en développement et leurs partenaires économiques, ces fonds peuvent affecter les relations bilatérales entre l’État français</w:t>
      </w:r>
      <w:r w:rsidR="00E605F4">
        <w:rPr>
          <w:rFonts w:cs="Times New Roman"/>
          <w:color w:val="000000"/>
          <w:szCs w:val="24"/>
          <w:shd w:val="clear" w:color="auto" w:fill="FFFFFF"/>
        </w:rPr>
        <w:t xml:space="preserve"> et ces États en développement</w:t>
      </w:r>
      <w:r w:rsidR="00980D24" w:rsidRPr="00980D24">
        <w:rPr>
          <w:rFonts w:cs="Times New Roman"/>
          <w:color w:val="000000"/>
          <w:szCs w:val="24"/>
          <w:shd w:val="clear" w:color="auto" w:fill="FFFFFF"/>
        </w:rPr>
        <w:t>.</w:t>
      </w:r>
      <w:r w:rsidR="00E605F4">
        <w:rPr>
          <w:szCs w:val="24"/>
        </w:rPr>
        <w:t xml:space="preserve"> </w:t>
      </w:r>
      <w:r w:rsidR="0066225F">
        <w:rPr>
          <w:rFonts w:cs="Times New Roman"/>
          <w:color w:val="000000"/>
          <w:szCs w:val="24"/>
          <w:shd w:val="clear" w:color="auto" w:fill="FFFFFF"/>
        </w:rPr>
        <w:t xml:space="preserve">Plus généralement, l’amendement « fonds vautours » permet « de sanctuariser les fonds destinés à l’aide au développement, et permet surtout </w:t>
      </w:r>
      <w:r w:rsidR="001B6ED8">
        <w:rPr>
          <w:rFonts w:cs="Times New Roman"/>
          <w:color w:val="000000"/>
          <w:szCs w:val="24"/>
          <w:shd w:val="clear" w:color="auto" w:fill="FFFFFF"/>
        </w:rPr>
        <w:t xml:space="preserve">de protéger les </w:t>
      </w:r>
      <w:r w:rsidR="001B6ED8" w:rsidRPr="001B6ED8">
        <w:rPr>
          <w:rFonts w:cs="Times New Roman"/>
          <w:szCs w:val="24"/>
          <w:shd w:val="clear" w:color="auto" w:fill="FFFFFF"/>
        </w:rPr>
        <w:t>É</w:t>
      </w:r>
      <w:r w:rsidR="0066225F">
        <w:rPr>
          <w:rFonts w:cs="Times New Roman"/>
          <w:color w:val="000000"/>
          <w:szCs w:val="24"/>
          <w:shd w:val="clear" w:color="auto" w:fill="FFFFFF"/>
        </w:rPr>
        <w:t>tats en bénéficiant lorsqu’ils traversent des crises financières justifiant une procédure raisonnée de renégociation de leurs dettes », vise « à rendre plus difficiles les comportements de prédation financière » et, plus globalement, participe « de l’effort de nombreux pays pour mieux réguler la finance internationale ».</w:t>
      </w:r>
    </w:p>
    <w:p w14:paraId="03EBC0D7" w14:textId="77777777" w:rsidR="00160D02" w:rsidRDefault="00E605F4" w:rsidP="00600A9B">
      <w:pPr>
        <w:jc w:val="both"/>
        <w:rPr>
          <w:rFonts w:cs="Times New Roman"/>
          <w:color w:val="000000"/>
          <w:szCs w:val="24"/>
          <w:shd w:val="clear" w:color="auto" w:fill="FFFFFF"/>
        </w:rPr>
      </w:pPr>
      <w:r>
        <w:rPr>
          <w:rFonts w:cs="Times New Roman"/>
          <w:color w:val="000000"/>
          <w:szCs w:val="24"/>
          <w:shd w:val="clear" w:color="auto" w:fill="FFFFFF"/>
        </w:rPr>
        <w:t xml:space="preserve">Toutefois, l’importance des iniquités à contrer ne doit pas conduire à la démesure du mécanisme anti-fonds vautours. </w:t>
      </w:r>
      <w:r w:rsidR="0066225F">
        <w:rPr>
          <w:rFonts w:cs="Times New Roman"/>
          <w:color w:val="000000"/>
          <w:szCs w:val="24"/>
          <w:shd w:val="clear" w:color="auto" w:fill="FFFFFF"/>
        </w:rPr>
        <w:t>Les parlementaires à l’origine de l’amendement</w:t>
      </w:r>
      <w:r>
        <w:rPr>
          <w:rFonts w:cs="Times New Roman"/>
          <w:color w:val="000000"/>
          <w:szCs w:val="24"/>
          <w:shd w:val="clear" w:color="auto" w:fill="FFFFFF"/>
        </w:rPr>
        <w:t xml:space="preserve"> « fonds vautours »</w:t>
      </w:r>
      <w:r w:rsidR="0066225F">
        <w:rPr>
          <w:rFonts w:cs="Times New Roman"/>
          <w:color w:val="000000"/>
          <w:szCs w:val="24"/>
          <w:shd w:val="clear" w:color="auto" w:fill="FFFFFF"/>
        </w:rPr>
        <w:t xml:space="preserve"> sont clairs ; l</w:t>
      </w:r>
      <w:r w:rsidR="00160D02" w:rsidRPr="000B4D28">
        <w:rPr>
          <w:rFonts w:cs="Times New Roman"/>
          <w:color w:val="000000"/>
          <w:szCs w:val="24"/>
          <w:shd w:val="clear" w:color="auto" w:fill="FFFFFF"/>
        </w:rPr>
        <w:t xml:space="preserve">a mesure que l’amendement </w:t>
      </w:r>
      <w:r w:rsidR="00AF6AD2">
        <w:rPr>
          <w:rFonts w:cs="Times New Roman"/>
          <w:color w:val="000000"/>
          <w:szCs w:val="24"/>
          <w:shd w:val="clear" w:color="auto" w:fill="FFFFFF"/>
        </w:rPr>
        <w:t>entend</w:t>
      </w:r>
      <w:r w:rsidR="00160D02" w:rsidRPr="000B4D28">
        <w:rPr>
          <w:rFonts w:cs="Times New Roman"/>
          <w:color w:val="000000"/>
          <w:szCs w:val="24"/>
          <w:shd w:val="clear" w:color="auto" w:fill="FFFFFF"/>
        </w:rPr>
        <w:t xml:space="preserve"> mettre en place ne vise pas</w:t>
      </w:r>
      <w:r w:rsidR="0066225F">
        <w:rPr>
          <w:rFonts w:cs="Times New Roman"/>
          <w:color w:val="000000"/>
          <w:szCs w:val="24"/>
          <w:shd w:val="clear" w:color="auto" w:fill="FFFFFF"/>
        </w:rPr>
        <w:t xml:space="preserve"> </w:t>
      </w:r>
      <w:r w:rsidR="001B6ED8">
        <w:rPr>
          <w:rFonts w:cs="Times New Roman"/>
          <w:color w:val="000000"/>
          <w:szCs w:val="24"/>
          <w:shd w:val="clear" w:color="auto" w:fill="FFFFFF"/>
        </w:rPr>
        <w:t xml:space="preserve">à exonérer les </w:t>
      </w:r>
      <w:r w:rsidR="001B6ED8" w:rsidRPr="001B6ED8">
        <w:rPr>
          <w:rFonts w:cs="Times New Roman"/>
          <w:szCs w:val="24"/>
          <w:shd w:val="clear" w:color="auto" w:fill="FFFFFF"/>
        </w:rPr>
        <w:t>É</w:t>
      </w:r>
      <w:r w:rsidR="00160D02" w:rsidRPr="000B4D28">
        <w:rPr>
          <w:rFonts w:cs="Times New Roman"/>
          <w:color w:val="000000"/>
          <w:szCs w:val="24"/>
          <w:shd w:val="clear" w:color="auto" w:fill="FFFFFF"/>
        </w:rPr>
        <w:t>tats débiteurs de leurs obligations de rembour</w:t>
      </w:r>
      <w:r w:rsidR="000B4D28" w:rsidRPr="000B4D28">
        <w:rPr>
          <w:rFonts w:cs="Times New Roman"/>
          <w:color w:val="000000"/>
          <w:szCs w:val="24"/>
          <w:shd w:val="clear" w:color="auto" w:fill="FFFFFF"/>
        </w:rPr>
        <w:t>ser leurs emprunts, ce qui diss</w:t>
      </w:r>
      <w:r w:rsidR="001B6ED8">
        <w:rPr>
          <w:rFonts w:cs="Times New Roman"/>
          <w:color w:val="000000"/>
          <w:szCs w:val="24"/>
          <w:shd w:val="clear" w:color="auto" w:fill="FFFFFF"/>
        </w:rPr>
        <w:t xml:space="preserve">uaderait les créanciers de ces </w:t>
      </w:r>
      <w:r w:rsidR="001B6ED8" w:rsidRPr="001B6ED8">
        <w:rPr>
          <w:rFonts w:cs="Times New Roman"/>
          <w:szCs w:val="24"/>
          <w:shd w:val="clear" w:color="auto" w:fill="FFFFFF"/>
        </w:rPr>
        <w:t>É</w:t>
      </w:r>
      <w:r w:rsidR="000B4D28" w:rsidRPr="000B4D28">
        <w:rPr>
          <w:rFonts w:cs="Times New Roman"/>
          <w:color w:val="000000"/>
          <w:szCs w:val="24"/>
          <w:shd w:val="clear" w:color="auto" w:fill="FFFFFF"/>
        </w:rPr>
        <w:t xml:space="preserve">tats de continuer à les financer. Ainsi, </w:t>
      </w:r>
      <w:r w:rsidR="0066225F">
        <w:rPr>
          <w:rFonts w:cs="Times New Roman"/>
          <w:color w:val="000000"/>
          <w:szCs w:val="24"/>
          <w:shd w:val="clear" w:color="auto" w:fill="FFFFFF"/>
        </w:rPr>
        <w:t xml:space="preserve">ils insistent, </w:t>
      </w:r>
      <w:r w:rsidR="000B4D28" w:rsidRPr="000B4D28">
        <w:rPr>
          <w:rFonts w:cs="Times New Roman"/>
          <w:color w:val="000000"/>
          <w:szCs w:val="24"/>
          <w:shd w:val="clear" w:color="auto" w:fill="FFFFFF"/>
        </w:rPr>
        <w:t>la mesure envisagée doit « être circonscrite et protéger les droits des créanciers usuels, y compris lorsque ceux-ci rachètent la dette d’un État en difficulté financière mais encore en mesure d’assurer le service de sa dette, pour éviter de précipiter des situations de défaut de paiement »</w:t>
      </w:r>
      <w:r>
        <w:rPr>
          <w:rStyle w:val="Appelnotedebasdep"/>
          <w:rFonts w:cs="Times New Roman"/>
          <w:color w:val="000000"/>
          <w:szCs w:val="24"/>
          <w:shd w:val="clear" w:color="auto" w:fill="FFFFFF"/>
        </w:rPr>
        <w:footnoteReference w:id="33"/>
      </w:r>
      <w:r w:rsidR="000B4D28" w:rsidRPr="000B4D28">
        <w:rPr>
          <w:rFonts w:cs="Times New Roman"/>
          <w:color w:val="000000"/>
          <w:szCs w:val="24"/>
          <w:shd w:val="clear" w:color="auto" w:fill="FFFFFF"/>
        </w:rPr>
        <w:t>.</w:t>
      </w:r>
    </w:p>
    <w:p w14:paraId="0651A18B" w14:textId="77777777" w:rsidR="004C4A92" w:rsidRDefault="004C4A92" w:rsidP="004C4A92">
      <w:pPr>
        <w:jc w:val="both"/>
        <w:rPr>
          <w:b/>
        </w:rPr>
      </w:pPr>
    </w:p>
    <w:p w14:paraId="04AF1622" w14:textId="44C33B2F" w:rsidR="00E32816" w:rsidRDefault="004C4A92" w:rsidP="00E32816">
      <w:pPr>
        <w:jc w:val="both"/>
      </w:pPr>
      <w:r>
        <w:rPr>
          <w:b/>
        </w:rPr>
        <w:t>5</w:t>
      </w:r>
      <w:r w:rsidRPr="00F84CF0">
        <w:rPr>
          <w:b/>
        </w:rPr>
        <w:t xml:space="preserve">. Une </w:t>
      </w:r>
      <w:r w:rsidR="009C3099">
        <w:rPr>
          <w:b/>
        </w:rPr>
        <w:t>adoption</w:t>
      </w:r>
      <w:r>
        <w:rPr>
          <w:b/>
        </w:rPr>
        <w:t xml:space="preserve"> chahutée </w:t>
      </w:r>
      <w:r w:rsidR="00A12838">
        <w:rPr>
          <w:b/>
        </w:rPr>
        <w:t>-</w:t>
      </w:r>
      <w:r w:rsidRPr="00F84CF0">
        <w:rPr>
          <w:b/>
        </w:rPr>
        <w:t xml:space="preserve"> </w:t>
      </w:r>
      <w:r>
        <w:t xml:space="preserve">Toute importante qu’ait été qualifiée la lutte contre les activités des fonds </w:t>
      </w:r>
      <w:r w:rsidR="00544A48">
        <w:t xml:space="preserve">vautours, il est à noter que l’article </w:t>
      </w:r>
      <w:r>
        <w:t>anti-fonds vautours ne se trouvait pas dans le projet de loi initial</w:t>
      </w:r>
      <w:r w:rsidR="00BD747E">
        <w:t xml:space="preserve"> et que l</w:t>
      </w:r>
      <w:r w:rsidR="00BD747E" w:rsidRPr="00765D7E">
        <w:rPr>
          <w:rFonts w:cs="Times New Roman"/>
          <w:szCs w:val="24"/>
        </w:rPr>
        <w:t xml:space="preserve">’instauration d’une réglementation en la matière </w:t>
      </w:r>
      <w:r w:rsidR="00BD747E" w:rsidRPr="00765D7E">
        <w:t>fut, nous le verrons</w:t>
      </w:r>
      <w:r w:rsidR="00BD747E">
        <w:t>,</w:t>
      </w:r>
      <w:r w:rsidR="00BD747E" w:rsidRPr="00765D7E">
        <w:t xml:space="preserve"> âprement débattu</w:t>
      </w:r>
      <w:r w:rsidR="00544A48">
        <w:t>e</w:t>
      </w:r>
      <w:r w:rsidR="00BD747E" w:rsidRPr="00765D7E">
        <w:t xml:space="preserve"> tant à l’Assemblée nationale qu’au Sénat</w:t>
      </w:r>
      <w:r w:rsidR="00BD747E" w:rsidRPr="00765D7E">
        <w:rPr>
          <w:rStyle w:val="Appelnotedebasdep"/>
        </w:rPr>
        <w:footnoteReference w:id="34"/>
      </w:r>
      <w:r>
        <w:t xml:space="preserve">. L’article 60 de la loi Sapin II résulte d’un amendement n° 1405 faisant l’objet de plusieurs sous-amendements, tous présentés sur le texte </w:t>
      </w:r>
      <w:r w:rsidR="00E605F4">
        <w:t xml:space="preserve">n° </w:t>
      </w:r>
      <w:r w:rsidR="00BA163E">
        <w:t>3785</w:t>
      </w:r>
      <w:r w:rsidR="00E605F4">
        <w:t xml:space="preserve"> </w:t>
      </w:r>
      <w:r>
        <w:t xml:space="preserve">adopté par </w:t>
      </w:r>
      <w:r w:rsidRPr="00BA163E">
        <w:t>la commission des lois constitutionnelles, de la législation et de l’administration générale de la République</w:t>
      </w:r>
      <w:r>
        <w:rPr>
          <w:rStyle w:val="Appelnotedebasdep"/>
        </w:rPr>
        <w:footnoteReference w:id="35"/>
      </w:r>
      <w:r>
        <w:rPr>
          <w:b/>
        </w:rPr>
        <w:t xml:space="preserve"> </w:t>
      </w:r>
      <w:r>
        <w:rPr>
          <w:rStyle w:val="Appelnotedebasdep"/>
        </w:rPr>
        <w:footnoteReference w:id="36"/>
      </w:r>
      <w:r>
        <w:t xml:space="preserve">. </w:t>
      </w:r>
      <w:r w:rsidR="00FE44E5">
        <w:rPr>
          <w:rFonts w:cs="Times New Roman"/>
        </w:rPr>
        <w:t xml:space="preserve">La réglementation fut ainsi </w:t>
      </w:r>
      <w:r w:rsidRPr="003B2B2A">
        <w:rPr>
          <w:rFonts w:cs="Times New Roman"/>
        </w:rPr>
        <w:t>prise à l’article 24</w:t>
      </w:r>
      <w:r w:rsidRPr="003B2B2A">
        <w:rPr>
          <w:rFonts w:cs="Times New Roman"/>
          <w:i/>
        </w:rPr>
        <w:t>bis</w:t>
      </w:r>
      <w:r w:rsidRPr="003B2B2A">
        <w:rPr>
          <w:rFonts w:cs="Times New Roman"/>
        </w:rPr>
        <w:t xml:space="preserve"> du texte de projet de loi adopté par l’Assemblée nationale</w:t>
      </w:r>
      <w:r w:rsidRPr="00AB506E">
        <w:rPr>
          <w:rFonts w:cs="Times New Roman"/>
        </w:rPr>
        <w:t xml:space="preserve"> </w:t>
      </w:r>
      <w:r>
        <w:rPr>
          <w:rFonts w:cs="Times New Roman"/>
        </w:rPr>
        <w:t>en première lecture</w:t>
      </w:r>
      <w:r w:rsidR="000A0232">
        <w:rPr>
          <w:rFonts w:cs="Times New Roman"/>
        </w:rPr>
        <w:t xml:space="preserve"> sous le titre </w:t>
      </w:r>
      <w:r w:rsidR="000A0232">
        <w:lastRenderedPageBreak/>
        <w:t>portant précisément sur le « renforcement de la régulation financière »</w:t>
      </w:r>
      <w:r w:rsidR="000A0232" w:rsidRPr="000A0232">
        <w:rPr>
          <w:rStyle w:val="Appelnotedebasdep"/>
          <w:rFonts w:cs="Times New Roman"/>
        </w:rPr>
        <w:t xml:space="preserve"> </w:t>
      </w:r>
      <w:r w:rsidR="000A0232" w:rsidRPr="003B2B2A">
        <w:rPr>
          <w:rStyle w:val="Appelnotedebasdep"/>
          <w:rFonts w:cs="Times New Roman"/>
        </w:rPr>
        <w:footnoteReference w:id="37"/>
      </w:r>
      <w:r w:rsidR="000A0232">
        <w:t xml:space="preserve"> </w:t>
      </w:r>
      <w:r>
        <w:rPr>
          <w:rFonts w:cs="Times New Roman"/>
        </w:rPr>
        <w:t>et ce, à la plus grande satisfaction du ministre Michel Sapin qui indiqua être « globalement favorable</w:t>
      </w:r>
      <w:r w:rsidR="007B117D">
        <w:rPr>
          <w:rFonts w:cs="Times New Roman"/>
        </w:rPr>
        <w:t xml:space="preserve"> </w:t>
      </w:r>
      <w:r w:rsidR="007B117D">
        <w:t>[…] </w:t>
      </w:r>
      <w:r>
        <w:rPr>
          <w:rFonts w:cs="Times New Roman"/>
        </w:rPr>
        <w:t>à la disposition novatrice introduite par les députés pour lutter contre les pratiques prédatrices des fonds vautours »</w:t>
      </w:r>
      <w:r>
        <w:rPr>
          <w:rStyle w:val="Appelnotedebasdep"/>
          <w:rFonts w:cs="Times New Roman"/>
        </w:rPr>
        <w:footnoteReference w:id="38"/>
      </w:r>
      <w:r>
        <w:rPr>
          <w:rFonts w:cs="Times New Roman"/>
        </w:rPr>
        <w:t>.</w:t>
      </w:r>
    </w:p>
    <w:p w14:paraId="4BF0D883" w14:textId="77777777" w:rsidR="004C4A92" w:rsidRPr="00F00034" w:rsidRDefault="004C4A92" w:rsidP="00E32816">
      <w:pPr>
        <w:jc w:val="both"/>
      </w:pPr>
      <w:r w:rsidRPr="001D4AE6">
        <w:rPr>
          <w:rFonts w:cs="Times New Roman"/>
          <w:szCs w:val="24"/>
        </w:rPr>
        <w:t>Cet article 24</w:t>
      </w:r>
      <w:r w:rsidRPr="001D4AE6">
        <w:rPr>
          <w:rFonts w:cs="Times New Roman"/>
          <w:i/>
          <w:szCs w:val="24"/>
        </w:rPr>
        <w:t>bis</w:t>
      </w:r>
      <w:r w:rsidRPr="001D4AE6">
        <w:rPr>
          <w:rFonts w:cs="Times New Roman"/>
          <w:szCs w:val="24"/>
        </w:rPr>
        <w:t xml:space="preserve"> fut, devant la commission des lois constitutionnelles, de législation, du suffrage universel, du règlement et d’administration générale</w:t>
      </w:r>
      <w:r w:rsidR="00A71417">
        <w:rPr>
          <w:rFonts w:cs="Times New Roman"/>
          <w:szCs w:val="24"/>
        </w:rPr>
        <w:t xml:space="preserve"> du Sénat</w:t>
      </w:r>
      <w:r w:rsidRPr="001D4AE6">
        <w:rPr>
          <w:rFonts w:cs="Times New Roman"/>
          <w:szCs w:val="24"/>
        </w:rPr>
        <w:t xml:space="preserve">, supprimé à la suite d’un amendement n° </w:t>
      </w:r>
      <w:r w:rsidR="00A71417">
        <w:rPr>
          <w:rFonts w:cs="Times New Roman"/>
          <w:szCs w:val="24"/>
        </w:rPr>
        <w:t>COM-23</w:t>
      </w:r>
      <w:r w:rsidR="00A71417" w:rsidRPr="00A71417">
        <w:rPr>
          <w:rFonts w:cs="Times New Roman"/>
          <w:szCs w:val="24"/>
        </w:rPr>
        <w:t>2</w:t>
      </w:r>
      <w:r w:rsidRPr="001D4AE6">
        <w:rPr>
          <w:rFonts w:cs="Times New Roman"/>
          <w:szCs w:val="24"/>
        </w:rPr>
        <w:t xml:space="preserve"> présenté par François Pillet</w:t>
      </w:r>
      <w:r w:rsidRPr="001D4AE6">
        <w:rPr>
          <w:rStyle w:val="Appelnotedebasdep"/>
          <w:rFonts w:cs="Times New Roman"/>
          <w:szCs w:val="24"/>
        </w:rPr>
        <w:footnoteReference w:id="39"/>
      </w:r>
      <w:r w:rsidRPr="001D4AE6">
        <w:rPr>
          <w:rFonts w:cs="Times New Roman"/>
          <w:szCs w:val="24"/>
        </w:rPr>
        <w:t>. L’auteur de l’amendement releva de « nombreuses difficultés et controverses » suscitées par l’article et en souhaita par conséquent la suppression à titre conservatoire. L’article 24</w:t>
      </w:r>
      <w:r w:rsidRPr="001D4AE6">
        <w:rPr>
          <w:rFonts w:cs="Times New Roman"/>
          <w:i/>
          <w:szCs w:val="24"/>
        </w:rPr>
        <w:t>bis</w:t>
      </w:r>
      <w:r w:rsidRPr="001D4AE6">
        <w:rPr>
          <w:rFonts w:cs="Times New Roman"/>
          <w:szCs w:val="24"/>
        </w:rPr>
        <w:t xml:space="preserve"> ne pouvait, à son estime, être adopté dans sa rédaction reprise dans le projet de loi adopté en première lecture par l’Assemblée nationale, le sénateur faisant notamment valoir que la rédaction de l’article, qui priverait les créanciers de l’exécution d’une décision définitive, pourrait engager la </w:t>
      </w:r>
      <w:r w:rsidR="001B6ED8">
        <w:rPr>
          <w:rFonts w:cs="Times New Roman"/>
          <w:szCs w:val="24"/>
        </w:rPr>
        <w:t>responsabilité sans faute de l’</w:t>
      </w:r>
      <w:r w:rsidR="001B6ED8" w:rsidRPr="001B6ED8">
        <w:rPr>
          <w:rFonts w:cs="Times New Roman"/>
          <w:szCs w:val="24"/>
          <w:shd w:val="clear" w:color="auto" w:fill="FFFFFF"/>
        </w:rPr>
        <w:t>É</w:t>
      </w:r>
      <w:r w:rsidRPr="001D4AE6">
        <w:rPr>
          <w:rFonts w:cs="Times New Roman"/>
          <w:szCs w:val="24"/>
        </w:rPr>
        <w:t>tat</w:t>
      </w:r>
      <w:r w:rsidRPr="001D4AE6">
        <w:rPr>
          <w:rStyle w:val="Appelnotedebasdep"/>
          <w:rFonts w:cs="Times New Roman"/>
          <w:szCs w:val="24"/>
        </w:rPr>
        <w:footnoteReference w:id="40"/>
      </w:r>
      <w:r w:rsidRPr="001D4AE6">
        <w:rPr>
          <w:rFonts w:cs="Times New Roman"/>
          <w:szCs w:val="24"/>
        </w:rPr>
        <w:t xml:space="preserve">. Dans son rapport fait au nom de la commission des lois constitutionnelles, de législation, du suffrage universel, du Règlement et d’administration générale, </w:t>
      </w:r>
      <w:r w:rsidR="00E605F4">
        <w:rPr>
          <w:rFonts w:cs="Times New Roman"/>
          <w:szCs w:val="24"/>
        </w:rPr>
        <w:t xml:space="preserve">le sénateur </w:t>
      </w:r>
      <w:r w:rsidRPr="001D4AE6">
        <w:rPr>
          <w:rFonts w:cs="Times New Roman"/>
          <w:szCs w:val="24"/>
        </w:rPr>
        <w:t>François</w:t>
      </w:r>
      <w:r w:rsidRPr="001D4AE6">
        <w:rPr>
          <w:rFonts w:cs="Times New Roman"/>
          <w:smallCaps/>
          <w:szCs w:val="24"/>
        </w:rPr>
        <w:t xml:space="preserve"> </w:t>
      </w:r>
      <w:r w:rsidRPr="001D4AE6">
        <w:rPr>
          <w:rFonts w:cs="Times New Roman"/>
          <w:szCs w:val="24"/>
        </w:rPr>
        <w:t>Pillet remarqua que l’article 24</w:t>
      </w:r>
      <w:r w:rsidRPr="001D4AE6">
        <w:rPr>
          <w:rFonts w:cs="Times New Roman"/>
          <w:i/>
          <w:szCs w:val="24"/>
        </w:rPr>
        <w:t>bis</w:t>
      </w:r>
      <w:r w:rsidRPr="001D4AE6">
        <w:rPr>
          <w:rFonts w:cs="Times New Roman"/>
          <w:szCs w:val="24"/>
        </w:rPr>
        <w:t xml:space="preserve">, destiné à faire </w:t>
      </w:r>
      <w:r w:rsidR="001B6ED8">
        <w:rPr>
          <w:rFonts w:cs="Times New Roman"/>
          <w:szCs w:val="24"/>
        </w:rPr>
        <w:t xml:space="preserve">échec aux saisies de bien d’un </w:t>
      </w:r>
      <w:r w:rsidR="001B6ED8" w:rsidRPr="001B6ED8">
        <w:rPr>
          <w:rFonts w:cs="Times New Roman"/>
          <w:szCs w:val="24"/>
          <w:shd w:val="clear" w:color="auto" w:fill="FFFFFF"/>
        </w:rPr>
        <w:t>É</w:t>
      </w:r>
      <w:r w:rsidRPr="001D4AE6">
        <w:rPr>
          <w:rFonts w:cs="Times New Roman"/>
          <w:szCs w:val="24"/>
        </w:rPr>
        <w:t>tat étranger par des fonds vautours, « vise à sanctuariser les fonds destinés à l’aide au développement, et permet surtout de protéger les États en crise financière en instaurant une autorisation préalable du juge par ordonnance avant toute mesure conservatoire ou d’exécution forcée d’une décision »</w:t>
      </w:r>
      <w:r w:rsidRPr="001D4AE6">
        <w:rPr>
          <w:rStyle w:val="Appelnotedebasdep"/>
          <w:rFonts w:cs="Times New Roman"/>
          <w:szCs w:val="24"/>
        </w:rPr>
        <w:footnoteReference w:id="41"/>
      </w:r>
      <w:r w:rsidRPr="001D4AE6">
        <w:rPr>
          <w:rFonts w:cs="Times New Roman"/>
          <w:szCs w:val="24"/>
        </w:rPr>
        <w:t>. Il remarqua notamment que l’article présente des difficultés au regard de l’obligation d’obtenir une autorisation préalable du juge pour exécuter une créance, difficultés que le sénateur admit ne pas être en mesure de surmonter par une amélioration du texte faute de temps. Tout ceci conduisit donc à ce qu’une suite favorable soit réservée à son amendement n° COM-232 poursuivant la suppression de l’article, l’idée restant de parvenir à une meilleure rédaction.</w:t>
      </w:r>
      <w:r>
        <w:rPr>
          <w:rFonts w:cs="Times New Roman"/>
          <w:szCs w:val="24"/>
        </w:rPr>
        <w:t xml:space="preserve"> </w:t>
      </w:r>
    </w:p>
    <w:p w14:paraId="71AF0256" w14:textId="77777777" w:rsidR="00AC1195" w:rsidRPr="00E32816" w:rsidRDefault="004C4A92" w:rsidP="00E32816">
      <w:pPr>
        <w:jc w:val="both"/>
        <w:rPr>
          <w:rFonts w:cs="Times New Roman"/>
          <w:szCs w:val="24"/>
        </w:rPr>
      </w:pPr>
      <w:r>
        <w:rPr>
          <w:rFonts w:cs="Times New Roman"/>
          <w:szCs w:val="24"/>
        </w:rPr>
        <w:lastRenderedPageBreak/>
        <w:t>Ce fut chose faite avec l’amendement n° 634 présenté par le Gouvernement</w:t>
      </w:r>
      <w:r>
        <w:rPr>
          <w:rStyle w:val="Appelnotedebasdep"/>
          <w:rFonts w:cs="Times New Roman"/>
          <w:szCs w:val="24"/>
        </w:rPr>
        <w:footnoteReference w:id="42"/>
      </w:r>
      <w:r>
        <w:rPr>
          <w:rFonts w:cs="Times New Roman"/>
          <w:szCs w:val="24"/>
        </w:rPr>
        <w:t>. L’article 24</w:t>
      </w:r>
      <w:r w:rsidRPr="001D4AE6">
        <w:rPr>
          <w:rFonts w:cs="Times New Roman"/>
          <w:i/>
          <w:szCs w:val="24"/>
        </w:rPr>
        <w:t>bis</w:t>
      </w:r>
      <w:r>
        <w:rPr>
          <w:rFonts w:cs="Times New Roman"/>
          <w:szCs w:val="24"/>
        </w:rPr>
        <w:t xml:space="preserve"> anti-fonds vautours fut ainsi rétabli lors de la séance du Sénat du 7 juillet 2016</w:t>
      </w:r>
      <w:r>
        <w:rPr>
          <w:rStyle w:val="Appelnotedebasdep"/>
          <w:rFonts w:cs="Times New Roman"/>
          <w:szCs w:val="24"/>
        </w:rPr>
        <w:footnoteReference w:id="43"/>
      </w:r>
      <w:r>
        <w:rPr>
          <w:rFonts w:cs="Times New Roman"/>
          <w:szCs w:val="24"/>
        </w:rPr>
        <w:t>.</w:t>
      </w:r>
      <w:r w:rsidR="00351C7E">
        <w:rPr>
          <w:rFonts w:cs="Times New Roman"/>
          <w:szCs w:val="24"/>
        </w:rPr>
        <w:t xml:space="preserve"> Cet article se maintint dans la suite des travaux préparatoires pour finalement se retrouver dans le texte adopté définitivement par l’Assemblée nationale le 8 novembre 2016. L’article anti-fonds vautours, devenu l’article 60 du texte adopté, fit l’objet d’une ultime contestation devant le Conseil constitutionnel qui décida, dans une décision n° 2016-741 </w:t>
      </w:r>
      <w:r w:rsidR="006F7432">
        <w:rPr>
          <w:rFonts w:cs="Times New Roman"/>
          <w:szCs w:val="24"/>
        </w:rPr>
        <w:t>du 8 décembre 2016,</w:t>
      </w:r>
      <w:r w:rsidR="00351C7E">
        <w:rPr>
          <w:rFonts w:cs="Times New Roman"/>
          <w:szCs w:val="24"/>
        </w:rPr>
        <w:t xml:space="preserve"> qu’il était conforme à la Constitution française</w:t>
      </w:r>
      <w:r w:rsidR="006F7432">
        <w:rPr>
          <w:rStyle w:val="Appelnotedebasdep"/>
          <w:rFonts w:cs="Times New Roman"/>
          <w:szCs w:val="24"/>
        </w:rPr>
        <w:footnoteReference w:id="44"/>
      </w:r>
      <w:r w:rsidR="00E32816">
        <w:rPr>
          <w:rFonts w:cs="Times New Roman"/>
          <w:szCs w:val="24"/>
        </w:rPr>
        <w:t>.</w:t>
      </w:r>
    </w:p>
    <w:p w14:paraId="61F99AE5" w14:textId="77777777" w:rsidR="00E32816" w:rsidRDefault="00E32816" w:rsidP="00E32816">
      <w:pPr>
        <w:rPr>
          <w:b/>
        </w:rPr>
      </w:pPr>
    </w:p>
    <w:p w14:paraId="3FB8348F" w14:textId="1BE1A7C1" w:rsidR="00A41A8E" w:rsidRDefault="006F60A6" w:rsidP="00C078EE">
      <w:pPr>
        <w:jc w:val="both"/>
      </w:pPr>
      <w:r>
        <w:rPr>
          <w:b/>
        </w:rPr>
        <w:t>6</w:t>
      </w:r>
      <w:r w:rsidR="00A41A8E">
        <w:rPr>
          <w:b/>
        </w:rPr>
        <w:t xml:space="preserve">. </w:t>
      </w:r>
      <w:r w:rsidR="00BB14C6">
        <w:rPr>
          <w:b/>
        </w:rPr>
        <w:t>Un article à part entière</w:t>
      </w:r>
      <w:r w:rsidR="00A41A8E" w:rsidRPr="00A41A8E">
        <w:rPr>
          <w:b/>
        </w:rPr>
        <w:t xml:space="preserve"> </w:t>
      </w:r>
      <w:r w:rsidR="00A12838">
        <w:rPr>
          <w:b/>
        </w:rPr>
        <w:t>-</w:t>
      </w:r>
      <w:r w:rsidR="00A41A8E" w:rsidRPr="00A41A8E">
        <w:rPr>
          <w:b/>
        </w:rPr>
        <w:t xml:space="preserve"> </w:t>
      </w:r>
      <w:r w:rsidR="00A41A8E">
        <w:t>L’article 60 de la loi Sapin II</w:t>
      </w:r>
      <w:r w:rsidR="006E7B84">
        <w:t xml:space="preserve"> </w:t>
      </w:r>
      <w:r w:rsidR="00BB14C6">
        <w:t>a une existence propre en ce qu’il ne vise pas à introduire des dispositions dans l’un ou l’autre code</w:t>
      </w:r>
      <w:r w:rsidR="006E7B84">
        <w:rPr>
          <w:rStyle w:val="Appelnotedebasdep"/>
        </w:rPr>
        <w:footnoteReference w:id="45"/>
      </w:r>
      <w:r w:rsidR="00BB14C6">
        <w:t>. Il</w:t>
      </w:r>
      <w:r w:rsidR="00A41A8E">
        <w:t xml:space="preserve"> comporte neuf </w:t>
      </w:r>
      <w:r w:rsidR="00E605F4">
        <w:t>dispositions</w:t>
      </w:r>
      <w:r w:rsidR="00A41A8E">
        <w:t xml:space="preserve"> rédigé</w:t>
      </w:r>
      <w:r w:rsidR="00E605F4">
        <w:t>e</w:t>
      </w:r>
      <w:r w:rsidR="00A41A8E">
        <w:t>s comme suit :</w:t>
      </w:r>
    </w:p>
    <w:p w14:paraId="18C524F9" w14:textId="77777777" w:rsidR="00A41A8E" w:rsidRPr="00AF6F09" w:rsidRDefault="00A41A8E" w:rsidP="00BB14C6">
      <w:pPr>
        <w:spacing w:after="120" w:line="240" w:lineRule="auto"/>
        <w:jc w:val="both"/>
        <w:rPr>
          <w:rFonts w:cs="Times New Roman"/>
          <w:color w:val="000000"/>
          <w:sz w:val="20"/>
          <w:szCs w:val="20"/>
          <w:shd w:val="clear" w:color="auto" w:fill="FFFFFF"/>
        </w:rPr>
      </w:pPr>
      <w:r w:rsidRPr="00AF6F09">
        <w:rPr>
          <w:rFonts w:cs="Times New Roman"/>
          <w:color w:val="000000"/>
          <w:sz w:val="20"/>
          <w:szCs w:val="20"/>
          <w:shd w:val="clear" w:color="auto" w:fill="FFFFFF"/>
        </w:rPr>
        <w:t xml:space="preserve">« I.- Aucune mesure conservatoire et aucune mesure d'exécution forcée visant un bien </w:t>
      </w:r>
      <w:r w:rsidRPr="001B6ED8">
        <w:rPr>
          <w:rFonts w:cs="Times New Roman"/>
          <w:color w:val="000000"/>
          <w:sz w:val="20"/>
          <w:szCs w:val="20"/>
          <w:shd w:val="clear" w:color="auto" w:fill="FFFFFF"/>
        </w:rPr>
        <w:t>appartenant</w:t>
      </w:r>
      <w:r w:rsidR="001B6ED8" w:rsidRPr="001B6ED8">
        <w:rPr>
          <w:rFonts w:cs="Times New Roman"/>
          <w:color w:val="000000"/>
          <w:sz w:val="20"/>
          <w:szCs w:val="20"/>
          <w:shd w:val="clear" w:color="auto" w:fill="FFFFFF"/>
        </w:rPr>
        <w:t xml:space="preserve"> à un </w:t>
      </w:r>
      <w:r w:rsidR="001B6ED8" w:rsidRPr="001B6ED8">
        <w:rPr>
          <w:rFonts w:cs="Times New Roman"/>
          <w:sz w:val="20"/>
          <w:szCs w:val="20"/>
          <w:shd w:val="clear" w:color="auto" w:fill="FFFFFF"/>
        </w:rPr>
        <w:t>É</w:t>
      </w:r>
      <w:r w:rsidRPr="001B6ED8">
        <w:rPr>
          <w:rFonts w:cs="Times New Roman"/>
          <w:color w:val="000000"/>
          <w:sz w:val="20"/>
          <w:szCs w:val="20"/>
          <w:shd w:val="clear" w:color="auto" w:fill="FFFFFF"/>
        </w:rPr>
        <w:t>tat</w:t>
      </w:r>
      <w:r w:rsidRPr="00AF6F09">
        <w:rPr>
          <w:rFonts w:cs="Times New Roman"/>
          <w:color w:val="000000"/>
          <w:sz w:val="20"/>
          <w:szCs w:val="20"/>
          <w:shd w:val="clear" w:color="auto" w:fill="FFFFFF"/>
        </w:rPr>
        <w:t xml:space="preserve"> étranger ne peut être autorisée par le juge, dans le cadre de l'article L. 111-1-1 du code des procédures civiles d'exécution, à l'initiative du détenteur d'un titre de créance mentionné à l'article L. 213-1 A du code monétaire et financier ou de tout instrument ou droit mentionné à l'article L. 211-41 du même code présentant des caractéristiques analogues à un titre</w:t>
      </w:r>
      <w:r w:rsidR="001B6ED8">
        <w:rPr>
          <w:rFonts w:cs="Times New Roman"/>
          <w:color w:val="000000"/>
          <w:sz w:val="20"/>
          <w:szCs w:val="20"/>
          <w:shd w:val="clear" w:color="auto" w:fill="FFFFFF"/>
        </w:rPr>
        <w:t xml:space="preserve"> de </w:t>
      </w:r>
      <w:r w:rsidR="001B6ED8" w:rsidRPr="001B6ED8">
        <w:rPr>
          <w:rFonts w:cs="Times New Roman"/>
          <w:color w:val="000000"/>
          <w:sz w:val="20"/>
          <w:szCs w:val="20"/>
          <w:shd w:val="clear" w:color="auto" w:fill="FFFFFF"/>
        </w:rPr>
        <w:t xml:space="preserve">créance, à l'encontre d'un </w:t>
      </w:r>
      <w:r w:rsidR="001B6ED8" w:rsidRPr="001B6ED8">
        <w:rPr>
          <w:rFonts w:cs="Times New Roman"/>
          <w:sz w:val="20"/>
          <w:szCs w:val="20"/>
          <w:shd w:val="clear" w:color="auto" w:fill="FFFFFF"/>
        </w:rPr>
        <w:t>É</w:t>
      </w:r>
      <w:r w:rsidRPr="001B6ED8">
        <w:rPr>
          <w:rFonts w:cs="Times New Roman"/>
          <w:color w:val="000000"/>
          <w:sz w:val="20"/>
          <w:szCs w:val="20"/>
          <w:shd w:val="clear" w:color="auto" w:fill="FFFFFF"/>
        </w:rPr>
        <w:t>tat étranger</w:t>
      </w:r>
      <w:r w:rsidRPr="00AF6F09">
        <w:rPr>
          <w:rFonts w:cs="Times New Roman"/>
          <w:color w:val="000000"/>
          <w:sz w:val="20"/>
          <w:szCs w:val="20"/>
          <w:shd w:val="clear" w:color="auto" w:fill="FFFFFF"/>
        </w:rPr>
        <w:t xml:space="preserve"> lorsque les conditions définies aux 1° à 3° du présent I sont remplies : </w:t>
      </w:r>
    </w:p>
    <w:p w14:paraId="5E2821D2" w14:textId="77777777" w:rsidR="00A41A8E" w:rsidRPr="00AF6F09" w:rsidRDefault="001B6ED8" w:rsidP="00BB14C6">
      <w:pPr>
        <w:spacing w:after="120" w:line="240" w:lineRule="auto"/>
        <w:jc w:val="both"/>
        <w:rPr>
          <w:rFonts w:cs="Times New Roman"/>
          <w:color w:val="000000"/>
          <w:sz w:val="20"/>
          <w:szCs w:val="20"/>
          <w:shd w:val="clear" w:color="auto" w:fill="FFFFFF"/>
        </w:rPr>
      </w:pPr>
      <w:r>
        <w:rPr>
          <w:rFonts w:cs="Times New Roman"/>
          <w:color w:val="000000"/>
          <w:sz w:val="20"/>
          <w:szCs w:val="20"/>
          <w:shd w:val="clear" w:color="auto" w:fill="FFFFFF"/>
        </w:rPr>
        <w:t>1°</w:t>
      </w:r>
      <w:r w:rsidRPr="001B6ED8">
        <w:rPr>
          <w:rFonts w:cs="Times New Roman"/>
          <w:color w:val="000000"/>
          <w:sz w:val="20"/>
          <w:szCs w:val="20"/>
          <w:shd w:val="clear" w:color="auto" w:fill="FFFFFF"/>
        </w:rPr>
        <w:t xml:space="preserve"> L'</w:t>
      </w:r>
      <w:r w:rsidRPr="001B6ED8">
        <w:rPr>
          <w:rFonts w:cs="Times New Roman"/>
          <w:sz w:val="20"/>
          <w:szCs w:val="20"/>
          <w:shd w:val="clear" w:color="auto" w:fill="FFFFFF"/>
        </w:rPr>
        <w:t>É</w:t>
      </w:r>
      <w:r w:rsidR="00A41A8E" w:rsidRPr="001B6ED8">
        <w:rPr>
          <w:rFonts w:cs="Times New Roman"/>
          <w:color w:val="000000"/>
          <w:sz w:val="20"/>
          <w:szCs w:val="20"/>
          <w:shd w:val="clear" w:color="auto" w:fill="FFFFFF"/>
        </w:rPr>
        <w:t>tat</w:t>
      </w:r>
      <w:r w:rsidR="00A41A8E" w:rsidRPr="00AF6F09">
        <w:rPr>
          <w:rFonts w:cs="Times New Roman"/>
          <w:color w:val="000000"/>
          <w:sz w:val="20"/>
          <w:szCs w:val="20"/>
          <w:shd w:val="clear" w:color="auto" w:fill="FFFFFF"/>
        </w:rPr>
        <w:t xml:space="preserve"> étranger figurait sur la liste des bénéficiaires de l'aide publique au développement établie par le comité de l'aide au développement de l'Organisation de coopération et de développement économiques lorsqu'il a émis le titre de créance ; </w:t>
      </w:r>
    </w:p>
    <w:p w14:paraId="44A66C6D" w14:textId="77777777" w:rsidR="00A41A8E" w:rsidRPr="00AF6F09" w:rsidRDefault="00A41A8E" w:rsidP="00BB14C6">
      <w:pPr>
        <w:spacing w:after="120" w:line="240" w:lineRule="auto"/>
        <w:jc w:val="both"/>
        <w:rPr>
          <w:rFonts w:cs="Times New Roman"/>
          <w:color w:val="000000"/>
          <w:sz w:val="20"/>
          <w:szCs w:val="20"/>
          <w:shd w:val="clear" w:color="auto" w:fill="FFFFFF"/>
        </w:rPr>
      </w:pPr>
      <w:r w:rsidRPr="00AF6F09">
        <w:rPr>
          <w:rFonts w:cs="Times New Roman"/>
          <w:color w:val="000000"/>
          <w:sz w:val="20"/>
          <w:szCs w:val="20"/>
          <w:shd w:val="clear" w:color="auto" w:fill="FFFFFF"/>
        </w:rPr>
        <w:t>2° Le détenteur du titre de créance</w:t>
      </w:r>
      <w:r w:rsidR="001B6ED8">
        <w:rPr>
          <w:rFonts w:cs="Times New Roman"/>
          <w:color w:val="000000"/>
          <w:sz w:val="20"/>
          <w:szCs w:val="20"/>
          <w:shd w:val="clear" w:color="auto" w:fill="FFFFFF"/>
        </w:rPr>
        <w:t xml:space="preserve"> a acquis ce titre </w:t>
      </w:r>
      <w:r w:rsidR="001B6ED8" w:rsidRPr="001B6ED8">
        <w:rPr>
          <w:rFonts w:cs="Times New Roman"/>
          <w:color w:val="000000"/>
          <w:sz w:val="20"/>
          <w:szCs w:val="20"/>
          <w:shd w:val="clear" w:color="auto" w:fill="FFFFFF"/>
        </w:rPr>
        <w:t>alors que l'</w:t>
      </w:r>
      <w:r w:rsidR="001B6ED8" w:rsidRPr="001B6ED8">
        <w:rPr>
          <w:rFonts w:cs="Times New Roman"/>
          <w:sz w:val="20"/>
          <w:szCs w:val="20"/>
          <w:shd w:val="clear" w:color="auto" w:fill="FFFFFF"/>
        </w:rPr>
        <w:t>É</w:t>
      </w:r>
      <w:r w:rsidRPr="001B6ED8">
        <w:rPr>
          <w:rFonts w:cs="Times New Roman"/>
          <w:color w:val="000000"/>
          <w:sz w:val="20"/>
          <w:szCs w:val="20"/>
          <w:shd w:val="clear" w:color="auto" w:fill="FFFFFF"/>
        </w:rPr>
        <w:t>tat</w:t>
      </w:r>
      <w:r w:rsidRPr="00AF6F09">
        <w:rPr>
          <w:rFonts w:cs="Times New Roman"/>
          <w:color w:val="000000"/>
          <w:sz w:val="20"/>
          <w:szCs w:val="20"/>
          <w:shd w:val="clear" w:color="auto" w:fill="FFFFFF"/>
        </w:rPr>
        <w:t xml:space="preserve"> étranger se trouvait en situation de défaut sur ce titre de créance ou avait proposé une modification des termes du titre de créance ; </w:t>
      </w:r>
    </w:p>
    <w:p w14:paraId="3F9A6418" w14:textId="77777777" w:rsidR="006B2195" w:rsidRPr="00AF6F09" w:rsidRDefault="00A41A8E" w:rsidP="00BB14C6">
      <w:pPr>
        <w:spacing w:after="120" w:line="240" w:lineRule="auto"/>
        <w:jc w:val="both"/>
        <w:rPr>
          <w:rFonts w:cs="Times New Roman"/>
          <w:color w:val="000000"/>
          <w:sz w:val="20"/>
          <w:szCs w:val="20"/>
          <w:shd w:val="clear" w:color="auto" w:fill="FFFFFF"/>
        </w:rPr>
      </w:pPr>
      <w:r w:rsidRPr="00AF6F09">
        <w:rPr>
          <w:rFonts w:cs="Times New Roman"/>
          <w:color w:val="000000"/>
          <w:sz w:val="20"/>
          <w:szCs w:val="20"/>
          <w:shd w:val="clear" w:color="auto" w:fill="FFFFFF"/>
        </w:rPr>
        <w:t xml:space="preserve">3° La situation de défaut sur le titre de créance date de moins de quarante-huit mois au moment où le détenteur du titre de créance sollicite du juge une ordonnance sur requête l'autorisant à pratiquer une mesure d'exécution forcée ou une mesure conservatoire, ou la première proposition de modification des termes du titre de créance date de moins de quarante-huit mois au moment où le détenteur du titre de créance sollicite du juge une ordonnance sur </w:t>
      </w:r>
      <w:r w:rsidRPr="00AF6F09">
        <w:rPr>
          <w:rFonts w:cs="Times New Roman"/>
          <w:color w:val="000000"/>
          <w:sz w:val="20"/>
          <w:szCs w:val="20"/>
          <w:shd w:val="clear" w:color="auto" w:fill="FFFFFF"/>
        </w:rPr>
        <w:lastRenderedPageBreak/>
        <w:t>requête l'autorisant à pratiquer une mesure d'exécution forcée ou une mesure conservatoire, ou une proposition de modification, applicable au titre de créance, a été acceptée par des créanciers représentant au moins 66 % du montant en principal des créances éligibles, indépendamment du seuil requis, le cas échéant, pour l'entrée en vigueur.</w:t>
      </w:r>
    </w:p>
    <w:p w14:paraId="20FEC609" w14:textId="77777777" w:rsidR="006B2195" w:rsidRPr="00AF6F09" w:rsidRDefault="00A41A8E" w:rsidP="00BB14C6">
      <w:pPr>
        <w:spacing w:after="120" w:line="240" w:lineRule="auto"/>
        <w:jc w:val="both"/>
        <w:rPr>
          <w:rFonts w:cs="Times New Roman"/>
          <w:color w:val="000000"/>
          <w:sz w:val="20"/>
          <w:szCs w:val="20"/>
          <w:shd w:val="clear" w:color="auto" w:fill="FFFFFF"/>
        </w:rPr>
      </w:pPr>
      <w:r w:rsidRPr="00AF6F09">
        <w:rPr>
          <w:rFonts w:cs="Times New Roman"/>
          <w:color w:val="000000"/>
          <w:sz w:val="20"/>
          <w:szCs w:val="20"/>
          <w:shd w:val="clear" w:color="auto" w:fill="FFFFFF"/>
        </w:rPr>
        <w:t>II.- Le juge peut porter les deux limites de délai de quarante-huit mois mentionnées au 3° du I du présent article à soixante-douze mois en cas de comportement manifestement abusif du détenteur du titre de créance.</w:t>
      </w:r>
    </w:p>
    <w:p w14:paraId="69000E86" w14:textId="77777777" w:rsidR="00A41A8E" w:rsidRPr="00AF6F09" w:rsidRDefault="00A41A8E" w:rsidP="00BB14C6">
      <w:pPr>
        <w:spacing w:after="120" w:line="240" w:lineRule="auto"/>
        <w:jc w:val="both"/>
        <w:rPr>
          <w:rFonts w:cs="Times New Roman"/>
          <w:color w:val="000000"/>
          <w:sz w:val="20"/>
          <w:szCs w:val="20"/>
          <w:shd w:val="clear" w:color="auto" w:fill="FFFFFF"/>
        </w:rPr>
      </w:pPr>
      <w:r w:rsidRPr="00AF6F09">
        <w:rPr>
          <w:rFonts w:cs="Times New Roman"/>
          <w:color w:val="000000"/>
          <w:sz w:val="20"/>
          <w:szCs w:val="20"/>
          <w:shd w:val="clear" w:color="auto" w:fill="FFFFFF"/>
        </w:rPr>
        <w:t>III.- La situation de défaut est définie conformément aux clauses prévues dans le contrat d'émission ou, en l'absence de telles clauses, par un manquement à l'échéance initiale prévue dans le contrat d'émission.</w:t>
      </w:r>
    </w:p>
    <w:p w14:paraId="423A20EB" w14:textId="77777777" w:rsidR="006B2195" w:rsidRPr="00AF6F09" w:rsidRDefault="00A41A8E" w:rsidP="00BB14C6">
      <w:pPr>
        <w:spacing w:after="120" w:line="240" w:lineRule="auto"/>
        <w:jc w:val="both"/>
        <w:rPr>
          <w:rFonts w:cs="Times New Roman"/>
          <w:color w:val="000000"/>
          <w:sz w:val="20"/>
          <w:szCs w:val="20"/>
          <w:shd w:val="clear" w:color="auto" w:fill="FFFFFF"/>
        </w:rPr>
      </w:pPr>
      <w:r w:rsidRPr="00AF6F09">
        <w:rPr>
          <w:rFonts w:cs="Times New Roman"/>
          <w:color w:val="000000"/>
          <w:sz w:val="20"/>
          <w:szCs w:val="20"/>
          <w:shd w:val="clear" w:color="auto" w:fill="FFFFFF"/>
        </w:rPr>
        <w:t>IV.- Les mesures conservatoires et les mesures d'exécution forcée v</w:t>
      </w:r>
      <w:r w:rsidR="001B6ED8">
        <w:rPr>
          <w:rFonts w:cs="Times New Roman"/>
          <w:color w:val="000000"/>
          <w:sz w:val="20"/>
          <w:szCs w:val="20"/>
          <w:shd w:val="clear" w:color="auto" w:fill="FFFFFF"/>
        </w:rPr>
        <w:t xml:space="preserve">isant un bien appartenant </w:t>
      </w:r>
      <w:r w:rsidR="001B6ED8" w:rsidRPr="001B6ED8">
        <w:rPr>
          <w:rFonts w:cs="Times New Roman"/>
          <w:color w:val="000000"/>
          <w:sz w:val="20"/>
          <w:szCs w:val="20"/>
          <w:shd w:val="clear" w:color="auto" w:fill="FFFFFF"/>
        </w:rPr>
        <w:t xml:space="preserve">à un </w:t>
      </w:r>
      <w:r w:rsidR="001B6ED8" w:rsidRPr="001B6ED8">
        <w:rPr>
          <w:rFonts w:cs="Times New Roman"/>
          <w:sz w:val="20"/>
          <w:szCs w:val="20"/>
          <w:shd w:val="clear" w:color="auto" w:fill="FFFFFF"/>
        </w:rPr>
        <w:t>É</w:t>
      </w:r>
      <w:r w:rsidRPr="001B6ED8">
        <w:rPr>
          <w:rFonts w:cs="Times New Roman"/>
          <w:color w:val="000000"/>
          <w:sz w:val="20"/>
          <w:szCs w:val="20"/>
          <w:shd w:val="clear" w:color="auto" w:fill="FFFFFF"/>
        </w:rPr>
        <w:t>tat étranger</w:t>
      </w:r>
      <w:r w:rsidRPr="00AF6F09">
        <w:rPr>
          <w:rFonts w:cs="Times New Roman"/>
          <w:color w:val="000000"/>
          <w:sz w:val="20"/>
          <w:szCs w:val="20"/>
          <w:shd w:val="clear" w:color="auto" w:fill="FFFFFF"/>
        </w:rPr>
        <w:t xml:space="preserve"> peuvent être autorisées par le juge lorsqu'une proposition de modification des termes du contrat d'émission, applicable au titre de créance détenu par le créancier, a été acceptée par des créanciers représentant au moins 66 % du montant en principal des créances éligibles et est entrée en vigueur, et que le détenteur du titre de créance a sollicité la mise en œuvre d'une ou plusieurs mesures d'exécution forcée ou mesures conservatoires pour des sommes dont le montant total est inférieur ou égal au montant qu'il aurait obtenu s'il avait accepté ladite proposition.</w:t>
      </w:r>
    </w:p>
    <w:p w14:paraId="4B0DA2F9" w14:textId="77777777" w:rsidR="00A41A8E" w:rsidRPr="00AF6F09" w:rsidRDefault="00A41A8E" w:rsidP="00BB14C6">
      <w:pPr>
        <w:spacing w:after="120" w:line="240" w:lineRule="auto"/>
        <w:jc w:val="both"/>
        <w:rPr>
          <w:rFonts w:cs="Times New Roman"/>
          <w:color w:val="000000"/>
          <w:sz w:val="20"/>
          <w:szCs w:val="20"/>
          <w:shd w:val="clear" w:color="auto" w:fill="FFFFFF"/>
        </w:rPr>
      </w:pPr>
      <w:r w:rsidRPr="00AF6F09">
        <w:rPr>
          <w:rFonts w:cs="Times New Roman"/>
          <w:color w:val="000000"/>
          <w:sz w:val="20"/>
          <w:szCs w:val="20"/>
          <w:shd w:val="clear" w:color="auto" w:fill="FFFFFF"/>
        </w:rPr>
        <w:t>V.- Pour l'application du prése</w:t>
      </w:r>
      <w:r w:rsidR="001B6ED8">
        <w:rPr>
          <w:rFonts w:cs="Times New Roman"/>
          <w:color w:val="000000"/>
          <w:sz w:val="20"/>
          <w:szCs w:val="20"/>
          <w:shd w:val="clear" w:color="auto" w:fill="FFFFFF"/>
        </w:rPr>
        <w:t xml:space="preserve">nt article, </w:t>
      </w:r>
      <w:r w:rsidR="001B6ED8" w:rsidRPr="001B6ED8">
        <w:rPr>
          <w:rFonts w:cs="Times New Roman"/>
          <w:color w:val="000000"/>
          <w:sz w:val="20"/>
          <w:szCs w:val="20"/>
          <w:shd w:val="clear" w:color="auto" w:fill="FFFFFF"/>
        </w:rPr>
        <w:t>sont assimilés à l'</w:t>
      </w:r>
      <w:r w:rsidR="001B6ED8" w:rsidRPr="001B6ED8">
        <w:rPr>
          <w:rFonts w:cs="Times New Roman"/>
          <w:sz w:val="20"/>
          <w:szCs w:val="20"/>
          <w:shd w:val="clear" w:color="auto" w:fill="FFFFFF"/>
        </w:rPr>
        <w:t>É</w:t>
      </w:r>
      <w:r w:rsidR="001B6ED8" w:rsidRPr="001B6ED8">
        <w:rPr>
          <w:rFonts w:cs="Times New Roman"/>
          <w:color w:val="000000"/>
          <w:sz w:val="20"/>
          <w:szCs w:val="20"/>
          <w:shd w:val="clear" w:color="auto" w:fill="FFFFFF"/>
        </w:rPr>
        <w:t>tat étranger l'</w:t>
      </w:r>
      <w:r w:rsidR="001B6ED8" w:rsidRPr="001B6ED8">
        <w:rPr>
          <w:rFonts w:cs="Times New Roman"/>
          <w:sz w:val="20"/>
          <w:szCs w:val="20"/>
          <w:shd w:val="clear" w:color="auto" w:fill="FFFFFF"/>
        </w:rPr>
        <w:t>É</w:t>
      </w:r>
      <w:r w:rsidR="001B6ED8" w:rsidRPr="001B6ED8">
        <w:rPr>
          <w:rFonts w:cs="Times New Roman"/>
          <w:color w:val="000000"/>
          <w:sz w:val="20"/>
          <w:szCs w:val="20"/>
          <w:shd w:val="clear" w:color="auto" w:fill="FFFFFF"/>
        </w:rPr>
        <w:t xml:space="preserve">tat central, les </w:t>
      </w:r>
      <w:r w:rsidR="001B6ED8" w:rsidRPr="001B6ED8">
        <w:rPr>
          <w:rFonts w:cs="Times New Roman"/>
          <w:sz w:val="20"/>
          <w:szCs w:val="20"/>
          <w:shd w:val="clear" w:color="auto" w:fill="FFFFFF"/>
        </w:rPr>
        <w:t>É</w:t>
      </w:r>
      <w:r w:rsidRPr="001B6ED8">
        <w:rPr>
          <w:rFonts w:cs="Times New Roman"/>
          <w:color w:val="000000"/>
          <w:sz w:val="20"/>
          <w:szCs w:val="20"/>
          <w:shd w:val="clear" w:color="auto" w:fill="FFFFFF"/>
        </w:rPr>
        <w:t>tats fédérés</w:t>
      </w:r>
      <w:r w:rsidRPr="00AF6F09">
        <w:rPr>
          <w:rFonts w:cs="Times New Roman"/>
          <w:color w:val="000000"/>
          <w:sz w:val="20"/>
          <w:szCs w:val="20"/>
          <w:shd w:val="clear" w:color="auto" w:fill="FFFFFF"/>
        </w:rPr>
        <w:t xml:space="preserve"> et leurs établissements publics.</w:t>
      </w:r>
    </w:p>
    <w:p w14:paraId="65320EDC" w14:textId="77777777" w:rsidR="00A41A8E" w:rsidRPr="00AF6F09" w:rsidRDefault="00A41A8E" w:rsidP="00BB14C6">
      <w:pPr>
        <w:spacing w:after="120" w:line="240" w:lineRule="auto"/>
        <w:jc w:val="both"/>
        <w:rPr>
          <w:rFonts w:cs="Times New Roman"/>
          <w:color w:val="000000"/>
          <w:sz w:val="20"/>
          <w:szCs w:val="20"/>
          <w:shd w:val="clear" w:color="auto" w:fill="FFFFFF"/>
        </w:rPr>
      </w:pPr>
      <w:r w:rsidRPr="00AF6F09">
        <w:rPr>
          <w:rFonts w:cs="Times New Roman"/>
          <w:color w:val="000000"/>
          <w:sz w:val="20"/>
          <w:szCs w:val="20"/>
          <w:shd w:val="clear" w:color="auto" w:fill="FFFFFF"/>
        </w:rPr>
        <w:t>VI.- Le présent article s'applique aux titres de créance acquis à compter de son entrée en vigueur. </w:t>
      </w:r>
    </w:p>
    <w:p w14:paraId="4C70F70C" w14:textId="77777777" w:rsidR="00A41A8E" w:rsidRPr="00AF6F09" w:rsidRDefault="00A41A8E" w:rsidP="00BB14C6">
      <w:pPr>
        <w:spacing w:after="120" w:line="240" w:lineRule="auto"/>
        <w:jc w:val="both"/>
        <w:rPr>
          <w:rFonts w:cs="Times New Roman"/>
          <w:color w:val="000000"/>
          <w:sz w:val="20"/>
          <w:szCs w:val="20"/>
          <w:shd w:val="clear" w:color="auto" w:fill="FFFFFF"/>
        </w:rPr>
      </w:pPr>
      <w:r w:rsidRPr="00AF6F09">
        <w:rPr>
          <w:rFonts w:cs="Times New Roman"/>
          <w:color w:val="000000"/>
          <w:sz w:val="20"/>
          <w:szCs w:val="20"/>
          <w:shd w:val="clear" w:color="auto" w:fill="FFFFFF"/>
        </w:rPr>
        <w:t>VII.- Le présent article est applicable sur tout le territoire de la République française, sous réserve, pour son application en Nouvelle-Calédonie et en Polynésie française, de remplacer les références au code des procédures civiles d'exécution par les dispositions applicables localement ayant le même effet. </w:t>
      </w:r>
    </w:p>
    <w:p w14:paraId="24C25B22" w14:textId="77777777" w:rsidR="00A41A8E" w:rsidRPr="00AF6F09" w:rsidRDefault="00A41A8E" w:rsidP="00BB14C6">
      <w:pPr>
        <w:spacing w:after="120" w:line="240" w:lineRule="auto"/>
        <w:jc w:val="both"/>
        <w:rPr>
          <w:rFonts w:cs="Times New Roman"/>
          <w:color w:val="000000"/>
          <w:sz w:val="20"/>
          <w:szCs w:val="20"/>
          <w:shd w:val="clear" w:color="auto" w:fill="FFFFFF"/>
        </w:rPr>
      </w:pPr>
      <w:r w:rsidRPr="00AF6F09">
        <w:rPr>
          <w:rFonts w:cs="Times New Roman"/>
          <w:color w:val="000000"/>
          <w:sz w:val="20"/>
          <w:szCs w:val="20"/>
          <w:shd w:val="clear" w:color="auto" w:fill="FFFFFF"/>
        </w:rPr>
        <w:t>VIII.- Pour l'application du présent article, sont assimilées aux titres de créance les créances nées d'une opération de crédit mentionnée à l'article L. 311-1 du code monétaire et financier. </w:t>
      </w:r>
    </w:p>
    <w:p w14:paraId="4F2EDDAD" w14:textId="77777777" w:rsidR="00771188" w:rsidRPr="00AF6F09" w:rsidRDefault="00A41A8E" w:rsidP="00BB14C6">
      <w:pPr>
        <w:spacing w:after="120" w:line="240" w:lineRule="auto"/>
        <w:jc w:val="both"/>
        <w:rPr>
          <w:rFonts w:cs="Times New Roman"/>
          <w:color w:val="000000"/>
          <w:sz w:val="20"/>
          <w:szCs w:val="20"/>
          <w:shd w:val="clear" w:color="auto" w:fill="FFFFFF"/>
        </w:rPr>
      </w:pPr>
      <w:r w:rsidRPr="00AF6F09">
        <w:rPr>
          <w:rFonts w:cs="Times New Roman"/>
          <w:color w:val="000000"/>
          <w:sz w:val="20"/>
          <w:szCs w:val="20"/>
          <w:shd w:val="clear" w:color="auto" w:fill="FFFFFF"/>
        </w:rPr>
        <w:t>IX.- Le détenteur du titre de créance communique, à peine d'irrecevabilité, l'acte par lequel il a acquis la créance à raison de laquelle il demande une mesure conservatoire ou une mesure d'exécution forcée et fait connaître la date et l'intégralité des conditions financières de l'acquisition. Ces informations sont certifiées par un commissaire aux comptes ».</w:t>
      </w:r>
    </w:p>
    <w:p w14:paraId="53FB03C6" w14:textId="77777777" w:rsidR="00AA34BC" w:rsidRPr="00A41A8E" w:rsidRDefault="00AA34BC" w:rsidP="00BB14C6">
      <w:pPr>
        <w:spacing w:after="120" w:line="240" w:lineRule="auto"/>
        <w:jc w:val="both"/>
        <w:rPr>
          <w:rFonts w:ascii="Arial" w:hAnsi="Arial" w:cs="Arial"/>
          <w:color w:val="000000"/>
          <w:sz w:val="19"/>
          <w:szCs w:val="19"/>
          <w:shd w:val="clear" w:color="auto" w:fill="FFFFFF"/>
        </w:rPr>
      </w:pPr>
    </w:p>
    <w:p w14:paraId="5FCC992C" w14:textId="77777777" w:rsidR="0085257C" w:rsidRDefault="0085257C" w:rsidP="00C078EE">
      <w:pPr>
        <w:pStyle w:val="Titre2"/>
      </w:pPr>
      <w:r>
        <w:br w:type="page"/>
      </w:r>
    </w:p>
    <w:p w14:paraId="471D0972" w14:textId="339B077E" w:rsidR="004D77AF" w:rsidRDefault="005638D4" w:rsidP="005638D4">
      <w:pPr>
        <w:pStyle w:val="Titre1"/>
        <w:pBdr>
          <w:top w:val="none" w:sz="0" w:space="0" w:color="auto"/>
          <w:left w:val="none" w:sz="0" w:space="0" w:color="auto"/>
          <w:bottom w:val="none" w:sz="0" w:space="0" w:color="auto"/>
          <w:right w:val="none" w:sz="0" w:space="0" w:color="auto"/>
        </w:pBdr>
      </w:pPr>
      <w:r>
        <w:lastRenderedPageBreak/>
        <w:t xml:space="preserve">Section II : </w:t>
      </w:r>
      <w:r w:rsidR="004D77AF">
        <w:t xml:space="preserve">Le </w:t>
      </w:r>
      <w:r w:rsidR="00416902">
        <w:t>mécanisme</w:t>
      </w:r>
      <w:r w:rsidR="00A761C6">
        <w:t xml:space="preserve"> mis en place</w:t>
      </w:r>
    </w:p>
    <w:p w14:paraId="400039CC" w14:textId="77777777" w:rsidR="00796BB5" w:rsidRDefault="00796BB5" w:rsidP="00C078EE">
      <w:pPr>
        <w:jc w:val="both"/>
      </w:pPr>
    </w:p>
    <w:p w14:paraId="63B629B7" w14:textId="4CBB4F4B" w:rsidR="004465FB" w:rsidRDefault="007B09B7" w:rsidP="004465FB">
      <w:pPr>
        <w:jc w:val="both"/>
      </w:pPr>
      <w:r>
        <w:rPr>
          <w:b/>
        </w:rPr>
        <w:t>7</w:t>
      </w:r>
      <w:r w:rsidR="00416902">
        <w:rPr>
          <w:b/>
        </w:rPr>
        <w:t>. L</w:t>
      </w:r>
      <w:r w:rsidR="0041528B">
        <w:rPr>
          <w:b/>
        </w:rPr>
        <w:t>e principe de l’i</w:t>
      </w:r>
      <w:r w:rsidR="00C13162">
        <w:rPr>
          <w:b/>
        </w:rPr>
        <w:t>nterdiction de mise</w:t>
      </w:r>
      <w:r w:rsidR="00416902">
        <w:rPr>
          <w:b/>
        </w:rPr>
        <w:t xml:space="preserve"> en œuvre de mesures de contrainte </w:t>
      </w:r>
      <w:r w:rsidR="00A12838">
        <w:rPr>
          <w:b/>
        </w:rPr>
        <w:t>-</w:t>
      </w:r>
      <w:r w:rsidR="00416902">
        <w:rPr>
          <w:b/>
        </w:rPr>
        <w:t xml:space="preserve"> </w:t>
      </w:r>
      <w:r w:rsidR="00416902" w:rsidRPr="00416902">
        <w:t>L’article 60 de la loi Sapin II</w:t>
      </w:r>
      <w:r w:rsidR="00416902">
        <w:rPr>
          <w:b/>
        </w:rPr>
        <w:t xml:space="preserve"> </w:t>
      </w:r>
      <w:r>
        <w:t>vise à</w:t>
      </w:r>
      <w:r w:rsidR="00416902">
        <w:t xml:space="preserve"> lutte</w:t>
      </w:r>
      <w:r>
        <w:t>r</w:t>
      </w:r>
      <w:r w:rsidR="00416902">
        <w:t xml:space="preserve"> contre les activités des fonds vautours en rendant impossibles les mesures conservatoires et </w:t>
      </w:r>
      <w:r w:rsidR="009054E6">
        <w:t xml:space="preserve">les mesures </w:t>
      </w:r>
      <w:r w:rsidR="00416902">
        <w:t>d’exécution forcée qu’ils chercheraient à mettre en œuvre</w:t>
      </w:r>
      <w:r w:rsidR="00DE7BAE">
        <w:t xml:space="preserve"> </w:t>
      </w:r>
      <w:r w:rsidR="00416902">
        <w:t xml:space="preserve">sur des biens </w:t>
      </w:r>
      <w:r w:rsidR="00DE7BAE">
        <w:t xml:space="preserve">situés en France </w:t>
      </w:r>
      <w:r w:rsidR="001B6ED8">
        <w:t xml:space="preserve">appartenant à des </w:t>
      </w:r>
      <w:r w:rsidR="001B6ED8" w:rsidRPr="001B6ED8">
        <w:rPr>
          <w:rFonts w:cs="Times New Roman"/>
          <w:szCs w:val="24"/>
          <w:shd w:val="clear" w:color="auto" w:fill="FFFFFF"/>
        </w:rPr>
        <w:t>É</w:t>
      </w:r>
      <w:r w:rsidR="00416902">
        <w:t>tats étrangers</w:t>
      </w:r>
      <w:r w:rsidR="009054E6">
        <w:rPr>
          <w:rStyle w:val="Appelnotedebasdep"/>
        </w:rPr>
        <w:footnoteReference w:id="46"/>
      </w:r>
      <w:r w:rsidR="00DE7BAE">
        <w:t xml:space="preserve"> </w:t>
      </w:r>
      <w:r w:rsidR="00DE7BAE">
        <w:rPr>
          <w:rStyle w:val="Appelnotedebasdep"/>
        </w:rPr>
        <w:footnoteReference w:id="47"/>
      </w:r>
      <w:r w:rsidR="00416902">
        <w:t xml:space="preserve">. En </w:t>
      </w:r>
      <w:r w:rsidR="0041528B">
        <w:t>règle</w:t>
      </w:r>
      <w:r w:rsidR="00416902">
        <w:t>, les mesures</w:t>
      </w:r>
      <w:r w:rsidR="001B6ED8">
        <w:t xml:space="preserve"> de contrainte sur les biens d’</w:t>
      </w:r>
      <w:r w:rsidR="001B6ED8" w:rsidRPr="001B6ED8">
        <w:rPr>
          <w:rFonts w:cs="Times New Roman"/>
          <w:szCs w:val="24"/>
          <w:shd w:val="clear" w:color="auto" w:fill="FFFFFF"/>
        </w:rPr>
        <w:t>É</w:t>
      </w:r>
      <w:r w:rsidR="00416902">
        <w:t>tats étrangers devant être préala</w:t>
      </w:r>
      <w:r w:rsidR="00416902" w:rsidRPr="0041528B">
        <w:rPr>
          <w:szCs w:val="24"/>
        </w:rPr>
        <w:t xml:space="preserve">blement autorisées par le juge </w:t>
      </w:r>
      <w:r w:rsidR="0041528B" w:rsidRPr="0041528B">
        <w:rPr>
          <w:rFonts w:cs="Times New Roman"/>
          <w:color w:val="000000"/>
          <w:szCs w:val="24"/>
          <w:shd w:val="clear" w:color="auto" w:fill="FFFFFF"/>
        </w:rPr>
        <w:t>dans le cadre de l'article L. 111-1-1 du code des procédures civiles d'exécution</w:t>
      </w:r>
      <w:r w:rsidR="0041528B">
        <w:rPr>
          <w:rFonts w:cs="Times New Roman"/>
          <w:color w:val="000000"/>
          <w:szCs w:val="24"/>
          <w:shd w:val="clear" w:color="auto" w:fill="FFFFFF"/>
        </w:rPr>
        <w:t xml:space="preserve">, le législateur français lui interdit de donner cette autorisation lorsque différentes conditions illustratives d’un comportement vautour sont rencontrées. </w:t>
      </w:r>
      <w:r w:rsidR="004465FB">
        <w:t>C’est ainsi que les parlementaires présentant l’amendement ayant conduit à l’adoption de l’article 60 indiquèrent que celui-ci a pour objectif « de priver d’effet les mesures conservatoires et les mesures d’exécution forcée lorsque sont réunies les caractéristiques du compo</w:t>
      </w:r>
      <w:r w:rsidR="007B117D">
        <w:t>rtement d’un fonds “procédurier”</w:t>
      </w:r>
      <w:r w:rsidR="004465FB">
        <w:t> »</w:t>
      </w:r>
      <w:r w:rsidR="004465FB">
        <w:rPr>
          <w:rStyle w:val="Appelnotedebasdep"/>
        </w:rPr>
        <w:footnoteReference w:id="48"/>
      </w:r>
      <w:r w:rsidR="004465FB">
        <w:t>.</w:t>
      </w:r>
    </w:p>
    <w:p w14:paraId="5E6B2CD1" w14:textId="77777777" w:rsidR="00416902" w:rsidRDefault="004465FB" w:rsidP="00D7562B">
      <w:pPr>
        <w:jc w:val="both"/>
        <w:rPr>
          <w:rFonts w:cs="Times New Roman"/>
          <w:color w:val="000000"/>
          <w:szCs w:val="24"/>
          <w:shd w:val="clear" w:color="auto" w:fill="FFFFFF"/>
        </w:rPr>
      </w:pPr>
      <w:r>
        <w:rPr>
          <w:rFonts w:cs="Times New Roman"/>
          <w:color w:val="000000"/>
          <w:szCs w:val="24"/>
          <w:shd w:val="clear" w:color="auto" w:fill="FFFFFF"/>
        </w:rPr>
        <w:t xml:space="preserve">Et l’interdiction faite au juge est stricte ; </w:t>
      </w:r>
      <w:r>
        <w:t>comme l’indique Paul Giraud, le juge doit refuser d’autoriser quelque mesure de contrainte sollicitée sur un bien étatique lorsque les conditions visées à l’article 60 sont rencontrées, le juge « ne pourra pas exercer un pouvoir d’appréciation sur cette demande : l’interdiction est stricte et rigoureuse, comme</w:t>
      </w:r>
      <w:r w:rsidR="007B117D">
        <w:t xml:space="preserve"> en témoigne l’adjectif “aucune”</w:t>
      </w:r>
      <w:r>
        <w:t> »</w:t>
      </w:r>
      <w:r>
        <w:rPr>
          <w:rStyle w:val="Appelnotedebasdep"/>
        </w:rPr>
        <w:footnoteReference w:id="49"/>
      </w:r>
      <w:r>
        <w:t>.</w:t>
      </w:r>
      <w:r w:rsidR="007D4BF1">
        <w:rPr>
          <w:rFonts w:cs="Times New Roman"/>
          <w:color w:val="000000"/>
          <w:szCs w:val="24"/>
          <w:shd w:val="clear" w:color="auto" w:fill="FFFFFF"/>
        </w:rPr>
        <w:t xml:space="preserve"> Notons toutefois d’ores et déjà que</w:t>
      </w:r>
      <w:r w:rsidR="00824FD7">
        <w:rPr>
          <w:rFonts w:cs="Times New Roman"/>
          <w:color w:val="000000"/>
          <w:szCs w:val="24"/>
          <w:shd w:val="clear" w:color="auto" w:fill="FFFFFF"/>
        </w:rPr>
        <w:t xml:space="preserve"> </w:t>
      </w:r>
      <w:r w:rsidR="005E5966">
        <w:rPr>
          <w:rFonts w:cs="Times New Roman"/>
          <w:color w:val="000000"/>
          <w:szCs w:val="24"/>
          <w:shd w:val="clear" w:color="auto" w:fill="FFFFFF"/>
        </w:rPr>
        <w:t>la disposition</w:t>
      </w:r>
      <w:r w:rsidR="00824FD7">
        <w:rPr>
          <w:rFonts w:cs="Times New Roman"/>
          <w:color w:val="000000"/>
          <w:szCs w:val="24"/>
          <w:shd w:val="clear" w:color="auto" w:fill="FFFFFF"/>
        </w:rPr>
        <w:t xml:space="preserve"> </w:t>
      </w:r>
      <w:r w:rsidR="0041528B">
        <w:rPr>
          <w:rFonts w:cs="Times New Roman"/>
          <w:color w:val="000000"/>
          <w:szCs w:val="24"/>
          <w:shd w:val="clear" w:color="auto" w:fill="FFFFFF"/>
        </w:rPr>
        <w:t>IV de l’article 60 prévoit une exception</w:t>
      </w:r>
      <w:r w:rsidR="007D4BF1">
        <w:rPr>
          <w:rFonts w:cs="Times New Roman"/>
          <w:color w:val="000000"/>
          <w:szCs w:val="24"/>
          <w:shd w:val="clear" w:color="auto" w:fill="FFFFFF"/>
        </w:rPr>
        <w:t xml:space="preserve"> à cette interdiction</w:t>
      </w:r>
      <w:r w:rsidR="0041528B">
        <w:rPr>
          <w:rFonts w:cs="Times New Roman"/>
          <w:color w:val="000000"/>
          <w:szCs w:val="24"/>
          <w:shd w:val="clear" w:color="auto" w:fill="FFFFFF"/>
        </w:rPr>
        <w:t>, précisé</w:t>
      </w:r>
      <w:r w:rsidR="001B6ED8">
        <w:rPr>
          <w:rFonts w:cs="Times New Roman"/>
          <w:color w:val="000000"/>
          <w:szCs w:val="24"/>
          <w:shd w:val="clear" w:color="auto" w:fill="FFFFFF"/>
        </w:rPr>
        <w:t>ment lorsque le créancier de l’</w:t>
      </w:r>
      <w:r w:rsidR="001B6ED8" w:rsidRPr="001B6ED8">
        <w:rPr>
          <w:rFonts w:cs="Times New Roman"/>
          <w:szCs w:val="24"/>
          <w:shd w:val="clear" w:color="auto" w:fill="FFFFFF"/>
        </w:rPr>
        <w:t>É</w:t>
      </w:r>
      <w:r w:rsidR="0041528B">
        <w:rPr>
          <w:rFonts w:cs="Times New Roman"/>
          <w:color w:val="000000"/>
          <w:szCs w:val="24"/>
          <w:shd w:val="clear" w:color="auto" w:fill="FFFFFF"/>
        </w:rPr>
        <w:t>tat étranger fait montre d’une certaine mesure</w:t>
      </w:r>
      <w:r w:rsidR="007D4BF1">
        <w:rPr>
          <w:rStyle w:val="Appelnotedebasdep"/>
          <w:rFonts w:cs="Times New Roman"/>
          <w:color w:val="000000"/>
          <w:szCs w:val="24"/>
          <w:shd w:val="clear" w:color="auto" w:fill="FFFFFF"/>
        </w:rPr>
        <w:footnoteReference w:id="50"/>
      </w:r>
      <w:r w:rsidR="0041528B">
        <w:rPr>
          <w:rFonts w:cs="Times New Roman"/>
          <w:color w:val="000000"/>
          <w:szCs w:val="24"/>
          <w:shd w:val="clear" w:color="auto" w:fill="FFFFFF"/>
        </w:rPr>
        <w:t>.</w:t>
      </w:r>
    </w:p>
    <w:p w14:paraId="50A337E0" w14:textId="77777777" w:rsidR="00B33E62" w:rsidRDefault="00B33E62" w:rsidP="00D7562B">
      <w:pPr>
        <w:jc w:val="both"/>
        <w:rPr>
          <w:rFonts w:cs="Times New Roman"/>
          <w:color w:val="000000"/>
          <w:szCs w:val="24"/>
          <w:shd w:val="clear" w:color="auto" w:fill="FFFFFF"/>
        </w:rPr>
      </w:pPr>
    </w:p>
    <w:p w14:paraId="20A36012" w14:textId="77777777" w:rsidR="002C5233" w:rsidRDefault="007B09B7" w:rsidP="002C5233">
      <w:pPr>
        <w:jc w:val="both"/>
      </w:pPr>
      <w:r>
        <w:rPr>
          <w:b/>
          <w:szCs w:val="24"/>
        </w:rPr>
        <w:t>8</w:t>
      </w:r>
      <w:r w:rsidR="00824FD7" w:rsidRPr="00824FD7">
        <w:rPr>
          <w:b/>
          <w:szCs w:val="24"/>
        </w:rPr>
        <w:t>. L’autorisation judiciaire préalable -</w:t>
      </w:r>
      <w:r>
        <w:rPr>
          <w:b/>
          <w:szCs w:val="24"/>
        </w:rPr>
        <w:t xml:space="preserve"> </w:t>
      </w:r>
      <w:r>
        <w:rPr>
          <w:rFonts w:cs="Times New Roman"/>
          <w:color w:val="000000"/>
          <w:szCs w:val="24"/>
          <w:shd w:val="clear" w:color="auto" w:fill="FFFFFF"/>
        </w:rPr>
        <w:t>L’article 60 renvoie à l’article L. 111-1-1 du code des procédures civiles d’exécution inséré par l’article 59</w:t>
      </w:r>
      <w:r>
        <w:rPr>
          <w:szCs w:val="24"/>
        </w:rPr>
        <w:t xml:space="preserve"> qui </w:t>
      </w:r>
      <w:r>
        <w:rPr>
          <w:rFonts w:cs="Times New Roman"/>
          <w:szCs w:val="24"/>
        </w:rPr>
        <w:t>dispose</w:t>
      </w:r>
      <w:r w:rsidRPr="00771188">
        <w:rPr>
          <w:rFonts w:cs="Times New Roman"/>
          <w:szCs w:val="24"/>
        </w:rPr>
        <w:t xml:space="preserve"> que « </w:t>
      </w:r>
      <w:r w:rsidRPr="00A23453">
        <w:rPr>
          <w:rFonts w:cs="Times New Roman"/>
          <w:color w:val="000000"/>
          <w:szCs w:val="24"/>
          <w:shd w:val="clear" w:color="auto" w:fill="FFFFFF"/>
        </w:rPr>
        <w:t>(d)es mesures conservatoires ou des mesures d'exécution forcée ne peuvent être mises en œuvre sur un bien</w:t>
      </w:r>
      <w:r w:rsidR="001B6ED8">
        <w:rPr>
          <w:rFonts w:cs="Times New Roman"/>
          <w:color w:val="000000"/>
          <w:szCs w:val="24"/>
          <w:shd w:val="clear" w:color="auto" w:fill="FFFFFF"/>
        </w:rPr>
        <w:t xml:space="preserve"> appartenant à un </w:t>
      </w:r>
      <w:r w:rsidR="001B6ED8" w:rsidRPr="001B6ED8">
        <w:rPr>
          <w:rFonts w:cs="Times New Roman"/>
          <w:szCs w:val="24"/>
          <w:shd w:val="clear" w:color="auto" w:fill="FFFFFF"/>
        </w:rPr>
        <w:t>É</w:t>
      </w:r>
      <w:r w:rsidRPr="00A23453">
        <w:rPr>
          <w:rFonts w:cs="Times New Roman"/>
          <w:color w:val="000000"/>
          <w:szCs w:val="24"/>
          <w:shd w:val="clear" w:color="auto" w:fill="FFFFFF"/>
        </w:rPr>
        <w:t>tat étranger que sur autorisation préalable du juge par ordonnance rendue sur requête »</w:t>
      </w:r>
      <w:r>
        <w:rPr>
          <w:rStyle w:val="Appelnotedebasdep"/>
          <w:rFonts w:cs="Times New Roman"/>
          <w:color w:val="000000"/>
          <w:szCs w:val="24"/>
          <w:shd w:val="clear" w:color="auto" w:fill="FFFFFF"/>
        </w:rPr>
        <w:footnoteReference w:id="51"/>
      </w:r>
      <w:r w:rsidR="004B1730">
        <w:rPr>
          <w:rFonts w:cs="Times New Roman"/>
          <w:szCs w:val="24"/>
        </w:rPr>
        <w:t>.</w:t>
      </w:r>
    </w:p>
    <w:p w14:paraId="36A96842" w14:textId="510DF0BB" w:rsidR="00E5577E" w:rsidRDefault="00962DEB" w:rsidP="00E5577E">
      <w:pPr>
        <w:jc w:val="both"/>
        <w:rPr>
          <w:rFonts w:cs="Times New Roman"/>
          <w:color w:val="000000"/>
          <w:shd w:val="clear" w:color="auto" w:fill="FFFFFF"/>
        </w:rPr>
      </w:pPr>
      <w:r>
        <w:rPr>
          <w:rFonts w:cs="Times New Roman"/>
          <w:color w:val="000000"/>
          <w:szCs w:val="24"/>
          <w:shd w:val="clear" w:color="auto" w:fill="FFFFFF"/>
        </w:rPr>
        <w:lastRenderedPageBreak/>
        <w:t xml:space="preserve">L’explication </w:t>
      </w:r>
      <w:r w:rsidR="002C5233">
        <w:rPr>
          <w:rFonts w:cs="Times New Roman"/>
          <w:color w:val="000000"/>
          <w:szCs w:val="24"/>
          <w:shd w:val="clear" w:color="auto" w:fill="FFFFFF"/>
        </w:rPr>
        <w:t>précise de</w:t>
      </w:r>
      <w:r>
        <w:rPr>
          <w:rFonts w:cs="Times New Roman"/>
          <w:color w:val="000000"/>
          <w:szCs w:val="24"/>
          <w:shd w:val="clear" w:color="auto" w:fill="FFFFFF"/>
        </w:rPr>
        <w:t xml:space="preserve"> </w:t>
      </w:r>
      <w:r w:rsidR="002C5233">
        <w:rPr>
          <w:rFonts w:cs="Times New Roman"/>
          <w:color w:val="000000"/>
          <w:szCs w:val="24"/>
          <w:shd w:val="clear" w:color="auto" w:fill="FFFFFF"/>
        </w:rPr>
        <w:t>l’</w:t>
      </w:r>
      <w:r>
        <w:rPr>
          <w:rFonts w:cs="Times New Roman"/>
          <w:color w:val="000000"/>
          <w:szCs w:val="24"/>
          <w:shd w:val="clear" w:color="auto" w:fill="FFFFFF"/>
        </w:rPr>
        <w:t>exigence</w:t>
      </w:r>
      <w:r w:rsidR="002C5233">
        <w:rPr>
          <w:rFonts w:cs="Times New Roman"/>
          <w:color w:val="000000"/>
          <w:szCs w:val="24"/>
          <w:shd w:val="clear" w:color="auto" w:fill="FFFFFF"/>
        </w:rPr>
        <w:t xml:space="preserve"> de l’autorisation judicaire préalable à toute mesure de contrainte</w:t>
      </w:r>
      <w:r>
        <w:rPr>
          <w:rFonts w:cs="Times New Roman"/>
          <w:color w:val="000000"/>
          <w:szCs w:val="24"/>
          <w:shd w:val="clear" w:color="auto" w:fill="FFFFFF"/>
        </w:rPr>
        <w:t xml:space="preserve"> </w:t>
      </w:r>
      <w:r w:rsidR="002C5233">
        <w:rPr>
          <w:rFonts w:cs="Times New Roman"/>
          <w:color w:val="000000"/>
          <w:szCs w:val="24"/>
          <w:shd w:val="clear" w:color="auto" w:fill="FFFFFF"/>
        </w:rPr>
        <w:t xml:space="preserve">reprise </w:t>
      </w:r>
      <w:r>
        <w:rPr>
          <w:rFonts w:cs="Times New Roman"/>
          <w:color w:val="000000"/>
          <w:szCs w:val="24"/>
          <w:shd w:val="clear" w:color="auto" w:fill="FFFFFF"/>
        </w:rPr>
        <w:t>dans le projet de loi déposé par le Gouvernement se trouve dans l’étude d’impact du projet</w:t>
      </w:r>
      <w:r w:rsidR="002C5233">
        <w:rPr>
          <w:rFonts w:cs="Times New Roman"/>
          <w:color w:val="000000"/>
          <w:szCs w:val="24"/>
          <w:shd w:val="clear" w:color="auto" w:fill="FFFFFF"/>
        </w:rPr>
        <w:t xml:space="preserve">. On peut y lire </w:t>
      </w:r>
      <w:r>
        <w:rPr>
          <w:rFonts w:cs="Times New Roman"/>
          <w:color w:val="000000"/>
          <w:szCs w:val="24"/>
          <w:shd w:val="clear" w:color="auto" w:fill="FFFFFF"/>
        </w:rPr>
        <w:t>que l’instauration d’un passage préalable par le juge avant toute mesure de contr</w:t>
      </w:r>
      <w:r w:rsidR="001B6ED8">
        <w:rPr>
          <w:rFonts w:cs="Times New Roman"/>
          <w:color w:val="000000"/>
          <w:szCs w:val="24"/>
          <w:shd w:val="clear" w:color="auto" w:fill="FFFFFF"/>
        </w:rPr>
        <w:t>ainte à l’encontre des biens d’</w:t>
      </w:r>
      <w:r w:rsidR="001B6ED8" w:rsidRPr="001B6ED8">
        <w:rPr>
          <w:rFonts w:cs="Times New Roman"/>
          <w:szCs w:val="24"/>
          <w:shd w:val="clear" w:color="auto" w:fill="FFFFFF"/>
        </w:rPr>
        <w:t>É</w:t>
      </w:r>
      <w:r>
        <w:rPr>
          <w:rFonts w:cs="Times New Roman"/>
          <w:color w:val="000000"/>
          <w:szCs w:val="24"/>
          <w:shd w:val="clear" w:color="auto" w:fill="FFFFFF"/>
        </w:rPr>
        <w:t>tats étrangers suit le constat que « la France apparaît relativement isolée au plan international sur la procédure en vigueur pour obtenir la mise en place de mesures de saisie » et, qu’au moment de la présentation du projet de loi, « aucune autorisation judiciaire préalable n’est nécessaire (sauf s’agissant des mesures conservatoires sans titre), ce qui revient à fair</w:t>
      </w:r>
      <w:r w:rsidR="001B6ED8">
        <w:rPr>
          <w:rFonts w:cs="Times New Roman"/>
          <w:color w:val="000000"/>
          <w:szCs w:val="24"/>
          <w:shd w:val="clear" w:color="auto" w:fill="FFFFFF"/>
        </w:rPr>
        <w:t xml:space="preserve">e courir un risque sérieux aux </w:t>
      </w:r>
      <w:r w:rsidR="001B6ED8" w:rsidRPr="001B6ED8">
        <w:rPr>
          <w:rFonts w:cs="Times New Roman"/>
          <w:szCs w:val="24"/>
          <w:shd w:val="clear" w:color="auto" w:fill="FFFFFF"/>
        </w:rPr>
        <w:t>É</w:t>
      </w:r>
      <w:r>
        <w:rPr>
          <w:rFonts w:cs="Times New Roman"/>
          <w:color w:val="000000"/>
          <w:szCs w:val="24"/>
          <w:shd w:val="clear" w:color="auto" w:fill="FFFFFF"/>
        </w:rPr>
        <w:t>tats étrangers, qui peuvent voir leurs biens saisis alors même que les conditions pour ce faire ne seraient pas réunies »</w:t>
      </w:r>
      <w:r w:rsidR="00B30D9D">
        <w:rPr>
          <w:rStyle w:val="Appelnotedebasdep"/>
          <w:rFonts w:cs="Times New Roman"/>
          <w:color w:val="000000"/>
          <w:szCs w:val="24"/>
          <w:shd w:val="clear" w:color="auto" w:fill="FFFFFF"/>
        </w:rPr>
        <w:footnoteReference w:id="52"/>
      </w:r>
      <w:r>
        <w:rPr>
          <w:rFonts w:cs="Times New Roman"/>
          <w:color w:val="000000"/>
          <w:szCs w:val="24"/>
          <w:shd w:val="clear" w:color="auto" w:fill="FFFFFF"/>
        </w:rPr>
        <w:t>. Il ressort encore de l’étude d’impact que « </w:t>
      </w:r>
      <w:r>
        <w:rPr>
          <w:rFonts w:cs="Times New Roman"/>
          <w:szCs w:val="24"/>
        </w:rPr>
        <w:t>(b)</w:t>
      </w:r>
      <w:r w:rsidRPr="00A63239">
        <w:rPr>
          <w:rFonts w:cs="Times New Roman"/>
          <w:szCs w:val="24"/>
        </w:rPr>
        <w:t xml:space="preserve">ien que non exigée par les traités internationaux dont la France est signataire, une autorisation judiciaire préalable, qui serait instaurée à titre dérogatoire pour les mesures d'exécution portant sur les biens des États étrangers, se justifie donc par la complexité des vérifications à opérer </w:t>
      </w:r>
      <w:r w:rsidR="007B117D">
        <w:t>[…]</w:t>
      </w:r>
      <w:r>
        <w:rPr>
          <w:rFonts w:cs="Times New Roman"/>
          <w:szCs w:val="24"/>
        </w:rPr>
        <w:t> »</w:t>
      </w:r>
      <w:r>
        <w:rPr>
          <w:rStyle w:val="Appelnotedebasdep"/>
          <w:rFonts w:cs="Times New Roman"/>
          <w:szCs w:val="24"/>
        </w:rPr>
        <w:footnoteReference w:id="53"/>
      </w:r>
      <w:r w:rsidR="004B1730">
        <w:rPr>
          <w:rFonts w:cs="Times New Roman"/>
          <w:szCs w:val="24"/>
        </w:rPr>
        <w:t xml:space="preserve"> </w:t>
      </w:r>
      <w:r w:rsidR="004B1730">
        <w:rPr>
          <w:rStyle w:val="Appelnotedebasdep"/>
          <w:rFonts w:cs="Times New Roman"/>
          <w:szCs w:val="24"/>
        </w:rPr>
        <w:footnoteReference w:id="54"/>
      </w:r>
      <w:r>
        <w:rPr>
          <w:rFonts w:cs="Times New Roman"/>
          <w:szCs w:val="24"/>
        </w:rPr>
        <w:t>.</w:t>
      </w:r>
      <w:r w:rsidR="00E5577E">
        <w:rPr>
          <w:rFonts w:cs="Times New Roman"/>
          <w:szCs w:val="24"/>
        </w:rPr>
        <w:t xml:space="preserve"> </w:t>
      </w:r>
      <w:r w:rsidR="00E5577E">
        <w:rPr>
          <w:rFonts w:cs="Times New Roman"/>
          <w:color w:val="000000"/>
          <w:shd w:val="clear" w:color="auto" w:fill="FFFFFF"/>
        </w:rPr>
        <w:t>Il ressort du rapport sur le projet de loi fait par Sébastien Denaja que l’autorisation préalable du juge par ordonnance rendue sur requête, qui n’est pas prévue par le droit international, vise à introduire un filtre aux demandes des créanciers afin de limiter les saisies abusives offrant ainsi u</w:t>
      </w:r>
      <w:r w:rsidR="001B6ED8">
        <w:rPr>
          <w:rFonts w:cs="Times New Roman"/>
          <w:color w:val="000000"/>
          <w:shd w:val="clear" w:color="auto" w:fill="FFFFFF"/>
        </w:rPr>
        <w:t xml:space="preserve">ne sécurité supplémentaire aux </w:t>
      </w:r>
      <w:r w:rsidR="001B6ED8" w:rsidRPr="001B6ED8">
        <w:rPr>
          <w:rFonts w:cs="Times New Roman"/>
          <w:szCs w:val="24"/>
          <w:shd w:val="clear" w:color="auto" w:fill="FFFFFF"/>
        </w:rPr>
        <w:t>É</w:t>
      </w:r>
      <w:r w:rsidR="00E5577E">
        <w:rPr>
          <w:rFonts w:cs="Times New Roman"/>
          <w:color w:val="000000"/>
          <w:shd w:val="clear" w:color="auto" w:fill="FFFFFF"/>
        </w:rPr>
        <w:t>tats. Le rapporteur relève qu’ « (e)n pratique, le juge prendra sa décision sur le fondement du créancier, sans débat contradictoire préalable a</w:t>
      </w:r>
      <w:r w:rsidR="001B6ED8">
        <w:rPr>
          <w:rFonts w:cs="Times New Roman"/>
          <w:color w:val="000000"/>
          <w:shd w:val="clear" w:color="auto" w:fill="FFFFFF"/>
        </w:rPr>
        <w:t>vec l’</w:t>
      </w:r>
      <w:r w:rsidR="001B6ED8" w:rsidRPr="001B6ED8">
        <w:rPr>
          <w:rFonts w:cs="Times New Roman"/>
          <w:szCs w:val="24"/>
          <w:shd w:val="clear" w:color="auto" w:fill="FFFFFF"/>
        </w:rPr>
        <w:t>É</w:t>
      </w:r>
      <w:r w:rsidR="00D42366">
        <w:rPr>
          <w:rFonts w:cs="Times New Roman"/>
          <w:color w:val="000000"/>
          <w:shd w:val="clear" w:color="auto" w:fill="FFFFFF"/>
        </w:rPr>
        <w:t>tat concerné (</w:t>
      </w:r>
      <w:r w:rsidR="00E5577E">
        <w:rPr>
          <w:rFonts w:cs="Times New Roman"/>
          <w:color w:val="000000"/>
          <w:shd w:val="clear" w:color="auto" w:fill="FFFFFF"/>
        </w:rPr>
        <w:t>pour prévenir le déplacement ou la dissimulation des biens visés par la saisie</w:t>
      </w:r>
      <w:r w:rsidR="00D42366">
        <w:rPr>
          <w:rFonts w:cs="Times New Roman"/>
          <w:color w:val="000000"/>
          <w:shd w:val="clear" w:color="auto" w:fill="FFFFFF"/>
        </w:rPr>
        <w:t>)</w:t>
      </w:r>
      <w:r w:rsidR="00E5577E">
        <w:rPr>
          <w:rFonts w:cs="Times New Roman"/>
          <w:color w:val="000000"/>
          <w:shd w:val="clear" w:color="auto" w:fill="FFFFFF"/>
        </w:rPr>
        <w:t xml:space="preserve"> » et que « (l)e créancier devra alors justifier de la nature saisissable des biens devant le juge qui rendra une décision </w:t>
      </w:r>
      <w:r w:rsidR="00E5577E">
        <w:rPr>
          <w:rFonts w:cs="Times New Roman"/>
          <w:i/>
          <w:color w:val="000000"/>
          <w:shd w:val="clear" w:color="auto" w:fill="FFFFFF"/>
        </w:rPr>
        <w:t>prima</w:t>
      </w:r>
      <w:r w:rsidR="00E5577E" w:rsidRPr="001E20CB">
        <w:rPr>
          <w:rFonts w:cs="Times New Roman"/>
          <w:i/>
          <w:color w:val="000000"/>
          <w:shd w:val="clear" w:color="auto" w:fill="FFFFFF"/>
        </w:rPr>
        <w:t xml:space="preserve"> facie</w:t>
      </w:r>
      <w:r w:rsidR="00E5577E">
        <w:rPr>
          <w:rFonts w:cs="Times New Roman"/>
          <w:color w:val="000000"/>
          <w:shd w:val="clear" w:color="auto" w:fill="FFFFFF"/>
        </w:rPr>
        <w:t xml:space="preserve"> autorisant ou non de procéder aux saisies »</w:t>
      </w:r>
      <w:r w:rsidR="00E5577E">
        <w:rPr>
          <w:rStyle w:val="Appelnotedebasdep"/>
          <w:rFonts w:cs="Times New Roman"/>
          <w:color w:val="000000"/>
          <w:shd w:val="clear" w:color="auto" w:fill="FFFFFF"/>
        </w:rPr>
        <w:footnoteReference w:id="55"/>
      </w:r>
      <w:r w:rsidR="00E5577E">
        <w:rPr>
          <w:rFonts w:cs="Times New Roman"/>
          <w:color w:val="000000"/>
          <w:shd w:val="clear" w:color="auto" w:fill="FFFFFF"/>
        </w:rPr>
        <w:t xml:space="preserve">. </w:t>
      </w:r>
    </w:p>
    <w:p w14:paraId="1C117E07" w14:textId="77777777" w:rsidR="00236AD3" w:rsidRDefault="00236AD3" w:rsidP="007B09B7">
      <w:pPr>
        <w:jc w:val="both"/>
        <w:rPr>
          <w:rFonts w:cs="Times New Roman"/>
          <w:szCs w:val="24"/>
        </w:rPr>
      </w:pPr>
      <w:r>
        <w:rPr>
          <w:rFonts w:cs="Times New Roman"/>
          <w:szCs w:val="24"/>
        </w:rPr>
        <w:t>L’exigence du</w:t>
      </w:r>
      <w:r w:rsidR="00797C7E">
        <w:rPr>
          <w:rFonts w:cs="Times New Roman"/>
          <w:szCs w:val="24"/>
        </w:rPr>
        <w:t xml:space="preserve"> passage par le juge, préalable à la mise en œuvre de toute mesure de contrainte, fut </w:t>
      </w:r>
      <w:r>
        <w:rPr>
          <w:rFonts w:cs="Times New Roman"/>
          <w:szCs w:val="24"/>
        </w:rPr>
        <w:t xml:space="preserve">une </w:t>
      </w:r>
      <w:r w:rsidR="008B180F">
        <w:rPr>
          <w:rFonts w:cs="Times New Roman"/>
          <w:szCs w:val="24"/>
        </w:rPr>
        <w:t xml:space="preserve">importante </w:t>
      </w:r>
      <w:r>
        <w:rPr>
          <w:rFonts w:cs="Times New Roman"/>
          <w:szCs w:val="24"/>
        </w:rPr>
        <w:t>pierre d’achoppement</w:t>
      </w:r>
      <w:r w:rsidR="00E5577E">
        <w:rPr>
          <w:rFonts w:cs="Times New Roman"/>
          <w:szCs w:val="24"/>
        </w:rPr>
        <w:t xml:space="preserve"> lors de la suite des</w:t>
      </w:r>
      <w:r w:rsidR="00797C7E">
        <w:rPr>
          <w:rFonts w:cs="Times New Roman"/>
          <w:szCs w:val="24"/>
        </w:rPr>
        <w:t xml:space="preserve"> travaux préparatoires de la loi Sapin II</w:t>
      </w:r>
      <w:r w:rsidR="00797C7E">
        <w:rPr>
          <w:rStyle w:val="Appelnotedebasdep"/>
          <w:rFonts w:cs="Times New Roman"/>
          <w:szCs w:val="24"/>
        </w:rPr>
        <w:footnoteReference w:id="56"/>
      </w:r>
      <w:r w:rsidR="00797C7E">
        <w:rPr>
          <w:rFonts w:cs="Times New Roman"/>
          <w:szCs w:val="24"/>
        </w:rPr>
        <w:t xml:space="preserve">. </w:t>
      </w:r>
    </w:p>
    <w:p w14:paraId="661C820C" w14:textId="77777777" w:rsidR="00236AD3" w:rsidRDefault="00797C7E" w:rsidP="007B09B7">
      <w:pPr>
        <w:jc w:val="both"/>
        <w:rPr>
          <w:rFonts w:eastAsia="Times New Roman" w:cs="Times New Roman"/>
          <w:color w:val="000000"/>
          <w:szCs w:val="24"/>
          <w:lang w:eastAsia="fr-BE"/>
        </w:rPr>
      </w:pPr>
      <w:r>
        <w:rPr>
          <w:rFonts w:cs="Times New Roman"/>
          <w:szCs w:val="24"/>
        </w:rPr>
        <w:lastRenderedPageBreak/>
        <w:t>Du côté de ceux s’y opposant, on argumentait notamment que « </w:t>
      </w:r>
      <w:r w:rsidRPr="003B1290">
        <w:rPr>
          <w:rFonts w:cs="Times New Roman"/>
          <w:color w:val="000000"/>
          <w:shd w:val="clear" w:color="auto" w:fill="FFFFFF"/>
        </w:rPr>
        <w:t>l’autorisation préalable est incompatible avec la mise en œuvre de mesures d’exécution urgentes</w:t>
      </w:r>
      <w:r>
        <w:rPr>
          <w:rFonts w:cs="Times New Roman"/>
          <w:color w:val="000000"/>
          <w:shd w:val="clear" w:color="auto" w:fill="FFFFFF"/>
        </w:rPr>
        <w:t> », que « </w:t>
      </w:r>
      <w:r w:rsidRPr="003B1290">
        <w:rPr>
          <w:rFonts w:cs="Times New Roman"/>
          <w:color w:val="000000"/>
          <w:shd w:val="clear" w:color="auto" w:fill="FFFFFF"/>
        </w:rPr>
        <w:t>(l)a contrainte imposée par l’autorisation préalable d’un</w:t>
      </w:r>
      <w:r w:rsidR="001B6ED8">
        <w:rPr>
          <w:rFonts w:cs="Times New Roman"/>
          <w:color w:val="000000"/>
          <w:shd w:val="clear" w:color="auto" w:fill="FFFFFF"/>
        </w:rPr>
        <w:t xml:space="preserve"> juge permettrait en outre aux </w:t>
      </w:r>
      <w:r w:rsidR="001B6ED8" w:rsidRPr="001B6ED8">
        <w:rPr>
          <w:rFonts w:cs="Times New Roman"/>
          <w:szCs w:val="24"/>
          <w:shd w:val="clear" w:color="auto" w:fill="FFFFFF"/>
        </w:rPr>
        <w:t>É</w:t>
      </w:r>
      <w:r w:rsidRPr="003B1290">
        <w:rPr>
          <w:rFonts w:cs="Times New Roman"/>
          <w:color w:val="000000"/>
          <w:shd w:val="clear" w:color="auto" w:fill="FFFFFF"/>
        </w:rPr>
        <w:t xml:space="preserve">tats débiteurs d’aménager, à leur convenance, la gestion de leurs actifs, de sorte </w:t>
      </w:r>
      <w:r w:rsidR="008B180F">
        <w:rPr>
          <w:rFonts w:cs="Times New Roman"/>
          <w:color w:val="000000"/>
          <w:shd w:val="clear" w:color="auto" w:fill="FFFFFF"/>
        </w:rPr>
        <w:t>[à]</w:t>
      </w:r>
      <w:r w:rsidRPr="003B1290">
        <w:rPr>
          <w:rFonts w:cs="Times New Roman"/>
          <w:color w:val="000000"/>
          <w:shd w:val="clear" w:color="auto" w:fill="FFFFFF"/>
        </w:rPr>
        <w:t xml:space="preserve"> faire échapper ces actifs à toute saisie »</w:t>
      </w:r>
      <w:r>
        <w:rPr>
          <w:rFonts w:cs="Times New Roman"/>
          <w:color w:val="000000"/>
          <w:shd w:val="clear" w:color="auto" w:fill="FFFFFF"/>
        </w:rPr>
        <w:t xml:space="preserve"> ou encore que </w:t>
      </w:r>
      <w:r w:rsidRPr="003B1290">
        <w:rPr>
          <w:rFonts w:cs="Times New Roman"/>
          <w:color w:val="000000"/>
          <w:shd w:val="clear" w:color="auto" w:fill="FFFFFF"/>
        </w:rPr>
        <w:t>« (l)’impossibilité qui en résul</w:t>
      </w:r>
      <w:r w:rsidR="001B6ED8">
        <w:rPr>
          <w:rFonts w:cs="Times New Roman"/>
          <w:color w:val="000000"/>
          <w:shd w:val="clear" w:color="auto" w:fill="FFFFFF"/>
        </w:rPr>
        <w:t xml:space="preserve">terait pour les créanciers des </w:t>
      </w:r>
      <w:r w:rsidR="001B6ED8" w:rsidRPr="001B6ED8">
        <w:rPr>
          <w:rFonts w:cs="Times New Roman"/>
          <w:szCs w:val="24"/>
          <w:shd w:val="clear" w:color="auto" w:fill="FFFFFF"/>
        </w:rPr>
        <w:t>É</w:t>
      </w:r>
      <w:r w:rsidRPr="003B1290">
        <w:rPr>
          <w:rFonts w:cs="Times New Roman"/>
          <w:color w:val="000000"/>
          <w:shd w:val="clear" w:color="auto" w:fill="FFFFFF"/>
        </w:rPr>
        <w:t>tats de faire exécuter les décisions de justice rendues en leur faveur rendrait, dès lors, illusoire le droit d’action des</w:t>
      </w:r>
      <w:r w:rsidR="001B6ED8">
        <w:rPr>
          <w:rFonts w:cs="Times New Roman"/>
          <w:color w:val="000000"/>
          <w:shd w:val="clear" w:color="auto" w:fill="FFFFFF"/>
        </w:rPr>
        <w:t xml:space="preserve"> particuliers à l’encontre des </w:t>
      </w:r>
      <w:r w:rsidR="001B6ED8" w:rsidRPr="001B6ED8">
        <w:rPr>
          <w:rFonts w:cs="Times New Roman"/>
          <w:szCs w:val="24"/>
          <w:shd w:val="clear" w:color="auto" w:fill="FFFFFF"/>
        </w:rPr>
        <w:t>É</w:t>
      </w:r>
      <w:r w:rsidRPr="003B1290">
        <w:rPr>
          <w:rFonts w:cs="Times New Roman"/>
          <w:color w:val="000000"/>
          <w:shd w:val="clear" w:color="auto" w:fill="FFFFFF"/>
        </w:rPr>
        <w:t>tats rec</w:t>
      </w:r>
      <w:r>
        <w:rPr>
          <w:rFonts w:cs="Times New Roman"/>
          <w:color w:val="000000"/>
          <w:shd w:val="clear" w:color="auto" w:fill="FFFFFF"/>
        </w:rPr>
        <w:t>onnu par le droit international »</w:t>
      </w:r>
      <w:r>
        <w:rPr>
          <w:rStyle w:val="Appelnotedebasdep"/>
          <w:rFonts w:cs="Times New Roman"/>
          <w:color w:val="000000"/>
          <w:shd w:val="clear" w:color="auto" w:fill="FFFFFF"/>
        </w:rPr>
        <w:footnoteReference w:id="57"/>
      </w:r>
      <w:r w:rsidR="00C214DB">
        <w:rPr>
          <w:rFonts w:cs="Times New Roman"/>
          <w:color w:val="000000"/>
          <w:shd w:val="clear" w:color="auto" w:fill="FFFFFF"/>
        </w:rPr>
        <w:t xml:space="preserve"> </w:t>
      </w:r>
      <w:r w:rsidR="00C214DB">
        <w:rPr>
          <w:rStyle w:val="Appelnotedebasdep"/>
          <w:rFonts w:cs="Times New Roman"/>
          <w:color w:val="000000"/>
          <w:shd w:val="clear" w:color="auto" w:fill="FFFFFF"/>
        </w:rPr>
        <w:footnoteReference w:id="58"/>
      </w:r>
      <w:r>
        <w:rPr>
          <w:rFonts w:cs="Times New Roman"/>
          <w:color w:val="000000"/>
          <w:shd w:val="clear" w:color="auto" w:fill="FFFFFF"/>
        </w:rPr>
        <w:t xml:space="preserve">. D’autres faisaient </w:t>
      </w:r>
      <w:r w:rsidR="00962DEB">
        <w:rPr>
          <w:rFonts w:cs="Times New Roman"/>
          <w:color w:val="000000"/>
          <w:shd w:val="clear" w:color="auto" w:fill="FFFFFF"/>
        </w:rPr>
        <w:t xml:space="preserve">encore </w:t>
      </w:r>
      <w:r>
        <w:rPr>
          <w:rFonts w:cs="Times New Roman"/>
          <w:color w:val="000000"/>
          <w:shd w:val="clear" w:color="auto" w:fill="FFFFFF"/>
        </w:rPr>
        <w:t xml:space="preserve">valoir que </w:t>
      </w:r>
      <w:r w:rsidR="006F0968">
        <w:rPr>
          <w:rFonts w:eastAsia="Times New Roman" w:cs="Times New Roman"/>
          <w:color w:val="000000"/>
          <w:szCs w:val="24"/>
          <w:lang w:eastAsia="fr-BE"/>
        </w:rPr>
        <w:t>l’article envisagé semble</w:t>
      </w:r>
      <w:r>
        <w:rPr>
          <w:rFonts w:eastAsia="Times New Roman" w:cs="Times New Roman"/>
          <w:color w:val="000000"/>
          <w:szCs w:val="24"/>
          <w:lang w:eastAsia="fr-BE"/>
        </w:rPr>
        <w:t xml:space="preserve"> en</w:t>
      </w:r>
      <w:r w:rsidR="00A144F3">
        <w:rPr>
          <w:rFonts w:eastAsia="Times New Roman" w:cs="Times New Roman"/>
          <w:color w:val="000000"/>
          <w:szCs w:val="24"/>
          <w:lang w:eastAsia="fr-BE"/>
        </w:rPr>
        <w:t xml:space="preserve"> contradiction avec la C</w:t>
      </w:r>
      <w:r>
        <w:rPr>
          <w:rFonts w:eastAsia="Times New Roman" w:cs="Times New Roman"/>
          <w:color w:val="000000"/>
          <w:szCs w:val="24"/>
          <w:lang w:eastAsia="fr-BE"/>
        </w:rPr>
        <w:t>onvention des Nations Unies du 2 décembre 2</w:t>
      </w:r>
      <w:r w:rsidRPr="00973F13">
        <w:rPr>
          <w:rFonts w:eastAsia="Times New Roman" w:cs="Times New Roman"/>
          <w:color w:val="000000"/>
          <w:szCs w:val="24"/>
          <w:lang w:eastAsia="fr-BE"/>
        </w:rPr>
        <w:t>004</w:t>
      </w:r>
      <w:r w:rsidR="00973F13" w:rsidRPr="00973F13">
        <w:rPr>
          <w:rFonts w:eastAsia="Times New Roman" w:cs="Times New Roman"/>
          <w:color w:val="000000"/>
          <w:szCs w:val="24"/>
          <w:lang w:eastAsia="fr-BE"/>
        </w:rPr>
        <w:t xml:space="preserve"> </w:t>
      </w:r>
      <w:r w:rsidR="00973F13" w:rsidRPr="00973F13">
        <w:rPr>
          <w:rFonts w:cs="Times New Roman"/>
          <w:color w:val="000000"/>
          <w:szCs w:val="24"/>
          <w:shd w:val="clear" w:color="auto" w:fill="FFFFFF"/>
        </w:rPr>
        <w:t>sur l</w:t>
      </w:r>
      <w:r w:rsidR="001B6ED8">
        <w:rPr>
          <w:rFonts w:cs="Times New Roman"/>
          <w:color w:val="000000"/>
          <w:szCs w:val="24"/>
          <w:shd w:val="clear" w:color="auto" w:fill="FFFFFF"/>
        </w:rPr>
        <w:t xml:space="preserve">'immunité juridictionnelle des </w:t>
      </w:r>
      <w:r w:rsidR="001B6ED8" w:rsidRPr="001B6ED8">
        <w:rPr>
          <w:rFonts w:cs="Times New Roman"/>
          <w:szCs w:val="24"/>
          <w:shd w:val="clear" w:color="auto" w:fill="FFFFFF"/>
        </w:rPr>
        <w:t>É</w:t>
      </w:r>
      <w:r w:rsidR="00973F13" w:rsidRPr="00973F13">
        <w:rPr>
          <w:rFonts w:cs="Times New Roman"/>
          <w:color w:val="000000"/>
          <w:szCs w:val="24"/>
          <w:shd w:val="clear" w:color="auto" w:fill="FFFFFF"/>
        </w:rPr>
        <w:t>tats et de leurs biens</w:t>
      </w:r>
      <w:r w:rsidRPr="00973F13">
        <w:rPr>
          <w:rStyle w:val="Appelnotedebasdep"/>
          <w:rFonts w:eastAsia="Times New Roman" w:cs="Times New Roman"/>
          <w:color w:val="000000"/>
          <w:szCs w:val="24"/>
          <w:lang w:eastAsia="fr-BE"/>
        </w:rPr>
        <w:footnoteReference w:id="59"/>
      </w:r>
      <w:r w:rsidR="00585DFB" w:rsidRPr="00973F13">
        <w:rPr>
          <w:rFonts w:eastAsia="Times New Roman" w:cs="Times New Roman"/>
          <w:color w:val="000000"/>
          <w:szCs w:val="24"/>
          <w:lang w:eastAsia="fr-BE"/>
        </w:rPr>
        <w:t xml:space="preserve"> </w:t>
      </w:r>
      <w:r w:rsidR="00585DFB">
        <w:rPr>
          <w:rStyle w:val="Appelnotedebasdep"/>
          <w:rFonts w:eastAsia="Times New Roman" w:cs="Times New Roman"/>
          <w:color w:val="000000"/>
          <w:szCs w:val="24"/>
          <w:lang w:eastAsia="fr-BE"/>
        </w:rPr>
        <w:footnoteReference w:id="60"/>
      </w:r>
      <w:r w:rsidR="00AE1274">
        <w:rPr>
          <w:rFonts w:eastAsia="Times New Roman" w:cs="Times New Roman"/>
          <w:color w:val="000000"/>
          <w:szCs w:val="24"/>
          <w:lang w:eastAsia="fr-BE"/>
        </w:rPr>
        <w:t xml:space="preserve">. </w:t>
      </w:r>
      <w:r w:rsidR="00AE1274">
        <w:rPr>
          <w:rFonts w:cs="Times New Roman"/>
          <w:szCs w:val="24"/>
        </w:rPr>
        <w:t xml:space="preserve">Dans son rapport </w:t>
      </w:r>
      <w:r w:rsidR="00AE1274" w:rsidRPr="00694B5F">
        <w:rPr>
          <w:rFonts w:cs="Times New Roman"/>
          <w:szCs w:val="24"/>
        </w:rPr>
        <w:t xml:space="preserve">fait au nom de </w:t>
      </w:r>
      <w:r w:rsidR="00AE1274" w:rsidRPr="00694B5F">
        <w:rPr>
          <w:rFonts w:cs="Times New Roman"/>
          <w:iCs/>
          <w:szCs w:val="24"/>
        </w:rPr>
        <w:t>la commission des lois constitutionnelles, de législation, du suffrage</w:t>
      </w:r>
      <w:r w:rsidR="00AE1274" w:rsidRPr="00694B5F">
        <w:rPr>
          <w:rFonts w:cs="Times New Roman"/>
          <w:szCs w:val="24"/>
        </w:rPr>
        <w:t xml:space="preserve"> </w:t>
      </w:r>
      <w:r w:rsidR="00AE1274" w:rsidRPr="00694B5F">
        <w:rPr>
          <w:rFonts w:cs="Times New Roman"/>
          <w:iCs/>
          <w:szCs w:val="24"/>
        </w:rPr>
        <w:t xml:space="preserve">universel, du Règlement et d’administration générale </w:t>
      </w:r>
      <w:r w:rsidR="00FE44E5">
        <w:t>[…]</w:t>
      </w:r>
      <w:r w:rsidR="00AE1274" w:rsidRPr="00694B5F">
        <w:rPr>
          <w:rFonts w:cs="Times New Roman"/>
          <w:iCs/>
          <w:szCs w:val="24"/>
        </w:rPr>
        <w:t xml:space="preserve"> sur </w:t>
      </w:r>
      <w:r w:rsidR="00AE1274">
        <w:rPr>
          <w:rFonts w:cs="Times New Roman"/>
          <w:iCs/>
          <w:szCs w:val="24"/>
        </w:rPr>
        <w:t xml:space="preserve">notamment </w:t>
      </w:r>
      <w:r w:rsidR="00AE1274" w:rsidRPr="00694B5F">
        <w:rPr>
          <w:rFonts w:cs="Times New Roman"/>
          <w:iCs/>
          <w:szCs w:val="24"/>
        </w:rPr>
        <w:t>le projet de loi</w:t>
      </w:r>
      <w:r w:rsidR="00AE1274" w:rsidRPr="00694B5F">
        <w:rPr>
          <w:rFonts w:cs="Times New Roman"/>
          <w:szCs w:val="24"/>
        </w:rPr>
        <w:t>, adopté par l’Assemblée nationale en nouvelle lecture</w:t>
      </w:r>
      <w:r w:rsidR="00AE1274" w:rsidRPr="00694B5F">
        <w:rPr>
          <w:rFonts w:cs="Times New Roman"/>
          <w:iCs/>
          <w:szCs w:val="24"/>
        </w:rPr>
        <w:t xml:space="preserve">, relatif à la </w:t>
      </w:r>
      <w:r w:rsidR="00AE1274" w:rsidRPr="00694B5F">
        <w:rPr>
          <w:rFonts w:cs="Times New Roman"/>
          <w:bCs/>
          <w:szCs w:val="24"/>
        </w:rPr>
        <w:t>transparence</w:t>
      </w:r>
      <w:r w:rsidR="00AE1274" w:rsidRPr="00694B5F">
        <w:rPr>
          <w:rFonts w:cs="Times New Roman"/>
          <w:iCs/>
          <w:szCs w:val="24"/>
        </w:rPr>
        <w:t>, à la</w:t>
      </w:r>
      <w:r w:rsidR="00AE1274" w:rsidRPr="00694B5F">
        <w:rPr>
          <w:rFonts w:cs="Times New Roman"/>
          <w:szCs w:val="24"/>
        </w:rPr>
        <w:t xml:space="preserve"> </w:t>
      </w:r>
      <w:r w:rsidR="00AE1274" w:rsidRPr="00694B5F">
        <w:rPr>
          <w:rFonts w:cs="Times New Roman"/>
          <w:bCs/>
          <w:szCs w:val="24"/>
        </w:rPr>
        <w:t xml:space="preserve">lutte contre </w:t>
      </w:r>
      <w:r w:rsidR="00AE1274" w:rsidRPr="00694B5F">
        <w:rPr>
          <w:rFonts w:cs="Times New Roman"/>
          <w:iCs/>
          <w:szCs w:val="24"/>
        </w:rPr>
        <w:t xml:space="preserve">la </w:t>
      </w:r>
      <w:r w:rsidR="00AE1274" w:rsidRPr="00694B5F">
        <w:rPr>
          <w:rFonts w:cs="Times New Roman"/>
          <w:bCs/>
          <w:szCs w:val="24"/>
        </w:rPr>
        <w:t xml:space="preserve">corruption </w:t>
      </w:r>
      <w:r w:rsidR="00AE1274" w:rsidRPr="00694B5F">
        <w:rPr>
          <w:rFonts w:cs="Times New Roman"/>
          <w:iCs/>
          <w:szCs w:val="24"/>
        </w:rPr>
        <w:t xml:space="preserve">et à la </w:t>
      </w:r>
      <w:r w:rsidR="00AE1274" w:rsidRPr="00694B5F">
        <w:rPr>
          <w:rFonts w:cs="Times New Roman"/>
          <w:bCs/>
          <w:szCs w:val="24"/>
        </w:rPr>
        <w:t xml:space="preserve">modernisation </w:t>
      </w:r>
      <w:r w:rsidR="00AE1274" w:rsidRPr="00694B5F">
        <w:rPr>
          <w:rFonts w:cs="Times New Roman"/>
          <w:iCs/>
          <w:szCs w:val="24"/>
        </w:rPr>
        <w:t xml:space="preserve">de la </w:t>
      </w:r>
      <w:r w:rsidR="00AE1274" w:rsidRPr="00694B5F">
        <w:rPr>
          <w:rFonts w:cs="Times New Roman"/>
          <w:bCs/>
          <w:szCs w:val="24"/>
        </w:rPr>
        <w:t>vie économique</w:t>
      </w:r>
      <w:r w:rsidR="00AE1274">
        <w:rPr>
          <w:rFonts w:cs="Times New Roman"/>
          <w:bCs/>
          <w:szCs w:val="24"/>
        </w:rPr>
        <w:t xml:space="preserve">, </w:t>
      </w:r>
      <w:r w:rsidR="00AE1274">
        <w:rPr>
          <w:rFonts w:cs="Times New Roman"/>
          <w:iCs/>
          <w:szCs w:val="24"/>
        </w:rPr>
        <w:t xml:space="preserve">François Pillet estima que les dispositions de l’article 24 étaient contraires à la Constitution car elles portaient </w:t>
      </w:r>
      <w:r w:rsidR="00E65461">
        <w:rPr>
          <w:rFonts w:cs="Times New Roman"/>
          <w:iCs/>
          <w:szCs w:val="24"/>
        </w:rPr>
        <w:t>« </w:t>
      </w:r>
      <w:r w:rsidR="00AE1274">
        <w:rPr>
          <w:rFonts w:cs="Times New Roman"/>
          <w:iCs/>
          <w:szCs w:val="24"/>
        </w:rPr>
        <w:t>une atteinte manifestement excessive au droit des créanciers</w:t>
      </w:r>
      <w:r w:rsidR="009D75D4">
        <w:rPr>
          <w:rFonts w:cs="Times New Roman"/>
          <w:iCs/>
          <w:szCs w:val="24"/>
        </w:rPr>
        <w:t xml:space="preserve"> </w:t>
      </w:r>
      <w:r w:rsidR="009D75D4">
        <w:t>[…] </w:t>
      </w:r>
      <w:r w:rsidR="00AE1274">
        <w:rPr>
          <w:rFonts w:cs="Times New Roman"/>
          <w:iCs/>
          <w:szCs w:val="24"/>
        </w:rPr>
        <w:t>ainsi qu’au droit d’obtenir l’exécution des décisions juridictionnelles</w:t>
      </w:r>
      <w:r w:rsidR="00E65461">
        <w:rPr>
          <w:rFonts w:cs="Times New Roman"/>
          <w:iCs/>
          <w:szCs w:val="24"/>
        </w:rPr>
        <w:t xml:space="preserve"> </w:t>
      </w:r>
      <w:r w:rsidR="009D75D4">
        <w:t>[…]</w:t>
      </w:r>
      <w:r w:rsidR="00AE1274">
        <w:rPr>
          <w:rFonts w:cs="Times New Roman"/>
          <w:iCs/>
          <w:szCs w:val="24"/>
        </w:rPr>
        <w:t>, tous deux garantis par la Constitution</w:t>
      </w:r>
      <w:r w:rsidR="00E65461">
        <w:rPr>
          <w:rFonts w:cs="Times New Roman"/>
          <w:iCs/>
          <w:szCs w:val="24"/>
        </w:rPr>
        <w:t> »</w:t>
      </w:r>
      <w:r w:rsidR="00AE1274">
        <w:rPr>
          <w:rStyle w:val="Appelnotedebasdep"/>
          <w:rFonts w:cs="Times New Roman"/>
          <w:iCs/>
          <w:szCs w:val="24"/>
        </w:rPr>
        <w:footnoteReference w:id="61"/>
      </w:r>
      <w:r w:rsidR="00AE1274">
        <w:rPr>
          <w:rFonts w:cs="Times New Roman"/>
          <w:iCs/>
          <w:szCs w:val="24"/>
        </w:rPr>
        <w:t>.</w:t>
      </w:r>
    </w:p>
    <w:p w14:paraId="6EB5E657" w14:textId="77777777" w:rsidR="002E19CB" w:rsidRDefault="00544A48" w:rsidP="002E19CB">
      <w:pPr>
        <w:jc w:val="both"/>
      </w:pPr>
      <w:r>
        <w:rPr>
          <w:rFonts w:eastAsia="Times New Roman" w:cs="Times New Roman"/>
          <w:color w:val="000000"/>
          <w:szCs w:val="24"/>
          <w:lang w:eastAsia="fr-BE"/>
        </w:rPr>
        <w:lastRenderedPageBreak/>
        <w:t>De l’autre côté</w:t>
      </w:r>
      <w:r w:rsidR="00797C7E" w:rsidRPr="00797C7E">
        <w:rPr>
          <w:rFonts w:eastAsia="Times New Roman" w:cs="Times New Roman"/>
          <w:color w:val="000000"/>
          <w:szCs w:val="24"/>
          <w:lang w:eastAsia="fr-BE"/>
        </w:rPr>
        <w:t xml:space="preserve">, </w:t>
      </w:r>
      <w:r w:rsidR="00962DEB">
        <w:rPr>
          <w:rFonts w:eastAsia="Times New Roman" w:cs="Times New Roman"/>
          <w:color w:val="000000"/>
          <w:szCs w:val="24"/>
          <w:lang w:eastAsia="fr-BE"/>
        </w:rPr>
        <w:t xml:space="preserve">outre les arguments ayant conduit à poser originairement cette exigence, </w:t>
      </w:r>
      <w:r w:rsidR="00797C7E" w:rsidRPr="00797C7E">
        <w:rPr>
          <w:rFonts w:eastAsia="Times New Roman" w:cs="Times New Roman"/>
          <w:color w:val="000000"/>
          <w:szCs w:val="24"/>
          <w:lang w:eastAsia="fr-BE"/>
        </w:rPr>
        <w:t xml:space="preserve">on faisait valoir que c’est </w:t>
      </w:r>
      <w:r w:rsidR="00797C7E" w:rsidRPr="00797C7E">
        <w:rPr>
          <w:rFonts w:cs="Times New Roman"/>
          <w:color w:val="000000"/>
          <w:szCs w:val="24"/>
        </w:rPr>
        <w:t xml:space="preserve">« (a)fin d’éviter les contentieux, coûteux pour toutes les parties impliquées, les mesures conservatoires ou les mesures </w:t>
      </w:r>
      <w:r w:rsidR="00797C7E" w:rsidRPr="006E459A">
        <w:rPr>
          <w:rFonts w:cs="Times New Roman"/>
          <w:color w:val="000000"/>
          <w:szCs w:val="24"/>
        </w:rPr>
        <w:t xml:space="preserve">d’exécution </w:t>
      </w:r>
      <w:r w:rsidR="009A7F7A" w:rsidRPr="006E459A">
        <w:rPr>
          <w:rFonts w:cs="Times New Roman"/>
          <w:color w:val="000000"/>
          <w:szCs w:val="24"/>
          <w:shd w:val="clear" w:color="auto" w:fill="FFFFFF"/>
        </w:rPr>
        <w:t>[forcée]</w:t>
      </w:r>
      <w:r w:rsidR="00797C7E" w:rsidRPr="006E459A">
        <w:rPr>
          <w:rFonts w:cs="Times New Roman"/>
          <w:color w:val="000000"/>
          <w:szCs w:val="24"/>
        </w:rPr>
        <w:t xml:space="preserve"> ne</w:t>
      </w:r>
      <w:r w:rsidR="00797C7E" w:rsidRPr="00797C7E">
        <w:rPr>
          <w:rFonts w:cs="Times New Roman"/>
          <w:color w:val="000000"/>
          <w:szCs w:val="24"/>
        </w:rPr>
        <w:t xml:space="preserve"> pourront être mises en œuvre que sur autorisation préalable du juge de l’exécution, saisi sur requête, qui vérifiera que les conditions </w:t>
      </w:r>
      <w:r w:rsidR="009D75D4">
        <w:t>[…] </w:t>
      </w:r>
      <w:r w:rsidR="00797C7E" w:rsidRPr="00797C7E">
        <w:rPr>
          <w:rFonts w:cs="Times New Roman"/>
          <w:color w:val="000000"/>
          <w:szCs w:val="24"/>
        </w:rPr>
        <w:t xml:space="preserve">sont réunies </w:t>
      </w:r>
      <w:r w:rsidR="009D75D4">
        <w:t>[…] </w:t>
      </w:r>
      <w:r w:rsidR="00797C7E" w:rsidRPr="00797C7E">
        <w:rPr>
          <w:rFonts w:cs="Times New Roman"/>
          <w:color w:val="000000"/>
          <w:szCs w:val="24"/>
        </w:rPr>
        <w:t>»</w:t>
      </w:r>
      <w:r w:rsidR="00797C7E">
        <w:rPr>
          <w:rStyle w:val="Appelnotedebasdep"/>
          <w:rFonts w:cs="Times New Roman"/>
          <w:color w:val="000000"/>
          <w:szCs w:val="24"/>
        </w:rPr>
        <w:footnoteReference w:id="62"/>
      </w:r>
      <w:r w:rsidR="00797C7E" w:rsidRPr="00797C7E">
        <w:rPr>
          <w:rFonts w:cs="Times New Roman"/>
          <w:color w:val="000000"/>
          <w:szCs w:val="24"/>
        </w:rPr>
        <w:t>.</w:t>
      </w:r>
      <w:r w:rsidR="002E19CB">
        <w:rPr>
          <w:rFonts w:cs="Times New Roman"/>
          <w:color w:val="000000"/>
          <w:szCs w:val="24"/>
        </w:rPr>
        <w:t xml:space="preserve"> </w:t>
      </w:r>
      <w:r w:rsidR="002E19CB">
        <w:rPr>
          <w:rFonts w:cs="Times New Roman"/>
          <w:szCs w:val="24"/>
        </w:rPr>
        <w:t xml:space="preserve">Lors des discussions au Sénat, le ministre Michel </w:t>
      </w:r>
      <w:r w:rsidR="002E19CB" w:rsidRPr="00953433">
        <w:rPr>
          <w:rFonts w:cs="Times New Roman"/>
          <w:szCs w:val="24"/>
        </w:rPr>
        <w:t xml:space="preserve">Sapin argumenta en faveur de l’autorisation judiciaire préalable en indiquant que « (l)e problème est celui de l’efficacité. Aujourd’hui, certains créanciers qui savent que leur demande n’est pas forcement tout à fait légitime ou solide la mettent néanmoins en œuvre par le biais d’huissiers ne connaissant pas forcément l’ensemble des subtilités du droit international. Au bout du compte, plusieurs mois après, ils sont déboutés. Mais, entre le moment où ils font fermer tel ou tel consulat ou saisir tel ou tel bien et celui où la justice remet les choses en ordre, le créancier s’est trouvé en situation de force pour discuter avec l’État concerné. Cela ne nous paraît pas être une bonne chose. Pour des raisons d’efficacité, il nous semble préférable d’avoir un contrôle préalable du juge, qui dira s’il lui paraît ou non légitime de faire jouer les dispositions permettant de protéger les biens diplomatiques ». </w:t>
      </w:r>
      <w:r w:rsidR="002E19CB">
        <w:rPr>
          <w:rFonts w:cs="Times New Roman"/>
          <w:szCs w:val="24"/>
        </w:rPr>
        <w:t>Le ministre</w:t>
      </w:r>
      <w:r w:rsidR="002E19CB" w:rsidRPr="00953433">
        <w:rPr>
          <w:rFonts w:cs="Times New Roman"/>
          <w:szCs w:val="24"/>
        </w:rPr>
        <w:t xml:space="preserve"> releva </w:t>
      </w:r>
      <w:r w:rsidR="002E19CB">
        <w:rPr>
          <w:rFonts w:cs="Times New Roman"/>
          <w:szCs w:val="24"/>
        </w:rPr>
        <w:t xml:space="preserve">ensuite, </w:t>
      </w:r>
      <w:r w:rsidR="002E19CB" w:rsidRPr="00953433">
        <w:rPr>
          <w:rFonts w:cs="Times New Roman"/>
          <w:szCs w:val="24"/>
        </w:rPr>
        <w:t>lors de l’échange avec ces contradicteurs</w:t>
      </w:r>
      <w:r w:rsidR="002E19CB">
        <w:rPr>
          <w:rFonts w:cs="Times New Roman"/>
          <w:szCs w:val="24"/>
        </w:rPr>
        <w:t>,</w:t>
      </w:r>
      <w:r w:rsidR="002E19CB" w:rsidRPr="00953433">
        <w:rPr>
          <w:rFonts w:cs="Times New Roman"/>
          <w:szCs w:val="24"/>
        </w:rPr>
        <w:t xml:space="preserve"> que « (n)ous avons la volonté d’essayer d’être efficaces et d’éviter des situations extrêmement dommageables au bon fonctionnement d’un certain nombre d’États dans leur présence sur notre territoire</w:t>
      </w:r>
      <w:r w:rsidR="002E19CB">
        <w:rPr>
          <w:rFonts w:cs="Times New Roman"/>
          <w:szCs w:val="24"/>
        </w:rPr>
        <w:t> »</w:t>
      </w:r>
      <w:r w:rsidR="002E19CB" w:rsidRPr="00953433">
        <w:rPr>
          <w:rStyle w:val="Appelnotedebasdep"/>
          <w:rFonts w:cs="Times New Roman"/>
          <w:szCs w:val="24"/>
        </w:rPr>
        <w:footnoteReference w:id="63"/>
      </w:r>
      <w:r w:rsidR="002E19CB" w:rsidRPr="00953433">
        <w:rPr>
          <w:rFonts w:cs="Times New Roman"/>
          <w:szCs w:val="24"/>
        </w:rPr>
        <w:t>.</w:t>
      </w:r>
      <w:r w:rsidR="006542ED">
        <w:t xml:space="preserve"> </w:t>
      </w:r>
    </w:p>
    <w:p w14:paraId="53528B98" w14:textId="65C68866" w:rsidR="002C5233" w:rsidRPr="005A4456" w:rsidRDefault="000C3BCD" w:rsidP="002C5233">
      <w:pPr>
        <w:jc w:val="both"/>
        <w:rPr>
          <w:rFonts w:cs="Times New Roman"/>
          <w:szCs w:val="24"/>
          <w:shd w:val="clear" w:color="auto" w:fill="FFFFFF"/>
        </w:rPr>
      </w:pPr>
      <w:r>
        <w:rPr>
          <w:shd w:val="clear" w:color="auto" w:fill="FFFFFF"/>
        </w:rPr>
        <w:t>L</w:t>
      </w:r>
      <w:r w:rsidR="00CF2E75">
        <w:rPr>
          <w:shd w:val="clear" w:color="auto" w:fill="FFFFFF"/>
        </w:rPr>
        <w:t xml:space="preserve">’autorisation préalable du juge, </w:t>
      </w:r>
      <w:r w:rsidR="00D73FBB">
        <w:rPr>
          <w:shd w:val="clear" w:color="auto" w:fill="FFFFFF"/>
        </w:rPr>
        <w:t xml:space="preserve">que le Conseil constitutionnel </w:t>
      </w:r>
      <w:r w:rsidR="00CF2E75">
        <w:rPr>
          <w:shd w:val="clear" w:color="auto" w:fill="FFFFFF"/>
        </w:rPr>
        <w:t>considéra conforme à la Constitution française</w:t>
      </w:r>
      <w:r w:rsidR="00D73FBB">
        <w:rPr>
          <w:rStyle w:val="Appelnotedebasdep"/>
          <w:rFonts w:cs="Times New Roman"/>
          <w:color w:val="000000"/>
          <w:szCs w:val="24"/>
          <w:shd w:val="clear" w:color="auto" w:fill="FFFFFF"/>
        </w:rPr>
        <w:footnoteReference w:id="64"/>
      </w:r>
      <w:r w:rsidR="00D73FBB">
        <w:rPr>
          <w:shd w:val="clear" w:color="auto" w:fill="FFFFFF"/>
        </w:rPr>
        <w:t xml:space="preserve">, ne </w:t>
      </w:r>
      <w:r w:rsidR="00CF2E75">
        <w:rPr>
          <w:shd w:val="clear" w:color="auto" w:fill="FFFFFF"/>
        </w:rPr>
        <w:t>peut</w:t>
      </w:r>
      <w:r w:rsidR="00D73FBB">
        <w:rPr>
          <w:shd w:val="clear" w:color="auto" w:fill="FFFFFF"/>
        </w:rPr>
        <w:t xml:space="preserve"> être</w:t>
      </w:r>
      <w:r w:rsidR="00D42366">
        <w:rPr>
          <w:shd w:val="clear" w:color="auto" w:fill="FFFFFF"/>
        </w:rPr>
        <w:t xml:space="preserve"> octroyée</w:t>
      </w:r>
      <w:r w:rsidR="00D73FBB">
        <w:rPr>
          <w:shd w:val="clear" w:color="auto" w:fill="FFFFFF"/>
        </w:rPr>
        <w:t xml:space="preserve"> qu’à l’issue d’une procédure non contradictoire </w:t>
      </w:r>
      <w:r w:rsidR="00544A48">
        <w:rPr>
          <w:shd w:val="clear" w:color="auto" w:fill="FFFFFF"/>
        </w:rPr>
        <w:t>dont</w:t>
      </w:r>
      <w:r w:rsidR="001B6ED8">
        <w:rPr>
          <w:shd w:val="clear" w:color="auto" w:fill="FFFFFF"/>
        </w:rPr>
        <w:t xml:space="preserve"> l’</w:t>
      </w:r>
      <w:r w:rsidR="001B6ED8" w:rsidRPr="001B6ED8">
        <w:rPr>
          <w:rFonts w:cs="Times New Roman"/>
          <w:szCs w:val="24"/>
          <w:shd w:val="clear" w:color="auto" w:fill="FFFFFF"/>
        </w:rPr>
        <w:t>É</w:t>
      </w:r>
      <w:r w:rsidR="00D73FBB">
        <w:rPr>
          <w:shd w:val="clear" w:color="auto" w:fill="FFFFFF"/>
        </w:rPr>
        <w:t xml:space="preserve">tat débiteur </w:t>
      </w:r>
      <w:r w:rsidR="00CF2E75">
        <w:rPr>
          <w:shd w:val="clear" w:color="auto" w:fill="FFFFFF"/>
        </w:rPr>
        <w:t>est</w:t>
      </w:r>
      <w:r w:rsidR="00D73FBB">
        <w:rPr>
          <w:shd w:val="clear" w:color="auto" w:fill="FFFFFF"/>
        </w:rPr>
        <w:t xml:space="preserve"> par conséquent absent. Le juge de l’exécution </w:t>
      </w:r>
      <w:r w:rsidR="00CF2E75">
        <w:rPr>
          <w:shd w:val="clear" w:color="auto" w:fill="FFFFFF"/>
        </w:rPr>
        <w:t>est</w:t>
      </w:r>
      <w:r w:rsidR="00D73FBB">
        <w:rPr>
          <w:shd w:val="clear" w:color="auto" w:fill="FFFFFF"/>
        </w:rPr>
        <w:t xml:space="preserve"> saisi sur requête du créancier poursuivant</w:t>
      </w:r>
      <w:r w:rsidR="00DF75F2">
        <w:rPr>
          <w:shd w:val="clear" w:color="auto" w:fill="FFFFFF"/>
        </w:rPr>
        <w:t xml:space="preserve"> </w:t>
      </w:r>
      <w:r w:rsidR="00DF75F2">
        <w:t xml:space="preserve">à qui il semble revenir </w:t>
      </w:r>
      <w:r w:rsidR="00DF75F2" w:rsidRPr="00DF75F2">
        <w:t xml:space="preserve">d’identifier le bien sur lequel il souhaite que soient mises en œuvre les mesures de </w:t>
      </w:r>
      <w:r w:rsidR="00D42366">
        <w:t>contrainte</w:t>
      </w:r>
      <w:r w:rsidR="00DF75F2" w:rsidRPr="00DF75F2">
        <w:rPr>
          <w:rStyle w:val="Appelnotedebasdep"/>
          <w:rFonts w:cs="Times New Roman"/>
          <w:szCs w:val="24"/>
        </w:rPr>
        <w:footnoteReference w:id="65"/>
      </w:r>
      <w:r w:rsidR="00D73FBB">
        <w:rPr>
          <w:shd w:val="clear" w:color="auto" w:fill="FFFFFF"/>
        </w:rPr>
        <w:t>. L</w:t>
      </w:r>
      <w:r w:rsidR="007A7F4D">
        <w:rPr>
          <w:shd w:val="clear" w:color="auto" w:fill="FFFFFF"/>
        </w:rPr>
        <w:t>a décision du juge de l’exécution étant rendue non contradictoirement par application du régime de droit commun de l’ordonnance sur requête</w:t>
      </w:r>
      <w:r w:rsidR="007A7F4D">
        <w:rPr>
          <w:rStyle w:val="Appelnotedebasdep"/>
          <w:rFonts w:cs="Times New Roman"/>
          <w:color w:val="000000"/>
          <w:szCs w:val="24"/>
          <w:shd w:val="clear" w:color="auto" w:fill="FFFFFF"/>
        </w:rPr>
        <w:footnoteReference w:id="66"/>
      </w:r>
      <w:r w:rsidR="007A7F4D">
        <w:rPr>
          <w:shd w:val="clear" w:color="auto" w:fill="FFFFFF"/>
        </w:rPr>
        <w:t xml:space="preserve">, </w:t>
      </w:r>
      <w:r w:rsidR="00D73FBB">
        <w:rPr>
          <w:shd w:val="clear" w:color="auto" w:fill="FFFFFF"/>
        </w:rPr>
        <w:t xml:space="preserve">l’exposé des motifs du projet de loi </w:t>
      </w:r>
      <w:r w:rsidR="005A4456">
        <w:rPr>
          <w:shd w:val="clear" w:color="auto" w:fill="FFFFFF"/>
        </w:rPr>
        <w:t>indique</w:t>
      </w:r>
      <w:r w:rsidR="00D73FBB">
        <w:rPr>
          <w:shd w:val="clear" w:color="auto" w:fill="FFFFFF"/>
        </w:rPr>
        <w:t xml:space="preserve"> qu’</w:t>
      </w:r>
      <w:r w:rsidR="007A7F4D">
        <w:rPr>
          <w:shd w:val="clear" w:color="auto" w:fill="FFFFFF"/>
        </w:rPr>
        <w:t>il est renvoyé à des dispositions réglementaires pour préciser la procédure de référé rét</w:t>
      </w:r>
      <w:r w:rsidR="001B6ED8">
        <w:rPr>
          <w:shd w:val="clear" w:color="auto" w:fill="FFFFFF"/>
        </w:rPr>
        <w:t>ractation qui sera ouverte à l’</w:t>
      </w:r>
      <w:r w:rsidR="001B6ED8" w:rsidRPr="001B6ED8">
        <w:rPr>
          <w:rFonts w:cs="Times New Roman"/>
          <w:szCs w:val="24"/>
          <w:shd w:val="clear" w:color="auto" w:fill="FFFFFF"/>
        </w:rPr>
        <w:t>É</w:t>
      </w:r>
      <w:r w:rsidR="007A7F4D">
        <w:rPr>
          <w:shd w:val="clear" w:color="auto" w:fill="FFFFFF"/>
        </w:rPr>
        <w:t>tat étranger à l’encontre duquel une mesure conservatoire ou d’exécution aura été autorisée</w:t>
      </w:r>
      <w:r w:rsidR="007A7F4D">
        <w:rPr>
          <w:rStyle w:val="Appelnotedebasdep"/>
          <w:rFonts w:cs="Times New Roman"/>
          <w:color w:val="000000"/>
          <w:szCs w:val="24"/>
          <w:shd w:val="clear" w:color="auto" w:fill="FFFFFF"/>
        </w:rPr>
        <w:footnoteReference w:id="67"/>
      </w:r>
      <w:r w:rsidR="007A7F4D">
        <w:rPr>
          <w:shd w:val="clear" w:color="auto" w:fill="FFFFFF"/>
        </w:rPr>
        <w:t xml:space="preserve">. </w:t>
      </w:r>
      <w:r w:rsidR="00D73FBB">
        <w:rPr>
          <w:shd w:val="clear" w:color="auto" w:fill="FFFFFF"/>
        </w:rPr>
        <w:t xml:space="preserve">L’option de </w:t>
      </w:r>
      <w:r w:rsidR="00D73FBB">
        <w:rPr>
          <w:shd w:val="clear" w:color="auto" w:fill="FFFFFF"/>
        </w:rPr>
        <w:lastRenderedPageBreak/>
        <w:t>l’autorisation judiciaire préalable dans le cadre d’une procédure non contradictoire engagée par requête a été préférée à celle de l’autorisation dans le cadre d’une instance contradictoire engagée par assignation</w:t>
      </w:r>
      <w:r w:rsidR="00CF2E75">
        <w:rPr>
          <w:shd w:val="clear" w:color="auto" w:fill="FFFFFF"/>
        </w:rPr>
        <w:t>. Ce choix s’explique</w:t>
      </w:r>
      <w:r w:rsidR="00D73FBB">
        <w:rPr>
          <w:shd w:val="clear" w:color="auto" w:fill="FFFFFF"/>
        </w:rPr>
        <w:t xml:space="preserve"> par le fait que l’effet de surprise induit par la procédure non contradictoire permet </w:t>
      </w:r>
      <w:r w:rsidR="006F431E">
        <w:rPr>
          <w:shd w:val="clear" w:color="auto" w:fill="FFFFFF"/>
        </w:rPr>
        <w:t>« </w:t>
      </w:r>
      <w:r w:rsidR="00D73FBB">
        <w:rPr>
          <w:shd w:val="clear" w:color="auto" w:fill="FFFFFF"/>
        </w:rPr>
        <w:t>d’assur</w:t>
      </w:r>
      <w:r w:rsidR="006F431E">
        <w:rPr>
          <w:shd w:val="clear" w:color="auto" w:fill="FFFFFF"/>
        </w:rPr>
        <w:t xml:space="preserve">er une protection plus efficace </w:t>
      </w:r>
      <w:r w:rsidR="006F431E">
        <w:t>[…]</w:t>
      </w:r>
      <w:r w:rsidR="001B6ED8">
        <w:rPr>
          <w:shd w:val="clear" w:color="auto" w:fill="FFFFFF"/>
        </w:rPr>
        <w:t>, tout en ménageant à l’</w:t>
      </w:r>
      <w:r w:rsidR="001B6ED8" w:rsidRPr="001B6ED8">
        <w:rPr>
          <w:rFonts w:cs="Times New Roman"/>
          <w:szCs w:val="24"/>
          <w:shd w:val="clear" w:color="auto" w:fill="FFFFFF"/>
        </w:rPr>
        <w:t>É</w:t>
      </w:r>
      <w:r w:rsidR="00D73FBB">
        <w:rPr>
          <w:shd w:val="clear" w:color="auto" w:fill="FFFFFF"/>
        </w:rPr>
        <w:t>tat poursuivi un recours juridictionnel dans le cadre d’un débat contradictoire</w:t>
      </w:r>
      <w:r w:rsidR="006F431E">
        <w:rPr>
          <w:shd w:val="clear" w:color="auto" w:fill="FFFFFF"/>
        </w:rPr>
        <w:t> »</w:t>
      </w:r>
      <w:r w:rsidR="00D73FBB">
        <w:rPr>
          <w:shd w:val="clear" w:color="auto" w:fill="FFFFFF"/>
        </w:rPr>
        <w:t>, là où une instance contradictoire risque de mettre à néant l’effet de surprise conféré aux voies d’exécution et de porter une atteinte excessive aux intérêts du créancier</w:t>
      </w:r>
      <w:r w:rsidR="00D73FBB">
        <w:rPr>
          <w:rStyle w:val="Appelnotedebasdep"/>
          <w:rFonts w:cs="Times New Roman"/>
          <w:color w:val="000000"/>
          <w:shd w:val="clear" w:color="auto" w:fill="FFFFFF"/>
        </w:rPr>
        <w:footnoteReference w:id="68"/>
      </w:r>
      <w:r w:rsidR="00D73FBB">
        <w:rPr>
          <w:shd w:val="clear" w:color="auto" w:fill="FFFFFF"/>
        </w:rPr>
        <w:t>.</w:t>
      </w:r>
      <w:r w:rsidR="005A4456">
        <w:t xml:space="preserve"> </w:t>
      </w:r>
      <w:r w:rsidR="001B6ED8">
        <w:t>L’</w:t>
      </w:r>
      <w:r w:rsidR="001B6ED8" w:rsidRPr="001B6ED8">
        <w:rPr>
          <w:rFonts w:cs="Times New Roman"/>
          <w:szCs w:val="24"/>
          <w:shd w:val="clear" w:color="auto" w:fill="FFFFFF"/>
        </w:rPr>
        <w:t>É</w:t>
      </w:r>
      <w:r w:rsidR="002C5233">
        <w:t>tat débiteur à l’encontre duquel une mesure de contrainte a été autorisée pourra exercer un recours contradictoire contre l’ordonnance rendue sur requête</w:t>
      </w:r>
      <w:r w:rsidR="00A870C8">
        <w:t xml:space="preserve">. </w:t>
      </w:r>
      <w:r w:rsidR="00A870C8" w:rsidRPr="000E41F4">
        <w:rPr>
          <w:rFonts w:cs="Times New Roman"/>
          <w:szCs w:val="24"/>
          <w:lang w:eastAsia="fr-BE"/>
        </w:rPr>
        <w:t>À</w:t>
      </w:r>
      <w:r w:rsidR="002C5233">
        <w:t xml:space="preserve"> la question de </w:t>
      </w:r>
      <w:r w:rsidR="001B6ED8">
        <w:t>S</w:t>
      </w:r>
      <w:r w:rsidR="006F431E">
        <w:t>ylvia</w:t>
      </w:r>
      <w:r w:rsidR="001B6ED8">
        <w:t>n Dorol</w:t>
      </w:r>
      <w:r w:rsidR="006F431E">
        <w:t xml:space="preserve"> </w:t>
      </w:r>
      <w:r w:rsidR="001B6ED8">
        <w:t>de savoir « si l’</w:t>
      </w:r>
      <w:r w:rsidR="001B6ED8" w:rsidRPr="001B6ED8">
        <w:rPr>
          <w:rFonts w:cs="Times New Roman"/>
          <w:szCs w:val="24"/>
          <w:shd w:val="clear" w:color="auto" w:fill="FFFFFF"/>
        </w:rPr>
        <w:t>É</w:t>
      </w:r>
      <w:r w:rsidR="002C5233">
        <w:t>tat étranger qui subira la saisie, devra s’opposer à l’ordonnance d’autorisation en usant du référé-rétractation, ou s’il disposera d’un recours spécifique compte tenu de la spécificité de la matière »</w:t>
      </w:r>
      <w:r w:rsidR="002C5233">
        <w:rPr>
          <w:rStyle w:val="Appelnotedebasdep"/>
        </w:rPr>
        <w:footnoteReference w:id="69"/>
      </w:r>
      <w:r w:rsidR="002C5233">
        <w:t xml:space="preserve">, Paul Giraud répond qu’il semble qu’il faille recourir </w:t>
      </w:r>
      <w:r w:rsidR="00544A48">
        <w:t xml:space="preserve">à </w:t>
      </w:r>
      <w:r w:rsidR="002C5233">
        <w:t>la voie classique</w:t>
      </w:r>
      <w:r w:rsidR="002C5233">
        <w:rPr>
          <w:rStyle w:val="Appelnotedebasdep"/>
        </w:rPr>
        <w:footnoteReference w:id="70"/>
      </w:r>
      <w:r w:rsidR="00E46BD4">
        <w:t>.</w:t>
      </w:r>
    </w:p>
    <w:p w14:paraId="20C226F4" w14:textId="77777777" w:rsidR="002C5233" w:rsidRDefault="002C5233" w:rsidP="002C5233">
      <w:pPr>
        <w:jc w:val="both"/>
        <w:rPr>
          <w:rFonts w:cs="Times New Roman"/>
          <w:szCs w:val="24"/>
          <w:shd w:val="clear" w:color="auto" w:fill="FFFFFF"/>
        </w:rPr>
      </w:pPr>
      <w:r w:rsidRPr="00143C83">
        <w:rPr>
          <w:rFonts w:cs="Times New Roman"/>
          <w:szCs w:val="24"/>
        </w:rPr>
        <w:t xml:space="preserve">Il ressort de </w:t>
      </w:r>
      <w:r w:rsidRPr="005A4456">
        <w:rPr>
          <w:rFonts w:cs="Times New Roman"/>
          <w:szCs w:val="24"/>
        </w:rPr>
        <w:t>l’article R. 111-1</w:t>
      </w:r>
      <w:r w:rsidR="005A4456">
        <w:rPr>
          <w:rFonts w:cs="Times New Roman"/>
          <w:szCs w:val="24"/>
        </w:rPr>
        <w:t xml:space="preserve"> du code des procédures civiles d’exécution</w:t>
      </w:r>
      <w:r w:rsidRPr="00143C83">
        <w:rPr>
          <w:rFonts w:cs="Times New Roman"/>
          <w:szCs w:val="24"/>
        </w:rPr>
        <w:t xml:space="preserve"> que </w:t>
      </w:r>
      <w:r w:rsidRPr="00DC6768">
        <w:rPr>
          <w:rFonts w:cs="Times New Roman"/>
          <w:szCs w:val="24"/>
        </w:rPr>
        <w:t>« </w:t>
      </w:r>
      <w:r w:rsidRPr="00DC6768">
        <w:rPr>
          <w:rFonts w:cs="Times New Roman"/>
          <w:color w:val="000000"/>
          <w:szCs w:val="24"/>
          <w:shd w:val="clear" w:color="auto" w:fill="FFFFFF"/>
        </w:rPr>
        <w:t>(l)e juge de l'exécution du tribunal de grande instance de Paris est seul compétent pour statuer sur la demande d'autorisation prévue à l'article L. 111-1-1 et sur les contestations relatives aux mesures conservatoires et d'exécution forcée mobilières qu'il autorise, ainsi que pour connaître des procédures de saisie immobilière qu'il autorise, à l'exception des procédures d'exécution forcée sur les immeubles situés dans les départements du Bas-Rhin, du Haut-Rhin et de la Moselle »</w:t>
      </w:r>
      <w:r w:rsidR="008C335B">
        <w:rPr>
          <w:rStyle w:val="Appelnotedebasdep"/>
          <w:rFonts w:cs="Times New Roman"/>
          <w:color w:val="000000"/>
          <w:szCs w:val="24"/>
          <w:shd w:val="clear" w:color="auto" w:fill="FFFFFF"/>
        </w:rPr>
        <w:footnoteReference w:id="71"/>
      </w:r>
      <w:r>
        <w:rPr>
          <w:rFonts w:cs="Times New Roman"/>
          <w:color w:val="000000"/>
          <w:szCs w:val="24"/>
          <w:shd w:val="clear" w:color="auto" w:fill="FFFFFF"/>
        </w:rPr>
        <w:t>. L’on remarque que le contentieux de l’exécution à l’égard de</w:t>
      </w:r>
      <w:r w:rsidR="001B6ED8">
        <w:rPr>
          <w:rFonts w:cs="Times New Roman"/>
          <w:color w:val="000000"/>
          <w:szCs w:val="24"/>
          <w:shd w:val="clear" w:color="auto" w:fill="FFFFFF"/>
        </w:rPr>
        <w:t xml:space="preserve">s </w:t>
      </w:r>
      <w:r w:rsidR="001B6ED8" w:rsidRPr="001B6ED8">
        <w:rPr>
          <w:rFonts w:cs="Times New Roman"/>
          <w:szCs w:val="24"/>
          <w:shd w:val="clear" w:color="auto" w:fill="FFFFFF"/>
        </w:rPr>
        <w:t>É</w:t>
      </w:r>
      <w:r>
        <w:rPr>
          <w:rFonts w:cs="Times New Roman"/>
          <w:color w:val="000000"/>
          <w:szCs w:val="24"/>
          <w:shd w:val="clear" w:color="auto" w:fill="FFFFFF"/>
        </w:rPr>
        <w:t xml:space="preserve">tats étrangers est centralisé dans une seule et unique juridiction et que, comme </w:t>
      </w:r>
      <w:r w:rsidRPr="00143C83">
        <w:rPr>
          <w:rFonts w:cs="Times New Roman"/>
          <w:color w:val="000000"/>
          <w:szCs w:val="24"/>
          <w:shd w:val="clear" w:color="auto" w:fill="FFFFFF"/>
        </w:rPr>
        <w:t xml:space="preserve">l’indique </w:t>
      </w:r>
      <w:r w:rsidRPr="00143C83">
        <w:rPr>
          <w:szCs w:val="24"/>
        </w:rPr>
        <w:t xml:space="preserve">Juliette </w:t>
      </w:r>
      <w:r w:rsidRPr="00143C83">
        <w:rPr>
          <w:rFonts w:cs="Times New Roman"/>
          <w:szCs w:val="24"/>
          <w:shd w:val="clear" w:color="auto" w:fill="FFFFFF"/>
        </w:rPr>
        <w:t>Morel-Maroger,</w:t>
      </w:r>
      <w:r>
        <w:rPr>
          <w:rFonts w:cs="Times New Roman"/>
          <w:szCs w:val="24"/>
          <w:shd w:val="clear" w:color="auto" w:fill="FFFFFF"/>
        </w:rPr>
        <w:t xml:space="preserve"> les critères classiques de compétence territoriale sont abandonnés</w:t>
      </w:r>
      <w:r w:rsidRPr="00B46239">
        <w:rPr>
          <w:rFonts w:cs="Times New Roman"/>
          <w:szCs w:val="24"/>
          <w:shd w:val="clear" w:color="auto" w:fill="FFFFFF"/>
        </w:rPr>
        <w:t xml:space="preserve">. </w:t>
      </w:r>
      <w:r w:rsidR="004375F4">
        <w:rPr>
          <w:rFonts w:cs="Times New Roman"/>
          <w:szCs w:val="24"/>
          <w:shd w:val="clear" w:color="auto" w:fill="FFFFFF"/>
        </w:rPr>
        <w:t>Pour cette auteure, l</w:t>
      </w:r>
      <w:r w:rsidRPr="00B46239">
        <w:rPr>
          <w:rFonts w:cs="Times New Roman"/>
          <w:szCs w:val="24"/>
          <w:shd w:val="clear" w:color="auto" w:fill="FFFFFF"/>
        </w:rPr>
        <w:t>a centralisation d’un contentieux auprès d’une unique juridiction permet d’assurer l’uniformité de la jurisprudence et la spécialisation des juges amenés à t</w:t>
      </w:r>
      <w:r>
        <w:rPr>
          <w:rFonts w:cs="Times New Roman"/>
          <w:szCs w:val="24"/>
          <w:shd w:val="clear" w:color="auto" w:fill="FFFFFF"/>
        </w:rPr>
        <w:t xml:space="preserve">rancher le contentieux concerné, </w:t>
      </w:r>
      <w:r>
        <w:rPr>
          <w:rFonts w:cs="Times New Roman"/>
          <w:szCs w:val="24"/>
          <w:shd w:val="clear" w:color="auto" w:fill="FFFFFF"/>
        </w:rPr>
        <w:lastRenderedPageBreak/>
        <w:t>souhait qui se comprend au regard du caractère particulièrement complexe des conditions dans lesquelles les mesures de contrainte peuv</w:t>
      </w:r>
      <w:r w:rsidR="001B6ED8">
        <w:rPr>
          <w:rFonts w:cs="Times New Roman"/>
          <w:szCs w:val="24"/>
          <w:shd w:val="clear" w:color="auto" w:fill="FFFFFF"/>
        </w:rPr>
        <w:t>ent être engagées à l’égard d’</w:t>
      </w:r>
      <w:r w:rsidR="001B6ED8" w:rsidRPr="001B6ED8">
        <w:rPr>
          <w:rFonts w:cs="Times New Roman"/>
          <w:szCs w:val="24"/>
          <w:shd w:val="clear" w:color="auto" w:fill="FFFFFF"/>
        </w:rPr>
        <w:t>É</w:t>
      </w:r>
      <w:r>
        <w:rPr>
          <w:rFonts w:cs="Times New Roman"/>
          <w:szCs w:val="24"/>
          <w:shd w:val="clear" w:color="auto" w:fill="FFFFFF"/>
        </w:rPr>
        <w:t>tats étrangers</w:t>
      </w:r>
      <w:r>
        <w:rPr>
          <w:rStyle w:val="Appelnotedebasdep"/>
          <w:rFonts w:cs="Times New Roman"/>
          <w:szCs w:val="24"/>
          <w:shd w:val="clear" w:color="auto" w:fill="FFFFFF"/>
        </w:rPr>
        <w:footnoteReference w:id="72"/>
      </w:r>
      <w:r w:rsidR="008C335B">
        <w:rPr>
          <w:rFonts w:cs="Times New Roman"/>
          <w:szCs w:val="24"/>
          <w:shd w:val="clear" w:color="auto" w:fill="FFFFFF"/>
        </w:rPr>
        <w:t xml:space="preserve"> </w:t>
      </w:r>
      <w:r w:rsidR="008C335B">
        <w:rPr>
          <w:rStyle w:val="Appelnotedebasdep"/>
          <w:rFonts w:cs="Times New Roman"/>
          <w:szCs w:val="24"/>
          <w:shd w:val="clear" w:color="auto" w:fill="FFFFFF"/>
        </w:rPr>
        <w:footnoteReference w:id="73"/>
      </w:r>
      <w:r>
        <w:rPr>
          <w:rFonts w:cs="Times New Roman"/>
          <w:szCs w:val="24"/>
          <w:shd w:val="clear" w:color="auto" w:fill="FFFFFF"/>
        </w:rPr>
        <w:t>.</w:t>
      </w:r>
    </w:p>
    <w:p w14:paraId="535D2539" w14:textId="77777777" w:rsidR="00B16665" w:rsidRPr="0040555C" w:rsidRDefault="0040555C" w:rsidP="00B41D0F">
      <w:pPr>
        <w:jc w:val="both"/>
        <w:rPr>
          <w:rFonts w:cs="Times New Roman"/>
          <w:color w:val="000000"/>
          <w:szCs w:val="24"/>
          <w:shd w:val="clear" w:color="auto" w:fill="FFFFFF"/>
        </w:rPr>
      </w:pPr>
      <w:r>
        <w:rPr>
          <w:rFonts w:cs="Times New Roman"/>
          <w:szCs w:val="24"/>
        </w:rPr>
        <w:t>Relevons finalement qu’aux fins d’une bonne information du juge saisi, l</w:t>
      </w:r>
      <w:r w:rsidR="005E5966">
        <w:rPr>
          <w:rFonts w:cs="Times New Roman"/>
          <w:szCs w:val="24"/>
        </w:rPr>
        <w:t>a dernière</w:t>
      </w:r>
      <w:r w:rsidR="00971ABB" w:rsidRPr="00971ABB">
        <w:rPr>
          <w:rFonts w:cs="Times New Roman"/>
          <w:szCs w:val="24"/>
        </w:rPr>
        <w:t xml:space="preserve"> </w:t>
      </w:r>
      <w:r w:rsidR="005E5966">
        <w:rPr>
          <w:rFonts w:cs="Times New Roman"/>
          <w:szCs w:val="24"/>
        </w:rPr>
        <w:t>disposition</w:t>
      </w:r>
      <w:r w:rsidR="00B16665" w:rsidRPr="00971ABB">
        <w:rPr>
          <w:rFonts w:cs="Times New Roman"/>
          <w:szCs w:val="24"/>
        </w:rPr>
        <w:t xml:space="preserve"> de l’article 60</w:t>
      </w:r>
      <w:r w:rsidR="00971ABB" w:rsidRPr="00971ABB">
        <w:rPr>
          <w:rFonts w:cs="Times New Roman"/>
          <w:szCs w:val="24"/>
        </w:rPr>
        <w:t xml:space="preserve"> de la loi Sapin II</w:t>
      </w:r>
      <w:r w:rsidR="00B16665" w:rsidRPr="00971ABB">
        <w:rPr>
          <w:rFonts w:cs="Times New Roman"/>
          <w:szCs w:val="24"/>
        </w:rPr>
        <w:t xml:space="preserve"> prévoit que « </w:t>
      </w:r>
      <w:r w:rsidR="00B16665" w:rsidRPr="00971ABB">
        <w:rPr>
          <w:rFonts w:cs="Times New Roman"/>
          <w:color w:val="000000"/>
          <w:szCs w:val="24"/>
          <w:shd w:val="clear" w:color="auto" w:fill="FFFFFF"/>
        </w:rPr>
        <w:t>(l)e détenteur du titre de créance communique, à peine d'irrecevabilité, l'acte par lequel il a acquis la créance à raison de laquelle il demande une mesure conservatoire ou une mesure d'exécution forcée et fait connaître la date et l'intégralité des conditions financières de l'acquisition</w:t>
      </w:r>
      <w:r w:rsidR="00971ABB">
        <w:rPr>
          <w:rFonts w:cs="Times New Roman"/>
          <w:color w:val="000000"/>
          <w:szCs w:val="24"/>
          <w:shd w:val="clear" w:color="auto" w:fill="FFFFFF"/>
        </w:rPr>
        <w:t> » et que « (c)</w:t>
      </w:r>
      <w:r w:rsidR="00B16665" w:rsidRPr="00971ABB">
        <w:rPr>
          <w:rFonts w:cs="Times New Roman"/>
          <w:color w:val="000000"/>
          <w:szCs w:val="24"/>
          <w:shd w:val="clear" w:color="auto" w:fill="FFFFFF"/>
        </w:rPr>
        <w:t>es informations sont certifiées pa</w:t>
      </w:r>
      <w:r>
        <w:rPr>
          <w:rFonts w:cs="Times New Roman"/>
          <w:color w:val="000000"/>
          <w:szCs w:val="24"/>
          <w:shd w:val="clear" w:color="auto" w:fill="FFFFFF"/>
        </w:rPr>
        <w:t xml:space="preserve">r un commissaire aux comptes ». </w:t>
      </w:r>
      <w:r w:rsidR="009E5FBE">
        <w:rPr>
          <w:rFonts w:cs="Times New Roman"/>
          <w:color w:val="000000"/>
          <w:szCs w:val="24"/>
          <w:shd w:val="clear" w:color="auto" w:fill="FFFFFF"/>
        </w:rPr>
        <w:t>L’on comprend, à</w:t>
      </w:r>
      <w:r w:rsidR="00B16665" w:rsidRPr="00383CA0">
        <w:rPr>
          <w:rFonts w:cs="Times New Roman"/>
          <w:color w:val="000000"/>
          <w:szCs w:val="24"/>
          <w:shd w:val="clear" w:color="auto" w:fill="FFFFFF"/>
        </w:rPr>
        <w:t xml:space="preserve"> l’analyse des travaux préparatoires de la loi Sapin II</w:t>
      </w:r>
      <w:r w:rsidR="009E5FBE">
        <w:rPr>
          <w:rFonts w:cs="Times New Roman"/>
          <w:color w:val="000000"/>
          <w:szCs w:val="24"/>
          <w:shd w:val="clear" w:color="auto" w:fill="FFFFFF"/>
        </w:rPr>
        <w:t>,</w:t>
      </w:r>
      <w:r w:rsidR="00B16665" w:rsidRPr="00383CA0">
        <w:rPr>
          <w:rFonts w:cs="Times New Roman"/>
          <w:color w:val="000000"/>
          <w:szCs w:val="24"/>
          <w:shd w:val="clear" w:color="auto" w:fill="FFFFFF"/>
        </w:rPr>
        <w:t xml:space="preserve"> que cette exigence </w:t>
      </w:r>
      <w:r w:rsidR="00971ABB">
        <w:rPr>
          <w:rFonts w:cs="Times New Roman"/>
          <w:color w:val="000000"/>
          <w:szCs w:val="24"/>
          <w:shd w:val="clear" w:color="auto" w:fill="FFFFFF"/>
        </w:rPr>
        <w:t>imposée au</w:t>
      </w:r>
      <w:r w:rsidR="00B16665" w:rsidRPr="00383CA0">
        <w:rPr>
          <w:rFonts w:cs="Times New Roman"/>
          <w:color w:val="000000"/>
          <w:szCs w:val="24"/>
          <w:shd w:val="clear" w:color="auto" w:fill="FFFFFF"/>
        </w:rPr>
        <w:t xml:space="preserve"> créancier de verser aux débats les </w:t>
      </w:r>
      <w:r w:rsidR="00B16665" w:rsidRPr="00383CA0">
        <w:rPr>
          <w:shd w:val="clear" w:color="auto" w:fill="FFFFFF"/>
        </w:rPr>
        <w:t>documents par lesquels i</w:t>
      </w:r>
      <w:r w:rsidR="001B6ED8">
        <w:rPr>
          <w:shd w:val="clear" w:color="auto" w:fill="FFFFFF"/>
        </w:rPr>
        <w:t>l a acquis ses droits contre l’</w:t>
      </w:r>
      <w:r w:rsidR="001B6ED8" w:rsidRPr="001B6ED8">
        <w:rPr>
          <w:rFonts w:cs="Times New Roman"/>
          <w:szCs w:val="24"/>
          <w:shd w:val="clear" w:color="auto" w:fill="FFFFFF"/>
        </w:rPr>
        <w:t>É</w:t>
      </w:r>
      <w:r w:rsidR="00B16665" w:rsidRPr="00383CA0">
        <w:rPr>
          <w:shd w:val="clear" w:color="auto" w:fill="FFFFFF"/>
        </w:rPr>
        <w:t>tat étranger</w:t>
      </w:r>
      <w:r w:rsidR="00B16665" w:rsidRPr="00383CA0">
        <w:rPr>
          <w:rFonts w:cs="Times New Roman"/>
          <w:color w:val="000000"/>
          <w:szCs w:val="24"/>
          <w:shd w:val="clear" w:color="auto" w:fill="FFFFFF"/>
        </w:rPr>
        <w:t xml:space="preserve"> </w:t>
      </w:r>
      <w:r w:rsidR="00971ABB">
        <w:rPr>
          <w:rFonts w:cs="Times New Roman"/>
          <w:color w:val="000000"/>
          <w:szCs w:val="24"/>
          <w:shd w:val="clear" w:color="auto" w:fill="FFFFFF"/>
        </w:rPr>
        <w:t>vise à « </w:t>
      </w:r>
      <w:r w:rsidR="00B16665" w:rsidRPr="00383CA0">
        <w:rPr>
          <w:shd w:val="clear" w:color="auto" w:fill="FFFFFF"/>
        </w:rPr>
        <w:t xml:space="preserve">améliorer la transparence des opérations et </w:t>
      </w:r>
      <w:r w:rsidR="00F17DB7">
        <w:rPr>
          <w:rFonts w:cs="Times New Roman"/>
          <w:shd w:val="clear" w:color="auto" w:fill="FFFFFF"/>
        </w:rPr>
        <w:t>[à]</w:t>
      </w:r>
      <w:r w:rsidR="00F17DB7">
        <w:rPr>
          <w:shd w:val="clear" w:color="auto" w:fill="FFFFFF"/>
        </w:rPr>
        <w:t xml:space="preserve"> </w:t>
      </w:r>
      <w:r w:rsidR="00B16665" w:rsidRPr="00383CA0">
        <w:rPr>
          <w:shd w:val="clear" w:color="auto" w:fill="FFFFFF"/>
        </w:rPr>
        <w:t>permettre au juge d’apprécier la nature du comportement du créancier fonds vautour et de mesurer le gain qu’il recherche »</w:t>
      </w:r>
      <w:r w:rsidR="00B16665">
        <w:rPr>
          <w:rStyle w:val="Appelnotedebasdep"/>
          <w:shd w:val="clear" w:color="auto" w:fill="FFFFFF"/>
        </w:rPr>
        <w:footnoteReference w:id="74"/>
      </w:r>
      <w:r w:rsidR="00B16665" w:rsidRPr="00383CA0">
        <w:rPr>
          <w:shd w:val="clear" w:color="auto" w:fill="FFFFFF"/>
        </w:rPr>
        <w:t>.</w:t>
      </w:r>
    </w:p>
    <w:p w14:paraId="3769D998" w14:textId="77777777" w:rsidR="00971ABB" w:rsidRDefault="00971ABB" w:rsidP="00B41D0F">
      <w:pPr>
        <w:jc w:val="both"/>
        <w:rPr>
          <w:shd w:val="clear" w:color="auto" w:fill="FFFFFF"/>
        </w:rPr>
      </w:pPr>
    </w:p>
    <w:p w14:paraId="72CD668B" w14:textId="2CD4B6B8" w:rsidR="006B6DEC" w:rsidRDefault="007B09B7" w:rsidP="006B6DEC">
      <w:pPr>
        <w:jc w:val="both"/>
        <w:rPr>
          <w:rFonts w:ascii="Arial" w:hAnsi="Arial" w:cs="Arial"/>
          <w:color w:val="000000"/>
          <w:sz w:val="19"/>
          <w:szCs w:val="19"/>
          <w:shd w:val="clear" w:color="auto" w:fill="FFFFFF"/>
        </w:rPr>
      </w:pPr>
      <w:r>
        <w:rPr>
          <w:b/>
        </w:rPr>
        <w:t>9</w:t>
      </w:r>
      <w:r w:rsidR="006B6DEC">
        <w:rPr>
          <w:b/>
        </w:rPr>
        <w:t xml:space="preserve">. L’exception à l’interdiction </w:t>
      </w:r>
      <w:r w:rsidR="00A12838">
        <w:rPr>
          <w:b/>
        </w:rPr>
        <w:t>-</w:t>
      </w:r>
      <w:r w:rsidR="006B6DEC">
        <w:rPr>
          <w:b/>
        </w:rPr>
        <w:t xml:space="preserve"> </w:t>
      </w:r>
      <w:r w:rsidR="005E5966">
        <w:t>La disposition</w:t>
      </w:r>
      <w:r w:rsidR="006B6DEC" w:rsidRPr="007F1C7F">
        <w:t xml:space="preserve"> IV de l’article 60 prévoit</w:t>
      </w:r>
      <w:r w:rsidR="006B6DEC">
        <w:t xml:space="preserve"> une exception à </w:t>
      </w:r>
      <w:r w:rsidR="006B6DEC" w:rsidRPr="00A870C8">
        <w:t>l’interdiction faite au juge d’autoriser des mesures de</w:t>
      </w:r>
      <w:r w:rsidR="001B6ED8" w:rsidRPr="00A870C8">
        <w:t xml:space="preserve"> contrainte sur les biens d’un </w:t>
      </w:r>
      <w:r w:rsidR="001B6ED8" w:rsidRPr="00A870C8">
        <w:rPr>
          <w:rFonts w:cs="Times New Roman"/>
          <w:szCs w:val="24"/>
          <w:shd w:val="clear" w:color="auto" w:fill="FFFFFF"/>
        </w:rPr>
        <w:t>É</w:t>
      </w:r>
      <w:r w:rsidR="006B6DEC" w:rsidRPr="00A870C8">
        <w:t>tat étranger alors que les conditions qu’il pose à l’application du mécanisme mis en place sont remplies.</w:t>
      </w:r>
      <w:r w:rsidR="006B6DEC" w:rsidRPr="007F1C7F">
        <w:t xml:space="preserve"> </w:t>
      </w:r>
      <w:r w:rsidR="006B6DEC">
        <w:t xml:space="preserve">Ainsi, il y est précisé que </w:t>
      </w:r>
      <w:r w:rsidR="006B6DEC" w:rsidRPr="006B6DEC">
        <w:rPr>
          <w:rFonts w:cs="Times New Roman"/>
          <w:szCs w:val="24"/>
        </w:rPr>
        <w:t>« </w:t>
      </w:r>
      <w:r w:rsidR="006B6DEC" w:rsidRPr="006B6DEC">
        <w:rPr>
          <w:rFonts w:cs="Times New Roman"/>
          <w:color w:val="000000"/>
          <w:szCs w:val="24"/>
          <w:shd w:val="clear" w:color="auto" w:fill="FFFFFF"/>
        </w:rPr>
        <w:t>(l)es mesures conservatoires et les mesures d'exécution forcée v</w:t>
      </w:r>
      <w:r w:rsidR="001B6ED8">
        <w:rPr>
          <w:rFonts w:cs="Times New Roman"/>
          <w:color w:val="000000"/>
          <w:szCs w:val="24"/>
          <w:shd w:val="clear" w:color="auto" w:fill="FFFFFF"/>
        </w:rPr>
        <w:t xml:space="preserve">isant un bien appartenant à un </w:t>
      </w:r>
      <w:r w:rsidR="001B6ED8" w:rsidRPr="001B6ED8">
        <w:rPr>
          <w:rFonts w:cs="Times New Roman"/>
          <w:szCs w:val="24"/>
          <w:shd w:val="clear" w:color="auto" w:fill="FFFFFF"/>
        </w:rPr>
        <w:t>É</w:t>
      </w:r>
      <w:r w:rsidR="006B6DEC" w:rsidRPr="006B6DEC">
        <w:rPr>
          <w:rFonts w:cs="Times New Roman"/>
          <w:color w:val="000000"/>
          <w:szCs w:val="24"/>
          <w:shd w:val="clear" w:color="auto" w:fill="FFFFFF"/>
        </w:rPr>
        <w:t>tat étranger peuvent être autorisées par le juge lorsqu'une proposition de modification des termes du contrat d'émission, applicable au titre de créance détenu par le créancier, a été acceptée par des créanciers représentant au moins 66 % du montant en principal des créances éligibles et est entrée en vigueur, et que le détenteur du titre de créance a sollicité la mise en œuvre d'une ou plusieurs mesures d'exécution forcée ou mesures conservatoires pour des sommes dont le montant total est inférieur ou égal au montant qu'il aurait obtenu s'il avait accepté ladite proposition ».</w:t>
      </w:r>
    </w:p>
    <w:p w14:paraId="4CE3E9E4" w14:textId="77777777" w:rsidR="006B6DEC" w:rsidRPr="00BF2BF7" w:rsidRDefault="00BF2BF7" w:rsidP="006B6DEC">
      <w:pPr>
        <w:jc w:val="both"/>
        <w:rPr>
          <w:rFonts w:cs="Times New Roman"/>
          <w:color w:val="000000"/>
          <w:szCs w:val="24"/>
          <w:shd w:val="clear" w:color="auto" w:fill="FFFFFF"/>
        </w:rPr>
      </w:pPr>
      <w:r>
        <w:rPr>
          <w:rFonts w:cs="Times New Roman"/>
          <w:color w:val="000000"/>
          <w:szCs w:val="24"/>
          <w:shd w:val="clear" w:color="auto" w:fill="FFFFFF"/>
        </w:rPr>
        <w:t>La justification de</w:t>
      </w:r>
      <w:r w:rsidR="006B6DEC" w:rsidRPr="002B7BF9">
        <w:rPr>
          <w:rFonts w:cs="Times New Roman"/>
          <w:color w:val="000000"/>
          <w:szCs w:val="24"/>
          <w:shd w:val="clear" w:color="auto" w:fill="FFFFFF"/>
        </w:rPr>
        <w:t xml:space="preserve"> cette exception est reprise dans l’exposé sommaire de l’amendement </w:t>
      </w:r>
      <w:r w:rsidR="006B6DEC">
        <w:rPr>
          <w:rFonts w:cs="Times New Roman"/>
          <w:color w:val="000000"/>
          <w:szCs w:val="24"/>
          <w:shd w:val="clear" w:color="auto" w:fill="FFFFFF"/>
        </w:rPr>
        <w:t xml:space="preserve">n° 1405 </w:t>
      </w:r>
      <w:r w:rsidR="006B6DEC" w:rsidRPr="002B7BF9">
        <w:rPr>
          <w:rFonts w:cs="Times New Roman"/>
          <w:color w:val="000000"/>
          <w:szCs w:val="24"/>
          <w:shd w:val="clear" w:color="auto" w:fill="FFFFFF"/>
        </w:rPr>
        <w:t xml:space="preserve">à l’origine de l’article 60 de la loi Sapin II où il est précisé que « dans la mesure où une offre de restructuration est supposée avoir été calibrée pour permettre un retour de l’État étranger à une situation d’équilibre si elle est acceptée par tous les créanciers auxquels elle a été proposée, le créancier retrouve le plein bénéfice du recours aux procédures civiles d’exécution s’il se contente de réclamer le paiement des montants auxquels lui aurait donné droit la proposition de </w:t>
      </w:r>
      <w:r w:rsidR="006B6DEC" w:rsidRPr="002B7BF9">
        <w:rPr>
          <w:rFonts w:cs="Times New Roman"/>
          <w:color w:val="000000"/>
          <w:szCs w:val="24"/>
          <w:shd w:val="clear" w:color="auto" w:fill="FFFFFF"/>
        </w:rPr>
        <w:lastRenderedPageBreak/>
        <w:t>restructuration acceptée par une large majorité de créanciers, à laquelle il n’a pas participé et/ou consenti pour une quelconque raison (par exemple, parce qu’il n’a pas répondu à temps à l’offre de restructuration)</w:t>
      </w:r>
      <w:r w:rsidR="006B6DEC">
        <w:rPr>
          <w:rFonts w:ascii="Verdana" w:hAnsi="Verdana"/>
          <w:color w:val="000000"/>
          <w:sz w:val="20"/>
          <w:szCs w:val="20"/>
          <w:shd w:val="clear" w:color="auto" w:fill="FFFFFF"/>
        </w:rPr>
        <w:t xml:space="preserve"> </w:t>
      </w:r>
      <w:r w:rsidR="006B6DEC">
        <w:rPr>
          <w:rFonts w:cs="Times New Roman"/>
          <w:color w:val="000000"/>
          <w:szCs w:val="24"/>
          <w:shd w:val="clear" w:color="auto" w:fill="FFFFFF"/>
        </w:rPr>
        <w:t>»</w:t>
      </w:r>
      <w:r w:rsidR="006B6DEC">
        <w:rPr>
          <w:rStyle w:val="Appelnotedebasdep"/>
          <w:rFonts w:cs="Times New Roman"/>
          <w:color w:val="000000"/>
          <w:szCs w:val="24"/>
          <w:shd w:val="clear" w:color="auto" w:fill="FFFFFF"/>
        </w:rPr>
        <w:footnoteReference w:id="75"/>
      </w:r>
      <w:r w:rsidR="006B6DEC">
        <w:rPr>
          <w:rFonts w:cs="Times New Roman"/>
          <w:color w:val="000000"/>
          <w:szCs w:val="24"/>
          <w:shd w:val="clear" w:color="auto" w:fill="FFFFFF"/>
        </w:rPr>
        <w:t>.</w:t>
      </w:r>
      <w:r>
        <w:rPr>
          <w:rFonts w:cs="Times New Roman"/>
          <w:color w:val="000000"/>
          <w:szCs w:val="24"/>
          <w:shd w:val="clear" w:color="auto" w:fill="FFFFFF"/>
        </w:rPr>
        <w:t xml:space="preserve"> </w:t>
      </w:r>
      <w:r w:rsidR="006B6DEC">
        <w:t xml:space="preserve">Ainsi, les mesures </w:t>
      </w:r>
      <w:r>
        <w:t xml:space="preserve">de contrainte </w:t>
      </w:r>
      <w:r w:rsidR="006B6DEC">
        <w:t xml:space="preserve">peuvent être autorisées si le créancier se limite dans ses prétentions à ce qu’il aurait obtenu s’il avait suivi l’effort de réorganisation de la dette. Comme le relève Paul Giraud, </w:t>
      </w:r>
      <w:r w:rsidR="006B6DEC" w:rsidRPr="00072A5F">
        <w:t xml:space="preserve">« (l’)objectif est ainsi de supprimer tout intérêt de l’application par le fonds de la théorie économique du </w:t>
      </w:r>
      <w:r w:rsidR="006B6DEC" w:rsidRPr="00072A5F">
        <w:rPr>
          <w:i/>
        </w:rPr>
        <w:t>passager clandestin</w:t>
      </w:r>
      <w:r w:rsidR="006B6DEC" w:rsidRPr="00072A5F">
        <w:t xml:space="preserve"> sur laquelle repose (son) modèle économique »</w:t>
      </w:r>
      <w:r w:rsidR="006B6DEC">
        <w:rPr>
          <w:rStyle w:val="Appelnotedebasdep"/>
        </w:rPr>
        <w:footnoteReference w:id="76"/>
      </w:r>
      <w:r w:rsidR="006B6DEC">
        <w:t>.</w:t>
      </w:r>
      <w:r>
        <w:rPr>
          <w:rFonts w:cs="Times New Roman"/>
          <w:color w:val="000000"/>
          <w:szCs w:val="24"/>
          <w:shd w:val="clear" w:color="auto" w:fill="FFFFFF"/>
        </w:rPr>
        <w:t xml:space="preserve"> </w:t>
      </w:r>
      <w:r>
        <w:t>Aussi</w:t>
      </w:r>
      <w:r w:rsidR="00072A5F">
        <w:t>,</w:t>
      </w:r>
      <w:r>
        <w:t xml:space="preserve"> avec cette exception,</w:t>
      </w:r>
      <w:r w:rsidR="006B6DEC">
        <w:t xml:space="preserve"> </w:t>
      </w:r>
      <w:r>
        <w:t>Sylvain Bollée indique que</w:t>
      </w:r>
      <w:r w:rsidR="006B6DEC">
        <w:t xml:space="preserve"> </w:t>
      </w:r>
      <w:r w:rsidR="006B6DEC" w:rsidRPr="00072A5F">
        <w:t>« la loi impose indirectement à ces créanciers une clause d’action collective »</w:t>
      </w:r>
      <w:r w:rsidR="006B6DEC">
        <w:rPr>
          <w:rStyle w:val="Appelnotedebasdep"/>
        </w:rPr>
        <w:footnoteReference w:id="77"/>
      </w:r>
      <w:r w:rsidR="00072A5F">
        <w:t>. C</w:t>
      </w:r>
      <w:r w:rsidR="006B6DEC">
        <w:t xml:space="preserve">es clauses stipulées dans la documentation juridique des titres obligataires imposent à </w:t>
      </w:r>
      <w:r w:rsidR="001B6ED8">
        <w:t xml:space="preserve">l’ensemble des créanciers d’un </w:t>
      </w:r>
      <w:r w:rsidR="001B6ED8" w:rsidRPr="001B6ED8">
        <w:rPr>
          <w:rFonts w:cs="Times New Roman"/>
          <w:szCs w:val="24"/>
          <w:shd w:val="clear" w:color="auto" w:fill="FFFFFF"/>
        </w:rPr>
        <w:t>É</w:t>
      </w:r>
      <w:r w:rsidR="006B6DEC">
        <w:t>tat en insolvabilité la modification des paramètres de l’obligation décidée par une majorité qualifiée des créanciers</w:t>
      </w:r>
      <w:r w:rsidR="006B6DEC">
        <w:rPr>
          <w:rStyle w:val="Appelnotedebasdep"/>
        </w:rPr>
        <w:footnoteReference w:id="78"/>
      </w:r>
      <w:r w:rsidR="006B6DEC">
        <w:t>. Ce mécanisme par nature contractuel est</w:t>
      </w:r>
      <w:r>
        <w:t xml:space="preserve"> donc,</w:t>
      </w:r>
      <w:r w:rsidR="006B6DEC">
        <w:t xml:space="preserve"> avec l’article 60 de la loi Sapin II</w:t>
      </w:r>
      <w:r>
        <w:t>,</w:t>
      </w:r>
      <w:r w:rsidR="006B6DEC">
        <w:t xml:space="preserve"> en quelque sorte légalisé.</w:t>
      </w:r>
    </w:p>
    <w:p w14:paraId="5E90B25B" w14:textId="77777777" w:rsidR="006B6DEC" w:rsidRDefault="006B6DEC" w:rsidP="006B6DEC">
      <w:pPr>
        <w:jc w:val="both"/>
      </w:pPr>
      <w:r>
        <w:t xml:space="preserve">Paul Giraud met en lumière un intéressant problème découlant de la règle contenue </w:t>
      </w:r>
      <w:r w:rsidR="005E5966">
        <w:t>à la disposition IV</w:t>
      </w:r>
      <w:r>
        <w:t xml:space="preserve"> de l’article 60 en indiquant que le créancier pourrait en profiter pour poursuivre en France une partie de sa créance sur des biens étatiques étrangers et ce, dans la proportion rendue possible par la disposition, tandis qu’il chercherait à en obtenir le reliquat à l’étranger. Pour l’auteur, dans la situation inverse où le créancier viendrait en France pour obtenir ce qu’il n’a pas pu obtenir à l’étranger alors, </w:t>
      </w:r>
      <w:r w:rsidRPr="007B09B7">
        <w:t>« l’esprit du texte va dans le sens d’une autorisation judiciaire limitée au reliquat entre le montant qu’il aurait obtenu s’il avait accepté ladite proposition et le montant déjà perçu à l’étranger »</w:t>
      </w:r>
      <w:r>
        <w:rPr>
          <w:rStyle w:val="Appelnotedebasdep"/>
        </w:rPr>
        <w:footnoteReference w:id="79"/>
      </w:r>
      <w:r>
        <w:t>.</w:t>
      </w:r>
    </w:p>
    <w:p w14:paraId="701747CA" w14:textId="77777777" w:rsidR="00A83BF4" w:rsidRDefault="00727D08" w:rsidP="00C078EE">
      <w:pPr>
        <w:jc w:val="both"/>
        <w:rPr>
          <w:rFonts w:cs="Times New Roman"/>
          <w:szCs w:val="24"/>
          <w:shd w:val="clear" w:color="auto" w:fill="FFFFFF"/>
        </w:rPr>
      </w:pPr>
      <w:r>
        <w:rPr>
          <w:rFonts w:cs="Times New Roman"/>
          <w:color w:val="000000"/>
          <w:szCs w:val="24"/>
          <w:shd w:val="clear" w:color="auto" w:fill="FFFFFF"/>
        </w:rPr>
        <w:t>Quoi qu’il en soit, i</w:t>
      </w:r>
      <w:r w:rsidR="006B6DEC">
        <w:rPr>
          <w:rFonts w:cs="Times New Roman"/>
          <w:color w:val="000000"/>
          <w:szCs w:val="24"/>
          <w:shd w:val="clear" w:color="auto" w:fill="FFFFFF"/>
        </w:rPr>
        <w:t xml:space="preserve">l </w:t>
      </w:r>
      <w:r>
        <w:rPr>
          <w:rFonts w:cs="Times New Roman"/>
          <w:color w:val="000000"/>
          <w:szCs w:val="24"/>
          <w:shd w:val="clear" w:color="auto" w:fill="FFFFFF"/>
        </w:rPr>
        <w:t>est évident</w:t>
      </w:r>
      <w:r w:rsidR="006B6DEC">
        <w:rPr>
          <w:rFonts w:cs="Times New Roman"/>
          <w:color w:val="000000"/>
          <w:szCs w:val="24"/>
          <w:shd w:val="clear" w:color="auto" w:fill="FFFFFF"/>
        </w:rPr>
        <w:t xml:space="preserve"> que, dans l’hypothèse d’une autorisation </w:t>
      </w:r>
      <w:r>
        <w:rPr>
          <w:rFonts w:cs="Times New Roman"/>
          <w:color w:val="000000"/>
          <w:szCs w:val="24"/>
          <w:shd w:val="clear" w:color="auto" w:fill="FFFFFF"/>
        </w:rPr>
        <w:t xml:space="preserve">requise sur base </w:t>
      </w:r>
      <w:r w:rsidR="002E03C1">
        <w:rPr>
          <w:rFonts w:cs="Times New Roman"/>
          <w:color w:val="000000"/>
          <w:szCs w:val="24"/>
          <w:shd w:val="clear" w:color="auto" w:fill="FFFFFF"/>
        </w:rPr>
        <w:t>de l’article 60.</w:t>
      </w:r>
      <w:r w:rsidR="006B6DEC">
        <w:rPr>
          <w:rFonts w:cs="Times New Roman"/>
          <w:color w:val="000000"/>
          <w:szCs w:val="24"/>
          <w:shd w:val="clear" w:color="auto" w:fill="FFFFFF"/>
        </w:rPr>
        <w:t xml:space="preserve">IV., les mesures de contrainte ne pourront </w:t>
      </w:r>
      <w:r>
        <w:rPr>
          <w:rFonts w:cs="Times New Roman"/>
          <w:color w:val="000000"/>
          <w:szCs w:val="24"/>
          <w:shd w:val="clear" w:color="auto" w:fill="FFFFFF"/>
        </w:rPr>
        <w:t>autorisée</w:t>
      </w:r>
      <w:r w:rsidR="006B6DEC">
        <w:rPr>
          <w:rFonts w:cs="Times New Roman"/>
          <w:color w:val="000000"/>
          <w:szCs w:val="24"/>
          <w:shd w:val="clear" w:color="auto" w:fill="FFFFFF"/>
        </w:rPr>
        <w:t xml:space="preserve"> que moyennant le respect du régime immunitaire </w:t>
      </w:r>
      <w:r>
        <w:rPr>
          <w:rFonts w:cs="Times New Roman"/>
          <w:color w:val="000000"/>
          <w:szCs w:val="24"/>
          <w:shd w:val="clear" w:color="auto" w:fill="FFFFFF"/>
        </w:rPr>
        <w:t xml:space="preserve">fixé par l’article 59 de la loi. Cet article </w:t>
      </w:r>
      <w:r w:rsidR="006B6DEC">
        <w:rPr>
          <w:rFonts w:cs="Times New Roman"/>
          <w:color w:val="000000"/>
          <w:szCs w:val="24"/>
          <w:shd w:val="clear" w:color="auto" w:fill="FFFFFF"/>
        </w:rPr>
        <w:t>introduit dans le code des procédures civi</w:t>
      </w:r>
      <w:r>
        <w:rPr>
          <w:rFonts w:cs="Times New Roman"/>
          <w:color w:val="000000"/>
          <w:szCs w:val="24"/>
          <w:shd w:val="clear" w:color="auto" w:fill="FFFFFF"/>
        </w:rPr>
        <w:t>les d’exécution deux dispositions</w:t>
      </w:r>
      <w:r w:rsidR="006B6DEC">
        <w:rPr>
          <w:rFonts w:cs="Times New Roman"/>
          <w:color w:val="000000"/>
          <w:szCs w:val="24"/>
          <w:shd w:val="clear" w:color="auto" w:fill="FFFFFF"/>
        </w:rPr>
        <w:t xml:space="preserve"> </w:t>
      </w:r>
      <w:r>
        <w:rPr>
          <w:rFonts w:cs="Times New Roman"/>
          <w:color w:val="000000"/>
          <w:szCs w:val="24"/>
          <w:shd w:val="clear" w:color="auto" w:fill="FFFFFF"/>
        </w:rPr>
        <w:t>détermina</w:t>
      </w:r>
      <w:r w:rsidR="006B6DEC">
        <w:rPr>
          <w:rFonts w:cs="Times New Roman"/>
          <w:color w:val="000000"/>
          <w:szCs w:val="24"/>
          <w:shd w:val="clear" w:color="auto" w:fill="FFFFFF"/>
        </w:rPr>
        <w:t>nt les conditions dans lesquelles une autorisation peut être donnée</w:t>
      </w:r>
      <w:r w:rsidR="007B09B7">
        <w:rPr>
          <w:rStyle w:val="Appelnotedebasdep"/>
          <w:rFonts w:cs="Times New Roman"/>
          <w:color w:val="000000"/>
          <w:szCs w:val="24"/>
          <w:shd w:val="clear" w:color="auto" w:fill="FFFFFF"/>
        </w:rPr>
        <w:footnoteReference w:id="80"/>
      </w:r>
      <w:r w:rsidR="00072A5F">
        <w:rPr>
          <w:rFonts w:cs="Times New Roman"/>
          <w:color w:val="000000"/>
          <w:szCs w:val="24"/>
          <w:shd w:val="clear" w:color="auto" w:fill="FFFFFF"/>
        </w:rPr>
        <w:t>.</w:t>
      </w:r>
      <w:r w:rsidR="00A83BF4">
        <w:rPr>
          <w:rFonts w:cs="Times New Roman"/>
          <w:szCs w:val="24"/>
          <w:shd w:val="clear" w:color="auto" w:fill="FFFFFF"/>
        </w:rPr>
        <w:br w:type="page"/>
      </w:r>
    </w:p>
    <w:p w14:paraId="4829FE74" w14:textId="16A226FD" w:rsidR="006A4BD5" w:rsidRDefault="005638D4" w:rsidP="005638D4">
      <w:pPr>
        <w:pStyle w:val="Titre1"/>
        <w:pBdr>
          <w:top w:val="none" w:sz="0" w:space="0" w:color="auto"/>
          <w:left w:val="none" w:sz="0" w:space="0" w:color="auto"/>
          <w:bottom w:val="none" w:sz="0" w:space="0" w:color="auto"/>
          <w:right w:val="none" w:sz="0" w:space="0" w:color="auto"/>
        </w:pBdr>
      </w:pPr>
      <w:r>
        <w:lastRenderedPageBreak/>
        <w:t xml:space="preserve">Section III : </w:t>
      </w:r>
      <w:r w:rsidR="004D77AF">
        <w:t>Les c</w:t>
      </w:r>
      <w:r w:rsidR="00E34DBF">
        <w:t>onditions d’application</w:t>
      </w:r>
    </w:p>
    <w:p w14:paraId="0E137B8A" w14:textId="77777777" w:rsidR="00A83BF4" w:rsidRPr="004D77AF" w:rsidRDefault="00A83BF4" w:rsidP="00A83BF4">
      <w:pPr>
        <w:jc w:val="both"/>
        <w:rPr>
          <w:b/>
        </w:rPr>
      </w:pPr>
    </w:p>
    <w:p w14:paraId="1C7716FB" w14:textId="03137292" w:rsidR="00ED66EF" w:rsidRDefault="00824FD7" w:rsidP="00C078EE">
      <w:pPr>
        <w:jc w:val="both"/>
      </w:pPr>
      <w:r>
        <w:rPr>
          <w:b/>
        </w:rPr>
        <w:t>1</w:t>
      </w:r>
      <w:r w:rsidR="007F2E44">
        <w:rPr>
          <w:b/>
        </w:rPr>
        <w:t>0.</w:t>
      </w:r>
      <w:r w:rsidR="00ED66EF">
        <w:rPr>
          <w:b/>
        </w:rPr>
        <w:t xml:space="preserve"> Un </w:t>
      </w:r>
      <w:r w:rsidR="00246FE1">
        <w:rPr>
          <w:b/>
        </w:rPr>
        <w:t xml:space="preserve">large </w:t>
      </w:r>
      <w:r w:rsidR="00ED66EF">
        <w:rPr>
          <w:b/>
        </w:rPr>
        <w:t>champ</w:t>
      </w:r>
      <w:r w:rsidR="00246FE1">
        <w:rPr>
          <w:b/>
        </w:rPr>
        <w:t xml:space="preserve"> </w:t>
      </w:r>
      <w:r w:rsidR="00A12838">
        <w:rPr>
          <w:b/>
        </w:rPr>
        <w:t>-</w:t>
      </w:r>
      <w:r w:rsidR="00ED66EF">
        <w:rPr>
          <w:b/>
        </w:rPr>
        <w:t xml:space="preserve"> </w:t>
      </w:r>
      <w:r w:rsidR="00ED66EF">
        <w:t xml:space="preserve">Les conditions posées par le législateur </w:t>
      </w:r>
      <w:r w:rsidR="00A761C6">
        <w:t xml:space="preserve">français </w:t>
      </w:r>
      <w:r w:rsidR="00ED66EF">
        <w:t>à l’application de son mécanisme anti-fonds vaut</w:t>
      </w:r>
      <w:r w:rsidR="00A870C8">
        <w:t xml:space="preserve">ours sont relativement larges. </w:t>
      </w:r>
      <w:r w:rsidR="00A870C8" w:rsidRPr="000E41F4">
        <w:rPr>
          <w:rFonts w:cs="Times New Roman"/>
          <w:szCs w:val="24"/>
          <w:lang w:eastAsia="fr-BE"/>
        </w:rPr>
        <w:t>À</w:t>
      </w:r>
      <w:r w:rsidR="00ED66EF">
        <w:t xml:space="preserve"> la lecture de ces conditions</w:t>
      </w:r>
      <w:r w:rsidR="00A761C6">
        <w:t xml:space="preserve"> reprises à l’article 60 de la loi Sapin II,</w:t>
      </w:r>
      <w:r w:rsidR="00ED66EF">
        <w:t xml:space="preserve"> l’on constate toutefois que tous les acteurs du marché de la dette souveraine ne sont pas visés. Aussi, le législateur identifie</w:t>
      </w:r>
      <w:r w:rsidR="00C457A6">
        <w:t xml:space="preserve"> les</w:t>
      </w:r>
      <w:r w:rsidR="00A761C6">
        <w:t xml:space="preserve"> types de titres de créance</w:t>
      </w:r>
      <w:r w:rsidR="00ED66EF">
        <w:t xml:space="preserve"> pouvant donner lieu à l’a</w:t>
      </w:r>
      <w:r w:rsidR="00C457A6">
        <w:t>pplication du mécanisme</w:t>
      </w:r>
      <w:r w:rsidR="00A761C6">
        <w:t>. L’interdiction faite au juge d’autoriser</w:t>
      </w:r>
      <w:r w:rsidR="003D1462">
        <w:t xml:space="preserve"> de</w:t>
      </w:r>
      <w:r w:rsidR="00A761C6">
        <w:t>s</w:t>
      </w:r>
      <w:r w:rsidR="003D1462">
        <w:t xml:space="preserve"> mesures de contrainte </w:t>
      </w:r>
      <w:r w:rsidR="001B6ED8">
        <w:t xml:space="preserve">sur les biens appartenant à un </w:t>
      </w:r>
      <w:r w:rsidR="001B6ED8" w:rsidRPr="001B6ED8">
        <w:rPr>
          <w:rFonts w:cs="Times New Roman"/>
          <w:szCs w:val="24"/>
          <w:shd w:val="clear" w:color="auto" w:fill="FFFFFF"/>
        </w:rPr>
        <w:t>É</w:t>
      </w:r>
      <w:r w:rsidR="00A761C6">
        <w:t xml:space="preserve">tat étranger </w:t>
      </w:r>
      <w:r w:rsidR="003D1462">
        <w:t xml:space="preserve">n’a lieu que lorsque plusieurs conditions dénotant un comportement vautour </w:t>
      </w:r>
      <w:r w:rsidR="00A761C6">
        <w:t xml:space="preserve">du créancier </w:t>
      </w:r>
      <w:r w:rsidR="003D1462">
        <w:t>sont rencontrées. Finalement, l’article 60</w:t>
      </w:r>
      <w:r w:rsidR="00A761C6">
        <w:t xml:space="preserve"> de la loi Sapin II</w:t>
      </w:r>
      <w:r w:rsidR="003D1462">
        <w:t xml:space="preserve"> définit précisémen</w:t>
      </w:r>
      <w:r w:rsidR="00C457A6">
        <w:t>t ses</w:t>
      </w:r>
      <w:r w:rsidR="003D1462">
        <w:t xml:space="preserve"> champ</w:t>
      </w:r>
      <w:r w:rsidR="00C457A6">
        <w:t>s</w:t>
      </w:r>
      <w:r w:rsidR="003D1462">
        <w:t xml:space="preserve"> d’application </w:t>
      </w:r>
      <w:r w:rsidR="00C457A6">
        <w:t>tempore</w:t>
      </w:r>
      <w:r w:rsidR="006F0968">
        <w:t>l</w:t>
      </w:r>
      <w:r w:rsidR="00C457A6">
        <w:t xml:space="preserve"> et territorial.</w:t>
      </w:r>
    </w:p>
    <w:p w14:paraId="1FB9575A" w14:textId="77777777" w:rsidR="00C457A6" w:rsidRPr="00ED66EF" w:rsidRDefault="00C457A6" w:rsidP="00C078EE">
      <w:pPr>
        <w:jc w:val="both"/>
      </w:pPr>
    </w:p>
    <w:p w14:paraId="2458EC11" w14:textId="4F3A14F7" w:rsidR="0077751F" w:rsidRDefault="00824FD7" w:rsidP="00C078EE">
      <w:pPr>
        <w:jc w:val="both"/>
      </w:pPr>
      <w:r>
        <w:rPr>
          <w:b/>
        </w:rPr>
        <w:t>1</w:t>
      </w:r>
      <w:r w:rsidR="007F2E44">
        <w:rPr>
          <w:b/>
        </w:rPr>
        <w:t>1</w:t>
      </w:r>
      <w:r w:rsidR="00AB123E">
        <w:rPr>
          <w:b/>
        </w:rPr>
        <w:t xml:space="preserve">. Les créanciers </w:t>
      </w:r>
      <w:r w:rsidR="000709A6">
        <w:rPr>
          <w:b/>
        </w:rPr>
        <w:t xml:space="preserve">et les débiteurs </w:t>
      </w:r>
      <w:r w:rsidR="00AB123E">
        <w:rPr>
          <w:b/>
        </w:rPr>
        <w:t xml:space="preserve">concernés </w:t>
      </w:r>
      <w:r w:rsidR="00A12838">
        <w:rPr>
          <w:b/>
        </w:rPr>
        <w:t>-</w:t>
      </w:r>
      <w:r w:rsidR="00AB123E">
        <w:rPr>
          <w:b/>
        </w:rPr>
        <w:t xml:space="preserve"> </w:t>
      </w:r>
      <w:r w:rsidR="00AA7B18" w:rsidRPr="002B7E83">
        <w:rPr>
          <w:szCs w:val="24"/>
        </w:rPr>
        <w:t>L’article 60 de la loi Sapin II vise à réguler les actions posées par des créanciers secondaires</w:t>
      </w:r>
      <w:r w:rsidR="002B7E83" w:rsidRPr="002B7E83">
        <w:rPr>
          <w:szCs w:val="24"/>
        </w:rPr>
        <w:t>. Cela ressort clairement de la deuxième condition à l’application du mécanisme mis en place contenue au point I. 2° de l’article, « (l)</w:t>
      </w:r>
      <w:r w:rsidR="002B7E83" w:rsidRPr="002B7E83">
        <w:rPr>
          <w:rFonts w:cs="Times New Roman"/>
          <w:color w:val="000000"/>
          <w:szCs w:val="24"/>
          <w:shd w:val="clear" w:color="auto" w:fill="FFFFFF"/>
        </w:rPr>
        <w:t>e détenteur du titre de créance a acquis ce titre alor</w:t>
      </w:r>
      <w:r w:rsidR="001B6ED8">
        <w:rPr>
          <w:rFonts w:cs="Times New Roman"/>
          <w:color w:val="000000"/>
          <w:szCs w:val="24"/>
          <w:shd w:val="clear" w:color="auto" w:fill="FFFFFF"/>
        </w:rPr>
        <w:t>s que l'</w:t>
      </w:r>
      <w:r w:rsidR="001B6ED8" w:rsidRPr="001B6ED8">
        <w:rPr>
          <w:rFonts w:cs="Times New Roman"/>
          <w:szCs w:val="24"/>
          <w:shd w:val="clear" w:color="auto" w:fill="FFFFFF"/>
        </w:rPr>
        <w:t>É</w:t>
      </w:r>
      <w:r w:rsidR="002B7E83" w:rsidRPr="002B7E83">
        <w:rPr>
          <w:rFonts w:cs="Times New Roman"/>
          <w:color w:val="000000"/>
          <w:szCs w:val="24"/>
          <w:shd w:val="clear" w:color="auto" w:fill="FFFFFF"/>
        </w:rPr>
        <w:t>tat étranger se trouvait en situation de défaut sur ce titre de créance ou avait proposé une modification des termes du titre de créance »</w:t>
      </w:r>
      <w:r w:rsidR="002B7E83">
        <w:rPr>
          <w:rFonts w:cs="Times New Roman"/>
          <w:color w:val="000000"/>
          <w:szCs w:val="24"/>
          <w:shd w:val="clear" w:color="auto" w:fill="FFFFFF"/>
        </w:rPr>
        <w:t>.</w:t>
      </w:r>
      <w:r w:rsidR="002B7E83">
        <w:t xml:space="preserve"> Cette condition</w:t>
      </w:r>
      <w:r w:rsidR="00C457A6">
        <w:t xml:space="preserve"> sur laquelle nous reviendrons</w:t>
      </w:r>
      <w:r w:rsidR="00C457A6">
        <w:rPr>
          <w:rStyle w:val="Appelnotedebasdep"/>
        </w:rPr>
        <w:footnoteReference w:id="81"/>
      </w:r>
      <w:r w:rsidR="00C457A6">
        <w:t>, comme les autres conditions</w:t>
      </w:r>
      <w:r w:rsidR="00246FE1">
        <w:t xml:space="preserve"> visées au point I de l’article 60,</w:t>
      </w:r>
      <w:r w:rsidR="0077751F">
        <w:t xml:space="preserve"> s’inscrit dans la logique « fonds vautours » qui  est celle de la spéculation sur le</w:t>
      </w:r>
      <w:r w:rsidR="001B6ED8">
        <w:t>s difficultés financières de l’</w:t>
      </w:r>
      <w:r w:rsidR="001B6ED8" w:rsidRPr="001B6ED8">
        <w:rPr>
          <w:rFonts w:cs="Times New Roman"/>
          <w:szCs w:val="24"/>
          <w:shd w:val="clear" w:color="auto" w:fill="FFFFFF"/>
        </w:rPr>
        <w:t>É</w:t>
      </w:r>
      <w:r w:rsidR="002B7E83">
        <w:t>tat</w:t>
      </w:r>
      <w:r w:rsidR="0077751F">
        <w:t xml:space="preserve"> débiteur</w:t>
      </w:r>
      <w:r w:rsidR="00246FE1">
        <w:rPr>
          <w:rStyle w:val="Appelnotedebasdep"/>
        </w:rPr>
        <w:footnoteReference w:id="82"/>
      </w:r>
      <w:r w:rsidR="007A6DE8">
        <w:t xml:space="preserve">. </w:t>
      </w:r>
      <w:r w:rsidR="00C457A6">
        <w:t xml:space="preserve">Eu égard à la limitation </w:t>
      </w:r>
      <w:r w:rsidR="00C457A6" w:rsidRPr="00C457A6">
        <w:rPr>
          <w:i/>
        </w:rPr>
        <w:t>ratione personae</w:t>
      </w:r>
      <w:r w:rsidR="00C457A6">
        <w:t xml:space="preserve"> du mécanisme mis en place, </w:t>
      </w:r>
      <w:r w:rsidR="0077751F">
        <w:t>Paul Giraud évoque une faiblesse de la législation commentée qui ne perm</w:t>
      </w:r>
      <w:r w:rsidR="002B7E83">
        <w:t xml:space="preserve">et pas de régler la situation où un fonds finance des </w:t>
      </w:r>
      <w:r w:rsidR="0077751F">
        <w:t>actions en exécution intentées par un créancier</w:t>
      </w:r>
      <w:r w:rsidR="009C1B9D">
        <w:t xml:space="preserve"> originaire</w:t>
      </w:r>
      <w:r w:rsidR="002B7E83">
        <w:t xml:space="preserve">. L’auteur </w:t>
      </w:r>
      <w:r w:rsidR="009C1B9D">
        <w:t xml:space="preserve">relève ainsi que par ce rôle de tiers financeur, </w:t>
      </w:r>
      <w:r w:rsidR="00971ABB">
        <w:t>un</w:t>
      </w:r>
      <w:r w:rsidR="009C1B9D">
        <w:t xml:space="preserve"> fonds </w:t>
      </w:r>
      <w:r w:rsidR="00971ABB">
        <w:t xml:space="preserve">vautour </w:t>
      </w:r>
      <w:r w:rsidR="009C1B9D">
        <w:t xml:space="preserve">pourrait contourner le </w:t>
      </w:r>
      <w:r w:rsidR="009012AA">
        <w:t>mécanisme</w:t>
      </w:r>
      <w:r w:rsidR="009C1B9D">
        <w:t xml:space="preserve"> limitatif de l’article 60</w:t>
      </w:r>
      <w:r w:rsidR="009C1B9D">
        <w:rPr>
          <w:rStyle w:val="Appelnotedebasdep"/>
        </w:rPr>
        <w:footnoteReference w:id="83"/>
      </w:r>
      <w:r w:rsidR="002B7E83">
        <w:t>.</w:t>
      </w:r>
    </w:p>
    <w:p w14:paraId="02650FE3" w14:textId="77777777" w:rsidR="001C783A" w:rsidRPr="007A6DE8" w:rsidRDefault="00971ABB" w:rsidP="00C078EE">
      <w:pPr>
        <w:jc w:val="both"/>
      </w:pPr>
      <w:r>
        <w:t>L’on retrouve l’indication des débiteurs pouvant bénéficier du mécanisme anti-fonds vautours mis en place par l’article 60 de la loi Sa</w:t>
      </w:r>
      <w:r w:rsidR="007A6DE8">
        <w:t xml:space="preserve">pin II, aux </w:t>
      </w:r>
      <w:r w:rsidR="005E5966">
        <w:t>dispositions</w:t>
      </w:r>
      <w:r w:rsidR="007A6DE8">
        <w:t xml:space="preserve"> I et V de cet </w:t>
      </w:r>
      <w:r>
        <w:t xml:space="preserve">article. Ainsi, </w:t>
      </w:r>
      <w:r w:rsidR="007A6DE8">
        <w:t xml:space="preserve">quoique </w:t>
      </w:r>
      <w:r w:rsidR="005E5966">
        <w:t>la première disposition</w:t>
      </w:r>
      <w:r w:rsidR="004D77AF">
        <w:t xml:space="preserve"> </w:t>
      </w:r>
      <w:r w:rsidR="007A6DE8">
        <w:t>prévoie</w:t>
      </w:r>
      <w:r w:rsidR="004D77AF">
        <w:t xml:space="preserve"> </w:t>
      </w:r>
      <w:r w:rsidR="007A6DE8">
        <w:t xml:space="preserve">qu’il est impossible </w:t>
      </w:r>
      <w:r w:rsidR="004D77AF">
        <w:t>d’autori</w:t>
      </w:r>
      <w:r>
        <w:t>ser</w:t>
      </w:r>
      <w:r w:rsidR="000709A6">
        <w:t xml:space="preserve"> de</w:t>
      </w:r>
      <w:r w:rsidR="00C96372">
        <w:t>s</w:t>
      </w:r>
      <w:r w:rsidR="000709A6">
        <w:t xml:space="preserve"> mesures de contrainte</w:t>
      </w:r>
      <w:r>
        <w:t xml:space="preserve"> </w:t>
      </w:r>
      <w:r w:rsidR="004D77AF">
        <w:t xml:space="preserve">lorsqu’elles </w:t>
      </w:r>
      <w:r>
        <w:t>visent des</w:t>
      </w:r>
      <w:r w:rsidR="000709A6">
        <w:t xml:space="preserve"> </w:t>
      </w:r>
      <w:r w:rsidR="000709A6" w:rsidRPr="00971ABB">
        <w:t xml:space="preserve">biens appartenant à </w:t>
      </w:r>
      <w:r w:rsidR="001B6ED8">
        <w:t>un « </w:t>
      </w:r>
      <w:r w:rsidR="001B6ED8" w:rsidRPr="001B6ED8">
        <w:rPr>
          <w:rFonts w:cs="Times New Roman"/>
          <w:szCs w:val="24"/>
          <w:shd w:val="clear" w:color="auto" w:fill="FFFFFF"/>
        </w:rPr>
        <w:t>É</w:t>
      </w:r>
      <w:r w:rsidR="007A6DE8">
        <w:t>tat étranger »,</w:t>
      </w:r>
      <w:r w:rsidRPr="00971ABB">
        <w:t xml:space="preserve"> </w:t>
      </w:r>
      <w:r w:rsidR="001B6ED8">
        <w:rPr>
          <w:szCs w:val="24"/>
        </w:rPr>
        <w:t xml:space="preserve">l’ensemble des </w:t>
      </w:r>
      <w:r w:rsidR="001B6ED8" w:rsidRPr="001B6ED8">
        <w:rPr>
          <w:rFonts w:cs="Times New Roman"/>
          <w:szCs w:val="24"/>
          <w:shd w:val="clear" w:color="auto" w:fill="FFFFFF"/>
        </w:rPr>
        <w:t>É</w:t>
      </w:r>
      <w:r w:rsidR="007A6DE8">
        <w:rPr>
          <w:szCs w:val="24"/>
        </w:rPr>
        <w:t xml:space="preserve">tats </w:t>
      </w:r>
      <w:r w:rsidR="007A6DE8">
        <w:rPr>
          <w:szCs w:val="24"/>
        </w:rPr>
        <w:lastRenderedPageBreak/>
        <w:t>étrangers ne bénéficie toutefois</w:t>
      </w:r>
      <w:r w:rsidR="007A6DE8" w:rsidRPr="001C783A">
        <w:rPr>
          <w:szCs w:val="24"/>
        </w:rPr>
        <w:t xml:space="preserve"> pas du mécanisme. En effet, ce dernier ne trouve à s’appliquer que lorsque différentes conditions relatives à l’acquisition de la dette étatique sont rencontrées, l’une des conditions ayant trait spécifiquement</w:t>
      </w:r>
      <w:r w:rsidR="007A6DE8">
        <w:rPr>
          <w:szCs w:val="24"/>
        </w:rPr>
        <w:t>, comme nous le verrons</w:t>
      </w:r>
      <w:r w:rsidR="007A6DE8">
        <w:rPr>
          <w:rStyle w:val="Appelnotedebasdep"/>
          <w:szCs w:val="24"/>
        </w:rPr>
        <w:footnoteReference w:id="84"/>
      </w:r>
      <w:r w:rsidR="007A6DE8">
        <w:rPr>
          <w:szCs w:val="24"/>
        </w:rPr>
        <w:t>,</w:t>
      </w:r>
      <w:r w:rsidR="007A6DE8" w:rsidRPr="001C783A">
        <w:rPr>
          <w:szCs w:val="24"/>
        </w:rPr>
        <w:t xml:space="preserve"> à la situation</w:t>
      </w:r>
      <w:r w:rsidR="001B6ED8">
        <w:rPr>
          <w:szCs w:val="24"/>
        </w:rPr>
        <w:t xml:space="preserve"> financière de l’</w:t>
      </w:r>
      <w:r w:rsidR="001B6ED8" w:rsidRPr="001B6ED8">
        <w:rPr>
          <w:rFonts w:cs="Times New Roman"/>
          <w:szCs w:val="24"/>
          <w:shd w:val="clear" w:color="auto" w:fill="FFFFFF"/>
        </w:rPr>
        <w:t>É</w:t>
      </w:r>
      <w:r w:rsidR="007A6DE8">
        <w:rPr>
          <w:szCs w:val="24"/>
        </w:rPr>
        <w:t xml:space="preserve">tat débiteur. </w:t>
      </w:r>
      <w:r w:rsidR="005E5966">
        <w:t>La disposition</w:t>
      </w:r>
      <w:r w:rsidR="004D77AF" w:rsidRPr="00971ABB">
        <w:t xml:space="preserve"> V du même article prévoit quant à </w:t>
      </w:r>
      <w:r w:rsidR="005E5966">
        <w:t>elle</w:t>
      </w:r>
      <w:r w:rsidR="004D77AF" w:rsidRPr="00971ABB">
        <w:t xml:space="preserve"> que « (p)our l’application du présent article, sont </w:t>
      </w:r>
      <w:r w:rsidR="001B6ED8">
        <w:t>assimilés à l’</w:t>
      </w:r>
      <w:r w:rsidR="001B6ED8" w:rsidRPr="001B6ED8">
        <w:rPr>
          <w:rFonts w:cs="Times New Roman"/>
          <w:szCs w:val="24"/>
          <w:shd w:val="clear" w:color="auto" w:fill="FFFFFF"/>
        </w:rPr>
        <w:t>É</w:t>
      </w:r>
      <w:r w:rsidR="001B6ED8">
        <w:t>tat étranger, l’</w:t>
      </w:r>
      <w:r w:rsidR="001B6ED8" w:rsidRPr="001B6ED8">
        <w:rPr>
          <w:rFonts w:cs="Times New Roman"/>
          <w:szCs w:val="24"/>
          <w:shd w:val="clear" w:color="auto" w:fill="FFFFFF"/>
        </w:rPr>
        <w:t>É</w:t>
      </w:r>
      <w:r w:rsidR="001B6ED8">
        <w:t xml:space="preserve">tat central, les </w:t>
      </w:r>
      <w:r w:rsidR="001B6ED8" w:rsidRPr="001B6ED8">
        <w:rPr>
          <w:rFonts w:cs="Times New Roman"/>
          <w:szCs w:val="24"/>
          <w:shd w:val="clear" w:color="auto" w:fill="FFFFFF"/>
        </w:rPr>
        <w:t>É</w:t>
      </w:r>
      <w:r w:rsidR="004D77AF" w:rsidRPr="00971ABB">
        <w:t>tats fédérés et leurs établissements publics ».</w:t>
      </w:r>
      <w:r w:rsidR="001C783A">
        <w:t xml:space="preserve"> </w:t>
      </w:r>
      <w:r w:rsidR="007A6DE8">
        <w:t>Paul Giraud remarque</w:t>
      </w:r>
      <w:r w:rsidR="001C783A">
        <w:t xml:space="preserve"> </w:t>
      </w:r>
      <w:r w:rsidR="00A34DFE">
        <w:t xml:space="preserve">que les collectivités territoriales sont exclues du bénéfice du </w:t>
      </w:r>
      <w:r>
        <w:t>mécanisme</w:t>
      </w:r>
      <w:r w:rsidR="00A34DFE">
        <w:t xml:space="preserve"> mis en place par </w:t>
      </w:r>
      <w:r>
        <w:t xml:space="preserve">le législateur français </w:t>
      </w:r>
      <w:r w:rsidR="007A6DE8">
        <w:t>et</w:t>
      </w:r>
      <w:r>
        <w:t xml:space="preserve"> </w:t>
      </w:r>
      <w:r w:rsidR="00A34DFE">
        <w:t>s’</w:t>
      </w:r>
      <w:r>
        <w:t xml:space="preserve">en </w:t>
      </w:r>
      <w:r w:rsidR="00A34DFE">
        <w:t>étonne dès lors que ces collectivités empruntant de l’argent, elles peuvent être exposées aux activités des fonds vautours</w:t>
      </w:r>
      <w:r w:rsidR="00A34DFE">
        <w:rPr>
          <w:rStyle w:val="Appelnotedebasdep"/>
        </w:rPr>
        <w:footnoteReference w:id="85"/>
      </w:r>
      <w:r w:rsidR="007A6DE8">
        <w:t xml:space="preserve">. </w:t>
      </w:r>
    </w:p>
    <w:p w14:paraId="7A1F246B" w14:textId="77777777" w:rsidR="00857289" w:rsidRDefault="00857289" w:rsidP="0012417F">
      <w:pPr>
        <w:jc w:val="both"/>
      </w:pPr>
    </w:p>
    <w:p w14:paraId="17C51C7B" w14:textId="3B4DD767" w:rsidR="00EF0FD9" w:rsidRPr="0012417F" w:rsidRDefault="00824FD7" w:rsidP="00C078EE">
      <w:pPr>
        <w:jc w:val="both"/>
        <w:rPr>
          <w:b/>
        </w:rPr>
      </w:pPr>
      <w:r>
        <w:rPr>
          <w:b/>
        </w:rPr>
        <w:t>1</w:t>
      </w:r>
      <w:r w:rsidR="007F2E44">
        <w:rPr>
          <w:b/>
        </w:rPr>
        <w:t>2</w:t>
      </w:r>
      <w:r w:rsidR="006B2195">
        <w:rPr>
          <w:b/>
        </w:rPr>
        <w:t>. Les</w:t>
      </w:r>
      <w:r w:rsidR="000E10E7">
        <w:rPr>
          <w:b/>
        </w:rPr>
        <w:t xml:space="preserve"> types de</w:t>
      </w:r>
      <w:r w:rsidR="006B2195">
        <w:rPr>
          <w:b/>
        </w:rPr>
        <w:t xml:space="preserve"> </w:t>
      </w:r>
      <w:r w:rsidR="0084135B">
        <w:rPr>
          <w:b/>
        </w:rPr>
        <w:t>créance</w:t>
      </w:r>
      <w:r w:rsidR="00CC23B2">
        <w:rPr>
          <w:b/>
        </w:rPr>
        <w:t xml:space="preserve"> visé</w:t>
      </w:r>
      <w:r w:rsidR="006B2195">
        <w:rPr>
          <w:b/>
        </w:rPr>
        <w:t>s</w:t>
      </w:r>
      <w:r w:rsidR="009079E5">
        <w:rPr>
          <w:b/>
        </w:rPr>
        <w:t xml:space="preserve"> </w:t>
      </w:r>
      <w:r w:rsidR="00A12838">
        <w:rPr>
          <w:b/>
        </w:rPr>
        <w:t>-</w:t>
      </w:r>
      <w:r w:rsidR="006B2195">
        <w:rPr>
          <w:b/>
        </w:rPr>
        <w:t xml:space="preserve"> </w:t>
      </w:r>
      <w:r w:rsidR="00231C3C" w:rsidRPr="00231C3C">
        <w:t>Il apparaît que le législateur français a entendu conférer à l’article 60</w:t>
      </w:r>
      <w:r w:rsidR="005456E3">
        <w:t xml:space="preserve"> de la loi Sapin II</w:t>
      </w:r>
      <w:r w:rsidR="00231C3C" w:rsidRPr="00231C3C">
        <w:t xml:space="preserve"> un l</w:t>
      </w:r>
      <w:r w:rsidR="005456E3">
        <w:t>arge champ d’application,</w:t>
      </w:r>
      <w:r w:rsidR="00231C3C" w:rsidRPr="00231C3C">
        <w:t xml:space="preserve"> les ty</w:t>
      </w:r>
      <w:r w:rsidR="005456E3">
        <w:t>pes de créance concernés</w:t>
      </w:r>
      <w:r w:rsidR="00231C3C" w:rsidRPr="00231C3C">
        <w:t xml:space="preserve"> </w:t>
      </w:r>
      <w:r w:rsidR="005456E3">
        <w:t>étant</w:t>
      </w:r>
      <w:r w:rsidR="00231C3C" w:rsidRPr="00231C3C">
        <w:t xml:space="preserve"> nombreux.</w:t>
      </w:r>
      <w:r w:rsidR="0012417F">
        <w:rPr>
          <w:b/>
        </w:rPr>
        <w:t xml:space="preserve"> </w:t>
      </w:r>
      <w:r w:rsidR="000E10E7">
        <w:t xml:space="preserve">Deux </w:t>
      </w:r>
      <w:r w:rsidR="005E5966">
        <w:t>dispositions</w:t>
      </w:r>
      <w:r w:rsidR="000E10E7">
        <w:t xml:space="preserve"> de l’article 60 </w:t>
      </w:r>
      <w:r w:rsidR="005456E3">
        <w:t>précisent</w:t>
      </w:r>
      <w:r w:rsidR="000E10E7">
        <w:t xml:space="preserve"> les créances </w:t>
      </w:r>
      <w:r w:rsidR="005456E3">
        <w:t>concernées</w:t>
      </w:r>
      <w:r w:rsidR="000E10E7">
        <w:t xml:space="preserve"> par l’interdiction </w:t>
      </w:r>
      <w:r w:rsidR="005456E3">
        <w:t>instaurée</w:t>
      </w:r>
      <w:r w:rsidR="000E10E7">
        <w:t xml:space="preserve">. </w:t>
      </w:r>
      <w:r w:rsidR="005456E3">
        <w:t xml:space="preserve">Ainsi, </w:t>
      </w:r>
      <w:r w:rsidR="005E5966">
        <w:t>la disposition</w:t>
      </w:r>
      <w:r w:rsidR="000E10E7">
        <w:t xml:space="preserve"> I vise</w:t>
      </w:r>
      <w:r w:rsidR="005456E3">
        <w:t>,</w:t>
      </w:r>
      <w:r w:rsidR="000E10E7">
        <w:t xml:space="preserve"> d’une part, les </w:t>
      </w:r>
      <w:r w:rsidR="005456E3">
        <w:t>« titre(s) de créance</w:t>
      </w:r>
      <w:r w:rsidR="000E10E7" w:rsidRPr="0012417F">
        <w:t xml:space="preserve"> mentionné(s) à l’article 213-1 A du code monétaire et financier »</w:t>
      </w:r>
      <w:r w:rsidR="0012417F">
        <w:rPr>
          <w:rStyle w:val="Appelnotedebasdep"/>
        </w:rPr>
        <w:footnoteReference w:id="86"/>
      </w:r>
      <w:r w:rsidR="000E10E7">
        <w:t xml:space="preserve">, d’autre part, </w:t>
      </w:r>
      <w:r w:rsidR="000E10E7" w:rsidRPr="0012417F">
        <w:t>« tout instrument ou droit mentionné à l’article 211-41 du même code présentant des caractéristiques analogues à un titre de créance »</w:t>
      </w:r>
      <w:r w:rsidR="0012417F">
        <w:rPr>
          <w:rStyle w:val="Appelnotedebasdep"/>
        </w:rPr>
        <w:footnoteReference w:id="87"/>
      </w:r>
      <w:r w:rsidR="000E10E7" w:rsidRPr="0012417F">
        <w:t>.</w:t>
      </w:r>
      <w:r w:rsidR="000E10E7">
        <w:t xml:space="preserve"> </w:t>
      </w:r>
      <w:r w:rsidR="005E5966">
        <w:t>La disposition</w:t>
      </w:r>
      <w:r w:rsidR="000E10E7">
        <w:t xml:space="preserve"> VIII </w:t>
      </w:r>
      <w:r w:rsidR="005456E3">
        <w:t xml:space="preserve">de l’article 60 </w:t>
      </w:r>
      <w:r w:rsidR="000E10E7">
        <w:t xml:space="preserve">précise quant à </w:t>
      </w:r>
      <w:r w:rsidR="005E5966">
        <w:t>elle</w:t>
      </w:r>
      <w:r w:rsidR="000E10E7">
        <w:t xml:space="preserve"> que «</w:t>
      </w:r>
      <w:r w:rsidR="000E10E7" w:rsidRPr="0012417F">
        <w:t> (p)our l’application du présent article, sont assimilées aux titres de créance les créances nées d’une opération de crédit mentionnée à l’article L. 311-1</w:t>
      </w:r>
      <w:r w:rsidR="00EF0FD9" w:rsidRPr="0012417F">
        <w:t xml:space="preserve"> </w:t>
      </w:r>
      <w:r w:rsidR="000E10E7" w:rsidRPr="0012417F">
        <w:t xml:space="preserve">du code monétaire </w:t>
      </w:r>
      <w:r w:rsidR="00B71B05" w:rsidRPr="0012417F">
        <w:t xml:space="preserve">et </w:t>
      </w:r>
      <w:r w:rsidR="000E10E7" w:rsidRPr="0012417F">
        <w:t>financier ».</w:t>
      </w:r>
    </w:p>
    <w:p w14:paraId="7FE24B9C" w14:textId="77777777" w:rsidR="0078748E" w:rsidRPr="00ED66EF" w:rsidRDefault="0012417F" w:rsidP="00ED66EF">
      <w:pPr>
        <w:pStyle w:val="NormalWeb"/>
        <w:shd w:val="clear" w:color="auto" w:fill="FFFFFF"/>
        <w:spacing w:before="180" w:beforeAutospacing="0" w:after="180" w:afterAutospacing="0"/>
        <w:jc w:val="both"/>
        <w:rPr>
          <w:color w:val="000000"/>
        </w:rPr>
      </w:pPr>
      <w:r w:rsidRPr="0012417F">
        <w:t>Au sujet de la référence faite</w:t>
      </w:r>
      <w:r w:rsidR="009C7CDC">
        <w:t xml:space="preserve">, </w:t>
      </w:r>
      <w:r w:rsidR="005E5966">
        <w:t>à la première disposition</w:t>
      </w:r>
      <w:r w:rsidR="009C7CDC">
        <w:t>,</w:t>
      </w:r>
      <w:r w:rsidRPr="0012417F">
        <w:t xml:space="preserve"> aux titres de créance mentionnés à l’article 213-1 A</w:t>
      </w:r>
      <w:r w:rsidR="005456E3">
        <w:t xml:space="preserve"> du code monétaire et financier</w:t>
      </w:r>
      <w:r w:rsidRPr="0012417F">
        <w:t xml:space="preserve">, </w:t>
      </w:r>
      <w:r w:rsidR="006341A7" w:rsidRPr="0012417F">
        <w:rPr>
          <w:color w:val="000000"/>
        </w:rPr>
        <w:t>Paul</w:t>
      </w:r>
      <w:r w:rsidR="00B72C05" w:rsidRPr="0012417F">
        <w:rPr>
          <w:color w:val="000000"/>
        </w:rPr>
        <w:t xml:space="preserve"> Giraud relève, d’une part, qu’il e</w:t>
      </w:r>
      <w:r>
        <w:rPr>
          <w:color w:val="000000"/>
        </w:rPr>
        <w:t xml:space="preserve">st raisonnable de penser que </w:t>
      </w:r>
      <w:r w:rsidR="00B72C05" w:rsidRPr="0012417F">
        <w:rPr>
          <w:color w:val="000000"/>
        </w:rPr>
        <w:t xml:space="preserve">le premier alinéa de l’article L. 213-1 A du code monétaire et </w:t>
      </w:r>
      <w:r w:rsidR="00B72C05" w:rsidRPr="0012417F">
        <w:rPr>
          <w:color w:val="000000"/>
        </w:rPr>
        <w:lastRenderedPageBreak/>
        <w:t>financier</w:t>
      </w:r>
      <w:r>
        <w:rPr>
          <w:color w:val="000000"/>
        </w:rPr>
        <w:t xml:space="preserve"> est précisément visé</w:t>
      </w:r>
      <w:r w:rsidR="00B72C05" w:rsidRPr="0012417F">
        <w:rPr>
          <w:color w:val="000000"/>
        </w:rPr>
        <w:t>, d’autre part, qu’au regard de la place de cet article dans un chapitre III intitulé « Des titres de créance »</w:t>
      </w:r>
      <w:r w:rsidR="005456E3">
        <w:rPr>
          <w:color w:val="000000"/>
        </w:rPr>
        <w:t>,</w:t>
      </w:r>
      <w:r w:rsidR="00B72C05" w:rsidRPr="0012417F">
        <w:rPr>
          <w:color w:val="000000"/>
        </w:rPr>
        <w:t xml:space="preserve"> leque</w:t>
      </w:r>
      <w:r w:rsidR="00A761C6">
        <w:rPr>
          <w:color w:val="000000"/>
        </w:rPr>
        <w:t xml:space="preserve">l englobe </w:t>
      </w:r>
      <w:r w:rsidR="00A761C6" w:rsidRPr="009079E5">
        <w:rPr>
          <w:color w:val="000000"/>
        </w:rPr>
        <w:t>les titres de créance</w:t>
      </w:r>
      <w:r w:rsidR="009079E5" w:rsidRPr="009079E5">
        <w:rPr>
          <w:color w:val="000000"/>
        </w:rPr>
        <w:t>s</w:t>
      </w:r>
      <w:r w:rsidR="00B72C05" w:rsidRPr="009079E5">
        <w:rPr>
          <w:color w:val="000000"/>
        </w:rPr>
        <w:t xml:space="preserve"> négociables</w:t>
      </w:r>
      <w:r w:rsidR="00B72C05" w:rsidRPr="0012417F">
        <w:rPr>
          <w:color w:val="000000"/>
        </w:rPr>
        <w:t>, les obligations, les titres émis par l’</w:t>
      </w:r>
      <w:r w:rsidR="001B6ED8" w:rsidRPr="001B6ED8">
        <w:rPr>
          <w:shd w:val="clear" w:color="auto" w:fill="FFFFFF"/>
        </w:rPr>
        <w:t>É</w:t>
      </w:r>
      <w:r w:rsidR="00EF0FD9" w:rsidRPr="0012417F">
        <w:rPr>
          <w:color w:val="000000"/>
        </w:rPr>
        <w:t>tat</w:t>
      </w:r>
      <w:r w:rsidR="00B72C05" w:rsidRPr="0012417F">
        <w:rPr>
          <w:color w:val="000000"/>
        </w:rPr>
        <w:t xml:space="preserve"> et les titres participatifs, il peut être considéré que le législateur a entendu conférer à l’article 60 un large champ d’application.</w:t>
      </w:r>
      <w:r w:rsidR="005456E3">
        <w:rPr>
          <w:color w:val="000000"/>
        </w:rPr>
        <w:t xml:space="preserve"> </w:t>
      </w:r>
      <w:r w:rsidR="005E5966">
        <w:rPr>
          <w:color w:val="000000"/>
        </w:rPr>
        <w:t>La disposition</w:t>
      </w:r>
      <w:r w:rsidR="00EF0FD9">
        <w:rPr>
          <w:color w:val="000000"/>
        </w:rPr>
        <w:t xml:space="preserve"> I de l’article 60 vis</w:t>
      </w:r>
      <w:r w:rsidR="005456E3">
        <w:rPr>
          <w:color w:val="000000"/>
        </w:rPr>
        <w:t>ant</w:t>
      </w:r>
      <w:r w:rsidR="00EF0FD9">
        <w:rPr>
          <w:color w:val="000000"/>
        </w:rPr>
        <w:t xml:space="preserve"> également </w:t>
      </w:r>
      <w:r w:rsidR="00EF0FD9" w:rsidRPr="0012417F">
        <w:rPr>
          <w:color w:val="000000"/>
        </w:rPr>
        <w:t>« </w:t>
      </w:r>
      <w:r w:rsidR="00EF0FD9" w:rsidRPr="0012417F">
        <w:t>tout instrument ou droit mentionné à l’article 211-41 du même code présentant des caractéristiques an</w:t>
      </w:r>
      <w:r w:rsidR="005456E3">
        <w:t>alogues à un titre de créance »</w:t>
      </w:r>
      <w:r w:rsidR="0078748E" w:rsidRPr="00ED66EF">
        <w:rPr>
          <w:color w:val="000000"/>
          <w:shd w:val="clear" w:color="auto" w:fill="FFFFFF"/>
        </w:rPr>
        <w:t xml:space="preserve">, </w:t>
      </w:r>
      <w:r w:rsidR="005456E3">
        <w:rPr>
          <w:color w:val="000000"/>
          <w:shd w:val="clear" w:color="auto" w:fill="FFFFFF"/>
        </w:rPr>
        <w:t xml:space="preserve">l’auteur explique que </w:t>
      </w:r>
      <w:r w:rsidR="0078748E" w:rsidRPr="00ED66EF">
        <w:rPr>
          <w:color w:val="000000"/>
          <w:shd w:val="clear" w:color="auto" w:fill="FFFFFF"/>
        </w:rPr>
        <w:t>le législateur français a</w:t>
      </w:r>
      <w:r w:rsidR="005456E3">
        <w:rPr>
          <w:color w:val="000000"/>
          <w:shd w:val="clear" w:color="auto" w:fill="FFFFFF"/>
        </w:rPr>
        <w:t xml:space="preserve"> entendu « </w:t>
      </w:r>
      <w:r w:rsidR="0078748E" w:rsidRPr="00ED66EF">
        <w:rPr>
          <w:color w:val="000000"/>
          <w:shd w:val="clear" w:color="auto" w:fill="FFFFFF"/>
        </w:rPr>
        <w:t>créer une catégorie cohérente en incluant tout instrument ou droit qui s’apparente à un titre de créance, même s’il est émis sur le fondement d’un droit étranger »</w:t>
      </w:r>
      <w:r w:rsidR="0078748E" w:rsidRPr="00ED66EF">
        <w:rPr>
          <w:rStyle w:val="Appelnotedebasdep"/>
          <w:color w:val="000000"/>
          <w:shd w:val="clear" w:color="auto" w:fill="FFFFFF"/>
        </w:rPr>
        <w:footnoteReference w:id="88"/>
      </w:r>
      <w:r w:rsidR="0078748E" w:rsidRPr="00ED66EF">
        <w:rPr>
          <w:color w:val="000000"/>
          <w:shd w:val="clear" w:color="auto" w:fill="FFFFFF"/>
        </w:rPr>
        <w:t>.</w:t>
      </w:r>
    </w:p>
    <w:p w14:paraId="277B90F7" w14:textId="77777777" w:rsidR="00B71B05" w:rsidRDefault="005E5966" w:rsidP="00ED66EF">
      <w:pPr>
        <w:jc w:val="both"/>
        <w:rPr>
          <w:rFonts w:eastAsia="Times New Roman" w:cs="Times New Roman"/>
          <w:color w:val="000000"/>
          <w:szCs w:val="24"/>
          <w:lang w:eastAsia="fr-BE"/>
        </w:rPr>
      </w:pPr>
      <w:r>
        <w:t>La disposition</w:t>
      </w:r>
      <w:r w:rsidR="006341A7" w:rsidRPr="006341A7">
        <w:t xml:space="preserve"> VIII de l’article 60 assimile aux titres de créance, pour son application, les créances nées d’une opération de crédit mentionnée à l’article L. 311-1 du code monétaire et financier</w:t>
      </w:r>
      <w:r w:rsidR="006341A7" w:rsidRPr="006341A7">
        <w:rPr>
          <w:rFonts w:cs="Times New Roman"/>
          <w:szCs w:val="24"/>
        </w:rPr>
        <w:t>.</w:t>
      </w:r>
      <w:r w:rsidR="00ED66EF">
        <w:rPr>
          <w:rFonts w:cs="Times New Roman"/>
          <w:szCs w:val="24"/>
        </w:rPr>
        <w:t xml:space="preserve"> </w:t>
      </w:r>
      <w:r w:rsidR="009C7CDC">
        <w:t xml:space="preserve">Cet article </w:t>
      </w:r>
      <w:r w:rsidR="00ED66EF">
        <w:t>disposant</w:t>
      </w:r>
      <w:r w:rsidR="00B71B05" w:rsidRPr="00B71B05">
        <w:t xml:space="preserve"> que</w:t>
      </w:r>
      <w:r w:rsidR="00B71B05" w:rsidRPr="00ED66EF">
        <w:t xml:space="preserve"> « </w:t>
      </w:r>
      <w:r w:rsidR="00B71B05" w:rsidRPr="00ED66EF">
        <w:rPr>
          <w:color w:val="000000"/>
          <w:shd w:val="clear" w:color="auto" w:fill="FFFFFF"/>
        </w:rPr>
        <w:t>(l)es opérations de banque comprennent la réception de fonds remboursables du public, les opérations de crédit, ainsi que les services bancaires de paiement</w:t>
      </w:r>
      <w:r w:rsidR="006341A7" w:rsidRPr="00ED66EF">
        <w:rPr>
          <w:color w:val="000000"/>
          <w:shd w:val="clear" w:color="auto" w:fill="FFFFFF"/>
        </w:rPr>
        <w:t> »</w:t>
      </w:r>
      <w:r w:rsidR="009C7CDC">
        <w:rPr>
          <w:color w:val="000000"/>
          <w:shd w:val="clear" w:color="auto" w:fill="FFFFFF"/>
        </w:rPr>
        <w:t>,</w:t>
      </w:r>
      <w:r w:rsidR="006341A7" w:rsidRPr="00ED66EF">
        <w:rPr>
          <w:color w:val="000000"/>
          <w:shd w:val="clear" w:color="auto" w:fill="FFFFFF"/>
        </w:rPr>
        <w:t xml:space="preserve"> </w:t>
      </w:r>
      <w:r w:rsidR="006341A7">
        <w:rPr>
          <w:color w:val="000000"/>
          <w:shd w:val="clear" w:color="auto" w:fill="FFFFFF"/>
        </w:rPr>
        <w:t xml:space="preserve">Paul Giraud se demande si le législateur n’a pas plutôt entendu renvoyer à l’article L. 313-1 du code monétaire et financier qui </w:t>
      </w:r>
      <w:r w:rsidR="00231C3C">
        <w:rPr>
          <w:color w:val="000000"/>
          <w:shd w:val="clear" w:color="auto" w:fill="FFFFFF"/>
        </w:rPr>
        <w:t xml:space="preserve">dispose que </w:t>
      </w:r>
      <w:r w:rsidR="00231C3C" w:rsidRPr="00231C3C">
        <w:rPr>
          <w:color w:val="000000"/>
          <w:shd w:val="clear" w:color="auto" w:fill="FFFFFF"/>
        </w:rPr>
        <w:t>« </w:t>
      </w:r>
      <w:r w:rsidR="00ED66EF">
        <w:rPr>
          <w:color w:val="000000"/>
          <w:shd w:val="clear" w:color="auto" w:fill="FFFFFF"/>
        </w:rPr>
        <w:t>(c)</w:t>
      </w:r>
      <w:r w:rsidR="00231C3C" w:rsidRPr="00231C3C">
        <w:rPr>
          <w:color w:val="000000"/>
        </w:rPr>
        <w:t>onstitue une opération de crédit tout acte par lequel une personne agissant à titre onéreux met ou promet de mettre des fonds à la disposition d'une autre personne ou prend, dans l'intérêt de celle-ci, un engagement par signature tel qu'un aval, un cautionnement, ou une garantie</w:t>
      </w:r>
      <w:r w:rsidR="00ED66EF">
        <w:rPr>
          <w:color w:val="000000"/>
        </w:rPr>
        <w:t> » et que « (s)</w:t>
      </w:r>
      <w:r w:rsidR="00231C3C" w:rsidRPr="00231C3C">
        <w:rPr>
          <w:rFonts w:eastAsia="Times New Roman" w:cs="Times New Roman"/>
          <w:color w:val="000000"/>
          <w:szCs w:val="24"/>
          <w:lang w:eastAsia="fr-BE"/>
        </w:rPr>
        <w:t>ont assimilés à des opérations de crédit le crédit-bail, et, de manière générale, toute opération de location assortie d'une option d'achat »</w:t>
      </w:r>
      <w:r w:rsidR="00ED66EF">
        <w:rPr>
          <w:rStyle w:val="Appelnotedebasdep"/>
          <w:rFonts w:eastAsia="Times New Roman" w:cs="Times New Roman"/>
          <w:color w:val="000000"/>
          <w:szCs w:val="24"/>
          <w:lang w:eastAsia="fr-BE"/>
        </w:rPr>
        <w:footnoteReference w:id="89"/>
      </w:r>
      <w:r w:rsidR="00231C3C" w:rsidRPr="00231C3C">
        <w:rPr>
          <w:rFonts w:eastAsia="Times New Roman" w:cs="Times New Roman"/>
          <w:color w:val="000000"/>
          <w:szCs w:val="24"/>
          <w:lang w:eastAsia="fr-BE"/>
        </w:rPr>
        <w:t>.</w:t>
      </w:r>
    </w:p>
    <w:p w14:paraId="4A751FC8" w14:textId="77777777" w:rsidR="00EF4D68" w:rsidRPr="00231C3C" w:rsidRDefault="00EF4D68" w:rsidP="00C078EE">
      <w:pPr>
        <w:shd w:val="clear" w:color="auto" w:fill="FFFFFF"/>
        <w:spacing w:before="180" w:after="180" w:line="240" w:lineRule="auto"/>
        <w:jc w:val="both"/>
        <w:rPr>
          <w:rFonts w:eastAsia="Times New Roman" w:cs="Times New Roman"/>
          <w:color w:val="000000"/>
          <w:szCs w:val="24"/>
          <w:lang w:eastAsia="fr-BE"/>
        </w:rPr>
      </w:pPr>
    </w:p>
    <w:p w14:paraId="0A512383" w14:textId="4AE3FBB6" w:rsidR="00BD31C0" w:rsidRPr="006A4BD5" w:rsidRDefault="007F2E44" w:rsidP="00C078EE">
      <w:pPr>
        <w:jc w:val="both"/>
      </w:pPr>
      <w:r>
        <w:rPr>
          <w:b/>
        </w:rPr>
        <w:t>13</w:t>
      </w:r>
      <w:r w:rsidR="006A4BD5" w:rsidRPr="00F87A13">
        <w:rPr>
          <w:b/>
        </w:rPr>
        <w:t xml:space="preserve">. </w:t>
      </w:r>
      <w:r w:rsidR="001C783A" w:rsidRPr="00F87A13">
        <w:rPr>
          <w:b/>
        </w:rPr>
        <w:t xml:space="preserve">Les </w:t>
      </w:r>
      <w:r w:rsidR="006A4BD5" w:rsidRPr="00F87A13">
        <w:rPr>
          <w:b/>
        </w:rPr>
        <w:t xml:space="preserve">conditions </w:t>
      </w:r>
      <w:r w:rsidR="006B2195" w:rsidRPr="0066799F">
        <w:rPr>
          <w:b/>
        </w:rPr>
        <w:t xml:space="preserve">cumulatives relatives à </w:t>
      </w:r>
      <w:r w:rsidR="00F87A13" w:rsidRPr="0066799F">
        <w:rPr>
          <w:b/>
        </w:rPr>
        <w:t>la</w:t>
      </w:r>
      <w:r w:rsidR="001B6ED8">
        <w:rPr>
          <w:b/>
        </w:rPr>
        <w:t xml:space="preserve"> situation financière </w:t>
      </w:r>
      <w:r w:rsidR="001B6ED8" w:rsidRPr="001B6ED8">
        <w:rPr>
          <w:b/>
        </w:rPr>
        <w:t>de l’</w:t>
      </w:r>
      <w:r w:rsidR="001B6ED8" w:rsidRPr="001B6ED8">
        <w:rPr>
          <w:rFonts w:cs="Times New Roman"/>
          <w:b/>
          <w:szCs w:val="24"/>
          <w:shd w:val="clear" w:color="auto" w:fill="FFFFFF"/>
        </w:rPr>
        <w:t>É</w:t>
      </w:r>
      <w:r w:rsidR="00F87A13" w:rsidRPr="001B6ED8">
        <w:rPr>
          <w:b/>
        </w:rPr>
        <w:t>ta</w:t>
      </w:r>
      <w:r w:rsidR="0066799F" w:rsidRPr="001B6ED8">
        <w:rPr>
          <w:b/>
        </w:rPr>
        <w:t>t</w:t>
      </w:r>
      <w:r w:rsidR="0066799F">
        <w:rPr>
          <w:b/>
        </w:rPr>
        <w:t xml:space="preserve"> débiteur et aux modalités d</w:t>
      </w:r>
      <w:r w:rsidR="00F87A13" w:rsidRPr="00F87A13">
        <w:rPr>
          <w:b/>
        </w:rPr>
        <w:t xml:space="preserve">’acquisition de la créance </w:t>
      </w:r>
      <w:r w:rsidR="00A12838">
        <w:rPr>
          <w:b/>
        </w:rPr>
        <w:t>-</w:t>
      </w:r>
      <w:r w:rsidR="006A4BD5" w:rsidRPr="006A4BD5">
        <w:rPr>
          <w:b/>
        </w:rPr>
        <w:t xml:space="preserve"> </w:t>
      </w:r>
      <w:r w:rsidR="00E22C31">
        <w:t>Si</w:t>
      </w:r>
      <w:r w:rsidR="006A4BD5">
        <w:t xml:space="preserve"> la loi française n’use pas des termes « </w:t>
      </w:r>
      <w:r w:rsidR="0066799F">
        <w:t>fonds</w:t>
      </w:r>
      <w:r w:rsidR="006A4BD5">
        <w:t xml:space="preserve"> vautours », l’analyse du </w:t>
      </w:r>
      <w:r w:rsidR="00E22C31">
        <w:t>mécanisme</w:t>
      </w:r>
      <w:r w:rsidR="006A4BD5">
        <w:t xml:space="preserve"> qu’elle met en place ne permet pas de douter de ce que ce sont ces fonds contre lesquels elle entend</w:t>
      </w:r>
      <w:r w:rsidR="00857289">
        <w:t xml:space="preserve"> précisément</w:t>
      </w:r>
      <w:r w:rsidR="006A4BD5">
        <w:t xml:space="preserve"> lutter.</w:t>
      </w:r>
      <w:r w:rsidR="00C521FF">
        <w:t xml:space="preserve"> </w:t>
      </w:r>
      <w:r w:rsidR="006A4BD5" w:rsidRPr="006B2195">
        <w:t xml:space="preserve">Ainsi, la rencontre de </w:t>
      </w:r>
      <w:r w:rsidR="00857289">
        <w:t>trois</w:t>
      </w:r>
      <w:r w:rsidR="006A4BD5" w:rsidRPr="006B2195">
        <w:t xml:space="preserve"> conditions </w:t>
      </w:r>
      <w:r w:rsidR="006B2195" w:rsidRPr="006B2195">
        <w:t>relatives à l’acquisition de la dette</w:t>
      </w:r>
      <w:r w:rsidR="00C521FF">
        <w:t xml:space="preserve"> souveraine, et illustratives d’un comportement vautour,</w:t>
      </w:r>
      <w:r w:rsidR="006B2195" w:rsidRPr="006B2195">
        <w:t xml:space="preserve"> </w:t>
      </w:r>
      <w:r w:rsidR="00C521FF">
        <w:t>impose au</w:t>
      </w:r>
      <w:r w:rsidR="006A4BD5">
        <w:t xml:space="preserve"> juge à qui des mesures d</w:t>
      </w:r>
      <w:r w:rsidR="00C521FF">
        <w:t xml:space="preserve">e contrainte sont sollicitées de </w:t>
      </w:r>
      <w:r w:rsidR="006A4BD5">
        <w:t>l</w:t>
      </w:r>
      <w:r w:rsidR="00C521FF">
        <w:t xml:space="preserve">es refuser. Ces </w:t>
      </w:r>
      <w:r w:rsidR="00857289">
        <w:t>différentes</w:t>
      </w:r>
      <w:r w:rsidR="00C521FF">
        <w:t xml:space="preserve"> conditions</w:t>
      </w:r>
      <w:r w:rsidR="007F5FDD">
        <w:t>, reprises aux points 1° à 3° de l’article 60.I.,</w:t>
      </w:r>
      <w:r w:rsidR="006A4BD5">
        <w:t xml:space="preserve"> ont trait </w:t>
      </w:r>
      <w:r w:rsidR="001B6ED8">
        <w:t>à la situation financière de l’</w:t>
      </w:r>
      <w:r w:rsidR="001B6ED8" w:rsidRPr="001B6ED8">
        <w:rPr>
          <w:rFonts w:cs="Times New Roman"/>
          <w:szCs w:val="24"/>
          <w:shd w:val="clear" w:color="auto" w:fill="FFFFFF"/>
        </w:rPr>
        <w:t>É</w:t>
      </w:r>
      <w:r w:rsidR="006A4BD5">
        <w:t>tat débiteur</w:t>
      </w:r>
      <w:r w:rsidR="00F87A13">
        <w:t xml:space="preserve"> et aux modalités </w:t>
      </w:r>
      <w:r w:rsidR="0066799F">
        <w:t>d’</w:t>
      </w:r>
      <w:r w:rsidR="006A4BD5">
        <w:t>acquisition de la créance</w:t>
      </w:r>
      <w:r w:rsidR="00F87A13">
        <w:rPr>
          <w:rStyle w:val="Appelnotedebasdep"/>
        </w:rPr>
        <w:footnoteReference w:id="90"/>
      </w:r>
      <w:r w:rsidR="006A4BD5">
        <w:t xml:space="preserve">. </w:t>
      </w:r>
      <w:r w:rsidR="00C521FF">
        <w:t xml:space="preserve">L’interdiction </w:t>
      </w:r>
      <w:r w:rsidR="002F67F9">
        <w:t xml:space="preserve">faite </w:t>
      </w:r>
      <w:r w:rsidR="00C521FF">
        <w:lastRenderedPageBreak/>
        <w:t xml:space="preserve">au juge d’autoriser des mesures de contrainte </w:t>
      </w:r>
      <w:r w:rsidR="002F67F9">
        <w:t>l’</w:t>
      </w:r>
      <w:r w:rsidR="00C521FF">
        <w:t xml:space="preserve">étant lorsque les conditions « sont remplies », il ne fait aucun doute que </w:t>
      </w:r>
      <w:r w:rsidR="002F67F9">
        <w:t>ces conditions</w:t>
      </w:r>
      <w:r w:rsidR="00C521FF">
        <w:t xml:space="preserve"> sont cumulatives.</w:t>
      </w:r>
    </w:p>
    <w:p w14:paraId="65CC029F" w14:textId="202EB400" w:rsidR="00B06D22" w:rsidRDefault="00824FD7" w:rsidP="00C078EE">
      <w:pPr>
        <w:jc w:val="both"/>
        <w:rPr>
          <w:rFonts w:cs="Times New Roman"/>
          <w:color w:val="000000"/>
          <w:szCs w:val="24"/>
          <w:shd w:val="clear" w:color="auto" w:fill="FFFFFF"/>
        </w:rPr>
      </w:pPr>
      <w:r>
        <w:rPr>
          <w:b/>
        </w:rPr>
        <w:t>1</w:t>
      </w:r>
      <w:r w:rsidR="007F2E44">
        <w:rPr>
          <w:b/>
        </w:rPr>
        <w:t>3</w:t>
      </w:r>
      <w:r w:rsidR="00EE5011">
        <w:rPr>
          <w:b/>
        </w:rPr>
        <w:t>.A</w:t>
      </w:r>
      <w:r w:rsidR="00B06D22" w:rsidRPr="00B06D22">
        <w:rPr>
          <w:b/>
        </w:rPr>
        <w:t>.</w:t>
      </w:r>
      <w:r w:rsidR="00210CE1" w:rsidRPr="00B06D22">
        <w:rPr>
          <w:b/>
        </w:rPr>
        <w:t xml:space="preserve"> </w:t>
      </w:r>
      <w:r w:rsidR="007F5FDD" w:rsidRPr="001B6ED8">
        <w:rPr>
          <w:b/>
        </w:rPr>
        <w:t xml:space="preserve">Un </w:t>
      </w:r>
      <w:r w:rsidR="001B6ED8" w:rsidRPr="001B6ED8">
        <w:rPr>
          <w:rFonts w:cs="Times New Roman"/>
          <w:b/>
          <w:szCs w:val="24"/>
          <w:shd w:val="clear" w:color="auto" w:fill="FFFFFF"/>
        </w:rPr>
        <w:t>É</w:t>
      </w:r>
      <w:r w:rsidR="00E34DBF" w:rsidRPr="001B6ED8">
        <w:rPr>
          <w:b/>
        </w:rPr>
        <w:t>tat</w:t>
      </w:r>
      <w:r w:rsidR="00E34DBF" w:rsidRPr="00B06D22">
        <w:rPr>
          <w:b/>
        </w:rPr>
        <w:t xml:space="preserve"> </w:t>
      </w:r>
      <w:r w:rsidR="007F5FDD">
        <w:rPr>
          <w:b/>
        </w:rPr>
        <w:t>bénéficiaire de l’aide publique au</w:t>
      </w:r>
      <w:r w:rsidR="00B06D22" w:rsidRPr="00B06D22">
        <w:rPr>
          <w:b/>
        </w:rPr>
        <w:t xml:space="preserve"> développement </w:t>
      </w:r>
      <w:r w:rsidR="00A12838">
        <w:rPr>
          <w:b/>
        </w:rPr>
        <w:t>-</w:t>
      </w:r>
      <w:r w:rsidR="00B06D22">
        <w:t xml:space="preserve"> La première condition vi</w:t>
      </w:r>
      <w:r w:rsidR="002E03C1">
        <w:t>sée à l’article 60.I.</w:t>
      </w:r>
      <w:r w:rsidR="00B06D22">
        <w:t>1°</w:t>
      </w:r>
      <w:r w:rsidR="002E03C1">
        <w:t>.</w:t>
      </w:r>
      <w:r w:rsidR="00B06D22">
        <w:t xml:space="preserve"> est que « </w:t>
      </w:r>
      <w:r w:rsidR="001B6ED8">
        <w:rPr>
          <w:rFonts w:cs="Times New Roman"/>
          <w:color w:val="000000"/>
          <w:szCs w:val="24"/>
          <w:shd w:val="clear" w:color="auto" w:fill="FFFFFF"/>
        </w:rPr>
        <w:t>(l)'</w:t>
      </w:r>
      <w:r w:rsidR="001B6ED8" w:rsidRPr="001B6ED8">
        <w:rPr>
          <w:rFonts w:cs="Times New Roman"/>
          <w:szCs w:val="24"/>
          <w:shd w:val="clear" w:color="auto" w:fill="FFFFFF"/>
        </w:rPr>
        <w:t>É</w:t>
      </w:r>
      <w:r w:rsidR="00B06D22" w:rsidRPr="00857289">
        <w:rPr>
          <w:rFonts w:cs="Times New Roman"/>
          <w:color w:val="000000"/>
          <w:szCs w:val="24"/>
          <w:shd w:val="clear" w:color="auto" w:fill="FFFFFF"/>
        </w:rPr>
        <w:t>tat étranger figurait sur la liste des bénéficiaires de l'aide publique au développement établie par le comité de l'aide au développement de l'Organisation de coopération et de développement économiques lorsqu'il a émis le titre de créance</w:t>
      </w:r>
      <w:r w:rsidR="00B06D22" w:rsidRPr="00B06D22">
        <w:rPr>
          <w:rFonts w:cs="Times New Roman"/>
          <w:color w:val="000000"/>
          <w:szCs w:val="24"/>
          <w:shd w:val="clear" w:color="auto" w:fill="FFFFFF"/>
        </w:rPr>
        <w:t> »</w:t>
      </w:r>
      <w:r w:rsidR="00DD79B8">
        <w:rPr>
          <w:rStyle w:val="Appelnotedebasdep"/>
          <w:rFonts w:cs="Times New Roman"/>
          <w:color w:val="000000"/>
          <w:szCs w:val="24"/>
          <w:shd w:val="clear" w:color="auto" w:fill="FFFFFF"/>
        </w:rPr>
        <w:footnoteReference w:id="91"/>
      </w:r>
      <w:r w:rsidR="00B06D22" w:rsidRPr="00B06D22">
        <w:rPr>
          <w:rFonts w:cs="Times New Roman"/>
          <w:color w:val="000000"/>
          <w:szCs w:val="24"/>
          <w:shd w:val="clear" w:color="auto" w:fill="FFFFFF"/>
        </w:rPr>
        <w:t>.</w:t>
      </w:r>
      <w:r w:rsidR="007F5FDD">
        <w:rPr>
          <w:rFonts w:cs="Times New Roman"/>
          <w:color w:val="000000"/>
          <w:szCs w:val="24"/>
          <w:shd w:val="clear" w:color="auto" w:fill="FFFFFF"/>
        </w:rPr>
        <w:t xml:space="preserve"> Le juge </w:t>
      </w:r>
      <w:r w:rsidR="002F67F9">
        <w:rPr>
          <w:rFonts w:cs="Times New Roman"/>
          <w:color w:val="000000"/>
          <w:szCs w:val="24"/>
          <w:shd w:val="clear" w:color="auto" w:fill="FFFFFF"/>
        </w:rPr>
        <w:t>dont</w:t>
      </w:r>
      <w:r w:rsidR="007F5FDD">
        <w:rPr>
          <w:rFonts w:cs="Times New Roman"/>
          <w:color w:val="000000"/>
          <w:szCs w:val="24"/>
          <w:shd w:val="clear" w:color="auto" w:fill="FFFFFF"/>
        </w:rPr>
        <w:t xml:space="preserve"> l’autorisation de pratiquer des mesures de contrainte </w:t>
      </w:r>
      <w:r w:rsidR="002F67F9">
        <w:rPr>
          <w:rFonts w:cs="Times New Roman"/>
          <w:color w:val="000000"/>
          <w:szCs w:val="24"/>
          <w:shd w:val="clear" w:color="auto" w:fill="FFFFFF"/>
        </w:rPr>
        <w:t xml:space="preserve">serait sollicitée </w:t>
      </w:r>
      <w:r w:rsidR="007F5FDD">
        <w:rPr>
          <w:rFonts w:cs="Times New Roman"/>
          <w:color w:val="000000"/>
          <w:szCs w:val="24"/>
          <w:shd w:val="clear" w:color="auto" w:fill="FFFFFF"/>
        </w:rPr>
        <w:t>devra donc avoir éga</w:t>
      </w:r>
      <w:r w:rsidR="001B6ED8">
        <w:rPr>
          <w:rFonts w:cs="Times New Roman"/>
          <w:color w:val="000000"/>
          <w:szCs w:val="24"/>
          <w:shd w:val="clear" w:color="auto" w:fill="FFFFFF"/>
        </w:rPr>
        <w:t>rd à la situation de l’</w:t>
      </w:r>
      <w:r w:rsidR="001B6ED8" w:rsidRPr="001B6ED8">
        <w:rPr>
          <w:rFonts w:cs="Times New Roman"/>
          <w:szCs w:val="24"/>
          <w:shd w:val="clear" w:color="auto" w:fill="FFFFFF"/>
        </w:rPr>
        <w:t>É</w:t>
      </w:r>
      <w:r w:rsidR="007F5FDD">
        <w:rPr>
          <w:rFonts w:cs="Times New Roman"/>
          <w:color w:val="000000"/>
          <w:szCs w:val="24"/>
          <w:shd w:val="clear" w:color="auto" w:fill="FFFFFF"/>
        </w:rPr>
        <w:t>tat</w:t>
      </w:r>
      <w:r w:rsidR="002F67F9">
        <w:rPr>
          <w:rFonts w:cs="Times New Roman"/>
          <w:color w:val="000000"/>
          <w:szCs w:val="24"/>
          <w:shd w:val="clear" w:color="auto" w:fill="FFFFFF"/>
        </w:rPr>
        <w:t xml:space="preserve"> débiteur</w:t>
      </w:r>
      <w:r w:rsidR="007F5FDD">
        <w:rPr>
          <w:rFonts w:cs="Times New Roman"/>
          <w:color w:val="000000"/>
          <w:szCs w:val="24"/>
          <w:shd w:val="clear" w:color="auto" w:fill="FFFFFF"/>
        </w:rPr>
        <w:t xml:space="preserve"> au moment de l’émission du titre de créance</w:t>
      </w:r>
      <w:r w:rsidR="002F67F9">
        <w:rPr>
          <w:rFonts w:cs="Times New Roman"/>
          <w:color w:val="000000"/>
          <w:szCs w:val="24"/>
          <w:shd w:val="clear" w:color="auto" w:fill="FFFFFF"/>
        </w:rPr>
        <w:t xml:space="preserve"> concerné</w:t>
      </w:r>
      <w:r w:rsidR="007F5FDD">
        <w:rPr>
          <w:rStyle w:val="Appelnotedebasdep"/>
          <w:rFonts w:cs="Times New Roman"/>
          <w:color w:val="000000"/>
          <w:szCs w:val="24"/>
          <w:shd w:val="clear" w:color="auto" w:fill="FFFFFF"/>
        </w:rPr>
        <w:footnoteReference w:id="92"/>
      </w:r>
      <w:r w:rsidR="007F5FDD">
        <w:rPr>
          <w:rFonts w:cs="Times New Roman"/>
          <w:color w:val="000000"/>
          <w:szCs w:val="24"/>
          <w:shd w:val="clear" w:color="auto" w:fill="FFFFFF"/>
        </w:rPr>
        <w:t>.</w:t>
      </w:r>
    </w:p>
    <w:p w14:paraId="5E8D8A24" w14:textId="77777777" w:rsidR="00B231ED" w:rsidRDefault="00857289" w:rsidP="00C078EE">
      <w:pPr>
        <w:jc w:val="both"/>
        <w:rPr>
          <w:rFonts w:cs="Times New Roman"/>
          <w:color w:val="000000"/>
          <w:szCs w:val="24"/>
          <w:shd w:val="clear" w:color="auto" w:fill="FFFFFF"/>
        </w:rPr>
      </w:pPr>
      <w:r w:rsidRPr="00857289">
        <w:rPr>
          <w:rFonts w:cs="Times New Roman"/>
          <w:color w:val="000000"/>
          <w:szCs w:val="24"/>
          <w:shd w:val="clear" w:color="auto" w:fill="FFFFFF"/>
        </w:rPr>
        <w:t>L</w:t>
      </w:r>
      <w:r w:rsidR="00DD79B8" w:rsidRPr="00857289">
        <w:rPr>
          <w:rFonts w:cs="Times New Roman"/>
          <w:color w:val="000000"/>
          <w:szCs w:val="24"/>
          <w:shd w:val="clear" w:color="auto" w:fill="FFFFFF"/>
        </w:rPr>
        <w:t xml:space="preserve">e </w:t>
      </w:r>
      <w:r w:rsidR="00876864">
        <w:rPr>
          <w:rFonts w:cs="Times New Roman"/>
          <w:color w:val="000000"/>
          <w:szCs w:val="24"/>
          <w:shd w:val="clear" w:color="auto" w:fill="FFFFFF"/>
        </w:rPr>
        <w:t>mécanisme</w:t>
      </w:r>
      <w:r w:rsidR="00DD79B8" w:rsidRPr="00857289">
        <w:rPr>
          <w:rFonts w:cs="Times New Roman"/>
          <w:color w:val="000000"/>
          <w:szCs w:val="24"/>
          <w:shd w:val="clear" w:color="auto" w:fill="FFFFFF"/>
        </w:rPr>
        <w:t xml:space="preserve"> mis en place par le législateur français ne protège pas </w:t>
      </w:r>
      <w:r w:rsidR="002F67F9">
        <w:rPr>
          <w:rFonts w:cs="Times New Roman"/>
          <w:color w:val="000000"/>
          <w:szCs w:val="24"/>
          <w:shd w:val="clear" w:color="auto" w:fill="FFFFFF"/>
        </w:rPr>
        <w:t>l’ensemble des</w:t>
      </w:r>
      <w:r w:rsidR="00DD79B8" w:rsidRPr="00857289">
        <w:rPr>
          <w:rFonts w:cs="Times New Roman"/>
          <w:color w:val="000000"/>
          <w:szCs w:val="24"/>
          <w:shd w:val="clear" w:color="auto" w:fill="FFFFFF"/>
        </w:rPr>
        <w:t xml:space="preserve"> </w:t>
      </w:r>
      <w:r w:rsidR="001B6ED8" w:rsidRPr="001B6ED8">
        <w:rPr>
          <w:rFonts w:cs="Times New Roman"/>
          <w:szCs w:val="24"/>
          <w:shd w:val="clear" w:color="auto" w:fill="FFFFFF"/>
        </w:rPr>
        <w:t>É</w:t>
      </w:r>
      <w:r w:rsidR="00B231ED" w:rsidRPr="00857289">
        <w:rPr>
          <w:rFonts w:cs="Times New Roman"/>
          <w:color w:val="000000"/>
          <w:szCs w:val="24"/>
          <w:shd w:val="clear" w:color="auto" w:fill="FFFFFF"/>
        </w:rPr>
        <w:t>tats étrangers</w:t>
      </w:r>
      <w:r w:rsidR="00DD79B8" w:rsidRPr="00857289">
        <w:rPr>
          <w:rFonts w:cs="Times New Roman"/>
          <w:color w:val="000000"/>
          <w:szCs w:val="24"/>
          <w:shd w:val="clear" w:color="auto" w:fill="FFFFFF"/>
        </w:rPr>
        <w:t>.</w:t>
      </w:r>
      <w:r>
        <w:rPr>
          <w:rFonts w:cs="Times New Roman"/>
          <w:color w:val="000000"/>
          <w:szCs w:val="24"/>
          <w:shd w:val="clear" w:color="auto" w:fill="FFFFFF"/>
        </w:rPr>
        <w:t xml:space="preserve"> </w:t>
      </w:r>
      <w:r w:rsidR="00B231ED">
        <w:rPr>
          <w:rFonts w:cs="Times New Roman"/>
          <w:color w:val="000000"/>
          <w:szCs w:val="24"/>
          <w:shd w:val="clear" w:color="auto" w:fill="FFFFFF"/>
        </w:rPr>
        <w:t xml:space="preserve">Certaines initiatives visant à supprimer </w:t>
      </w:r>
      <w:r w:rsidR="002F67F9">
        <w:rPr>
          <w:rFonts w:cs="Times New Roman"/>
          <w:color w:val="000000"/>
          <w:szCs w:val="24"/>
          <w:shd w:val="clear" w:color="auto" w:fill="FFFFFF"/>
        </w:rPr>
        <w:t>la</w:t>
      </w:r>
      <w:r w:rsidR="00B231ED">
        <w:rPr>
          <w:rFonts w:cs="Times New Roman"/>
          <w:color w:val="000000"/>
          <w:szCs w:val="24"/>
          <w:shd w:val="clear" w:color="auto" w:fill="FFFFFF"/>
        </w:rPr>
        <w:t xml:space="preserve"> limitation ont été prises sans </w:t>
      </w:r>
      <w:r w:rsidR="00441B10">
        <w:rPr>
          <w:rFonts w:cs="Times New Roman"/>
          <w:color w:val="000000"/>
          <w:szCs w:val="24"/>
          <w:shd w:val="clear" w:color="auto" w:fill="FFFFFF"/>
        </w:rPr>
        <w:t xml:space="preserve">être suivies. </w:t>
      </w:r>
      <w:r>
        <w:rPr>
          <w:rFonts w:cs="Times New Roman"/>
          <w:color w:val="000000"/>
          <w:szCs w:val="24"/>
          <w:shd w:val="clear" w:color="auto" w:fill="FFFFFF"/>
        </w:rPr>
        <w:t xml:space="preserve">Les sénateurs </w:t>
      </w:r>
      <w:r w:rsidRPr="008B707E">
        <w:t>Lienemann et Durain</w:t>
      </w:r>
      <w:r>
        <w:t xml:space="preserve"> expliquaient ainsi leur souhait d’élargissement du champ</w:t>
      </w:r>
      <w:r w:rsidR="00903344">
        <w:t xml:space="preserve"> d’application de l’article</w:t>
      </w:r>
      <w:r>
        <w:t xml:space="preserve"> anti-fonds vautours « afin de tenir compte de la réalité de la pratique des fonds vautours, qui, s’ils privilégient la spéculation sur les créances des pauvres endettés, ne s’y limitent pas »</w:t>
      </w:r>
      <w:r>
        <w:rPr>
          <w:rStyle w:val="Appelnotedebasdep"/>
          <w:rFonts w:cs="Times New Roman"/>
          <w:color w:val="000000"/>
          <w:szCs w:val="24"/>
          <w:shd w:val="clear" w:color="auto" w:fill="FFFFFF"/>
        </w:rPr>
        <w:footnoteReference w:id="93"/>
      </w:r>
      <w:r>
        <w:rPr>
          <w:rFonts w:cs="Times New Roman"/>
          <w:color w:val="000000"/>
          <w:szCs w:val="24"/>
          <w:shd w:val="clear" w:color="auto" w:fill="FFFFFF"/>
        </w:rPr>
        <w:t xml:space="preserve">. </w:t>
      </w:r>
      <w:r w:rsidR="00441B10">
        <w:rPr>
          <w:rFonts w:cs="Times New Roman"/>
          <w:color w:val="000000"/>
          <w:szCs w:val="24"/>
          <w:shd w:val="clear" w:color="auto" w:fill="FFFFFF"/>
        </w:rPr>
        <w:t xml:space="preserve">Selon Paul Giraud, </w:t>
      </w:r>
      <w:r>
        <w:rPr>
          <w:rFonts w:cs="Times New Roman"/>
          <w:color w:val="000000"/>
          <w:szCs w:val="24"/>
          <w:shd w:val="clear" w:color="auto" w:fill="FFFFFF"/>
        </w:rPr>
        <w:t xml:space="preserve">le refus d’extension du champ d’application du mécanisme </w:t>
      </w:r>
      <w:r w:rsidR="00441B10">
        <w:rPr>
          <w:rFonts w:cs="Times New Roman"/>
          <w:color w:val="000000"/>
          <w:szCs w:val="24"/>
          <w:shd w:val="clear" w:color="auto" w:fill="FFFFFF"/>
        </w:rPr>
        <w:t>s’explique peut-être par la crainte d’une censure conventionnelle ou constitutionnelle, « les conditions de but légitime et de proportionnalité étant plus</w:t>
      </w:r>
      <w:r w:rsidR="00184539">
        <w:rPr>
          <w:rFonts w:cs="Times New Roman"/>
          <w:color w:val="000000"/>
          <w:szCs w:val="24"/>
          <w:shd w:val="clear" w:color="auto" w:fill="FFFFFF"/>
        </w:rPr>
        <w:t xml:space="preserve"> facilement défendables si les </w:t>
      </w:r>
      <w:r w:rsidR="00184539" w:rsidRPr="001B6ED8">
        <w:rPr>
          <w:rFonts w:cs="Times New Roman"/>
          <w:szCs w:val="24"/>
          <w:shd w:val="clear" w:color="auto" w:fill="FFFFFF"/>
        </w:rPr>
        <w:t>É</w:t>
      </w:r>
      <w:r w:rsidR="00441B10">
        <w:rPr>
          <w:rFonts w:cs="Times New Roman"/>
          <w:color w:val="000000"/>
          <w:szCs w:val="24"/>
          <w:shd w:val="clear" w:color="auto" w:fill="FFFFFF"/>
        </w:rPr>
        <w:t>tats débiteurs protégés</w:t>
      </w:r>
      <w:r w:rsidR="009D75D4">
        <w:rPr>
          <w:rFonts w:cs="Times New Roman"/>
          <w:color w:val="000000"/>
          <w:szCs w:val="24"/>
          <w:shd w:val="clear" w:color="auto" w:fill="FFFFFF"/>
        </w:rPr>
        <w:t xml:space="preserve"> </w:t>
      </w:r>
      <w:r w:rsidR="009D75D4">
        <w:t>[…] </w:t>
      </w:r>
      <w:r w:rsidR="00441B10">
        <w:rPr>
          <w:rFonts w:cs="Times New Roman"/>
          <w:color w:val="000000"/>
          <w:szCs w:val="24"/>
          <w:shd w:val="clear" w:color="auto" w:fill="FFFFFF"/>
        </w:rPr>
        <w:t xml:space="preserve">sont moins nombreux ». </w:t>
      </w:r>
      <w:r w:rsidR="00441B10" w:rsidRPr="007F5FDD">
        <w:rPr>
          <w:rFonts w:cs="Times New Roman"/>
          <w:color w:val="000000"/>
          <w:szCs w:val="24"/>
          <w:shd w:val="clear" w:color="auto" w:fill="FFFFFF"/>
        </w:rPr>
        <w:t xml:space="preserve">Et cet auteur </w:t>
      </w:r>
      <w:r w:rsidR="002F67F9">
        <w:rPr>
          <w:rFonts w:cs="Times New Roman"/>
          <w:color w:val="000000"/>
          <w:szCs w:val="24"/>
          <w:shd w:val="clear" w:color="auto" w:fill="FFFFFF"/>
        </w:rPr>
        <w:t xml:space="preserve">de cependant </w:t>
      </w:r>
      <w:r w:rsidR="00441B10" w:rsidRPr="007F5FDD">
        <w:rPr>
          <w:rFonts w:cs="Times New Roman"/>
          <w:color w:val="000000"/>
          <w:szCs w:val="24"/>
          <w:shd w:val="clear" w:color="auto" w:fill="FFFFFF"/>
        </w:rPr>
        <w:t xml:space="preserve">relever que « la restriction aux seuls pays bénéficiaires de l’aide au développement affaiblit la force de conviction de la dénonciation générale de l’immoralité de l’activité des fonds vautours » et que « (s)i ces fonds doivent être combattus car leur enrichissement est immoral, </w:t>
      </w:r>
      <w:r w:rsidR="00184539">
        <w:rPr>
          <w:rFonts w:cs="Times New Roman"/>
          <w:color w:val="000000"/>
          <w:szCs w:val="24"/>
          <w:shd w:val="clear" w:color="auto" w:fill="FFFFFF"/>
        </w:rPr>
        <w:t>alors il l’est quel que soit l’</w:t>
      </w:r>
      <w:r w:rsidR="00184539" w:rsidRPr="001B6ED8">
        <w:rPr>
          <w:rFonts w:cs="Times New Roman"/>
          <w:szCs w:val="24"/>
          <w:shd w:val="clear" w:color="auto" w:fill="FFFFFF"/>
        </w:rPr>
        <w:t>É</w:t>
      </w:r>
      <w:r w:rsidR="00441B10" w:rsidRPr="007F5FDD">
        <w:rPr>
          <w:rFonts w:cs="Times New Roman"/>
          <w:color w:val="000000"/>
          <w:szCs w:val="24"/>
          <w:shd w:val="clear" w:color="auto" w:fill="FFFFFF"/>
        </w:rPr>
        <w:t>tat concerné »</w:t>
      </w:r>
      <w:r w:rsidR="00A63605" w:rsidRPr="007F5FDD">
        <w:rPr>
          <w:rStyle w:val="Appelnotedebasdep"/>
          <w:rFonts w:cs="Times New Roman"/>
          <w:color w:val="000000"/>
          <w:szCs w:val="24"/>
          <w:shd w:val="clear" w:color="auto" w:fill="FFFFFF"/>
        </w:rPr>
        <w:footnoteReference w:id="94"/>
      </w:r>
      <w:r w:rsidR="00441B10" w:rsidRPr="007F5FDD">
        <w:rPr>
          <w:rFonts w:cs="Times New Roman"/>
          <w:color w:val="000000"/>
          <w:szCs w:val="24"/>
          <w:shd w:val="clear" w:color="auto" w:fill="FFFFFF"/>
        </w:rPr>
        <w:t>.</w:t>
      </w:r>
    </w:p>
    <w:p w14:paraId="76F974FF" w14:textId="1D6156EF" w:rsidR="00AA7B18" w:rsidRPr="0058640A" w:rsidRDefault="00824FD7" w:rsidP="00C078EE">
      <w:pPr>
        <w:jc w:val="both"/>
        <w:rPr>
          <w:rFonts w:cs="Times New Roman"/>
          <w:szCs w:val="24"/>
        </w:rPr>
      </w:pPr>
      <w:r>
        <w:rPr>
          <w:rFonts w:cs="Times New Roman"/>
          <w:b/>
          <w:szCs w:val="24"/>
        </w:rPr>
        <w:t>1</w:t>
      </w:r>
      <w:r w:rsidR="007F2E44">
        <w:rPr>
          <w:rFonts w:cs="Times New Roman"/>
          <w:b/>
          <w:szCs w:val="24"/>
        </w:rPr>
        <w:t>3</w:t>
      </w:r>
      <w:r w:rsidR="00EE5011">
        <w:rPr>
          <w:rFonts w:cs="Times New Roman"/>
          <w:b/>
          <w:szCs w:val="24"/>
        </w:rPr>
        <w:t>.B</w:t>
      </w:r>
      <w:r w:rsidR="00B06D22" w:rsidRPr="00ED4F8A">
        <w:rPr>
          <w:rFonts w:cs="Times New Roman"/>
          <w:b/>
          <w:szCs w:val="24"/>
        </w:rPr>
        <w:t xml:space="preserve">. </w:t>
      </w:r>
      <w:r w:rsidR="007F5FDD">
        <w:rPr>
          <w:rFonts w:cs="Times New Roman"/>
          <w:b/>
          <w:szCs w:val="24"/>
        </w:rPr>
        <w:t xml:space="preserve">Un </w:t>
      </w:r>
      <w:r w:rsidR="00184539" w:rsidRPr="00184539">
        <w:rPr>
          <w:rFonts w:cs="Times New Roman"/>
          <w:b/>
          <w:szCs w:val="24"/>
          <w:shd w:val="clear" w:color="auto" w:fill="FFFFFF"/>
        </w:rPr>
        <w:t>É</w:t>
      </w:r>
      <w:r w:rsidR="00B06D22" w:rsidRPr="00184539">
        <w:rPr>
          <w:rFonts w:cs="Times New Roman"/>
          <w:b/>
          <w:szCs w:val="24"/>
        </w:rPr>
        <w:t>t</w:t>
      </w:r>
      <w:r w:rsidR="00B06D22" w:rsidRPr="00ED4F8A">
        <w:rPr>
          <w:rFonts w:cs="Times New Roman"/>
          <w:b/>
          <w:szCs w:val="24"/>
        </w:rPr>
        <w:t xml:space="preserve">at </w:t>
      </w:r>
      <w:r w:rsidR="00E34DBF" w:rsidRPr="00ED4F8A">
        <w:rPr>
          <w:rFonts w:cs="Times New Roman"/>
          <w:b/>
          <w:szCs w:val="24"/>
        </w:rPr>
        <w:t xml:space="preserve">en </w:t>
      </w:r>
      <w:r w:rsidR="00B06D22" w:rsidRPr="00ED4F8A">
        <w:rPr>
          <w:rFonts w:cs="Times New Roman"/>
          <w:b/>
          <w:szCs w:val="24"/>
        </w:rPr>
        <w:t xml:space="preserve">situation de </w:t>
      </w:r>
      <w:r w:rsidR="00EE5011">
        <w:rPr>
          <w:rFonts w:cs="Times New Roman"/>
          <w:b/>
          <w:szCs w:val="24"/>
        </w:rPr>
        <w:t>défaut</w:t>
      </w:r>
      <w:r w:rsidR="0058640A">
        <w:rPr>
          <w:rFonts w:cs="Times New Roman"/>
          <w:b/>
          <w:szCs w:val="24"/>
        </w:rPr>
        <w:t xml:space="preserve"> ou </w:t>
      </w:r>
      <w:r w:rsidR="0058640A" w:rsidRPr="00184539">
        <w:rPr>
          <w:rFonts w:cs="Times New Roman"/>
          <w:b/>
          <w:szCs w:val="24"/>
        </w:rPr>
        <w:t>u</w:t>
      </w:r>
      <w:r w:rsidR="0058640A" w:rsidRPr="00184539">
        <w:rPr>
          <w:b/>
        </w:rPr>
        <w:t xml:space="preserve">n </w:t>
      </w:r>
      <w:r w:rsidR="00184539" w:rsidRPr="00184539">
        <w:rPr>
          <w:rFonts w:cs="Times New Roman"/>
          <w:b/>
          <w:szCs w:val="24"/>
          <w:shd w:val="clear" w:color="auto" w:fill="FFFFFF"/>
        </w:rPr>
        <w:t>É</w:t>
      </w:r>
      <w:r w:rsidR="0058640A" w:rsidRPr="00184539">
        <w:rPr>
          <w:b/>
        </w:rPr>
        <w:t>tat</w:t>
      </w:r>
      <w:r w:rsidR="0058640A" w:rsidRPr="00B06D22">
        <w:rPr>
          <w:b/>
        </w:rPr>
        <w:t xml:space="preserve"> ayant proposé une </w:t>
      </w:r>
      <w:r w:rsidR="0058640A">
        <w:rPr>
          <w:b/>
        </w:rPr>
        <w:t>modification des termes du titre de sa créance</w:t>
      </w:r>
      <w:r w:rsidR="007F5FDD">
        <w:rPr>
          <w:rFonts w:cs="Times New Roman"/>
          <w:b/>
          <w:szCs w:val="24"/>
        </w:rPr>
        <w:t xml:space="preserve"> </w:t>
      </w:r>
      <w:r w:rsidR="00A12838">
        <w:rPr>
          <w:b/>
        </w:rPr>
        <w:t>-</w:t>
      </w:r>
      <w:r w:rsidR="00B06D22" w:rsidRPr="00ED4F8A">
        <w:rPr>
          <w:rFonts w:cs="Times New Roman"/>
          <w:b/>
          <w:szCs w:val="24"/>
        </w:rPr>
        <w:t xml:space="preserve"> </w:t>
      </w:r>
      <w:r w:rsidR="0058640A">
        <w:rPr>
          <w:rFonts w:cs="Times New Roman"/>
          <w:szCs w:val="24"/>
        </w:rPr>
        <w:t>La condition</w:t>
      </w:r>
      <w:r w:rsidR="00B06D22" w:rsidRPr="00ED4F8A">
        <w:rPr>
          <w:rFonts w:cs="Times New Roman"/>
          <w:szCs w:val="24"/>
        </w:rPr>
        <w:t xml:space="preserve"> </w:t>
      </w:r>
      <w:r w:rsidR="0058640A">
        <w:rPr>
          <w:rFonts w:cs="Times New Roman"/>
          <w:szCs w:val="24"/>
        </w:rPr>
        <w:t>reprise</w:t>
      </w:r>
      <w:r w:rsidR="00B06D22" w:rsidRPr="00ED4F8A">
        <w:rPr>
          <w:rFonts w:cs="Times New Roman"/>
          <w:szCs w:val="24"/>
        </w:rPr>
        <w:t xml:space="preserve"> </w:t>
      </w:r>
      <w:r w:rsidR="0058640A">
        <w:rPr>
          <w:rFonts w:cs="Times New Roman"/>
          <w:szCs w:val="24"/>
        </w:rPr>
        <w:t>au point</w:t>
      </w:r>
      <w:r w:rsidR="00B06D22" w:rsidRPr="00ED4F8A">
        <w:rPr>
          <w:rFonts w:cs="Times New Roman"/>
          <w:szCs w:val="24"/>
        </w:rPr>
        <w:t xml:space="preserve"> 2°</w:t>
      </w:r>
      <w:r w:rsidR="0058640A">
        <w:rPr>
          <w:rFonts w:cs="Times New Roman"/>
          <w:szCs w:val="24"/>
        </w:rPr>
        <w:t xml:space="preserve"> </w:t>
      </w:r>
      <w:r w:rsidR="00B06D22" w:rsidRPr="00ED4F8A">
        <w:rPr>
          <w:rFonts w:cs="Times New Roman"/>
          <w:szCs w:val="24"/>
        </w:rPr>
        <w:t>de l’article 60.I.</w:t>
      </w:r>
      <w:r w:rsidR="00B06D22" w:rsidRPr="00ED4F8A">
        <w:rPr>
          <w:rFonts w:cs="Times New Roman"/>
          <w:b/>
          <w:szCs w:val="24"/>
        </w:rPr>
        <w:t xml:space="preserve"> </w:t>
      </w:r>
      <w:r w:rsidR="0058640A">
        <w:rPr>
          <w:rFonts w:cs="Times New Roman"/>
          <w:szCs w:val="24"/>
        </w:rPr>
        <w:t>précise</w:t>
      </w:r>
      <w:r w:rsidR="00ED4F8A" w:rsidRPr="00ED4F8A">
        <w:rPr>
          <w:rFonts w:cs="Times New Roman"/>
          <w:szCs w:val="24"/>
        </w:rPr>
        <w:t xml:space="preserve"> la</w:t>
      </w:r>
      <w:r w:rsidR="00184539">
        <w:rPr>
          <w:rFonts w:cs="Times New Roman"/>
          <w:szCs w:val="24"/>
        </w:rPr>
        <w:t xml:space="preserve"> situation qu’était celle de l’</w:t>
      </w:r>
      <w:r w:rsidR="00184539" w:rsidRPr="001B6ED8">
        <w:rPr>
          <w:rFonts w:cs="Times New Roman"/>
          <w:szCs w:val="24"/>
          <w:shd w:val="clear" w:color="auto" w:fill="FFFFFF"/>
        </w:rPr>
        <w:t>É</w:t>
      </w:r>
      <w:r w:rsidR="00ED4F8A" w:rsidRPr="00ED4F8A">
        <w:rPr>
          <w:rFonts w:cs="Times New Roman"/>
          <w:szCs w:val="24"/>
        </w:rPr>
        <w:t>tat débiteur au moment de l’a</w:t>
      </w:r>
      <w:r w:rsidR="000F12F4">
        <w:rPr>
          <w:rFonts w:cs="Times New Roman"/>
          <w:szCs w:val="24"/>
        </w:rPr>
        <w:t>cquisition du titre de créance.</w:t>
      </w:r>
      <w:r w:rsidR="0058640A">
        <w:rPr>
          <w:rFonts w:cs="Times New Roman"/>
          <w:szCs w:val="24"/>
        </w:rPr>
        <w:t xml:space="preserve"> </w:t>
      </w:r>
      <w:r w:rsidR="00ED4F8A" w:rsidRPr="00ED4F8A">
        <w:rPr>
          <w:rFonts w:cs="Times New Roman"/>
          <w:szCs w:val="24"/>
        </w:rPr>
        <w:t xml:space="preserve">Ainsi, </w:t>
      </w:r>
      <w:r w:rsidR="0058640A">
        <w:rPr>
          <w:rFonts w:cs="Times New Roman"/>
          <w:szCs w:val="24"/>
        </w:rPr>
        <w:t>la condition est</w:t>
      </w:r>
      <w:r w:rsidR="00ED4F8A" w:rsidRPr="00ED4F8A">
        <w:rPr>
          <w:rFonts w:cs="Times New Roman"/>
          <w:szCs w:val="24"/>
        </w:rPr>
        <w:t xml:space="preserve"> que </w:t>
      </w:r>
      <w:r w:rsidR="00ED4F8A" w:rsidRPr="0058640A">
        <w:rPr>
          <w:rFonts w:cs="Times New Roman"/>
          <w:szCs w:val="24"/>
        </w:rPr>
        <w:t>« </w:t>
      </w:r>
      <w:r w:rsidR="0058640A" w:rsidRPr="0058640A">
        <w:rPr>
          <w:rFonts w:cs="Times New Roman"/>
          <w:szCs w:val="24"/>
        </w:rPr>
        <w:t>(</w:t>
      </w:r>
      <w:r w:rsidR="00ED4F8A" w:rsidRPr="0058640A">
        <w:rPr>
          <w:rFonts w:cs="Times New Roman"/>
          <w:color w:val="000000"/>
          <w:szCs w:val="24"/>
          <w:shd w:val="clear" w:color="auto" w:fill="FFFFFF"/>
        </w:rPr>
        <w:t>l</w:t>
      </w:r>
      <w:r w:rsidR="0058640A" w:rsidRPr="0058640A">
        <w:rPr>
          <w:rFonts w:cs="Times New Roman"/>
          <w:color w:val="000000"/>
          <w:szCs w:val="24"/>
          <w:shd w:val="clear" w:color="auto" w:fill="FFFFFF"/>
        </w:rPr>
        <w:t>)</w:t>
      </w:r>
      <w:r w:rsidR="00ED4F8A" w:rsidRPr="0058640A">
        <w:rPr>
          <w:rFonts w:cs="Times New Roman"/>
          <w:color w:val="000000"/>
          <w:szCs w:val="24"/>
          <w:shd w:val="clear" w:color="auto" w:fill="FFFFFF"/>
        </w:rPr>
        <w:t>e détenteur du titre de créance</w:t>
      </w:r>
      <w:r w:rsidR="00184539">
        <w:rPr>
          <w:rFonts w:cs="Times New Roman"/>
          <w:color w:val="000000"/>
          <w:szCs w:val="24"/>
          <w:shd w:val="clear" w:color="auto" w:fill="FFFFFF"/>
        </w:rPr>
        <w:t xml:space="preserve"> a acquis ce titre alors que l'</w:t>
      </w:r>
      <w:r w:rsidR="00184539" w:rsidRPr="001B6ED8">
        <w:rPr>
          <w:rFonts w:cs="Times New Roman"/>
          <w:szCs w:val="24"/>
          <w:shd w:val="clear" w:color="auto" w:fill="FFFFFF"/>
        </w:rPr>
        <w:t>É</w:t>
      </w:r>
      <w:r w:rsidR="00ED4F8A" w:rsidRPr="0058640A">
        <w:rPr>
          <w:rFonts w:cs="Times New Roman"/>
          <w:color w:val="000000"/>
          <w:szCs w:val="24"/>
          <w:shd w:val="clear" w:color="auto" w:fill="FFFFFF"/>
        </w:rPr>
        <w:t>tat étranger se trouvait en situation de défaut sur ce titre de créance </w:t>
      </w:r>
      <w:r w:rsidR="0058640A" w:rsidRPr="0058640A">
        <w:rPr>
          <w:rFonts w:cs="Times New Roman"/>
          <w:color w:val="000000"/>
          <w:szCs w:val="24"/>
          <w:shd w:val="clear" w:color="auto" w:fill="FFFFFF"/>
        </w:rPr>
        <w:t xml:space="preserve">ou </w:t>
      </w:r>
      <w:r w:rsidR="0058640A" w:rsidRPr="0058640A">
        <w:t>avait proposé une modification des termes du titre de créance </w:t>
      </w:r>
      <w:r w:rsidR="00ED4F8A" w:rsidRPr="0058640A">
        <w:rPr>
          <w:rFonts w:cs="Times New Roman"/>
          <w:color w:val="000000"/>
          <w:szCs w:val="24"/>
          <w:shd w:val="clear" w:color="auto" w:fill="FFFFFF"/>
        </w:rPr>
        <w:t>».</w:t>
      </w:r>
      <w:r w:rsidR="0058640A">
        <w:rPr>
          <w:rFonts w:cs="Times New Roman"/>
          <w:szCs w:val="24"/>
        </w:rPr>
        <w:t xml:space="preserve"> </w:t>
      </w:r>
      <w:r w:rsidR="005E5966">
        <w:rPr>
          <w:rFonts w:cs="Times New Roman"/>
          <w:color w:val="000000"/>
          <w:szCs w:val="24"/>
          <w:shd w:val="clear" w:color="auto" w:fill="FFFFFF"/>
        </w:rPr>
        <w:t>La disposition</w:t>
      </w:r>
      <w:r w:rsidR="00ED4F8A" w:rsidRPr="0058640A">
        <w:rPr>
          <w:rFonts w:cs="Times New Roman"/>
          <w:color w:val="000000"/>
          <w:szCs w:val="24"/>
          <w:shd w:val="clear" w:color="auto" w:fill="FFFFFF"/>
        </w:rPr>
        <w:t xml:space="preserve"> III de l’article 60 donne plus de précision</w:t>
      </w:r>
      <w:r w:rsidR="00C554C9">
        <w:rPr>
          <w:rFonts w:cs="Times New Roman"/>
          <w:color w:val="000000"/>
          <w:szCs w:val="24"/>
          <w:shd w:val="clear" w:color="auto" w:fill="FFFFFF"/>
        </w:rPr>
        <w:t>s</w:t>
      </w:r>
      <w:r w:rsidR="00ED4F8A" w:rsidRPr="0058640A">
        <w:rPr>
          <w:rFonts w:cs="Times New Roman"/>
          <w:color w:val="000000"/>
          <w:szCs w:val="24"/>
          <w:shd w:val="clear" w:color="auto" w:fill="FFFFFF"/>
        </w:rPr>
        <w:t xml:space="preserve"> sur la situation de défaut en indiquant qu’elle « est définie conformément aux clauses prévues dans le </w:t>
      </w:r>
      <w:r w:rsidR="00ED4F8A" w:rsidRPr="0058640A">
        <w:rPr>
          <w:rFonts w:cs="Times New Roman"/>
          <w:color w:val="000000"/>
          <w:szCs w:val="24"/>
          <w:shd w:val="clear" w:color="auto" w:fill="FFFFFF"/>
        </w:rPr>
        <w:lastRenderedPageBreak/>
        <w:t>contrat d'émission ou, en l'absence de telles clauses, par un manquement à l'échéance initiale prévue dans le contrat d'émission ».</w:t>
      </w:r>
    </w:p>
    <w:p w14:paraId="5B0A4662" w14:textId="4F87F99E" w:rsidR="0058640A" w:rsidRDefault="00824FD7" w:rsidP="00C078EE">
      <w:pPr>
        <w:jc w:val="both"/>
      </w:pPr>
      <w:r>
        <w:rPr>
          <w:b/>
        </w:rPr>
        <w:t>1</w:t>
      </w:r>
      <w:r w:rsidR="007F2E44">
        <w:rPr>
          <w:b/>
        </w:rPr>
        <w:t>3</w:t>
      </w:r>
      <w:r w:rsidR="0058640A">
        <w:rPr>
          <w:b/>
        </w:rPr>
        <w:t>.C</w:t>
      </w:r>
      <w:r w:rsidR="00B06D22" w:rsidRPr="00B06D22">
        <w:rPr>
          <w:b/>
        </w:rPr>
        <w:t xml:space="preserve">. </w:t>
      </w:r>
      <w:r w:rsidR="0058640A">
        <w:rPr>
          <w:b/>
        </w:rPr>
        <w:t>Le moment du défaut ou de la</w:t>
      </w:r>
      <w:r w:rsidR="007A7575">
        <w:rPr>
          <w:b/>
        </w:rPr>
        <w:t xml:space="preserve"> première</w:t>
      </w:r>
      <w:r w:rsidR="0058640A">
        <w:rPr>
          <w:b/>
        </w:rPr>
        <w:t xml:space="preserve"> proposition de modification </w:t>
      </w:r>
      <w:r w:rsidR="007A7575">
        <w:rPr>
          <w:b/>
        </w:rPr>
        <w:t xml:space="preserve">et l’acceptation d’une proposition de modification </w:t>
      </w:r>
      <w:r w:rsidR="00A12838">
        <w:rPr>
          <w:b/>
        </w:rPr>
        <w:t>-</w:t>
      </w:r>
      <w:r w:rsidR="00B06D22">
        <w:rPr>
          <w:b/>
        </w:rPr>
        <w:t xml:space="preserve"> </w:t>
      </w:r>
      <w:r w:rsidR="009E4FEF">
        <w:t>L’article 60.I.3°</w:t>
      </w:r>
      <w:r w:rsidR="002E03C1">
        <w:t>.</w:t>
      </w:r>
      <w:r w:rsidR="009E4FEF">
        <w:t xml:space="preserve"> de la loi Sapin II </w:t>
      </w:r>
      <w:r w:rsidR="007A7575">
        <w:t>qui reprend la troisième condition à l’application du mécanisme anti-fonds vautours mis en place par le législateur français dispose</w:t>
      </w:r>
      <w:r w:rsidR="009E4FEF">
        <w:t xml:space="preserve"> que </w:t>
      </w:r>
      <w:r w:rsidR="0058640A" w:rsidRPr="0058640A">
        <w:rPr>
          <w:rFonts w:cs="Times New Roman"/>
          <w:color w:val="000000"/>
          <w:szCs w:val="24"/>
          <w:shd w:val="clear" w:color="auto" w:fill="FFFFFF"/>
        </w:rPr>
        <w:t xml:space="preserve">« (l)a situation de défaut sur le titre de créance date de moins de quarante-huit mois au moment où le détenteur du titre de créance sollicite du juge une ordonnance sur requête l'autorisant à pratiquer une mesure d'exécution forcée ou une mesure conservatoire, </w:t>
      </w:r>
      <w:r w:rsidR="0058640A" w:rsidRPr="00286E82">
        <w:rPr>
          <w:rFonts w:cs="Times New Roman"/>
          <w:i/>
          <w:color w:val="000000"/>
          <w:szCs w:val="24"/>
          <w:shd w:val="clear" w:color="auto" w:fill="FFFFFF"/>
        </w:rPr>
        <w:t>ou</w:t>
      </w:r>
      <w:r w:rsidR="0058640A" w:rsidRPr="0058640A">
        <w:rPr>
          <w:rFonts w:cs="Times New Roman"/>
          <w:color w:val="000000"/>
          <w:szCs w:val="24"/>
          <w:shd w:val="clear" w:color="auto" w:fill="FFFFFF"/>
        </w:rPr>
        <w:t xml:space="preserve"> la première proposition de modification des termes du titre de créance date de moins de quarante-huit mois au moment où le détenteur du titre de créance sollicite du juge une ordonnance sur requête l'autorisant à pratiquer une mesure d'exécution forcée ou une mesure conservatoire</w:t>
      </w:r>
      <w:r w:rsidR="007A7575">
        <w:rPr>
          <w:rFonts w:cs="Times New Roman"/>
          <w:color w:val="000000"/>
          <w:szCs w:val="24"/>
          <w:shd w:val="clear" w:color="auto" w:fill="FFFFFF"/>
        </w:rPr>
        <w:t xml:space="preserve">, </w:t>
      </w:r>
      <w:r w:rsidR="007A7575" w:rsidRPr="00286E82">
        <w:rPr>
          <w:rFonts w:cs="Times New Roman"/>
          <w:i/>
          <w:color w:val="000000"/>
          <w:szCs w:val="24"/>
          <w:shd w:val="clear" w:color="auto" w:fill="FFFFFF"/>
        </w:rPr>
        <w:t>ou</w:t>
      </w:r>
      <w:r w:rsidR="007A7575">
        <w:rPr>
          <w:rFonts w:cs="Times New Roman"/>
          <w:color w:val="000000"/>
          <w:szCs w:val="24"/>
          <w:shd w:val="clear" w:color="auto" w:fill="FFFFFF"/>
        </w:rPr>
        <w:t xml:space="preserve"> </w:t>
      </w:r>
      <w:r w:rsidR="007A7575" w:rsidRPr="00F90AFE">
        <w:t>une proposition de modification, applicable au titre de créance, a été acceptée par des créanciers représentant au moins 66 % du montant en principal des créances éligibles, indépendamment du seuil requis, le cas éc</w:t>
      </w:r>
      <w:r w:rsidR="007A7575">
        <w:t>héant, pour l’entrée en vigueur</w:t>
      </w:r>
      <w:r w:rsidR="0058640A" w:rsidRPr="0058640A">
        <w:rPr>
          <w:rFonts w:cs="Times New Roman"/>
          <w:color w:val="000000"/>
          <w:szCs w:val="24"/>
          <w:shd w:val="clear" w:color="auto" w:fill="FFFFFF"/>
        </w:rPr>
        <w:t> »</w:t>
      </w:r>
      <w:r w:rsidR="00286E82">
        <w:rPr>
          <w:rStyle w:val="Appelnotedebasdep"/>
          <w:rFonts w:cs="Times New Roman"/>
          <w:color w:val="000000"/>
          <w:szCs w:val="24"/>
          <w:shd w:val="clear" w:color="auto" w:fill="FFFFFF"/>
        </w:rPr>
        <w:footnoteReference w:id="95"/>
      </w:r>
      <w:r w:rsidR="007A7575">
        <w:rPr>
          <w:rFonts w:cs="Times New Roman"/>
          <w:color w:val="000000"/>
          <w:szCs w:val="24"/>
          <w:shd w:val="clear" w:color="auto" w:fill="FFFFFF"/>
        </w:rPr>
        <w:t xml:space="preserve">. </w:t>
      </w:r>
      <w:r w:rsidR="00286E82">
        <w:rPr>
          <w:rFonts w:cs="Times New Roman"/>
          <w:color w:val="000000"/>
          <w:szCs w:val="24"/>
          <w:shd w:val="clear" w:color="auto" w:fill="FFFFFF"/>
        </w:rPr>
        <w:t>On le constate, c</w:t>
      </w:r>
      <w:r w:rsidR="007A7575">
        <w:rPr>
          <w:rFonts w:cs="Times New Roman"/>
          <w:color w:val="000000"/>
          <w:szCs w:val="24"/>
          <w:shd w:val="clear" w:color="auto" w:fill="FFFFFF"/>
        </w:rPr>
        <w:t>ette condition</w:t>
      </w:r>
      <w:r w:rsidR="00286E82">
        <w:rPr>
          <w:rFonts w:cs="Times New Roman"/>
          <w:color w:val="000000"/>
          <w:szCs w:val="24"/>
          <w:shd w:val="clear" w:color="auto" w:fill="FFFFFF"/>
        </w:rPr>
        <w:t xml:space="preserve"> </w:t>
      </w:r>
      <w:r w:rsidR="007A7575">
        <w:rPr>
          <w:rFonts w:cs="Times New Roman"/>
          <w:color w:val="000000"/>
          <w:szCs w:val="24"/>
          <w:shd w:val="clear" w:color="auto" w:fill="FFFFFF"/>
        </w:rPr>
        <w:t>a trait, d’une part, au moment du défaut ou de la première proposition de modification, d’autre part, à la situation où un</w:t>
      </w:r>
      <w:r w:rsidR="00D23488">
        <w:rPr>
          <w:rFonts w:cs="Times New Roman"/>
          <w:color w:val="000000"/>
          <w:szCs w:val="24"/>
          <w:shd w:val="clear" w:color="auto" w:fill="FFFFFF"/>
        </w:rPr>
        <w:t>e</w:t>
      </w:r>
      <w:r w:rsidR="007A7575">
        <w:rPr>
          <w:rFonts w:cs="Times New Roman"/>
          <w:color w:val="000000"/>
          <w:szCs w:val="24"/>
          <w:shd w:val="clear" w:color="auto" w:fill="FFFFFF"/>
        </w:rPr>
        <w:t xml:space="preserve"> proposition de modification a été acceptée.</w:t>
      </w:r>
    </w:p>
    <w:p w14:paraId="343AFF3C" w14:textId="77777777" w:rsidR="00654883" w:rsidRDefault="00286E82" w:rsidP="00654883">
      <w:pPr>
        <w:jc w:val="both"/>
        <w:rPr>
          <w:rFonts w:cs="Times New Roman"/>
          <w:color w:val="000000"/>
          <w:szCs w:val="24"/>
          <w:shd w:val="clear" w:color="auto" w:fill="FFFFFF"/>
        </w:rPr>
      </w:pPr>
      <w:r>
        <w:rPr>
          <w:rFonts w:cs="Times New Roman"/>
          <w:color w:val="000000"/>
          <w:szCs w:val="24"/>
          <w:shd w:val="clear" w:color="auto" w:fill="FFFFFF"/>
        </w:rPr>
        <w:t>La</w:t>
      </w:r>
      <w:r w:rsidR="00654883">
        <w:rPr>
          <w:rFonts w:cs="Times New Roman"/>
          <w:color w:val="000000"/>
          <w:szCs w:val="24"/>
          <w:shd w:val="clear" w:color="auto" w:fill="FFFFFF"/>
        </w:rPr>
        <w:t xml:space="preserve"> condition </w:t>
      </w:r>
      <w:r>
        <w:rPr>
          <w:rFonts w:cs="Times New Roman"/>
          <w:color w:val="000000"/>
          <w:szCs w:val="24"/>
          <w:shd w:val="clear" w:color="auto" w:fill="FFFFFF"/>
        </w:rPr>
        <w:t>de la date</w:t>
      </w:r>
      <w:r w:rsidR="00654883">
        <w:rPr>
          <w:rFonts w:cs="Times New Roman"/>
          <w:color w:val="000000"/>
          <w:szCs w:val="24"/>
          <w:shd w:val="clear" w:color="auto" w:fill="FFFFFF"/>
        </w:rPr>
        <w:t xml:space="preserve"> de </w:t>
      </w:r>
      <w:r>
        <w:rPr>
          <w:rFonts w:cs="Times New Roman"/>
          <w:color w:val="000000"/>
          <w:szCs w:val="24"/>
          <w:shd w:val="clear" w:color="auto" w:fill="FFFFFF"/>
        </w:rPr>
        <w:t>la situation de défaut</w:t>
      </w:r>
      <w:r w:rsidR="00654883">
        <w:rPr>
          <w:rFonts w:cs="Times New Roman"/>
          <w:color w:val="000000"/>
          <w:szCs w:val="24"/>
          <w:shd w:val="clear" w:color="auto" w:fill="FFFFFF"/>
        </w:rPr>
        <w:t xml:space="preserve"> posée par l’article 60.I.3°</w:t>
      </w:r>
      <w:r w:rsidR="002E03C1">
        <w:rPr>
          <w:rFonts w:cs="Times New Roman"/>
          <w:color w:val="000000"/>
          <w:szCs w:val="24"/>
          <w:shd w:val="clear" w:color="auto" w:fill="FFFFFF"/>
        </w:rPr>
        <w:t>.</w:t>
      </w:r>
      <w:r w:rsidR="00654883">
        <w:rPr>
          <w:rFonts w:cs="Times New Roman"/>
          <w:color w:val="000000"/>
          <w:szCs w:val="24"/>
          <w:shd w:val="clear" w:color="auto" w:fill="FFFFFF"/>
        </w:rPr>
        <w:t xml:space="preserve">, </w:t>
      </w:r>
      <w:r w:rsidR="00654883" w:rsidRPr="00654883">
        <w:rPr>
          <w:rFonts w:cs="Times New Roman"/>
          <w:i/>
          <w:color w:val="000000"/>
          <w:szCs w:val="24"/>
          <w:shd w:val="clear" w:color="auto" w:fill="FFFFFF"/>
        </w:rPr>
        <w:t>in limine</w:t>
      </w:r>
      <w:r w:rsidR="00654883">
        <w:rPr>
          <w:rFonts w:cs="Times New Roman"/>
          <w:color w:val="000000"/>
          <w:szCs w:val="24"/>
          <w:shd w:val="clear" w:color="auto" w:fill="FFFFFF"/>
        </w:rPr>
        <w:t>, vise à lutter contre l’objectif de rapidité du retour sur investissement du fonds créancier</w:t>
      </w:r>
      <w:r w:rsidR="00872233">
        <w:rPr>
          <w:rFonts w:cs="Times New Roman"/>
          <w:color w:val="000000"/>
          <w:szCs w:val="24"/>
          <w:shd w:val="clear" w:color="auto" w:fill="FFFFFF"/>
        </w:rPr>
        <w:t xml:space="preserve"> </w:t>
      </w:r>
      <w:r>
        <w:rPr>
          <w:rFonts w:cs="Times New Roman"/>
          <w:color w:val="000000"/>
          <w:szCs w:val="24"/>
          <w:shd w:val="clear" w:color="auto" w:fill="FFFFFF"/>
        </w:rPr>
        <w:t xml:space="preserve">tandis que </w:t>
      </w:r>
      <w:r w:rsidR="00872233" w:rsidRPr="00872233">
        <w:rPr>
          <w:rFonts w:cs="Times New Roman"/>
          <w:color w:val="000000"/>
          <w:szCs w:val="24"/>
          <w:shd w:val="clear" w:color="auto" w:fill="FFFFFF"/>
        </w:rPr>
        <w:t>la condition temporelle de la première proposition de modification des termes du titre de créance</w:t>
      </w:r>
      <w:r>
        <w:rPr>
          <w:rFonts w:cs="Times New Roman"/>
          <w:color w:val="000000"/>
          <w:szCs w:val="24"/>
          <w:shd w:val="clear" w:color="auto" w:fill="FFFFFF"/>
        </w:rPr>
        <w:t xml:space="preserve"> vise à d</w:t>
      </w:r>
      <w:r w:rsidR="00184539">
        <w:rPr>
          <w:rFonts w:cs="Times New Roman"/>
          <w:color w:val="000000"/>
          <w:szCs w:val="24"/>
          <w:shd w:val="clear" w:color="auto" w:fill="FFFFFF"/>
        </w:rPr>
        <w:t>onner à l’</w:t>
      </w:r>
      <w:r w:rsidR="00184539" w:rsidRPr="001B6ED8">
        <w:rPr>
          <w:rFonts w:cs="Times New Roman"/>
          <w:szCs w:val="24"/>
          <w:shd w:val="clear" w:color="auto" w:fill="FFFFFF"/>
        </w:rPr>
        <w:t>É</w:t>
      </w:r>
      <w:r w:rsidR="00872233" w:rsidRPr="00872233">
        <w:rPr>
          <w:rFonts w:cs="Times New Roman"/>
          <w:color w:val="000000"/>
          <w:szCs w:val="24"/>
          <w:shd w:val="clear" w:color="auto" w:fill="FFFFFF"/>
        </w:rPr>
        <w:t>tat débiteur du temps pour conduire une négociation</w:t>
      </w:r>
      <w:r w:rsidR="00872233">
        <w:rPr>
          <w:rStyle w:val="Appelnotedebasdep"/>
          <w:rFonts w:cs="Times New Roman"/>
          <w:color w:val="000000"/>
          <w:szCs w:val="24"/>
          <w:shd w:val="clear" w:color="auto" w:fill="FFFFFF"/>
        </w:rPr>
        <w:footnoteReference w:id="96"/>
      </w:r>
      <w:r w:rsidR="00E115EE">
        <w:rPr>
          <w:rFonts w:cs="Times New Roman"/>
          <w:color w:val="000000"/>
          <w:szCs w:val="24"/>
          <w:shd w:val="clear" w:color="auto" w:fill="FFFFFF"/>
        </w:rPr>
        <w:t xml:space="preserve"> </w:t>
      </w:r>
      <w:r w:rsidR="00E115EE">
        <w:rPr>
          <w:rStyle w:val="Appelnotedebasdep"/>
          <w:rFonts w:cs="Times New Roman"/>
          <w:color w:val="000000"/>
          <w:szCs w:val="24"/>
          <w:shd w:val="clear" w:color="auto" w:fill="FFFFFF"/>
        </w:rPr>
        <w:footnoteReference w:id="97"/>
      </w:r>
      <w:r w:rsidR="00872233">
        <w:rPr>
          <w:rFonts w:cs="Times New Roman"/>
          <w:color w:val="000000"/>
          <w:szCs w:val="24"/>
          <w:shd w:val="clear" w:color="auto" w:fill="FFFFFF"/>
        </w:rPr>
        <w:t xml:space="preserve">. </w:t>
      </w:r>
      <w:r w:rsidR="00654883">
        <w:rPr>
          <w:rFonts w:cs="Times New Roman"/>
          <w:color w:val="000000"/>
          <w:szCs w:val="24"/>
          <w:shd w:val="clear" w:color="auto" w:fill="FFFFFF"/>
        </w:rPr>
        <w:t>Il ressort de l’exposé sommaire de l’amendement à l’origine de la disposition qu</w:t>
      </w:r>
      <w:r>
        <w:rPr>
          <w:rFonts w:cs="Times New Roman"/>
          <w:color w:val="000000"/>
          <w:szCs w:val="24"/>
          <w:shd w:val="clear" w:color="auto" w:fill="FFFFFF"/>
        </w:rPr>
        <w:t>’</w:t>
      </w:r>
      <w:r w:rsidR="00654883">
        <w:rPr>
          <w:rFonts w:cs="Times New Roman"/>
          <w:color w:val="000000"/>
          <w:szCs w:val="24"/>
          <w:shd w:val="clear" w:color="auto" w:fill="FFFFFF"/>
        </w:rPr>
        <w:t xml:space="preserve"> « (u)n délai de 48 mois est p</w:t>
      </w:r>
      <w:r w:rsidR="00184539">
        <w:rPr>
          <w:rFonts w:cs="Times New Roman"/>
          <w:color w:val="000000"/>
          <w:szCs w:val="24"/>
          <w:shd w:val="clear" w:color="auto" w:fill="FFFFFF"/>
        </w:rPr>
        <w:t>révu pour permettre à l’</w:t>
      </w:r>
      <w:r w:rsidR="00184539" w:rsidRPr="001B6ED8">
        <w:rPr>
          <w:rFonts w:cs="Times New Roman"/>
          <w:szCs w:val="24"/>
          <w:shd w:val="clear" w:color="auto" w:fill="FFFFFF"/>
        </w:rPr>
        <w:t>É</w:t>
      </w:r>
      <w:r w:rsidR="00654883">
        <w:rPr>
          <w:rFonts w:cs="Times New Roman"/>
          <w:color w:val="000000"/>
          <w:szCs w:val="24"/>
          <w:shd w:val="clear" w:color="auto" w:fill="FFFFFF"/>
        </w:rPr>
        <w:t>tat étranger de mener à bien la restructuration de sa dette et de parvenir à une proposition de restructuration convainquant une large majorité de créanciers</w:t>
      </w:r>
      <w:r>
        <w:rPr>
          <w:rFonts w:cs="Times New Roman"/>
          <w:color w:val="000000"/>
          <w:szCs w:val="24"/>
          <w:shd w:val="clear" w:color="auto" w:fill="FFFFFF"/>
        </w:rPr>
        <w:t> ». Il y est également précisé qu’</w:t>
      </w:r>
      <w:r w:rsidR="00654883">
        <w:rPr>
          <w:rFonts w:cs="Times New Roman"/>
          <w:color w:val="000000"/>
          <w:szCs w:val="24"/>
          <w:shd w:val="clear" w:color="auto" w:fill="FFFFFF"/>
        </w:rPr>
        <w:t xml:space="preserve"> « (a)fin de ne pas pénaliser le créancier, ce dernier recouvre le bénéfice des mesures d’exécution au-delà de ce délai »</w:t>
      </w:r>
      <w:r w:rsidR="00654883">
        <w:rPr>
          <w:rStyle w:val="Appelnotedebasdep"/>
          <w:rFonts w:cs="Times New Roman"/>
          <w:color w:val="000000"/>
          <w:szCs w:val="24"/>
          <w:shd w:val="clear" w:color="auto" w:fill="FFFFFF"/>
        </w:rPr>
        <w:footnoteReference w:id="98"/>
      </w:r>
      <w:r w:rsidR="00C01E88">
        <w:rPr>
          <w:rFonts w:cs="Times New Roman"/>
          <w:color w:val="000000"/>
          <w:szCs w:val="24"/>
          <w:shd w:val="clear" w:color="auto" w:fill="FFFFFF"/>
        </w:rPr>
        <w:t>.</w:t>
      </w:r>
    </w:p>
    <w:p w14:paraId="565E6E46" w14:textId="77777777" w:rsidR="00654883" w:rsidRDefault="00872233" w:rsidP="00654883">
      <w:pPr>
        <w:jc w:val="both"/>
        <w:rPr>
          <w:rFonts w:cs="Times New Roman"/>
          <w:color w:val="000000"/>
          <w:szCs w:val="24"/>
          <w:shd w:val="clear" w:color="auto" w:fill="FFFFFF"/>
        </w:rPr>
      </w:pPr>
      <w:r>
        <w:rPr>
          <w:rFonts w:cs="Times New Roman"/>
          <w:color w:val="000000"/>
          <w:szCs w:val="24"/>
          <w:shd w:val="clear" w:color="auto" w:fill="FFFFFF"/>
        </w:rPr>
        <w:t xml:space="preserve">L’article 60.II. de la loi Sapin II prévoit que les deux limites de délai de quarante-huit mois peuvent être portées par le juge à soixante-douze mois en cas de comportement manifestement abusif du détenteur du titre de créance. Certains sénateurs voulurent aller encore plus loin en proposant </w:t>
      </w:r>
      <w:r w:rsidRPr="00BB06BA">
        <w:rPr>
          <w:rFonts w:cs="Times New Roman"/>
          <w:color w:val="000000"/>
          <w:szCs w:val="24"/>
          <w:shd w:val="clear" w:color="auto" w:fill="FFFFFF"/>
        </w:rPr>
        <w:t>que le dispositif anti-fonds vautours s’applique à l’ensemble des cas où un « comportement manifestement abusif » de la part du créancier est établi, et non simplement pendant un délai de soixante-douze mois</w:t>
      </w:r>
      <w:r w:rsidRPr="00BB06BA">
        <w:rPr>
          <w:rStyle w:val="Appelnotedebasdep"/>
          <w:rFonts w:cs="Times New Roman"/>
          <w:color w:val="000000"/>
          <w:szCs w:val="24"/>
          <w:shd w:val="clear" w:color="auto" w:fill="FFFFFF"/>
        </w:rPr>
        <w:footnoteReference w:id="99"/>
      </w:r>
      <w:r w:rsidR="00A1207A">
        <w:rPr>
          <w:rFonts w:cs="Times New Roman"/>
          <w:color w:val="000000"/>
          <w:szCs w:val="24"/>
          <w:shd w:val="clear" w:color="auto" w:fill="FFFFFF"/>
        </w:rPr>
        <w:t>. Toute importante que soit la volonté de contrer le « comportement manifestement abusif », l’on peut, co</w:t>
      </w:r>
      <w:r w:rsidR="00654883">
        <w:rPr>
          <w:rFonts w:cs="Times New Roman"/>
          <w:color w:val="000000"/>
          <w:szCs w:val="24"/>
          <w:shd w:val="clear" w:color="auto" w:fill="FFFFFF"/>
        </w:rPr>
        <w:t>mme Paul Giraud</w:t>
      </w:r>
      <w:r w:rsidR="00A1207A">
        <w:rPr>
          <w:rFonts w:cs="Times New Roman"/>
          <w:color w:val="000000"/>
          <w:szCs w:val="24"/>
          <w:shd w:val="clear" w:color="auto" w:fill="FFFFFF"/>
        </w:rPr>
        <w:t>, relever que</w:t>
      </w:r>
      <w:r w:rsidR="00654883">
        <w:rPr>
          <w:rFonts w:cs="Times New Roman"/>
          <w:color w:val="000000"/>
          <w:szCs w:val="24"/>
          <w:shd w:val="clear" w:color="auto" w:fill="FFFFFF"/>
        </w:rPr>
        <w:t xml:space="preserve">, sans </w:t>
      </w:r>
      <w:r w:rsidR="00654883">
        <w:rPr>
          <w:rFonts w:cs="Times New Roman"/>
          <w:color w:val="000000"/>
          <w:szCs w:val="24"/>
          <w:shd w:val="clear" w:color="auto" w:fill="FFFFFF"/>
        </w:rPr>
        <w:lastRenderedPageBreak/>
        <w:t>critère supplémentaire, cette notion est floue et par conséquent source d’insécurité juridique</w:t>
      </w:r>
      <w:r w:rsidR="00654883">
        <w:rPr>
          <w:rStyle w:val="Appelnotedebasdep"/>
          <w:rFonts w:cs="Times New Roman"/>
          <w:color w:val="000000"/>
          <w:szCs w:val="24"/>
          <w:shd w:val="clear" w:color="auto" w:fill="FFFFFF"/>
        </w:rPr>
        <w:footnoteReference w:id="100"/>
      </w:r>
      <w:r w:rsidR="00163981">
        <w:rPr>
          <w:rFonts w:cs="Times New Roman"/>
          <w:color w:val="000000"/>
          <w:szCs w:val="24"/>
          <w:shd w:val="clear" w:color="auto" w:fill="FFFFFF"/>
        </w:rPr>
        <w:t xml:space="preserve"> </w:t>
      </w:r>
      <w:r w:rsidR="00163981">
        <w:rPr>
          <w:rStyle w:val="Appelnotedebasdep"/>
          <w:rFonts w:cs="Times New Roman"/>
          <w:color w:val="000000"/>
          <w:szCs w:val="24"/>
          <w:shd w:val="clear" w:color="auto" w:fill="FFFFFF"/>
        </w:rPr>
        <w:footnoteReference w:id="101"/>
      </w:r>
      <w:r w:rsidR="00A1207A">
        <w:rPr>
          <w:rFonts w:cs="Times New Roman"/>
          <w:color w:val="000000"/>
          <w:szCs w:val="24"/>
          <w:shd w:val="clear" w:color="auto" w:fill="FFFFFF"/>
        </w:rPr>
        <w:t>.</w:t>
      </w:r>
    </w:p>
    <w:p w14:paraId="7FB94639" w14:textId="3E5B0F8F" w:rsidR="00452101" w:rsidRPr="000371F7" w:rsidRDefault="007A7575" w:rsidP="00C078EE">
      <w:pPr>
        <w:jc w:val="both"/>
        <w:rPr>
          <w:rFonts w:cs="Times New Roman"/>
          <w:color w:val="000000"/>
          <w:szCs w:val="24"/>
          <w:shd w:val="clear" w:color="auto" w:fill="FFFFFF"/>
        </w:rPr>
      </w:pPr>
      <w:r>
        <w:rPr>
          <w:rFonts w:cs="Times New Roman"/>
          <w:color w:val="000000"/>
          <w:szCs w:val="24"/>
          <w:shd w:val="clear" w:color="auto" w:fill="FFFFFF"/>
        </w:rPr>
        <w:t xml:space="preserve">Avec la condition de la situation où une proposition de modification applicable au titre de créance a été acceptée </w:t>
      </w:r>
      <w:r w:rsidR="00D94957">
        <w:rPr>
          <w:rFonts w:cs="Times New Roman"/>
          <w:color w:val="000000"/>
          <w:szCs w:val="24"/>
          <w:shd w:val="clear" w:color="auto" w:fill="FFFFFF"/>
        </w:rPr>
        <w:t xml:space="preserve">par </w:t>
      </w:r>
      <w:r w:rsidR="0084135B">
        <w:rPr>
          <w:rFonts w:cs="Times New Roman"/>
          <w:color w:val="000000"/>
          <w:szCs w:val="24"/>
          <w:shd w:val="clear" w:color="auto" w:fill="FFFFFF"/>
        </w:rPr>
        <w:t>des créanciers représentant au moins 66% du montant en principal des créances éligibles qui est</w:t>
      </w:r>
      <w:r w:rsidR="00D94957">
        <w:rPr>
          <w:rFonts w:cs="Times New Roman"/>
          <w:color w:val="000000"/>
          <w:szCs w:val="24"/>
          <w:shd w:val="clear" w:color="auto" w:fill="FFFFFF"/>
        </w:rPr>
        <w:t xml:space="preserve"> </w:t>
      </w:r>
      <w:r>
        <w:rPr>
          <w:rFonts w:cs="Times New Roman"/>
          <w:color w:val="000000"/>
          <w:szCs w:val="24"/>
          <w:shd w:val="clear" w:color="auto" w:fill="FFFFFF"/>
        </w:rPr>
        <w:t>prévue à l</w:t>
      </w:r>
      <w:r w:rsidR="002E03C1">
        <w:t>’article 60.I.</w:t>
      </w:r>
      <w:r w:rsidR="00F90AFE" w:rsidRPr="00F90AFE">
        <w:t>3°</w:t>
      </w:r>
      <w:r w:rsidR="002E03C1">
        <w:t>.</w:t>
      </w:r>
      <w:r w:rsidR="00F90AFE">
        <w:t xml:space="preserve">, </w:t>
      </w:r>
      <w:r w:rsidR="00F90AFE" w:rsidRPr="00F90AFE">
        <w:rPr>
          <w:i/>
        </w:rPr>
        <w:t>in fine</w:t>
      </w:r>
      <w:r w:rsidR="00F90AFE">
        <w:t>,</w:t>
      </w:r>
      <w:r w:rsidR="00F90AFE" w:rsidRPr="00F90AFE">
        <w:t xml:space="preserve"> </w:t>
      </w:r>
      <w:r>
        <w:rPr>
          <w:rFonts w:cs="Times New Roman"/>
          <w:color w:val="000000"/>
          <w:szCs w:val="24"/>
          <w:shd w:val="clear" w:color="auto" w:fill="FFFFFF"/>
        </w:rPr>
        <w:t>le législateur fran</w:t>
      </w:r>
      <w:r w:rsidR="00D23488">
        <w:rPr>
          <w:rFonts w:cs="Times New Roman"/>
          <w:color w:val="000000"/>
          <w:szCs w:val="24"/>
          <w:shd w:val="clear" w:color="auto" w:fill="FFFFFF"/>
        </w:rPr>
        <w:t xml:space="preserve">çais </w:t>
      </w:r>
      <w:r>
        <w:rPr>
          <w:rFonts w:cs="Times New Roman"/>
          <w:color w:val="000000"/>
          <w:szCs w:val="24"/>
          <w:shd w:val="clear" w:color="auto" w:fill="FFFFFF"/>
        </w:rPr>
        <w:t>entend lutter contre la stratégie du passager clandestin que pratiquerait le fonds créancier</w:t>
      </w:r>
      <w:r w:rsidR="0084135B">
        <w:rPr>
          <w:rFonts w:cs="Times New Roman"/>
          <w:color w:val="000000"/>
          <w:szCs w:val="24"/>
          <w:shd w:val="clear" w:color="auto" w:fill="FFFFFF"/>
        </w:rPr>
        <w:t>. Cette stratégie est précisément celle de refuser</w:t>
      </w:r>
      <w:r>
        <w:rPr>
          <w:rFonts w:cs="Times New Roman"/>
          <w:color w:val="000000"/>
          <w:szCs w:val="24"/>
          <w:shd w:val="clear" w:color="auto" w:fill="FFFFFF"/>
        </w:rPr>
        <w:t xml:space="preserve"> de négocier</w:t>
      </w:r>
      <w:r w:rsidR="00D23488">
        <w:rPr>
          <w:rFonts w:cs="Times New Roman"/>
          <w:color w:val="000000"/>
          <w:szCs w:val="24"/>
          <w:shd w:val="clear" w:color="auto" w:fill="FFFFFF"/>
        </w:rPr>
        <w:t xml:space="preserve"> un </w:t>
      </w:r>
      <w:r>
        <w:rPr>
          <w:rFonts w:cs="Times New Roman"/>
          <w:color w:val="000000"/>
          <w:szCs w:val="24"/>
          <w:shd w:val="clear" w:color="auto" w:fill="FFFFFF"/>
        </w:rPr>
        <w:t xml:space="preserve">rééchelonnement ou </w:t>
      </w:r>
      <w:r w:rsidR="00D23488">
        <w:rPr>
          <w:rFonts w:cs="Times New Roman"/>
          <w:color w:val="000000"/>
          <w:szCs w:val="24"/>
          <w:shd w:val="clear" w:color="auto" w:fill="FFFFFF"/>
        </w:rPr>
        <w:t>une réduction de</w:t>
      </w:r>
      <w:r>
        <w:rPr>
          <w:rFonts w:cs="Times New Roman"/>
          <w:color w:val="000000"/>
          <w:szCs w:val="24"/>
          <w:shd w:val="clear" w:color="auto" w:fill="FFFFFF"/>
        </w:rPr>
        <w:t xml:space="preserve"> sa créance à la différence d’autres créanciers</w:t>
      </w:r>
      <w:r w:rsidR="00163981">
        <w:rPr>
          <w:rFonts w:cs="Times New Roman"/>
          <w:color w:val="000000"/>
          <w:szCs w:val="24"/>
          <w:shd w:val="clear" w:color="auto" w:fill="FFFFFF"/>
        </w:rPr>
        <w:t xml:space="preserve">, </w:t>
      </w:r>
      <w:r w:rsidR="0084135B">
        <w:rPr>
          <w:rFonts w:cs="Times New Roman"/>
          <w:color w:val="000000"/>
          <w:szCs w:val="24"/>
          <w:shd w:val="clear" w:color="auto" w:fill="FFFFFF"/>
        </w:rPr>
        <w:t xml:space="preserve">en </w:t>
      </w:r>
      <w:r w:rsidR="00D94957">
        <w:rPr>
          <w:rFonts w:cs="Times New Roman"/>
          <w:color w:val="000000"/>
          <w:szCs w:val="24"/>
          <w:shd w:val="clear" w:color="auto" w:fill="FFFFFF"/>
        </w:rPr>
        <w:t>cherchan</w:t>
      </w:r>
      <w:r w:rsidR="00D23488">
        <w:rPr>
          <w:rFonts w:cs="Times New Roman"/>
          <w:color w:val="000000"/>
          <w:szCs w:val="24"/>
          <w:shd w:val="clear" w:color="auto" w:fill="FFFFFF"/>
        </w:rPr>
        <w:t>t</w:t>
      </w:r>
      <w:r>
        <w:rPr>
          <w:rFonts w:cs="Times New Roman"/>
          <w:color w:val="000000"/>
          <w:szCs w:val="24"/>
          <w:shd w:val="clear" w:color="auto" w:fill="FFFFFF"/>
        </w:rPr>
        <w:t xml:space="preserve"> ainsi</w:t>
      </w:r>
      <w:r w:rsidR="00D23488">
        <w:rPr>
          <w:rFonts w:cs="Times New Roman"/>
          <w:color w:val="000000"/>
          <w:szCs w:val="24"/>
          <w:shd w:val="clear" w:color="auto" w:fill="FFFFFF"/>
        </w:rPr>
        <w:t xml:space="preserve"> à profiter</w:t>
      </w:r>
      <w:r>
        <w:rPr>
          <w:rFonts w:cs="Times New Roman"/>
          <w:color w:val="000000"/>
          <w:szCs w:val="24"/>
          <w:shd w:val="clear" w:color="auto" w:fill="FFFFFF"/>
        </w:rPr>
        <w:t xml:space="preserve"> de la capac</w:t>
      </w:r>
      <w:r w:rsidR="00184539">
        <w:rPr>
          <w:rFonts w:cs="Times New Roman"/>
          <w:color w:val="000000"/>
          <w:szCs w:val="24"/>
          <w:shd w:val="clear" w:color="auto" w:fill="FFFFFF"/>
        </w:rPr>
        <w:t>ité financière retrouvée par l’</w:t>
      </w:r>
      <w:r w:rsidR="00184539" w:rsidRPr="001B6ED8">
        <w:rPr>
          <w:rFonts w:cs="Times New Roman"/>
          <w:szCs w:val="24"/>
          <w:shd w:val="clear" w:color="auto" w:fill="FFFFFF"/>
        </w:rPr>
        <w:t>É</w:t>
      </w:r>
      <w:r>
        <w:rPr>
          <w:rFonts w:cs="Times New Roman"/>
          <w:color w:val="000000"/>
          <w:szCs w:val="24"/>
          <w:shd w:val="clear" w:color="auto" w:fill="FFFFFF"/>
        </w:rPr>
        <w:t>tat débiteur pour obtenir le remboursement intégral de sa créance</w:t>
      </w:r>
      <w:r>
        <w:rPr>
          <w:rStyle w:val="Appelnotedebasdep"/>
          <w:rFonts w:cs="Times New Roman"/>
          <w:color w:val="000000"/>
          <w:szCs w:val="24"/>
          <w:shd w:val="clear" w:color="auto" w:fill="FFFFFF"/>
        </w:rPr>
        <w:footnoteReference w:id="102"/>
      </w:r>
      <w:r w:rsidR="00D94957">
        <w:rPr>
          <w:rFonts w:cs="Times New Roman"/>
          <w:color w:val="000000"/>
          <w:szCs w:val="24"/>
          <w:shd w:val="clear" w:color="auto" w:fill="FFFFFF"/>
        </w:rPr>
        <w:t xml:space="preserve"> </w:t>
      </w:r>
      <w:r w:rsidR="00D94957">
        <w:rPr>
          <w:rStyle w:val="Appelnotedebasdep"/>
          <w:rFonts w:cs="Times New Roman"/>
          <w:color w:val="000000"/>
          <w:szCs w:val="24"/>
          <w:shd w:val="clear" w:color="auto" w:fill="FFFFFF"/>
        </w:rPr>
        <w:footnoteReference w:id="103"/>
      </w:r>
      <w:r>
        <w:rPr>
          <w:rFonts w:cs="Times New Roman"/>
          <w:color w:val="000000"/>
          <w:szCs w:val="24"/>
          <w:shd w:val="clear" w:color="auto" w:fill="FFFFFF"/>
        </w:rPr>
        <w:t>.</w:t>
      </w:r>
      <w:r w:rsidR="00D94957">
        <w:rPr>
          <w:rFonts w:cs="Times New Roman"/>
          <w:color w:val="000000"/>
          <w:szCs w:val="24"/>
          <w:shd w:val="clear" w:color="auto" w:fill="FFFFFF"/>
        </w:rPr>
        <w:t xml:space="preserve"> Ainsi, </w:t>
      </w:r>
      <w:r w:rsidR="000371F7">
        <w:rPr>
          <w:rFonts w:cs="Times New Roman"/>
          <w:color w:val="000000"/>
          <w:szCs w:val="24"/>
          <w:shd w:val="clear" w:color="auto" w:fill="FFFFFF"/>
        </w:rPr>
        <w:t>c</w:t>
      </w:r>
      <w:r w:rsidR="00452101">
        <w:rPr>
          <w:rFonts w:cs="Times New Roman"/>
          <w:color w:val="000000"/>
          <w:szCs w:val="24"/>
          <w:shd w:val="clear" w:color="auto" w:fill="FFFFFF"/>
        </w:rPr>
        <w:t>omme cela fut épinglé à l’As</w:t>
      </w:r>
      <w:r w:rsidR="002B3856">
        <w:rPr>
          <w:rFonts w:cs="Times New Roman"/>
          <w:color w:val="000000"/>
          <w:szCs w:val="24"/>
          <w:shd w:val="clear" w:color="auto" w:fill="FFFFFF"/>
        </w:rPr>
        <w:t>semblée nationale par Dominique</w:t>
      </w:r>
      <w:r w:rsidR="000371F7">
        <w:rPr>
          <w:rFonts w:cs="Times New Roman"/>
          <w:color w:val="000000"/>
          <w:szCs w:val="24"/>
          <w:shd w:val="clear" w:color="auto" w:fill="FFFFFF"/>
        </w:rPr>
        <w:t xml:space="preserve"> Potier </w:t>
      </w:r>
      <w:r w:rsidR="0084135B">
        <w:rPr>
          <w:rFonts w:cs="Times New Roman"/>
          <w:color w:val="000000"/>
          <w:szCs w:val="24"/>
          <w:shd w:val="clear" w:color="auto" w:fill="FFFFFF"/>
        </w:rPr>
        <w:t>parlant</w:t>
      </w:r>
      <w:r w:rsidR="000371F7">
        <w:rPr>
          <w:rFonts w:cs="Times New Roman"/>
          <w:color w:val="000000"/>
          <w:szCs w:val="24"/>
          <w:shd w:val="clear" w:color="auto" w:fill="FFFFFF"/>
        </w:rPr>
        <w:t xml:space="preserve"> d’</w:t>
      </w:r>
      <w:r w:rsidR="00452101">
        <w:rPr>
          <w:rFonts w:cs="Times New Roman"/>
          <w:color w:val="000000"/>
          <w:szCs w:val="24"/>
          <w:shd w:val="clear" w:color="auto" w:fill="FFFFFF"/>
        </w:rPr>
        <w:t>« innovation française</w:t>
      </w:r>
      <w:r w:rsidR="000371F7">
        <w:rPr>
          <w:rFonts w:cs="Times New Roman"/>
          <w:color w:val="000000"/>
          <w:szCs w:val="24"/>
          <w:shd w:val="clear" w:color="auto" w:fill="FFFFFF"/>
        </w:rPr>
        <w:t> »</w:t>
      </w:r>
      <w:r w:rsidR="00452101">
        <w:rPr>
          <w:rFonts w:cs="Times New Roman"/>
          <w:color w:val="000000"/>
          <w:szCs w:val="24"/>
          <w:shd w:val="clear" w:color="auto" w:fill="FFFFFF"/>
        </w:rPr>
        <w:t xml:space="preserve">, </w:t>
      </w:r>
      <w:r w:rsidR="000371F7">
        <w:rPr>
          <w:rFonts w:cs="Times New Roman"/>
          <w:color w:val="000000"/>
          <w:szCs w:val="24"/>
          <w:shd w:val="clear" w:color="auto" w:fill="FFFFFF"/>
        </w:rPr>
        <w:t>« </w:t>
      </w:r>
      <w:r w:rsidR="00452101">
        <w:rPr>
          <w:rFonts w:cs="Times New Roman"/>
          <w:color w:val="000000"/>
          <w:szCs w:val="24"/>
          <w:shd w:val="clear" w:color="auto" w:fill="FFFFFF"/>
        </w:rPr>
        <w:t>dès lors qu’au moins deux tiers des créanciers s’organisent pour mettre en œuvre une restructuration de la dette, leur solution s’imposera aux fonds vautours, mettant ainsi fin à leurs pratiques rapaces »</w:t>
      </w:r>
      <w:r w:rsidR="00452101">
        <w:rPr>
          <w:rStyle w:val="Appelnotedebasdep"/>
          <w:rFonts w:cs="Times New Roman"/>
          <w:color w:val="000000"/>
          <w:szCs w:val="24"/>
          <w:shd w:val="clear" w:color="auto" w:fill="FFFFFF"/>
        </w:rPr>
        <w:footnoteReference w:id="104"/>
      </w:r>
      <w:r w:rsidR="000371F7">
        <w:rPr>
          <w:rFonts w:cs="Times New Roman"/>
          <w:color w:val="000000"/>
          <w:szCs w:val="24"/>
          <w:shd w:val="clear" w:color="auto" w:fill="FFFFFF"/>
        </w:rPr>
        <w:t xml:space="preserve"> </w:t>
      </w:r>
      <w:r w:rsidR="000371F7">
        <w:rPr>
          <w:rStyle w:val="Appelnotedebasdep"/>
          <w:rFonts w:cs="Times New Roman"/>
          <w:color w:val="000000"/>
          <w:szCs w:val="24"/>
          <w:shd w:val="clear" w:color="auto" w:fill="FFFFFF"/>
        </w:rPr>
        <w:footnoteReference w:id="105"/>
      </w:r>
      <w:r w:rsidR="00E115EE">
        <w:rPr>
          <w:rFonts w:cs="Times New Roman"/>
          <w:color w:val="000000"/>
          <w:szCs w:val="24"/>
          <w:shd w:val="clear" w:color="auto" w:fill="FFFFFF"/>
        </w:rPr>
        <w:t xml:space="preserve"> </w:t>
      </w:r>
      <w:r w:rsidR="00E115EE">
        <w:rPr>
          <w:rStyle w:val="Appelnotedebasdep"/>
          <w:rFonts w:cs="Times New Roman"/>
          <w:color w:val="000000"/>
          <w:szCs w:val="24"/>
          <w:shd w:val="clear" w:color="auto" w:fill="FFFFFF"/>
        </w:rPr>
        <w:footnoteReference w:id="106"/>
      </w:r>
      <w:r w:rsidR="00452101">
        <w:rPr>
          <w:rFonts w:cs="Times New Roman"/>
          <w:color w:val="000000"/>
          <w:szCs w:val="24"/>
          <w:shd w:val="clear" w:color="auto" w:fill="FFFFFF"/>
        </w:rPr>
        <w:t>.</w:t>
      </w:r>
    </w:p>
    <w:p w14:paraId="01C7EDE6" w14:textId="77777777" w:rsidR="00FB05EE" w:rsidRDefault="00FB05EE" w:rsidP="00C078EE">
      <w:pPr>
        <w:jc w:val="both"/>
        <w:rPr>
          <w:rFonts w:cs="Times New Roman"/>
          <w:color w:val="000000"/>
          <w:szCs w:val="24"/>
          <w:shd w:val="clear" w:color="auto" w:fill="FFFFFF"/>
        </w:rPr>
      </w:pPr>
    </w:p>
    <w:p w14:paraId="6DFE4753" w14:textId="707B3DF5" w:rsidR="00F87A13" w:rsidRDefault="007F2E44" w:rsidP="00F87A13">
      <w:pPr>
        <w:jc w:val="both"/>
      </w:pPr>
      <w:r>
        <w:rPr>
          <w:b/>
        </w:rPr>
        <w:lastRenderedPageBreak/>
        <w:t>14</w:t>
      </w:r>
      <w:r w:rsidR="00F87A13" w:rsidRPr="000E10E7">
        <w:rPr>
          <w:b/>
        </w:rPr>
        <w:t xml:space="preserve">. </w:t>
      </w:r>
      <w:r w:rsidR="00F87A13">
        <w:rPr>
          <w:b/>
        </w:rPr>
        <w:t>L’application temporelle</w:t>
      </w:r>
      <w:r w:rsidR="00F87A13" w:rsidRPr="000E10E7">
        <w:rPr>
          <w:b/>
        </w:rPr>
        <w:t xml:space="preserve"> </w:t>
      </w:r>
      <w:r w:rsidR="00A12838">
        <w:rPr>
          <w:b/>
        </w:rPr>
        <w:t>-</w:t>
      </w:r>
      <w:r w:rsidR="00F87A13" w:rsidRPr="000E10E7">
        <w:rPr>
          <w:b/>
        </w:rPr>
        <w:t xml:space="preserve"> </w:t>
      </w:r>
      <w:r w:rsidR="00F87A13" w:rsidRPr="00231C3C">
        <w:t>Contrastant quelque peu avec le large champ d’application de l’article 60 en termes de</w:t>
      </w:r>
      <w:r w:rsidR="00F87A13">
        <w:t xml:space="preserve"> types de créance visé</w:t>
      </w:r>
      <w:r w:rsidR="00F87A13" w:rsidRPr="00231C3C">
        <w:t xml:space="preserve">s, le législateur français a entendu </w:t>
      </w:r>
      <w:r w:rsidR="00F87A13">
        <w:t>limiter l’application temporelle du mécanisme anti</w:t>
      </w:r>
      <w:r w:rsidR="005E5966">
        <w:t>-fonds vautours. Ainsi, la disposition</w:t>
      </w:r>
      <w:r w:rsidR="00F87A13">
        <w:t xml:space="preserve"> VI de l’article 60 de la loi Sapin II dispose qu’il </w:t>
      </w:r>
      <w:r w:rsidR="00F87A13" w:rsidRPr="003D1462">
        <w:t>« s’applique aux titres de créance acquis à compter de son entrée en vigueur »</w:t>
      </w:r>
      <w:r w:rsidR="00F87A13">
        <w:t>.</w:t>
      </w:r>
    </w:p>
    <w:p w14:paraId="4F0332E4" w14:textId="77777777" w:rsidR="00F87A13" w:rsidRDefault="00F87A13" w:rsidP="00F87A13">
      <w:pPr>
        <w:jc w:val="both"/>
      </w:pPr>
      <w:r w:rsidRPr="003702A1">
        <w:rPr>
          <w:rFonts w:cs="Times New Roman"/>
          <w:szCs w:val="24"/>
        </w:rPr>
        <w:t xml:space="preserve">Il ressort de l’exposé sommaire de l’amendement n° 1405 </w:t>
      </w:r>
      <w:r>
        <w:rPr>
          <w:rFonts w:cs="Times New Roman"/>
          <w:szCs w:val="24"/>
        </w:rPr>
        <w:t>à l’origine</w:t>
      </w:r>
      <w:r w:rsidRPr="003702A1">
        <w:rPr>
          <w:rFonts w:cs="Times New Roman"/>
          <w:szCs w:val="24"/>
        </w:rPr>
        <w:t xml:space="preserve"> de l’article 60 de la loi Sapin II que « (l)a</w:t>
      </w:r>
      <w:r w:rsidRPr="003702A1">
        <w:rPr>
          <w:rFonts w:cs="Times New Roman"/>
          <w:color w:val="000000"/>
          <w:szCs w:val="24"/>
          <w:shd w:val="clear" w:color="auto" w:fill="FFFFFF"/>
        </w:rPr>
        <w:t xml:space="preserve"> connaissance de cette disposition au moment de l’acquisition du titre de créance paraît nécessaire pour assurer la proportionnalité de la mesure » et que « c’est pourquoi celle-ci ne s’applique que sur les titres achetés après l’entrée en vigueur de la mesure »</w:t>
      </w:r>
      <w:r w:rsidRPr="003702A1">
        <w:rPr>
          <w:rStyle w:val="Appelnotedebasdep"/>
          <w:rFonts w:cs="Times New Roman"/>
          <w:color w:val="000000"/>
          <w:szCs w:val="24"/>
          <w:shd w:val="clear" w:color="auto" w:fill="FFFFFF"/>
        </w:rPr>
        <w:footnoteReference w:id="107"/>
      </w:r>
      <w:r w:rsidRPr="003702A1">
        <w:rPr>
          <w:rFonts w:cs="Times New Roman"/>
          <w:color w:val="000000"/>
          <w:szCs w:val="24"/>
          <w:shd w:val="clear" w:color="auto" w:fill="FFFFFF"/>
        </w:rPr>
        <w:t>.</w:t>
      </w:r>
      <w:r>
        <w:rPr>
          <w:rFonts w:cs="Times New Roman"/>
          <w:szCs w:val="24"/>
        </w:rPr>
        <w:t xml:space="preserve"> </w:t>
      </w:r>
      <w:r w:rsidR="00331AC3">
        <w:t>Au</w:t>
      </w:r>
      <w:r w:rsidR="00C54207">
        <w:t xml:space="preserve"> </w:t>
      </w:r>
      <w:r>
        <w:t>cours de l’élaboration de la loi Sapin II toutefois, certains sénateurs tentèrent de faire supprimer cette limitation temporelle</w:t>
      </w:r>
      <w:r w:rsidR="00CF6F5D">
        <w:rPr>
          <w:rStyle w:val="Appelnotedebasdep"/>
        </w:rPr>
        <w:footnoteReference w:id="108"/>
      </w:r>
      <w:r>
        <w:t xml:space="preserve">, sans </w:t>
      </w:r>
      <w:r w:rsidRPr="006216E5">
        <w:t>succès</w:t>
      </w:r>
      <w:r w:rsidR="00F84634" w:rsidRPr="006216E5">
        <w:rPr>
          <w:rStyle w:val="Appelnotedebasdep"/>
        </w:rPr>
        <w:footnoteReference w:id="109"/>
      </w:r>
      <w:r w:rsidRPr="006216E5">
        <w:t>.</w:t>
      </w:r>
    </w:p>
    <w:p w14:paraId="48C4296C" w14:textId="77777777" w:rsidR="00BD31C0" w:rsidRPr="00B52234" w:rsidRDefault="00BD31C0" w:rsidP="00C078EE">
      <w:pPr>
        <w:jc w:val="both"/>
        <w:rPr>
          <w:rFonts w:cs="Times New Roman"/>
          <w:b/>
          <w:color w:val="000000"/>
          <w:szCs w:val="24"/>
          <w:shd w:val="clear" w:color="auto" w:fill="FFFFFF"/>
        </w:rPr>
      </w:pPr>
    </w:p>
    <w:p w14:paraId="2875F0D9" w14:textId="44305012" w:rsidR="00B71B05" w:rsidRDefault="007F2E44" w:rsidP="00C078EE">
      <w:pPr>
        <w:jc w:val="both"/>
        <w:rPr>
          <w:rFonts w:cs="Times New Roman"/>
          <w:color w:val="000000"/>
          <w:szCs w:val="24"/>
          <w:shd w:val="clear" w:color="auto" w:fill="FFFFFF"/>
        </w:rPr>
      </w:pPr>
      <w:r>
        <w:rPr>
          <w:b/>
        </w:rPr>
        <w:t>15</w:t>
      </w:r>
      <w:r w:rsidR="00F87A13">
        <w:rPr>
          <w:b/>
        </w:rPr>
        <w:t>. L’application</w:t>
      </w:r>
      <w:r w:rsidR="00B71B05" w:rsidRPr="00B71B05">
        <w:rPr>
          <w:b/>
        </w:rPr>
        <w:t xml:space="preserve"> territoriale</w:t>
      </w:r>
      <w:r w:rsidR="00F87A13">
        <w:rPr>
          <w:b/>
        </w:rPr>
        <w:t xml:space="preserve"> </w:t>
      </w:r>
      <w:r w:rsidR="00A12838">
        <w:rPr>
          <w:b/>
        </w:rPr>
        <w:t>-</w:t>
      </w:r>
      <w:r w:rsidR="00B71B05">
        <w:t xml:space="preserve"> </w:t>
      </w:r>
      <w:r w:rsidR="005E5966">
        <w:rPr>
          <w:szCs w:val="24"/>
        </w:rPr>
        <w:t>La</w:t>
      </w:r>
      <w:r w:rsidR="00F87A13" w:rsidRPr="00F87A13">
        <w:rPr>
          <w:szCs w:val="24"/>
        </w:rPr>
        <w:t xml:space="preserve"> septième </w:t>
      </w:r>
      <w:r w:rsidR="005E5966">
        <w:rPr>
          <w:szCs w:val="24"/>
        </w:rPr>
        <w:t>disposition</w:t>
      </w:r>
      <w:r w:rsidR="00F87A13" w:rsidRPr="00F87A13">
        <w:rPr>
          <w:szCs w:val="24"/>
        </w:rPr>
        <w:t xml:space="preserve"> de l’article 60 de la loi Sapin II prévoit qu’il</w:t>
      </w:r>
      <w:r w:rsidR="00B71B05" w:rsidRPr="00F87A13">
        <w:rPr>
          <w:szCs w:val="24"/>
        </w:rPr>
        <w:t xml:space="preserve"> est « </w:t>
      </w:r>
      <w:r w:rsidR="00002F63" w:rsidRPr="00F87A13">
        <w:rPr>
          <w:rFonts w:cs="Times New Roman"/>
          <w:color w:val="000000"/>
          <w:szCs w:val="24"/>
          <w:shd w:val="clear" w:color="auto" w:fill="FFFFFF"/>
        </w:rPr>
        <w:t>applicable sur tout le territoire de la République française, sous réserve, pour son application en Nouvelle-Calédonie et en Polynésie française, de remplacer les références au code des procédures civiles d'exécution par les dispositions applicables localement ayant le même effet ».</w:t>
      </w:r>
    </w:p>
    <w:p w14:paraId="4FA57BCA" w14:textId="77777777" w:rsidR="00633953" w:rsidRDefault="00633953" w:rsidP="00C078EE">
      <w:pPr>
        <w:jc w:val="both"/>
        <w:rPr>
          <w:rFonts w:cs="Times New Roman"/>
          <w:color w:val="000000"/>
          <w:szCs w:val="24"/>
          <w:shd w:val="clear" w:color="auto" w:fill="FFFFFF"/>
        </w:rPr>
      </w:pPr>
      <w:r>
        <w:rPr>
          <w:rFonts w:cs="Times New Roman"/>
          <w:color w:val="000000"/>
          <w:szCs w:val="24"/>
          <w:shd w:val="clear" w:color="auto" w:fill="FFFFFF"/>
        </w:rPr>
        <w:t xml:space="preserve">Il fut précisé lors des travaux préparatoires de la loi, et singulièrement dans l’exposé sommaire de l’amendement n° 1405 à l’origine de </w:t>
      </w:r>
      <w:r w:rsidR="009F2063">
        <w:rPr>
          <w:rFonts w:cs="Times New Roman"/>
          <w:color w:val="000000"/>
          <w:szCs w:val="24"/>
          <w:shd w:val="clear" w:color="auto" w:fill="FFFFFF"/>
        </w:rPr>
        <w:t>l’article 60</w:t>
      </w:r>
      <w:r>
        <w:rPr>
          <w:rFonts w:cs="Times New Roman"/>
          <w:color w:val="000000"/>
          <w:szCs w:val="24"/>
          <w:shd w:val="clear" w:color="auto" w:fill="FFFFFF"/>
        </w:rPr>
        <w:t>, q</w:t>
      </w:r>
      <w:r w:rsidR="00F84634">
        <w:rPr>
          <w:rFonts w:cs="Times New Roman"/>
          <w:color w:val="000000"/>
          <w:szCs w:val="24"/>
          <w:shd w:val="clear" w:color="auto" w:fill="FFFFFF"/>
        </w:rPr>
        <w:t>ue s</w:t>
      </w:r>
      <w:r>
        <w:rPr>
          <w:rFonts w:cs="Times New Roman"/>
          <w:color w:val="000000"/>
          <w:szCs w:val="24"/>
          <w:shd w:val="clear" w:color="auto" w:fill="FFFFFF"/>
        </w:rPr>
        <w:t xml:space="preserve">es dispositions devaient être rendues expressément applicables </w:t>
      </w:r>
      <w:r w:rsidR="00133166">
        <w:rPr>
          <w:rFonts w:cs="Times New Roman"/>
          <w:color w:val="000000"/>
          <w:szCs w:val="24"/>
          <w:shd w:val="clear" w:color="auto" w:fill="FFFFFF"/>
        </w:rPr>
        <w:t>à certain</w:t>
      </w:r>
      <w:r w:rsidR="009F2063">
        <w:rPr>
          <w:rFonts w:cs="Times New Roman"/>
          <w:color w:val="000000"/>
          <w:szCs w:val="24"/>
          <w:shd w:val="clear" w:color="auto" w:fill="FFFFFF"/>
        </w:rPr>
        <w:t>s</w:t>
      </w:r>
      <w:r w:rsidR="00133166">
        <w:rPr>
          <w:rFonts w:cs="Times New Roman"/>
          <w:color w:val="000000"/>
          <w:szCs w:val="24"/>
          <w:shd w:val="clear" w:color="auto" w:fill="FFFFFF"/>
        </w:rPr>
        <w:t xml:space="preserve"> territoires français</w:t>
      </w:r>
      <w:r w:rsidR="009F2063">
        <w:rPr>
          <w:rFonts w:cs="Times New Roman"/>
          <w:color w:val="000000"/>
          <w:szCs w:val="24"/>
          <w:shd w:val="clear" w:color="auto" w:fill="FFFFFF"/>
        </w:rPr>
        <w:t xml:space="preserve"> </w:t>
      </w:r>
      <w:r>
        <w:rPr>
          <w:rFonts w:cs="Times New Roman"/>
          <w:color w:val="000000"/>
          <w:szCs w:val="24"/>
          <w:shd w:val="clear" w:color="auto" w:fill="FFFFFF"/>
        </w:rPr>
        <w:t>en raison de leurs statuts spécifiques. Fut également relevée la nécessité, pour l’application des dispositions de l’article 60 en Nouvelle-Calédonie et en Polynésie française, d’un renvoi aux dispositions applicables localement, renvoi nécessaire en raison de la compétence locale de ces territoires en matière de procédures d’exécution</w:t>
      </w:r>
      <w:r>
        <w:rPr>
          <w:rStyle w:val="Appelnotedebasdep"/>
          <w:rFonts w:cs="Times New Roman"/>
          <w:color w:val="000000"/>
          <w:szCs w:val="24"/>
          <w:shd w:val="clear" w:color="auto" w:fill="FFFFFF"/>
        </w:rPr>
        <w:footnoteReference w:id="110"/>
      </w:r>
      <w:r>
        <w:rPr>
          <w:rFonts w:cs="Times New Roman"/>
          <w:color w:val="000000"/>
          <w:szCs w:val="24"/>
          <w:shd w:val="clear" w:color="auto" w:fill="FFFFFF"/>
        </w:rPr>
        <w:t>.</w:t>
      </w:r>
    </w:p>
    <w:p w14:paraId="1A8ACEC0" w14:textId="733A6A10" w:rsidR="00E34DBF" w:rsidRDefault="005638D4" w:rsidP="005638D4">
      <w:pPr>
        <w:pStyle w:val="Titre1"/>
        <w:pBdr>
          <w:top w:val="none" w:sz="0" w:space="0" w:color="auto"/>
          <w:left w:val="none" w:sz="0" w:space="0" w:color="auto"/>
          <w:bottom w:val="none" w:sz="0" w:space="0" w:color="auto"/>
          <w:right w:val="none" w:sz="0" w:space="0" w:color="auto"/>
        </w:pBdr>
      </w:pPr>
      <w:r>
        <w:lastRenderedPageBreak/>
        <w:t xml:space="preserve">Section IV : </w:t>
      </w:r>
      <w:r w:rsidR="00A761C6">
        <w:t>La c</w:t>
      </w:r>
      <w:r w:rsidR="00E34DBF" w:rsidRPr="00E34DBF">
        <w:t xml:space="preserve">onformité avec </w:t>
      </w:r>
      <w:r w:rsidR="006C1412">
        <w:t>l</w:t>
      </w:r>
      <w:r w:rsidR="00E34DBF" w:rsidRPr="00E34DBF">
        <w:t>e droit</w:t>
      </w:r>
      <w:r w:rsidR="005E3D36">
        <w:t xml:space="preserve"> </w:t>
      </w:r>
      <w:r w:rsidR="00AB4119">
        <w:t>constitutionnel français et les droits</w:t>
      </w:r>
      <w:r w:rsidR="00157652">
        <w:t xml:space="preserve"> </w:t>
      </w:r>
      <w:r w:rsidR="00AB4119">
        <w:t xml:space="preserve">européen </w:t>
      </w:r>
      <w:r w:rsidR="005E3D36">
        <w:t>et</w:t>
      </w:r>
      <w:r w:rsidR="00E34DBF" w:rsidRPr="00E34DBF">
        <w:t xml:space="preserve"> </w:t>
      </w:r>
      <w:r w:rsidR="00AB4119">
        <w:t>international</w:t>
      </w:r>
    </w:p>
    <w:p w14:paraId="5A2A5179" w14:textId="77777777" w:rsidR="00796BB5" w:rsidRDefault="00796BB5" w:rsidP="00C078EE">
      <w:pPr>
        <w:jc w:val="both"/>
      </w:pPr>
    </w:p>
    <w:p w14:paraId="248471DD" w14:textId="64391A78" w:rsidR="0042694A" w:rsidRDefault="00AB4119" w:rsidP="00C078EE">
      <w:pPr>
        <w:jc w:val="both"/>
      </w:pPr>
      <w:r w:rsidRPr="00AB4119">
        <w:rPr>
          <w:b/>
        </w:rPr>
        <w:t xml:space="preserve">16. Quelques </w:t>
      </w:r>
      <w:r>
        <w:rPr>
          <w:b/>
        </w:rPr>
        <w:t>écueils</w:t>
      </w:r>
      <w:r w:rsidRPr="00AB4119">
        <w:rPr>
          <w:b/>
        </w:rPr>
        <w:t xml:space="preserve"> </w:t>
      </w:r>
      <w:r w:rsidR="00544A48" w:rsidRPr="00AB4119">
        <w:rPr>
          <w:b/>
        </w:rPr>
        <w:t xml:space="preserve">potentiels </w:t>
      </w:r>
      <w:r w:rsidR="006178F6">
        <w:rPr>
          <w:b/>
        </w:rPr>
        <w:t>-</w:t>
      </w:r>
      <w:r>
        <w:t xml:space="preserve"> </w:t>
      </w:r>
      <w:r w:rsidR="00C23825">
        <w:t>Le m</w:t>
      </w:r>
      <w:r w:rsidR="00F2380C">
        <w:t xml:space="preserve">inistre </w:t>
      </w:r>
      <w:r w:rsidR="00C23825">
        <w:t xml:space="preserve">Michel </w:t>
      </w:r>
      <w:r w:rsidR="00F2380C">
        <w:t xml:space="preserve">Sapin eut </w:t>
      </w:r>
      <w:r w:rsidR="00C54207">
        <w:t xml:space="preserve">l’occasion, </w:t>
      </w:r>
      <w:r w:rsidR="005103D5">
        <w:t>à</w:t>
      </w:r>
      <w:r w:rsidR="00C54207">
        <w:t xml:space="preserve"> plusieurs reprises</w:t>
      </w:r>
      <w:r w:rsidR="00F2380C">
        <w:t xml:space="preserve"> lors des travaux préparatoires de la loi</w:t>
      </w:r>
      <w:r w:rsidR="00C54207">
        <w:t xml:space="preserve"> du 9 décembre 2016 relative à la transparence, à la lutte contre la corruption et à la modernisation de la vie économique,</w:t>
      </w:r>
      <w:r w:rsidR="00F2380C">
        <w:t xml:space="preserve"> d’affirmer l’importance qu’il accordait à la conformité du mécanisme anti-fonds vautours au droit constitutionnel français mais </w:t>
      </w:r>
      <w:r w:rsidR="00C54207">
        <w:t>également</w:t>
      </w:r>
      <w:r w:rsidR="00F2380C">
        <w:t xml:space="preserve"> aux d</w:t>
      </w:r>
      <w:r w:rsidR="00C54207">
        <w:t>roits européen et international</w:t>
      </w:r>
      <w:r w:rsidR="00F2380C">
        <w:t>.</w:t>
      </w:r>
      <w:r w:rsidR="005103D5">
        <w:t xml:space="preserve"> Au Sénat, il souligna le « bon équilibre entre efficacité et consti</w:t>
      </w:r>
      <w:r w:rsidR="00903344">
        <w:t>tutionnalité » de l’article</w:t>
      </w:r>
      <w:r w:rsidR="005103D5">
        <w:t xml:space="preserve"> visant à lutter contre les pratiques prédatrices des fonds vautours</w:t>
      </w:r>
      <w:r w:rsidR="005103D5">
        <w:rPr>
          <w:rStyle w:val="Appelnotedebasdep"/>
        </w:rPr>
        <w:footnoteReference w:id="111"/>
      </w:r>
      <w:r w:rsidR="00C54207">
        <w:t xml:space="preserve">. Plus tard </w:t>
      </w:r>
      <w:r w:rsidR="00331AC3">
        <w:t>au</w:t>
      </w:r>
      <w:r w:rsidR="00C54207">
        <w:t xml:space="preserve"> </w:t>
      </w:r>
      <w:r w:rsidR="005103D5">
        <w:t xml:space="preserve">cours des travaux préparatoires de la loi, </w:t>
      </w:r>
      <w:r w:rsidR="00F2380C">
        <w:t>alors qu’</w:t>
      </w:r>
      <w:r w:rsidR="00CA05CB">
        <w:t>un sous-amendement proposait</w:t>
      </w:r>
      <w:r w:rsidR="00F2380C">
        <w:t xml:space="preserve"> d’élargir</w:t>
      </w:r>
      <w:r w:rsidR="00C54207">
        <w:t xml:space="preserve"> triplement</w:t>
      </w:r>
      <w:r w:rsidR="00F2380C">
        <w:t xml:space="preserve"> le champ d’application de l’article anti-fonds vautours</w:t>
      </w:r>
      <w:r w:rsidR="00C54207">
        <w:t>, à savoir</w:t>
      </w:r>
      <w:r w:rsidR="00F2380C">
        <w:t xml:space="preserve"> à </w:t>
      </w:r>
      <w:r w:rsidR="00CA05CB">
        <w:t>l’ensemble</w:t>
      </w:r>
      <w:r w:rsidR="00F2380C">
        <w:t xml:space="preserve"> </w:t>
      </w:r>
      <w:r w:rsidR="00CA05CB">
        <w:t>d</w:t>
      </w:r>
      <w:r w:rsidR="00184539">
        <w:t xml:space="preserve">es </w:t>
      </w:r>
      <w:r w:rsidR="00184539" w:rsidRPr="001B6ED8">
        <w:rPr>
          <w:rFonts w:cs="Times New Roman"/>
          <w:szCs w:val="24"/>
          <w:shd w:val="clear" w:color="auto" w:fill="FFFFFF"/>
        </w:rPr>
        <w:t>É</w:t>
      </w:r>
      <w:r w:rsidR="00F2380C">
        <w:t xml:space="preserve">tats étrangers, à </w:t>
      </w:r>
      <w:r w:rsidR="00CA05CB">
        <w:t>tous les</w:t>
      </w:r>
      <w:r w:rsidR="00F2380C">
        <w:t xml:space="preserve"> comportement</w:t>
      </w:r>
      <w:r w:rsidR="00CA05CB">
        <w:t>s</w:t>
      </w:r>
      <w:r w:rsidR="00F2380C">
        <w:t xml:space="preserve"> manifestement abusif</w:t>
      </w:r>
      <w:r w:rsidR="00C54207">
        <w:t>s</w:t>
      </w:r>
      <w:r w:rsidR="00F2380C">
        <w:t xml:space="preserve"> sans limitation temporelle ou encore à </w:t>
      </w:r>
      <w:r w:rsidR="00CA05CB">
        <w:t>l’ensemble des</w:t>
      </w:r>
      <w:r w:rsidR="00F2380C">
        <w:t xml:space="preserve"> titres de créance qu’ils aient été acquis antérieurement ou postérieurement à l’entrée en vigueur de la loi</w:t>
      </w:r>
      <w:r w:rsidR="00CA05CB">
        <w:rPr>
          <w:rStyle w:val="Appelnotedebasdep"/>
        </w:rPr>
        <w:footnoteReference w:id="112"/>
      </w:r>
      <w:r w:rsidR="00CA05CB">
        <w:t>, l</w:t>
      </w:r>
      <w:r w:rsidR="00C23825">
        <w:t>e m</w:t>
      </w:r>
      <w:r w:rsidR="001038D6" w:rsidRPr="001038D6">
        <w:t xml:space="preserve">inistre Sapin </w:t>
      </w:r>
      <w:r w:rsidR="00CA05CB">
        <w:t xml:space="preserve">y répondit </w:t>
      </w:r>
      <w:r w:rsidR="00CA05CB" w:rsidRPr="00CA05CB">
        <w:t xml:space="preserve">en indiquant : </w:t>
      </w:r>
      <w:r w:rsidR="00157652" w:rsidRPr="00CA05CB">
        <w:t>« je crains qu’il n’aille au-delà de ce que les conventions internationales permettent et qu’il ne nous fasse courir un risque juridique réel, y compr</w:t>
      </w:r>
      <w:r w:rsidR="00CA05CB" w:rsidRPr="00CA05CB">
        <w:t>is de nature constitutionnelle ». Il ajouta : « (j)</w:t>
      </w:r>
      <w:r w:rsidR="00157652" w:rsidRPr="00CA05CB">
        <w:t xml:space="preserve">e ne voudrais pas que, à vouloir trop bien faire, nous allions trop loin et que le Conseil constitutionnel ne vienne alors remettre en cause </w:t>
      </w:r>
      <w:r w:rsidR="009D75D4">
        <w:t>[…]</w:t>
      </w:r>
      <w:r w:rsidR="00157652" w:rsidRPr="00CA05CB">
        <w:t xml:space="preserve"> ce que nous avons voulu faire, le tout au terme d’un redoutable processus</w:t>
      </w:r>
      <w:r w:rsidR="00CA05CB" w:rsidRPr="00CA05CB">
        <w:t> » et « (a)</w:t>
      </w:r>
      <w:r w:rsidR="00157652" w:rsidRPr="00CA05CB">
        <w:t>lors que nous voulons protéger les États contre les fonds vautours, nous aboutirions à une situation exactement inverse »</w:t>
      </w:r>
      <w:r w:rsidR="00FC0165" w:rsidRPr="00CA05CB">
        <w:rPr>
          <w:rStyle w:val="Appelnotedebasdep"/>
        </w:rPr>
        <w:footnoteReference w:id="113"/>
      </w:r>
      <w:r w:rsidR="00157652" w:rsidRPr="00CA05CB">
        <w:t>.</w:t>
      </w:r>
    </w:p>
    <w:p w14:paraId="0810FC23" w14:textId="77777777" w:rsidR="00257A52" w:rsidRDefault="009A6DDB" w:rsidP="00C078EE">
      <w:pPr>
        <w:jc w:val="both"/>
      </w:pPr>
      <w:r>
        <w:t>L’on peut toutefois se demander, à l’analyse de l’article anti-fonds vautours de la loi Sapin II, si le mécanisme qu’il met en place est parfaitement conforme au droit constitutionnel français, d’une part, aux droits européen et</w:t>
      </w:r>
      <w:r w:rsidR="00331AC3">
        <w:t xml:space="preserve"> international, d’autre part. Son </w:t>
      </w:r>
      <w:r>
        <w:t xml:space="preserve">analyse laisse </w:t>
      </w:r>
      <w:r w:rsidR="00331AC3">
        <w:t xml:space="preserve">en effet </w:t>
      </w:r>
      <w:r>
        <w:t xml:space="preserve">apercevoir de potentielles atteintes </w:t>
      </w:r>
      <w:r w:rsidR="00331AC3">
        <w:t xml:space="preserve">tant </w:t>
      </w:r>
      <w:r>
        <w:t xml:space="preserve">au droit à l’exécution qu’au droit de propriété. Indubitablement, la question de la conformité vient à l’esprit au constat de ce que le mécanisme conduit, dans certaines conditions, à dénier à des créanciers titulaires de droits à l’encontre de débiteurs souverains la possibilité de mise en œuvre de mesures de contrainte </w:t>
      </w:r>
      <w:r w:rsidR="00331AC3">
        <w:t>visant des biens appartenant à ces derniers</w:t>
      </w:r>
      <w:r>
        <w:t>. L’on peut également s</w:t>
      </w:r>
      <w:r w:rsidR="00331AC3">
        <w:t>’interroger sur la</w:t>
      </w:r>
      <w:r>
        <w:t xml:space="preserve"> conformité à l’endroit de l’exigence d’une autor</w:t>
      </w:r>
      <w:r w:rsidR="00331AC3">
        <w:t>isation judiciaire préalable</w:t>
      </w:r>
      <w:r>
        <w:t xml:space="preserve"> à la mise en œuvre </w:t>
      </w:r>
      <w:r w:rsidR="00331AC3">
        <w:t>de mesures conservatoires ou de mesures d’exécution forcée</w:t>
      </w:r>
      <w:r w:rsidR="00184539">
        <w:t xml:space="preserve"> sur les biens d’un </w:t>
      </w:r>
      <w:r w:rsidR="00184539" w:rsidRPr="001B6ED8">
        <w:rPr>
          <w:rFonts w:cs="Times New Roman"/>
          <w:szCs w:val="24"/>
          <w:shd w:val="clear" w:color="auto" w:fill="FFFFFF"/>
        </w:rPr>
        <w:t>É</w:t>
      </w:r>
      <w:r>
        <w:t xml:space="preserve">tat étranger. Plus généralement, </w:t>
      </w:r>
      <w:r w:rsidR="00331AC3">
        <w:t>la question de l’atteinte au droit</w:t>
      </w:r>
      <w:r w:rsidR="00184539">
        <w:t xml:space="preserve"> de propriété des créanciers d’</w:t>
      </w:r>
      <w:r w:rsidR="00184539" w:rsidRPr="001B6ED8">
        <w:rPr>
          <w:rFonts w:cs="Times New Roman"/>
          <w:szCs w:val="24"/>
          <w:shd w:val="clear" w:color="auto" w:fill="FFFFFF"/>
        </w:rPr>
        <w:t>É</w:t>
      </w:r>
      <w:r w:rsidR="00331AC3">
        <w:t>tats étrangers peut se poser.</w:t>
      </w:r>
    </w:p>
    <w:p w14:paraId="0EA57DD2" w14:textId="77777777" w:rsidR="00331AC3" w:rsidRDefault="00331AC3" w:rsidP="00C078EE">
      <w:pPr>
        <w:jc w:val="both"/>
      </w:pPr>
    </w:p>
    <w:p w14:paraId="7DD8901E" w14:textId="64A918C8" w:rsidR="00667706" w:rsidRDefault="00F2380C" w:rsidP="00667706">
      <w:pPr>
        <w:jc w:val="both"/>
      </w:pPr>
      <w:r w:rsidRPr="00BA0A23">
        <w:rPr>
          <w:b/>
        </w:rPr>
        <w:t xml:space="preserve">17. Le </w:t>
      </w:r>
      <w:r w:rsidR="00AA3A2A">
        <w:rPr>
          <w:b/>
        </w:rPr>
        <w:t>satisfecit constitutionnel</w:t>
      </w:r>
      <w:r w:rsidRPr="00BA0A23">
        <w:rPr>
          <w:b/>
        </w:rPr>
        <w:t xml:space="preserve"> </w:t>
      </w:r>
      <w:r w:rsidR="00A12838">
        <w:rPr>
          <w:b/>
        </w:rPr>
        <w:t>-</w:t>
      </w:r>
      <w:r w:rsidR="00257A52">
        <w:t xml:space="preserve"> </w:t>
      </w:r>
      <w:r w:rsidR="00667706">
        <w:t>Quoique l’analyse n’ait pas spécifiquement portée sur l’article anti-fonds vautours, absent du projet de loi originel présenté au</w:t>
      </w:r>
      <w:r w:rsidR="00184539">
        <w:t xml:space="preserve"> Conseil d’</w:t>
      </w:r>
      <w:r w:rsidR="00184539" w:rsidRPr="001B6ED8">
        <w:rPr>
          <w:rFonts w:cs="Times New Roman"/>
          <w:szCs w:val="24"/>
          <w:shd w:val="clear" w:color="auto" w:fill="FFFFFF"/>
        </w:rPr>
        <w:t>É</w:t>
      </w:r>
      <w:r w:rsidR="00667706" w:rsidRPr="0007415C">
        <w:t>tat</w:t>
      </w:r>
      <w:r w:rsidR="00667706">
        <w:t>, ce dernier</w:t>
      </w:r>
      <w:r w:rsidR="00667706" w:rsidRPr="0007415C">
        <w:t xml:space="preserve"> considéra que les nouvelles dispositions </w:t>
      </w:r>
      <w:r w:rsidR="00667706">
        <w:t>en mati</w:t>
      </w:r>
      <w:r w:rsidR="00184539">
        <w:t xml:space="preserve">ère d’immunité d’exécution des </w:t>
      </w:r>
      <w:r w:rsidR="00184539" w:rsidRPr="001B6ED8">
        <w:rPr>
          <w:rFonts w:cs="Times New Roman"/>
          <w:szCs w:val="24"/>
          <w:shd w:val="clear" w:color="auto" w:fill="FFFFFF"/>
        </w:rPr>
        <w:t>É</w:t>
      </w:r>
      <w:r w:rsidR="00667706">
        <w:t xml:space="preserve">tats </w:t>
      </w:r>
      <w:r w:rsidR="00667706">
        <w:lastRenderedPageBreak/>
        <w:t xml:space="preserve">étrangers </w:t>
      </w:r>
      <w:r w:rsidR="00667706" w:rsidRPr="0007415C">
        <w:t xml:space="preserve">envisagées par le projet de loi à l’origine de la loi Sapin II, et </w:t>
      </w:r>
      <w:r w:rsidR="00E04B48">
        <w:t>l’on peut donc en conclure</w:t>
      </w:r>
      <w:r w:rsidR="00667706" w:rsidRPr="0007415C">
        <w:t xml:space="preserve"> </w:t>
      </w:r>
      <w:r w:rsidR="00667706">
        <w:t>celle</w:t>
      </w:r>
      <w:r w:rsidR="00667706" w:rsidRPr="0007415C">
        <w:t xml:space="preserve"> prévoyant l’autorisation </w:t>
      </w:r>
      <w:r w:rsidR="00667706">
        <w:t>préalable du juge par ordonnance rendue sur requête</w:t>
      </w:r>
      <w:r w:rsidR="00E04B48">
        <w:t>,</w:t>
      </w:r>
      <w:r w:rsidR="00667706">
        <w:t xml:space="preserve"> </w:t>
      </w:r>
      <w:r w:rsidR="00E04B48">
        <w:t>« </w:t>
      </w:r>
      <w:r w:rsidR="00667706">
        <w:t>ne soulevaient pas de difficulté constitutionnelle, ni ne se heurtaient aux stipulations de la convention européenne de sauvegarde des droits de l’homme et des libertés fondamentales</w:t>
      </w:r>
      <w:r w:rsidR="00E04B48">
        <w:t> »</w:t>
      </w:r>
      <w:r w:rsidR="00667706">
        <w:rPr>
          <w:rStyle w:val="Appelnotedebasdep"/>
        </w:rPr>
        <w:footnoteReference w:id="114"/>
      </w:r>
      <w:r w:rsidR="00667706">
        <w:t>.</w:t>
      </w:r>
    </w:p>
    <w:p w14:paraId="781DBCE4" w14:textId="77777777" w:rsidR="00257A52" w:rsidRDefault="00257A52" w:rsidP="00667706">
      <w:pPr>
        <w:jc w:val="both"/>
      </w:pPr>
      <w:r>
        <w:t>Qu’à cela ne tienne, des sénateurs français déférèrent la loi votée au Conseil constitutionnel soutenant que ses articles 59 et 60 méconnaissent le droit de propriété des créanciers et le droit à obtenir l’exécution des décisions juridictionnelles, dans la mesure où ils imposent une autorisation judiciaire préalable à la mise en œuvre de toute mesure conservatoire ou d’exécution forcée</w:t>
      </w:r>
      <w:r>
        <w:rPr>
          <w:rStyle w:val="Appelnotedebasdep"/>
        </w:rPr>
        <w:footnoteReference w:id="115"/>
      </w:r>
      <w:r>
        <w:t>.</w:t>
      </w:r>
    </w:p>
    <w:p w14:paraId="27E4698C" w14:textId="77777777" w:rsidR="0085779B" w:rsidRDefault="00257A52" w:rsidP="005103D5">
      <w:pPr>
        <w:jc w:val="both"/>
      </w:pPr>
      <w:r>
        <w:t xml:space="preserve">Le Conseil constitutionnel </w:t>
      </w:r>
      <w:r w:rsidR="0085779B">
        <w:t>avança différents arguments pour conclure q</w:t>
      </w:r>
      <w:r>
        <w:t>ue les dispositions contestées ne méconnaissent ni le droit de propriété ni le droit à obtenir l’exécution d’une décision juridictionnelle et qu’elles sont par conséquent conformes à la Constitution française</w:t>
      </w:r>
      <w:r w:rsidR="0085779B">
        <w:rPr>
          <w:rStyle w:val="Appelnotedebasdep"/>
        </w:rPr>
        <w:footnoteReference w:id="116"/>
      </w:r>
      <w:r w:rsidR="00E44DC2">
        <w:t xml:space="preserve"> </w:t>
      </w:r>
      <w:r w:rsidR="00E44DC2">
        <w:rPr>
          <w:rStyle w:val="Appelnotedebasdep"/>
        </w:rPr>
        <w:footnoteReference w:id="117"/>
      </w:r>
      <w:r>
        <w:t>.</w:t>
      </w:r>
      <w:r w:rsidR="0085779B">
        <w:t xml:space="preserve"> Ainsi, après avoir relevé que « (l)es dispositions contestées, en ce qu’elles limitent la possibilité pour le créancier d’un État étranger d’obtenir la mise en œuvre des mesures conservatoires ou d’exécution forcée sur un bien appartenant à cet État, portent atteinte au droit de propriété de ce créancier », le Conseil présenta quatre arguments qui le conduisirent à sa conclusion de conformité. </w:t>
      </w:r>
    </w:p>
    <w:p w14:paraId="00B1D6F0" w14:textId="77777777" w:rsidR="005103D5" w:rsidRDefault="0085779B" w:rsidP="005103D5">
      <w:pPr>
        <w:jc w:val="both"/>
      </w:pPr>
      <w:r w:rsidRPr="0085779B">
        <w:rPr>
          <w:szCs w:val="24"/>
        </w:rPr>
        <w:t xml:space="preserve">D’abord, </w:t>
      </w:r>
      <w:r w:rsidR="00D6263E">
        <w:rPr>
          <w:szCs w:val="24"/>
        </w:rPr>
        <w:t>le Conseil constitutionnel</w:t>
      </w:r>
      <w:r w:rsidRPr="0085779B">
        <w:rPr>
          <w:szCs w:val="24"/>
        </w:rPr>
        <w:t xml:space="preserve"> souligna que </w:t>
      </w:r>
      <w:r w:rsidR="005103D5" w:rsidRPr="0085779B">
        <w:rPr>
          <w:szCs w:val="24"/>
        </w:rPr>
        <w:t xml:space="preserve">le législateur a poursuivi un objectif d’intérêt général en </w:t>
      </w:r>
      <w:r w:rsidRPr="0085779B">
        <w:rPr>
          <w:szCs w:val="24"/>
        </w:rPr>
        <w:t xml:space="preserve">cherchant à </w:t>
      </w:r>
      <w:r w:rsidR="005103D5" w:rsidRPr="0085779B">
        <w:rPr>
          <w:szCs w:val="24"/>
        </w:rPr>
        <w:t>protége</w:t>
      </w:r>
      <w:r w:rsidRPr="0085779B">
        <w:rPr>
          <w:szCs w:val="24"/>
        </w:rPr>
        <w:t>r la propriété des personnes publiques étrangères</w:t>
      </w:r>
      <w:r w:rsidR="00865D0B">
        <w:rPr>
          <w:szCs w:val="24"/>
        </w:rPr>
        <w:t xml:space="preserve"> par un « contrôle judiciaire renforcé » sur les mesures de contrainte</w:t>
      </w:r>
      <w:r w:rsidRPr="0085779B">
        <w:rPr>
          <w:szCs w:val="24"/>
        </w:rPr>
        <w:t xml:space="preserve"> </w:t>
      </w:r>
      <w:r w:rsidR="00B31C28">
        <w:rPr>
          <w:szCs w:val="24"/>
        </w:rPr>
        <w:t xml:space="preserve">et en </w:t>
      </w:r>
      <w:r w:rsidRPr="0085779B">
        <w:rPr>
          <w:szCs w:val="24"/>
        </w:rPr>
        <w:t>sou</w:t>
      </w:r>
      <w:r w:rsidR="00184539">
        <w:rPr>
          <w:szCs w:val="24"/>
        </w:rPr>
        <w:t xml:space="preserve">haitant protéger les biens des </w:t>
      </w:r>
      <w:r w:rsidR="00184539" w:rsidRPr="001B6ED8">
        <w:rPr>
          <w:rFonts w:cs="Times New Roman"/>
          <w:szCs w:val="24"/>
          <w:shd w:val="clear" w:color="auto" w:fill="FFFFFF"/>
        </w:rPr>
        <w:t>É</w:t>
      </w:r>
      <w:r w:rsidRPr="0085779B">
        <w:rPr>
          <w:szCs w:val="24"/>
        </w:rPr>
        <w:t>tats bénéficiant de l’a</w:t>
      </w:r>
      <w:r w:rsidR="00B31C28">
        <w:rPr>
          <w:szCs w:val="24"/>
        </w:rPr>
        <w:t>ide publique au développement</w:t>
      </w:r>
      <w:r w:rsidRPr="0085779B">
        <w:rPr>
          <w:szCs w:val="24"/>
        </w:rPr>
        <w:t xml:space="preserve"> exposés à des difficultés financières</w:t>
      </w:r>
      <w:r w:rsidR="005103D5" w:rsidRPr="0085779B">
        <w:rPr>
          <w:szCs w:val="24"/>
        </w:rPr>
        <w:t>.</w:t>
      </w:r>
      <w:r>
        <w:rPr>
          <w:szCs w:val="24"/>
        </w:rPr>
        <w:t xml:space="preserve"> Ensuite, le Conseil fit valoir, d’une part, que les d</w:t>
      </w:r>
      <w:r w:rsidR="006B300B">
        <w:rPr>
          <w:szCs w:val="24"/>
        </w:rPr>
        <w:t>ispositions contestées permett</w:t>
      </w:r>
      <w:r>
        <w:rPr>
          <w:szCs w:val="24"/>
        </w:rPr>
        <w:t>ent à certaines conditions la mise en œuvre de mesures de contrainte, d’autre part,</w:t>
      </w:r>
      <w:r w:rsidR="006B300B">
        <w:rPr>
          <w:szCs w:val="24"/>
        </w:rPr>
        <w:t xml:space="preserve"> que </w:t>
      </w:r>
      <w:r w:rsidR="006B300B">
        <w:t xml:space="preserve">les créanciers d’un État figurant sur la liste des bénéficiaires de l’aide publique au développement ne sont privés de la possibilité d’obtenir la mise en œuvre de telles mesures que dans </w:t>
      </w:r>
      <w:r w:rsidR="00865D0B">
        <w:t>« </w:t>
      </w:r>
      <w:r w:rsidR="006B300B">
        <w:t>des conditions strictement définies</w:t>
      </w:r>
      <w:r w:rsidR="00865D0B">
        <w:t> »</w:t>
      </w:r>
      <w:r w:rsidR="00865D0B">
        <w:rPr>
          <w:rStyle w:val="Appelnotedebasdep"/>
        </w:rPr>
        <w:footnoteReference w:id="118"/>
      </w:r>
      <w:r w:rsidR="006B300B">
        <w:t>. En troisième lieu, il fut relevé que l’autorisation préalable du juge exigée étant accordée par décision rendue non contradictoirement, les créanciers étaient préservés d’un déplacement des biens visés par la mesure sollicité</w:t>
      </w:r>
      <w:r w:rsidR="00DC2C48">
        <w:t>e</w:t>
      </w:r>
      <w:r w:rsidR="006B300B">
        <w:t xml:space="preserve">. Finalement, le Conseil constitutionnel </w:t>
      </w:r>
      <w:r w:rsidR="006B300B">
        <w:lastRenderedPageBreak/>
        <w:t>releva que le juge chargé d’autoriser la mesure s’assure uniquement que les conditions légales de celle-ci sont remplies.</w:t>
      </w:r>
    </w:p>
    <w:p w14:paraId="418F55B5" w14:textId="77777777" w:rsidR="0072526D" w:rsidRDefault="0072526D" w:rsidP="005103D5">
      <w:pPr>
        <w:jc w:val="both"/>
      </w:pPr>
      <w:r w:rsidRPr="005E5966">
        <w:t xml:space="preserve">Jérémy Heymann, épinglant le fait que le Conseil constitutionnel se refuse à examiner la conformité d’une loi aux stipulations d’un traité ou d’un accord international, relève qu’il y a lieu de considérer que la déclaration de conformité </w:t>
      </w:r>
      <w:r w:rsidR="005E5966" w:rsidRPr="005E5966">
        <w:t>à la C</w:t>
      </w:r>
      <w:r w:rsidRPr="005E5966">
        <w:t>onstitution des articles 59 et 60 de la loi Sapin II, « ne préjuge en rien de la conformité de ces dispositions au droit international, et plus précisément de leur conformité à la Convention des Nations Unies du 2 décembre 2004, de même qu’à la Convention [européenne des droits de l’homme] »</w:t>
      </w:r>
      <w:r w:rsidRPr="005E5966">
        <w:rPr>
          <w:rStyle w:val="Appelnotedebasdep"/>
        </w:rPr>
        <w:footnoteReference w:id="119"/>
      </w:r>
      <w:r w:rsidRPr="005E5966">
        <w:t>.</w:t>
      </w:r>
    </w:p>
    <w:p w14:paraId="32D7D427" w14:textId="77777777" w:rsidR="00A144F3" w:rsidRPr="0085779B" w:rsidRDefault="00A144F3" w:rsidP="005103D5">
      <w:pPr>
        <w:jc w:val="both"/>
        <w:rPr>
          <w:szCs w:val="24"/>
        </w:rPr>
      </w:pPr>
    </w:p>
    <w:p w14:paraId="1CF2A17B" w14:textId="77777777" w:rsidR="005103D5" w:rsidRPr="00A144F3" w:rsidRDefault="00A144F3" w:rsidP="005103D5">
      <w:pPr>
        <w:jc w:val="both"/>
        <w:rPr>
          <w:b/>
          <w:szCs w:val="24"/>
        </w:rPr>
      </w:pPr>
      <w:r>
        <w:rPr>
          <w:b/>
          <w:szCs w:val="24"/>
        </w:rPr>
        <w:t>18</w:t>
      </w:r>
      <w:r w:rsidRPr="00A144F3">
        <w:rPr>
          <w:b/>
          <w:szCs w:val="24"/>
        </w:rPr>
        <w:t xml:space="preserve">. </w:t>
      </w:r>
      <w:r w:rsidR="004351F5">
        <w:rPr>
          <w:b/>
          <w:szCs w:val="24"/>
        </w:rPr>
        <w:t>Quelques réflexions sur l</w:t>
      </w:r>
      <w:r w:rsidRPr="00A144F3">
        <w:rPr>
          <w:b/>
          <w:szCs w:val="24"/>
        </w:rPr>
        <w:t xml:space="preserve">a conformité aux textes internationaux - </w:t>
      </w:r>
      <w:r w:rsidR="00DC2C48">
        <w:rPr>
          <w:szCs w:val="24"/>
        </w:rPr>
        <w:t>D</w:t>
      </w:r>
      <w:r w:rsidR="005103D5" w:rsidRPr="00A144F3">
        <w:rPr>
          <w:szCs w:val="24"/>
        </w:rPr>
        <w:t>ès lors que l’article 60 de la loi Sapin II règle le sort des mesures conservatoires et d’exécution forcée qu’un créancier entend faire pratiquer sur les biens apparte</w:t>
      </w:r>
      <w:r w:rsidR="00184539">
        <w:rPr>
          <w:szCs w:val="24"/>
        </w:rPr>
        <w:t xml:space="preserve">nant à des </w:t>
      </w:r>
      <w:r w:rsidR="00184539" w:rsidRPr="001B6ED8">
        <w:rPr>
          <w:rFonts w:cs="Times New Roman"/>
          <w:szCs w:val="24"/>
          <w:shd w:val="clear" w:color="auto" w:fill="FFFFFF"/>
        </w:rPr>
        <w:t>É</w:t>
      </w:r>
      <w:r w:rsidR="005103D5" w:rsidRPr="00A144F3">
        <w:rPr>
          <w:szCs w:val="24"/>
        </w:rPr>
        <w:t>tats, l’on peut</w:t>
      </w:r>
      <w:r w:rsidR="00DC2C48">
        <w:rPr>
          <w:szCs w:val="24"/>
        </w:rPr>
        <w:t xml:space="preserve"> commencer par</w:t>
      </w:r>
      <w:r w:rsidR="005103D5" w:rsidRPr="00A144F3">
        <w:rPr>
          <w:szCs w:val="24"/>
        </w:rPr>
        <w:t xml:space="preserve"> s’interroger sur la conformité du mécanisme mis en place </w:t>
      </w:r>
      <w:r w:rsidR="00DC2C48">
        <w:rPr>
          <w:szCs w:val="24"/>
        </w:rPr>
        <w:t>à</w:t>
      </w:r>
      <w:r w:rsidR="005103D5" w:rsidRPr="00A144F3">
        <w:rPr>
          <w:szCs w:val="24"/>
        </w:rPr>
        <w:t xml:space="preserve"> la Convention des Nations Unies sur les i</w:t>
      </w:r>
      <w:r w:rsidR="00184539">
        <w:rPr>
          <w:szCs w:val="24"/>
        </w:rPr>
        <w:t xml:space="preserve">mmunités juridictionnelles des </w:t>
      </w:r>
      <w:r w:rsidR="00184539" w:rsidRPr="001B6ED8">
        <w:rPr>
          <w:rFonts w:cs="Times New Roman"/>
          <w:szCs w:val="24"/>
          <w:shd w:val="clear" w:color="auto" w:fill="FFFFFF"/>
        </w:rPr>
        <w:t>É</w:t>
      </w:r>
      <w:r w:rsidR="005103D5" w:rsidRPr="00A144F3">
        <w:rPr>
          <w:szCs w:val="24"/>
        </w:rPr>
        <w:t>tats et de leurs biens du 2 décembre 2004.</w:t>
      </w:r>
      <w:r w:rsidRPr="00A144F3">
        <w:rPr>
          <w:szCs w:val="24"/>
        </w:rPr>
        <w:t xml:space="preserve"> Nous l’avons </w:t>
      </w:r>
      <w:r w:rsidR="00DC2C48">
        <w:rPr>
          <w:szCs w:val="24"/>
        </w:rPr>
        <w:t>indiqué</w:t>
      </w:r>
      <w:r w:rsidRPr="00A144F3">
        <w:rPr>
          <w:szCs w:val="24"/>
        </w:rPr>
        <w:t>,</w:t>
      </w:r>
      <w:r w:rsidRPr="00A144F3">
        <w:rPr>
          <w:b/>
          <w:szCs w:val="24"/>
        </w:rPr>
        <w:t xml:space="preserve"> </w:t>
      </w:r>
      <w:r w:rsidRPr="00DC2C48">
        <w:rPr>
          <w:szCs w:val="24"/>
        </w:rPr>
        <w:t>c</w:t>
      </w:r>
      <w:r w:rsidR="005103D5" w:rsidRPr="00DC2C48">
        <w:rPr>
          <w:szCs w:val="24"/>
        </w:rPr>
        <w:t>e</w:t>
      </w:r>
      <w:r w:rsidR="005103D5" w:rsidRPr="00A144F3">
        <w:rPr>
          <w:szCs w:val="24"/>
        </w:rPr>
        <w:t xml:space="preserve">rtains parlementaires ont craint que le fait que la loi française prévoit une autorisation judiciaire préalable à toute mesure de contrainte </w:t>
      </w:r>
      <w:r w:rsidR="005103D5" w:rsidRPr="005E5966">
        <w:rPr>
          <w:szCs w:val="24"/>
        </w:rPr>
        <w:t>puisse conduire à retenir une violation de la Convention des Nations Unies qui n’en prévoit pas</w:t>
      </w:r>
      <w:r w:rsidR="005103D5" w:rsidRPr="005E5966">
        <w:rPr>
          <w:rStyle w:val="Appelnotedebasdep"/>
          <w:szCs w:val="24"/>
        </w:rPr>
        <w:footnoteReference w:id="120"/>
      </w:r>
      <w:r w:rsidR="005103D5" w:rsidRPr="005E5966">
        <w:rPr>
          <w:szCs w:val="24"/>
        </w:rPr>
        <w:t>.</w:t>
      </w:r>
      <w:r w:rsidRPr="005E5966">
        <w:rPr>
          <w:b/>
          <w:szCs w:val="24"/>
        </w:rPr>
        <w:t xml:space="preserve"> </w:t>
      </w:r>
      <w:r w:rsidR="00C35508" w:rsidRPr="005E5966">
        <w:rPr>
          <w:szCs w:val="24"/>
        </w:rPr>
        <w:t>Pour Régis Bismuth, la procédure d’autorisation n’est pas en elle-même contraire à la Convention dès lors qu’</w:t>
      </w:r>
      <w:r w:rsidR="00184539" w:rsidRPr="005E5966">
        <w:rPr>
          <w:szCs w:val="24"/>
        </w:rPr>
        <w:t xml:space="preserve">un </w:t>
      </w:r>
      <w:r w:rsidR="00184539" w:rsidRPr="005E5966">
        <w:rPr>
          <w:rFonts w:cs="Times New Roman"/>
          <w:szCs w:val="24"/>
          <w:shd w:val="clear" w:color="auto" w:fill="FFFFFF"/>
        </w:rPr>
        <w:t>É</w:t>
      </w:r>
      <w:r w:rsidR="00C35508" w:rsidRPr="005E5966">
        <w:rPr>
          <w:szCs w:val="24"/>
        </w:rPr>
        <w:t>tat peut accorder des protections supplémentaires, l’idée étant que « le droit international des immunités se conçoit comme un plancher et non comme un plafond »</w:t>
      </w:r>
      <w:r w:rsidR="00C35508" w:rsidRPr="005E5966">
        <w:rPr>
          <w:rStyle w:val="Appelnotedebasdep"/>
          <w:szCs w:val="24"/>
        </w:rPr>
        <w:footnoteReference w:id="121"/>
      </w:r>
      <w:r w:rsidR="00C35508" w:rsidRPr="005E5966">
        <w:rPr>
          <w:szCs w:val="24"/>
        </w:rPr>
        <w:t>.</w:t>
      </w:r>
      <w:r w:rsidR="00C35508">
        <w:rPr>
          <w:szCs w:val="24"/>
        </w:rPr>
        <w:t xml:space="preserve"> </w:t>
      </w:r>
      <w:r w:rsidR="005103D5" w:rsidRPr="00A144F3">
        <w:rPr>
          <w:szCs w:val="24"/>
        </w:rPr>
        <w:t>Sylvai</w:t>
      </w:r>
      <w:r w:rsidRPr="00A144F3">
        <w:rPr>
          <w:szCs w:val="24"/>
        </w:rPr>
        <w:t xml:space="preserve">n Bollée et Paul Giraud doutent, </w:t>
      </w:r>
      <w:r w:rsidR="00C35508">
        <w:rPr>
          <w:szCs w:val="24"/>
        </w:rPr>
        <w:t xml:space="preserve">quant à eux </w:t>
      </w:r>
      <w:r w:rsidRPr="00A144F3">
        <w:rPr>
          <w:szCs w:val="24"/>
        </w:rPr>
        <w:t xml:space="preserve">tous deux, </w:t>
      </w:r>
      <w:r w:rsidR="005103D5" w:rsidRPr="00A144F3">
        <w:rPr>
          <w:szCs w:val="24"/>
        </w:rPr>
        <w:t xml:space="preserve">du fondement de </w:t>
      </w:r>
      <w:r w:rsidR="00C35508">
        <w:rPr>
          <w:szCs w:val="24"/>
        </w:rPr>
        <w:t>la</w:t>
      </w:r>
      <w:r w:rsidR="005103D5" w:rsidRPr="00A144F3">
        <w:rPr>
          <w:szCs w:val="24"/>
        </w:rPr>
        <w:t xml:space="preserve"> crainte</w:t>
      </w:r>
      <w:r w:rsidR="00C35508">
        <w:rPr>
          <w:szCs w:val="24"/>
        </w:rPr>
        <w:t xml:space="preserve"> d’une violation de la Convention de 2004</w:t>
      </w:r>
      <w:r w:rsidR="005103D5" w:rsidRPr="00A144F3">
        <w:rPr>
          <w:szCs w:val="24"/>
        </w:rPr>
        <w:t xml:space="preserve"> en ce que l’article 60 </w:t>
      </w:r>
      <w:r w:rsidR="00C35508">
        <w:rPr>
          <w:szCs w:val="24"/>
        </w:rPr>
        <w:t>pourrait ne pas rele</w:t>
      </w:r>
      <w:r w:rsidR="005103D5" w:rsidRPr="00A144F3">
        <w:rPr>
          <w:szCs w:val="24"/>
        </w:rPr>
        <w:t>ver pas de la même logique et n’opèrerait pas sur le même plan</w:t>
      </w:r>
      <w:r w:rsidRPr="00A144F3">
        <w:rPr>
          <w:szCs w:val="24"/>
        </w:rPr>
        <w:t>, le dernier auteur se demandant si l’intervention judiciaire préalable met en cause l’</w:t>
      </w:r>
      <w:r w:rsidR="00184539">
        <w:rPr>
          <w:szCs w:val="24"/>
        </w:rPr>
        <w:t>immunité de l’</w:t>
      </w:r>
      <w:r w:rsidR="00184539" w:rsidRPr="001B6ED8">
        <w:rPr>
          <w:rFonts w:cs="Times New Roman"/>
          <w:szCs w:val="24"/>
          <w:shd w:val="clear" w:color="auto" w:fill="FFFFFF"/>
        </w:rPr>
        <w:t>É</w:t>
      </w:r>
      <w:r w:rsidRPr="00A144F3">
        <w:rPr>
          <w:szCs w:val="24"/>
        </w:rPr>
        <w:t>tat débiteur</w:t>
      </w:r>
      <w:r w:rsidR="00DC2C48">
        <w:rPr>
          <w:szCs w:val="24"/>
        </w:rPr>
        <w:t>,</w:t>
      </w:r>
      <w:r w:rsidRPr="00A144F3">
        <w:rPr>
          <w:szCs w:val="24"/>
        </w:rPr>
        <w:t xml:space="preserve"> ce que règle la Convention</w:t>
      </w:r>
      <w:r w:rsidR="005103D5" w:rsidRPr="00A144F3">
        <w:rPr>
          <w:rStyle w:val="Appelnotedebasdep"/>
          <w:szCs w:val="24"/>
        </w:rPr>
        <w:footnoteReference w:id="122"/>
      </w:r>
      <w:r w:rsidR="005103D5" w:rsidRPr="00A144F3">
        <w:rPr>
          <w:szCs w:val="24"/>
        </w:rPr>
        <w:t>.</w:t>
      </w:r>
    </w:p>
    <w:p w14:paraId="23299FD6" w14:textId="77777777" w:rsidR="005103D5" w:rsidRPr="00764E2B" w:rsidRDefault="00A144F3" w:rsidP="005103D5">
      <w:pPr>
        <w:jc w:val="both"/>
        <w:rPr>
          <w:szCs w:val="24"/>
        </w:rPr>
      </w:pPr>
      <w:r w:rsidRPr="00764E2B">
        <w:rPr>
          <w:szCs w:val="24"/>
        </w:rPr>
        <w:t>L’on pourrait</w:t>
      </w:r>
      <w:r w:rsidR="00764E2B" w:rsidRPr="00764E2B">
        <w:rPr>
          <w:szCs w:val="24"/>
        </w:rPr>
        <w:t>,</w:t>
      </w:r>
      <w:r w:rsidRPr="00764E2B">
        <w:rPr>
          <w:szCs w:val="24"/>
        </w:rPr>
        <w:t xml:space="preserve"> ensuite</w:t>
      </w:r>
      <w:r w:rsidR="00764E2B" w:rsidRPr="00764E2B">
        <w:rPr>
          <w:szCs w:val="24"/>
        </w:rPr>
        <w:t>,</w:t>
      </w:r>
      <w:r w:rsidRPr="00764E2B">
        <w:rPr>
          <w:szCs w:val="24"/>
        </w:rPr>
        <w:t xml:space="preserve"> se poser la question de la conformité de l’article anti-fonds vautours français à l</w:t>
      </w:r>
      <w:r w:rsidR="005103D5" w:rsidRPr="00764E2B">
        <w:rPr>
          <w:szCs w:val="24"/>
        </w:rPr>
        <w:t xml:space="preserve">’article 6 de la Convention européenne des droits de l’homme </w:t>
      </w:r>
      <w:r w:rsidRPr="00764E2B">
        <w:rPr>
          <w:szCs w:val="24"/>
        </w:rPr>
        <w:t xml:space="preserve">qui </w:t>
      </w:r>
      <w:r w:rsidR="005103D5" w:rsidRPr="00764E2B">
        <w:rPr>
          <w:szCs w:val="24"/>
        </w:rPr>
        <w:t>garantit</w:t>
      </w:r>
      <w:r w:rsidR="00764E2B" w:rsidRPr="00764E2B">
        <w:rPr>
          <w:szCs w:val="24"/>
        </w:rPr>
        <w:t xml:space="preserve"> le droit à un procès équitable dont fait partie le droit à l’exécution des décisions de justice</w:t>
      </w:r>
      <w:r w:rsidR="00764E2B" w:rsidRPr="00764E2B">
        <w:rPr>
          <w:rStyle w:val="Appelnotedebasdep"/>
          <w:szCs w:val="24"/>
        </w:rPr>
        <w:footnoteReference w:id="123"/>
      </w:r>
      <w:r w:rsidR="005103D5" w:rsidRPr="00764E2B">
        <w:rPr>
          <w:szCs w:val="24"/>
        </w:rPr>
        <w:t>. Dès lors que la législation française limite, dans certain</w:t>
      </w:r>
      <w:r w:rsidR="00764E2B" w:rsidRPr="00764E2B">
        <w:rPr>
          <w:szCs w:val="24"/>
        </w:rPr>
        <w:t>e</w:t>
      </w:r>
      <w:r w:rsidR="005103D5" w:rsidRPr="00764E2B">
        <w:rPr>
          <w:szCs w:val="24"/>
        </w:rPr>
        <w:t xml:space="preserve">s circonstances, </w:t>
      </w:r>
      <w:r w:rsidR="00B11156">
        <w:rPr>
          <w:szCs w:val="24"/>
        </w:rPr>
        <w:t>l’exécution de la prétention de</w:t>
      </w:r>
      <w:r w:rsidR="00184539">
        <w:rPr>
          <w:szCs w:val="24"/>
        </w:rPr>
        <w:t xml:space="preserve"> créanciers d’</w:t>
      </w:r>
      <w:r w:rsidR="00184539" w:rsidRPr="001B6ED8">
        <w:rPr>
          <w:rFonts w:cs="Times New Roman"/>
          <w:szCs w:val="24"/>
          <w:shd w:val="clear" w:color="auto" w:fill="FFFFFF"/>
        </w:rPr>
        <w:t>É</w:t>
      </w:r>
      <w:r w:rsidR="005103D5" w:rsidRPr="00764E2B">
        <w:rPr>
          <w:szCs w:val="24"/>
        </w:rPr>
        <w:t>tat</w:t>
      </w:r>
      <w:r w:rsidR="00B11156">
        <w:rPr>
          <w:szCs w:val="24"/>
        </w:rPr>
        <w:t>s</w:t>
      </w:r>
      <w:r w:rsidR="005103D5" w:rsidRPr="00764E2B">
        <w:rPr>
          <w:szCs w:val="24"/>
        </w:rPr>
        <w:t xml:space="preserve"> étranger</w:t>
      </w:r>
      <w:r w:rsidR="00B11156">
        <w:rPr>
          <w:szCs w:val="24"/>
        </w:rPr>
        <w:t>s</w:t>
      </w:r>
      <w:r w:rsidR="005103D5" w:rsidRPr="00764E2B">
        <w:rPr>
          <w:szCs w:val="24"/>
        </w:rPr>
        <w:t xml:space="preserve">, l’on peut se demander si elle est conforme au droit à un procès équitable. </w:t>
      </w:r>
      <w:r w:rsidR="00764E2B" w:rsidRPr="00764E2B">
        <w:rPr>
          <w:szCs w:val="24"/>
        </w:rPr>
        <w:t>Autrement dit,</w:t>
      </w:r>
      <w:r w:rsidR="005103D5" w:rsidRPr="00764E2B">
        <w:rPr>
          <w:szCs w:val="24"/>
        </w:rPr>
        <w:t xml:space="preserve"> la </w:t>
      </w:r>
      <w:r w:rsidR="00764E2B">
        <w:rPr>
          <w:szCs w:val="24"/>
        </w:rPr>
        <w:t>restriction</w:t>
      </w:r>
      <w:r w:rsidR="005103D5" w:rsidRPr="00764E2B">
        <w:rPr>
          <w:szCs w:val="24"/>
        </w:rPr>
        <w:t xml:space="preserve"> </w:t>
      </w:r>
      <w:r w:rsidR="00764E2B" w:rsidRPr="00764E2B">
        <w:rPr>
          <w:szCs w:val="24"/>
        </w:rPr>
        <w:t>du droit à l</w:t>
      </w:r>
      <w:r w:rsidR="005103D5" w:rsidRPr="00764E2B">
        <w:rPr>
          <w:szCs w:val="24"/>
        </w:rPr>
        <w:t xml:space="preserve">’exécution des décisions </w:t>
      </w:r>
      <w:r w:rsidR="00764E2B" w:rsidRPr="00764E2B">
        <w:rPr>
          <w:szCs w:val="24"/>
        </w:rPr>
        <w:t xml:space="preserve">de justice </w:t>
      </w:r>
      <w:r w:rsidR="005103D5" w:rsidRPr="00764E2B">
        <w:rPr>
          <w:szCs w:val="24"/>
        </w:rPr>
        <w:t>qu’occasionne la loi française répond</w:t>
      </w:r>
      <w:r w:rsidR="00764E2B" w:rsidRPr="00764E2B">
        <w:rPr>
          <w:szCs w:val="24"/>
        </w:rPr>
        <w:t>-elle</w:t>
      </w:r>
      <w:r w:rsidR="005103D5" w:rsidRPr="00764E2B">
        <w:rPr>
          <w:szCs w:val="24"/>
        </w:rPr>
        <w:t xml:space="preserve"> aux conditions </w:t>
      </w:r>
      <w:r w:rsidR="00B11156">
        <w:rPr>
          <w:szCs w:val="24"/>
        </w:rPr>
        <w:t xml:space="preserve">de légitimité et de proportionnalité </w:t>
      </w:r>
      <w:r w:rsidR="005103D5" w:rsidRPr="00764E2B">
        <w:rPr>
          <w:szCs w:val="24"/>
        </w:rPr>
        <w:t xml:space="preserve">posées par la </w:t>
      </w:r>
      <w:r w:rsidR="00764E2B" w:rsidRPr="00764E2B">
        <w:rPr>
          <w:szCs w:val="24"/>
        </w:rPr>
        <w:t>Cour européenne des droits de l’homme</w:t>
      </w:r>
      <w:r w:rsidR="005103D5" w:rsidRPr="00764E2B">
        <w:rPr>
          <w:rStyle w:val="Appelnotedebasdep"/>
          <w:szCs w:val="24"/>
        </w:rPr>
        <w:footnoteReference w:id="124"/>
      </w:r>
      <w:r w:rsidR="00764E2B" w:rsidRPr="00764E2B">
        <w:rPr>
          <w:szCs w:val="24"/>
        </w:rPr>
        <w:t> ?</w:t>
      </w:r>
      <w:r w:rsidR="008C383C">
        <w:rPr>
          <w:szCs w:val="24"/>
        </w:rPr>
        <w:t xml:space="preserve"> </w:t>
      </w:r>
      <w:r w:rsidR="005103D5" w:rsidRPr="00764E2B">
        <w:rPr>
          <w:szCs w:val="24"/>
        </w:rPr>
        <w:t xml:space="preserve">Paul Giraud semble d’avis que </w:t>
      </w:r>
      <w:r w:rsidR="005103D5" w:rsidRPr="00764E2B">
        <w:rPr>
          <w:szCs w:val="24"/>
        </w:rPr>
        <w:lastRenderedPageBreak/>
        <w:t xml:space="preserve">l’article 60 n’atteint pas </w:t>
      </w:r>
      <w:r w:rsidR="008C383C">
        <w:rPr>
          <w:szCs w:val="24"/>
        </w:rPr>
        <w:t>le droit</w:t>
      </w:r>
      <w:r w:rsidR="00764E2B" w:rsidRPr="00764E2B">
        <w:rPr>
          <w:szCs w:val="24"/>
        </w:rPr>
        <w:t xml:space="preserve"> d’exécution </w:t>
      </w:r>
      <w:r w:rsidR="005103D5" w:rsidRPr="00764E2B">
        <w:rPr>
          <w:szCs w:val="24"/>
        </w:rPr>
        <w:t xml:space="preserve">dans </w:t>
      </w:r>
      <w:r w:rsidR="008C383C">
        <w:rPr>
          <w:szCs w:val="24"/>
        </w:rPr>
        <w:t>sa</w:t>
      </w:r>
      <w:r w:rsidR="005103D5" w:rsidRPr="00764E2B">
        <w:rPr>
          <w:szCs w:val="24"/>
        </w:rPr>
        <w:t xml:space="preserve"> substance et que son but est légitime. </w:t>
      </w:r>
      <w:r w:rsidR="005B67F1">
        <w:rPr>
          <w:szCs w:val="24"/>
        </w:rPr>
        <w:t>D</w:t>
      </w:r>
      <w:r w:rsidR="005103D5" w:rsidRPr="00764E2B">
        <w:rPr>
          <w:szCs w:val="24"/>
        </w:rPr>
        <w:t xml:space="preserve">ès lors que l’article </w:t>
      </w:r>
      <w:r w:rsidR="005103D5" w:rsidRPr="005B67F1">
        <w:rPr>
          <w:szCs w:val="24"/>
        </w:rPr>
        <w:t>participe à l’immunité étatique</w:t>
      </w:r>
      <w:r w:rsidR="005103D5" w:rsidRPr="00764E2B">
        <w:rPr>
          <w:szCs w:val="24"/>
        </w:rPr>
        <w:t xml:space="preserve">, il relève la jurisprudence de la Cour européenne </w:t>
      </w:r>
      <w:r w:rsidR="008C383C">
        <w:rPr>
          <w:szCs w:val="24"/>
        </w:rPr>
        <w:t xml:space="preserve">des droits de l’homme </w:t>
      </w:r>
      <w:r w:rsidR="005103D5" w:rsidRPr="00764E2B">
        <w:rPr>
          <w:szCs w:val="24"/>
        </w:rPr>
        <w:t>dont il ressort q</w:t>
      </w:r>
      <w:r w:rsidR="00184539">
        <w:rPr>
          <w:szCs w:val="24"/>
        </w:rPr>
        <w:t xml:space="preserve">ue l’octroi de l’immunité à un </w:t>
      </w:r>
      <w:r w:rsidR="00184539" w:rsidRPr="001B6ED8">
        <w:rPr>
          <w:rFonts w:cs="Times New Roman"/>
          <w:szCs w:val="24"/>
          <w:shd w:val="clear" w:color="auto" w:fill="FFFFFF"/>
        </w:rPr>
        <w:t>É</w:t>
      </w:r>
      <w:r w:rsidR="005103D5" w:rsidRPr="00764E2B">
        <w:rPr>
          <w:szCs w:val="24"/>
        </w:rPr>
        <w:t>tat dans une procédure civile poursuit le but légitime de respecter le droit international afin de favoriser la courtoisie</w:t>
      </w:r>
      <w:r w:rsidR="00184539">
        <w:rPr>
          <w:szCs w:val="24"/>
        </w:rPr>
        <w:t xml:space="preserve"> et les bonnes relations entre </w:t>
      </w:r>
      <w:r w:rsidR="00184539" w:rsidRPr="001B6ED8">
        <w:rPr>
          <w:rFonts w:cs="Times New Roman"/>
          <w:szCs w:val="24"/>
          <w:shd w:val="clear" w:color="auto" w:fill="FFFFFF"/>
        </w:rPr>
        <w:t>É</w:t>
      </w:r>
      <w:r w:rsidR="005103D5" w:rsidRPr="00764E2B">
        <w:rPr>
          <w:szCs w:val="24"/>
        </w:rPr>
        <w:t>tats par le respect de la souveraineté d’un aut</w:t>
      </w:r>
      <w:r w:rsidR="00184539">
        <w:rPr>
          <w:szCs w:val="24"/>
        </w:rPr>
        <w:t xml:space="preserve">re </w:t>
      </w:r>
      <w:r w:rsidR="00184539" w:rsidRPr="001B6ED8">
        <w:rPr>
          <w:rFonts w:cs="Times New Roman"/>
          <w:szCs w:val="24"/>
          <w:shd w:val="clear" w:color="auto" w:fill="FFFFFF"/>
        </w:rPr>
        <w:t>É</w:t>
      </w:r>
      <w:r w:rsidR="005103D5" w:rsidRPr="00764E2B">
        <w:rPr>
          <w:szCs w:val="24"/>
        </w:rPr>
        <w:t xml:space="preserve">tat. L’auteur doute toutefois de la proportionnalité de la restriction opérée par la loi française et ce, même </w:t>
      </w:r>
      <w:r w:rsidR="00B11156">
        <w:rPr>
          <w:szCs w:val="24"/>
        </w:rPr>
        <w:t>si le mécanisme anti-fonds vautours est, d’une part, limité</w:t>
      </w:r>
      <w:r w:rsidR="005103D5" w:rsidRPr="00764E2B">
        <w:rPr>
          <w:szCs w:val="24"/>
        </w:rPr>
        <w:t xml:space="preserve"> aux seules créances de pays bénéficiant de l’aide publique au développement</w:t>
      </w:r>
      <w:r w:rsidR="00B11156">
        <w:rPr>
          <w:szCs w:val="24"/>
        </w:rPr>
        <w:t>, d’autre part, limité</w:t>
      </w:r>
      <w:r w:rsidR="005103D5" w:rsidRPr="00764E2B">
        <w:rPr>
          <w:szCs w:val="24"/>
        </w:rPr>
        <w:t xml:space="preserve"> temporelle</w:t>
      </w:r>
      <w:r w:rsidR="00B11156">
        <w:rPr>
          <w:szCs w:val="24"/>
        </w:rPr>
        <w:t>ment</w:t>
      </w:r>
      <w:r w:rsidR="008C383C" w:rsidRPr="00764E2B">
        <w:rPr>
          <w:rStyle w:val="Appelnotedebasdep"/>
          <w:szCs w:val="24"/>
        </w:rPr>
        <w:footnoteReference w:id="125"/>
      </w:r>
      <w:r w:rsidR="005103D5" w:rsidRPr="00764E2B">
        <w:rPr>
          <w:szCs w:val="24"/>
        </w:rPr>
        <w:t>.</w:t>
      </w:r>
      <w:r w:rsidR="00F15B4E">
        <w:rPr>
          <w:szCs w:val="24"/>
        </w:rPr>
        <w:t xml:space="preserve"> </w:t>
      </w:r>
      <w:r w:rsidR="00F15B4E" w:rsidRPr="005E5966">
        <w:rPr>
          <w:szCs w:val="24"/>
        </w:rPr>
        <w:t>Jérémy Heymann relève quant à lui que le droit à l’exécution des décisions de justice n’est pas absolu et qu’il peut faire l’objet de restrictions justifiées, dès lors que celles-ci poursuivent un but légitime et qu’elles sont proportionnées à ce but. Rappelant la jurisprudence de la Cour européenne des droits de l’homme selon laquelle il en va ainsi des « mesures prises par un</w:t>
      </w:r>
      <w:r w:rsidR="005E5966" w:rsidRPr="005E5966">
        <w:rPr>
          <w:szCs w:val="24"/>
        </w:rPr>
        <w:t>e</w:t>
      </w:r>
      <w:r w:rsidR="00F15B4E" w:rsidRPr="005E5966">
        <w:rPr>
          <w:szCs w:val="24"/>
        </w:rPr>
        <w:t xml:space="preserve"> Haute Partie contractante qui reflètent des règles de droit international généralement reconnues en matière d’immunité des </w:t>
      </w:r>
      <w:r w:rsidR="00F15B4E" w:rsidRPr="005E5966">
        <w:rPr>
          <w:rFonts w:cs="Times New Roman"/>
          <w:szCs w:val="24"/>
          <w:shd w:val="clear" w:color="auto" w:fill="FFFFFF"/>
        </w:rPr>
        <w:t>É</w:t>
      </w:r>
      <w:r w:rsidR="00F15B4E" w:rsidRPr="005E5966">
        <w:rPr>
          <w:szCs w:val="24"/>
        </w:rPr>
        <w:t xml:space="preserve">tats », l’auteur soulève un problème en indiquant qu’ « ajouter au texte de la Convention de 2004 une exigence qu’il ne contient pas ne saurait être vu comme le reflet des </w:t>
      </w:r>
      <w:r w:rsidR="00F15B4E" w:rsidRPr="005E5966">
        <w:t xml:space="preserve">“règles de droit international généralement reconnues en matière d’immunité des </w:t>
      </w:r>
      <w:r w:rsidR="00F15B4E" w:rsidRPr="005E5966">
        <w:rPr>
          <w:rFonts w:cs="Times New Roman"/>
          <w:szCs w:val="24"/>
          <w:shd w:val="clear" w:color="auto" w:fill="FFFFFF"/>
        </w:rPr>
        <w:t>É</w:t>
      </w:r>
      <w:r w:rsidR="00F15B4E" w:rsidRPr="005E5966">
        <w:t>tats”, ce qu’est pourtant censée traduire, selon la Cour, la Convention précitée »</w:t>
      </w:r>
      <w:r w:rsidR="00F15B4E" w:rsidRPr="005E5966">
        <w:rPr>
          <w:rStyle w:val="Appelnotedebasdep"/>
        </w:rPr>
        <w:footnoteReference w:id="126"/>
      </w:r>
      <w:r w:rsidR="00F15B4E" w:rsidRPr="005E5966">
        <w:t>.</w:t>
      </w:r>
    </w:p>
    <w:p w14:paraId="0EE59868" w14:textId="77777777" w:rsidR="00540BBB" w:rsidRPr="00540BBB" w:rsidRDefault="007813CC" w:rsidP="00540BBB">
      <w:pPr>
        <w:jc w:val="both"/>
        <w:rPr>
          <w:szCs w:val="24"/>
        </w:rPr>
      </w:pPr>
      <w:r w:rsidRPr="00540BBB">
        <w:rPr>
          <w:szCs w:val="24"/>
        </w:rPr>
        <w:t>Dès lors que le détenteur d’un d</w:t>
      </w:r>
      <w:r w:rsidR="00184539">
        <w:rPr>
          <w:szCs w:val="24"/>
        </w:rPr>
        <w:t xml:space="preserve">roit de créance à l’égard d’un </w:t>
      </w:r>
      <w:r w:rsidR="00184539" w:rsidRPr="001B6ED8">
        <w:rPr>
          <w:rFonts w:cs="Times New Roman"/>
          <w:szCs w:val="24"/>
          <w:shd w:val="clear" w:color="auto" w:fill="FFFFFF"/>
        </w:rPr>
        <w:t>É</w:t>
      </w:r>
      <w:r w:rsidRPr="00540BBB">
        <w:rPr>
          <w:szCs w:val="24"/>
        </w:rPr>
        <w:t>tat peut voir</w:t>
      </w:r>
      <w:r w:rsidR="00131080" w:rsidRPr="00540BBB">
        <w:rPr>
          <w:szCs w:val="24"/>
        </w:rPr>
        <w:t xml:space="preserve"> ses prétentions limitées par l’article 60 de la loi Sapin II, </w:t>
      </w:r>
      <w:r w:rsidRPr="00540BBB">
        <w:rPr>
          <w:szCs w:val="24"/>
        </w:rPr>
        <w:t>l’o</w:t>
      </w:r>
      <w:r w:rsidR="00131080" w:rsidRPr="00540BBB">
        <w:rPr>
          <w:szCs w:val="24"/>
        </w:rPr>
        <w:t>n peut finalement s’interroger sur s</w:t>
      </w:r>
      <w:r w:rsidRPr="00540BBB">
        <w:rPr>
          <w:szCs w:val="24"/>
        </w:rPr>
        <w:t>a conformité</w:t>
      </w:r>
      <w:r w:rsidR="00131080" w:rsidRPr="00540BBB">
        <w:rPr>
          <w:szCs w:val="24"/>
        </w:rPr>
        <w:t xml:space="preserve"> à l’article premier du Protocole additionnel à la Convention européenne des droits de l’homme protégeant le droit de propriété</w:t>
      </w:r>
      <w:r w:rsidR="00131080" w:rsidRPr="00540BBB">
        <w:rPr>
          <w:rStyle w:val="Appelnotedebasdep"/>
          <w:szCs w:val="24"/>
        </w:rPr>
        <w:footnoteReference w:id="127"/>
      </w:r>
      <w:r w:rsidR="00005899">
        <w:rPr>
          <w:szCs w:val="24"/>
        </w:rPr>
        <w:t xml:space="preserve"> </w:t>
      </w:r>
      <w:r w:rsidR="00005899">
        <w:rPr>
          <w:rStyle w:val="Appelnotedebasdep"/>
          <w:szCs w:val="24"/>
        </w:rPr>
        <w:footnoteReference w:id="128"/>
      </w:r>
      <w:r w:rsidR="00131080" w:rsidRPr="00540BBB">
        <w:rPr>
          <w:szCs w:val="24"/>
        </w:rPr>
        <w:t>.</w:t>
      </w:r>
      <w:r w:rsidR="004351F5" w:rsidRPr="00540BBB">
        <w:rPr>
          <w:szCs w:val="24"/>
        </w:rPr>
        <w:t xml:space="preserve"> Les parlementaires présentant l’amendement n° 1405 à </w:t>
      </w:r>
      <w:r w:rsidR="004351F5" w:rsidRPr="00540BBB">
        <w:rPr>
          <w:szCs w:val="24"/>
        </w:rPr>
        <w:lastRenderedPageBreak/>
        <w:t>l’origine de l’article 60 de la loi Sapin II commenté précisèrent que « (d)ans la mesure notamment où les créanciers concernés par cet amendement ne sont pas privés de tout droit à obtenir le remboursement de leurs créances, le critère de proportionnalité entre l’objectif d’intérêt général visé et les limites apportées aux droit des créanciers est rempli »</w:t>
      </w:r>
      <w:r w:rsidR="004351F5" w:rsidRPr="00540BBB">
        <w:rPr>
          <w:rStyle w:val="Appelnotedebasdep"/>
          <w:szCs w:val="24"/>
        </w:rPr>
        <w:footnoteReference w:id="129"/>
      </w:r>
      <w:r w:rsidR="004351F5" w:rsidRPr="00540BBB">
        <w:rPr>
          <w:szCs w:val="24"/>
        </w:rPr>
        <w:t xml:space="preserve">. Pour les mêmes raisons que celles formulées lors de l’analyse de la conformité du mécanisme anti-fonds vautours au droit d’exécution, Paul Giraud semble d’avis </w:t>
      </w:r>
      <w:r w:rsidR="004351F5" w:rsidRPr="005E5966">
        <w:rPr>
          <w:szCs w:val="24"/>
        </w:rPr>
        <w:t>que le droit de propriété n’est pas atteint dans sa substance et que le but de l’article 60 est légitime. Son interrogation se situe toutefois au niveau de la</w:t>
      </w:r>
      <w:r w:rsidR="00540BBB" w:rsidRPr="005E5966">
        <w:rPr>
          <w:szCs w:val="24"/>
        </w:rPr>
        <w:t xml:space="preserve"> proportionnalité de la restriction opérée par la loi française</w:t>
      </w:r>
      <w:r w:rsidR="00540BBB" w:rsidRPr="005E5966">
        <w:rPr>
          <w:rStyle w:val="Appelnotedebasdep"/>
          <w:szCs w:val="24"/>
        </w:rPr>
        <w:footnoteReference w:id="130"/>
      </w:r>
      <w:r w:rsidR="00540BBB" w:rsidRPr="005E5966">
        <w:rPr>
          <w:szCs w:val="24"/>
        </w:rPr>
        <w:t>.</w:t>
      </w:r>
      <w:r w:rsidR="004D4095" w:rsidRPr="005E5966">
        <w:rPr>
          <w:szCs w:val="24"/>
        </w:rPr>
        <w:t xml:space="preserve"> Sans doute l’observation faite par le Gouvernement </w:t>
      </w:r>
      <w:r w:rsidR="005E5966" w:rsidRPr="005E5966">
        <w:rPr>
          <w:szCs w:val="24"/>
        </w:rPr>
        <w:t xml:space="preserve">français </w:t>
      </w:r>
      <w:r w:rsidR="004D4095" w:rsidRPr="005E5966">
        <w:rPr>
          <w:szCs w:val="24"/>
        </w:rPr>
        <w:t xml:space="preserve">selon laquelle les pratiques des fonds vautours « portent atteinte aux droits des autres créanciers </w:t>
      </w:r>
      <w:r w:rsidR="004D4095" w:rsidRPr="005E5966">
        <w:t>[…]</w:t>
      </w:r>
      <w:r w:rsidR="004D4095" w:rsidRPr="005E5966">
        <w:rPr>
          <w:szCs w:val="24"/>
        </w:rPr>
        <w:t xml:space="preserve"> qui, en acceptant la proposition de restructuration de la dette, concourent à la stabilité du système financier international et partagent l’effort financier »</w:t>
      </w:r>
      <w:r w:rsidR="004D4095" w:rsidRPr="005E5966">
        <w:rPr>
          <w:rStyle w:val="Appelnotedebasdep"/>
          <w:szCs w:val="24"/>
        </w:rPr>
        <w:footnoteReference w:id="131"/>
      </w:r>
      <w:r w:rsidR="004D4095" w:rsidRPr="005E5966">
        <w:rPr>
          <w:szCs w:val="24"/>
        </w:rPr>
        <w:t>, pourrait-elle encore nourrir la réflexion.</w:t>
      </w:r>
      <w:r w:rsidR="004D4095">
        <w:rPr>
          <w:szCs w:val="24"/>
        </w:rPr>
        <w:t xml:space="preserve"> </w:t>
      </w:r>
    </w:p>
    <w:p w14:paraId="19148215" w14:textId="77777777" w:rsidR="00005899" w:rsidRDefault="004351F5" w:rsidP="00C30F42">
      <w:pPr>
        <w:jc w:val="both"/>
        <w:rPr>
          <w:szCs w:val="24"/>
        </w:rPr>
      </w:pPr>
      <w:r>
        <w:rPr>
          <w:szCs w:val="24"/>
        </w:rPr>
        <w:t xml:space="preserve"> </w:t>
      </w:r>
      <w:r w:rsidR="00005899">
        <w:rPr>
          <w:szCs w:val="24"/>
        </w:rPr>
        <w:br w:type="page"/>
      </w:r>
    </w:p>
    <w:p w14:paraId="42CF313A" w14:textId="77777777" w:rsidR="00C30F42" w:rsidRDefault="00873539" w:rsidP="005638D4">
      <w:pPr>
        <w:pStyle w:val="Titre1"/>
        <w:pBdr>
          <w:top w:val="none" w:sz="0" w:space="0" w:color="auto"/>
          <w:left w:val="none" w:sz="0" w:space="0" w:color="auto"/>
          <w:bottom w:val="none" w:sz="0" w:space="0" w:color="auto"/>
          <w:right w:val="none" w:sz="0" w:space="0" w:color="auto"/>
        </w:pBdr>
      </w:pPr>
      <w:r w:rsidRPr="00C30F42">
        <w:lastRenderedPageBreak/>
        <w:t>Conclusion</w:t>
      </w:r>
    </w:p>
    <w:p w14:paraId="21A0507E" w14:textId="77777777" w:rsidR="00A83BF4" w:rsidRDefault="00A83BF4" w:rsidP="00A83BF4">
      <w:pPr>
        <w:jc w:val="both"/>
        <w:rPr>
          <w:b/>
        </w:rPr>
      </w:pPr>
    </w:p>
    <w:p w14:paraId="1E3CC41F" w14:textId="6B5AB49F" w:rsidR="00A83BF4" w:rsidRDefault="0021055C" w:rsidP="00A83BF4">
      <w:pPr>
        <w:jc w:val="both"/>
      </w:pPr>
      <w:r>
        <w:rPr>
          <w:b/>
        </w:rPr>
        <w:t>19</w:t>
      </w:r>
      <w:r w:rsidR="00A83BF4">
        <w:rPr>
          <w:b/>
        </w:rPr>
        <w:t xml:space="preserve">. L’impact du </w:t>
      </w:r>
      <w:r w:rsidR="009012AA">
        <w:rPr>
          <w:b/>
        </w:rPr>
        <w:t>méc</w:t>
      </w:r>
      <w:r w:rsidR="00876864">
        <w:rPr>
          <w:b/>
        </w:rPr>
        <w:t>anisme</w:t>
      </w:r>
      <w:r w:rsidR="00A83BF4">
        <w:rPr>
          <w:b/>
        </w:rPr>
        <w:t xml:space="preserve"> mis en place </w:t>
      </w:r>
      <w:r w:rsidR="00A12838">
        <w:rPr>
          <w:b/>
        </w:rPr>
        <w:t>-</w:t>
      </w:r>
      <w:r w:rsidR="00A83BF4">
        <w:rPr>
          <w:b/>
        </w:rPr>
        <w:t xml:space="preserve"> </w:t>
      </w:r>
      <w:r w:rsidR="00A83BF4" w:rsidRPr="000A5172">
        <w:t>Paul Giraud relève que le législateur français a, avec l’article 60 étudié, adopté « un texte modeste qui ne prive néanmoins pas les fonds de toute possibilité d’action »</w:t>
      </w:r>
      <w:r w:rsidR="00A83BF4" w:rsidRPr="000A5172">
        <w:rPr>
          <w:rStyle w:val="Appelnotedebasdep"/>
        </w:rPr>
        <w:footnoteReference w:id="132"/>
      </w:r>
      <w:r w:rsidR="00A83BF4" w:rsidRPr="000A5172">
        <w:t xml:space="preserve">. Pour lui, l’article présente « des insuffisances et des incohérences qui sont la conséquence classique de la recherche de conciliation entre deux objectifs distincts : lutter efficacement contre les fonds spéculatifs </w:t>
      </w:r>
      <w:r w:rsidR="009D75D4">
        <w:t>[…]</w:t>
      </w:r>
      <w:r w:rsidR="00A83BF4" w:rsidRPr="000A5172">
        <w:t xml:space="preserve"> sans outrepasser les limites constitutionnelles et conventionnelles »</w:t>
      </w:r>
      <w:r w:rsidR="00A83BF4" w:rsidRPr="000A5172">
        <w:rPr>
          <w:rStyle w:val="Appelnotedebasdep"/>
        </w:rPr>
        <w:footnoteReference w:id="133"/>
      </w:r>
      <w:r w:rsidR="00A83BF4" w:rsidRPr="000A5172">
        <w:t>.</w:t>
      </w:r>
    </w:p>
    <w:p w14:paraId="1C3CA4A4" w14:textId="77777777" w:rsidR="00D24B16" w:rsidRPr="00974495" w:rsidRDefault="00544A48" w:rsidP="00974495">
      <w:pPr>
        <w:jc w:val="both"/>
      </w:pPr>
      <w:r>
        <w:t>Nous</w:t>
      </w:r>
      <w:r w:rsidR="000A5172">
        <w:t xml:space="preserve"> l’indiquions en commentaire de la loi belge du 12 juillet 2015 relative à la lutte contre les activités des fonds vautours, même s’il est pensable qu’une approche globale aurait plus de poids au vu de la mobilité des fonds vautours, il reste que la multiplication d’initiatives étatiques isolées peut compliquer l’action des fonds vautours</w:t>
      </w:r>
      <w:r w:rsidR="000A5172">
        <w:rPr>
          <w:rStyle w:val="Appelnotedebasdep"/>
        </w:rPr>
        <w:footnoteReference w:id="134"/>
      </w:r>
      <w:r w:rsidR="000A5172">
        <w:t>.</w:t>
      </w:r>
    </w:p>
    <w:sectPr w:rsidR="00D24B16" w:rsidRPr="0097449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6D02E2" w14:textId="77777777" w:rsidR="003D74E0" w:rsidRDefault="003D74E0" w:rsidP="005E3D36">
      <w:pPr>
        <w:spacing w:after="0" w:line="240" w:lineRule="auto"/>
      </w:pPr>
      <w:r>
        <w:separator/>
      </w:r>
    </w:p>
  </w:endnote>
  <w:endnote w:type="continuationSeparator" w:id="0">
    <w:p w14:paraId="7CE88D4A" w14:textId="77777777" w:rsidR="003D74E0" w:rsidRDefault="003D74E0" w:rsidP="005E3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3392759"/>
      <w:docPartObj>
        <w:docPartGallery w:val="Page Numbers (Bottom of Page)"/>
        <w:docPartUnique/>
      </w:docPartObj>
    </w:sdtPr>
    <w:sdtEndPr>
      <w:rPr>
        <w:noProof/>
      </w:rPr>
    </w:sdtEndPr>
    <w:sdtContent>
      <w:p w14:paraId="163B20F3" w14:textId="1F498A43" w:rsidR="00552491" w:rsidRDefault="00552491">
        <w:pPr>
          <w:pStyle w:val="Pieddepage"/>
          <w:jc w:val="right"/>
        </w:pPr>
        <w:r>
          <w:fldChar w:fldCharType="begin"/>
        </w:r>
        <w:r>
          <w:instrText xml:space="preserve"> PAGE   \* MERGEFORMAT </w:instrText>
        </w:r>
        <w:r>
          <w:fldChar w:fldCharType="separate"/>
        </w:r>
        <w:r w:rsidR="006D109D">
          <w:rPr>
            <w:noProof/>
          </w:rPr>
          <w:t>2</w:t>
        </w:r>
        <w:r>
          <w:rPr>
            <w:noProof/>
          </w:rPr>
          <w:fldChar w:fldCharType="end"/>
        </w:r>
      </w:p>
    </w:sdtContent>
  </w:sdt>
  <w:p w14:paraId="756BB941" w14:textId="77777777" w:rsidR="00552491" w:rsidRDefault="0055249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020D74" w14:textId="77777777" w:rsidR="003D74E0" w:rsidRDefault="003D74E0" w:rsidP="005E3D36">
      <w:pPr>
        <w:spacing w:after="0" w:line="240" w:lineRule="auto"/>
      </w:pPr>
      <w:r>
        <w:separator/>
      </w:r>
    </w:p>
  </w:footnote>
  <w:footnote w:type="continuationSeparator" w:id="0">
    <w:p w14:paraId="379BC71B" w14:textId="77777777" w:rsidR="003D74E0" w:rsidRDefault="003D74E0" w:rsidP="005E3D36">
      <w:pPr>
        <w:spacing w:after="0" w:line="240" w:lineRule="auto"/>
      </w:pPr>
      <w:r>
        <w:continuationSeparator/>
      </w:r>
    </w:p>
  </w:footnote>
  <w:footnote w:id="1">
    <w:p w14:paraId="79BCABF1" w14:textId="77777777" w:rsidR="00552491" w:rsidRDefault="00552491" w:rsidP="002C2F99">
      <w:pPr>
        <w:pStyle w:val="Notedebasdepage"/>
        <w:jc w:val="both"/>
      </w:pPr>
      <w:r>
        <w:rPr>
          <w:rStyle w:val="Appelnotedebasdep"/>
        </w:rPr>
        <w:footnoteRef/>
      </w:r>
      <w:r>
        <w:t xml:space="preserve"> </w:t>
      </w:r>
      <w:r w:rsidRPr="0094556D">
        <w:rPr>
          <w:rFonts w:cs="Times New Roman"/>
          <w:i/>
        </w:rPr>
        <w:t>Journal officiel de la République française</w:t>
      </w:r>
      <w:r w:rsidRPr="0094556D">
        <w:rPr>
          <w:rFonts w:cs="Times New Roman"/>
        </w:rPr>
        <w:t>, n° 0287, 10 décembre 2016.</w:t>
      </w:r>
    </w:p>
  </w:footnote>
  <w:footnote w:id="2">
    <w:p w14:paraId="561D39E8" w14:textId="44CBDA76" w:rsidR="00552491" w:rsidRPr="00F01839" w:rsidRDefault="00552491" w:rsidP="002C2F99">
      <w:pPr>
        <w:autoSpaceDE w:val="0"/>
        <w:autoSpaceDN w:val="0"/>
        <w:adjustRightInd w:val="0"/>
        <w:spacing w:after="0" w:line="240" w:lineRule="auto"/>
        <w:jc w:val="both"/>
        <w:rPr>
          <w:rFonts w:cs="Times New Roman"/>
          <w:sz w:val="20"/>
          <w:szCs w:val="20"/>
        </w:rPr>
      </w:pPr>
      <w:r w:rsidRPr="00A870C8">
        <w:rPr>
          <w:rStyle w:val="Appelnotedebasdep"/>
          <w:sz w:val="20"/>
          <w:szCs w:val="20"/>
        </w:rPr>
        <w:footnoteRef/>
      </w:r>
      <w:r w:rsidRPr="00A870C8">
        <w:rPr>
          <w:sz w:val="20"/>
          <w:szCs w:val="20"/>
        </w:rPr>
        <w:t xml:space="preserve"> </w:t>
      </w:r>
      <w:r w:rsidRPr="00A870C8">
        <w:rPr>
          <w:rFonts w:cs="Times New Roman"/>
          <w:sz w:val="20"/>
          <w:szCs w:val="20"/>
          <w:lang w:eastAsia="fr-BE"/>
        </w:rPr>
        <w:t>À</w:t>
      </w:r>
      <w:r w:rsidRPr="00A870C8">
        <w:rPr>
          <w:sz w:val="20"/>
          <w:szCs w:val="20"/>
        </w:rPr>
        <w:t xml:space="preserve"> la</w:t>
      </w:r>
      <w:r w:rsidRPr="00F01839">
        <w:rPr>
          <w:sz w:val="20"/>
          <w:szCs w:val="20"/>
        </w:rPr>
        <w:t xml:space="preserve"> différence de la loi belge du 12 juillet 2015</w:t>
      </w:r>
      <w:r>
        <w:rPr>
          <w:sz w:val="20"/>
          <w:szCs w:val="20"/>
        </w:rPr>
        <w:t xml:space="preserve"> « </w:t>
      </w:r>
      <w:r w:rsidRPr="00B11B87">
        <w:rPr>
          <w:sz w:val="20"/>
          <w:szCs w:val="20"/>
        </w:rPr>
        <w:t>relative à la lutte contre les activités des fonds vautours</w:t>
      </w:r>
      <w:r>
        <w:rPr>
          <w:sz w:val="20"/>
          <w:szCs w:val="20"/>
        </w:rPr>
        <w:t> »</w:t>
      </w:r>
      <w:r w:rsidRPr="00F01839">
        <w:rPr>
          <w:sz w:val="20"/>
          <w:szCs w:val="20"/>
        </w:rPr>
        <w:t xml:space="preserve"> qui </w:t>
      </w:r>
      <w:r>
        <w:rPr>
          <w:sz w:val="20"/>
          <w:szCs w:val="20"/>
        </w:rPr>
        <w:t xml:space="preserve">reprend les termes </w:t>
      </w:r>
      <w:r w:rsidRPr="00F01839">
        <w:rPr>
          <w:sz w:val="20"/>
          <w:szCs w:val="20"/>
        </w:rPr>
        <w:t>« fonds vautours » dans son intitulé, il n’en est nullement question dans celui de la législation française</w:t>
      </w:r>
      <w:r>
        <w:rPr>
          <w:sz w:val="20"/>
          <w:szCs w:val="20"/>
        </w:rPr>
        <w:t>. Ce sobriquet fut toutefois utilisé à maintes reprises</w:t>
      </w:r>
      <w:r w:rsidRPr="00F01839">
        <w:rPr>
          <w:sz w:val="20"/>
          <w:szCs w:val="20"/>
        </w:rPr>
        <w:t xml:space="preserve"> lors des travaux p</w:t>
      </w:r>
      <w:r>
        <w:rPr>
          <w:sz w:val="20"/>
          <w:szCs w:val="20"/>
        </w:rPr>
        <w:t xml:space="preserve">réparatoires de la loi Sapin II. Ainsi, par exemple, </w:t>
      </w:r>
      <w:r w:rsidRPr="00F01839">
        <w:rPr>
          <w:sz w:val="20"/>
          <w:szCs w:val="20"/>
        </w:rPr>
        <w:t xml:space="preserve">le titre « Renforcement de la protection conférée aux biens </w:t>
      </w:r>
      <w:r w:rsidRPr="00184539">
        <w:rPr>
          <w:sz w:val="20"/>
          <w:szCs w:val="20"/>
        </w:rPr>
        <w:t xml:space="preserve">d’un </w:t>
      </w:r>
      <w:r w:rsidRPr="00184539">
        <w:rPr>
          <w:rFonts w:cs="Times New Roman"/>
          <w:sz w:val="20"/>
          <w:szCs w:val="20"/>
          <w:shd w:val="clear" w:color="auto" w:fill="FFFFFF"/>
        </w:rPr>
        <w:t>É</w:t>
      </w:r>
      <w:r w:rsidRPr="00184539">
        <w:rPr>
          <w:sz w:val="20"/>
          <w:szCs w:val="20"/>
        </w:rPr>
        <w:t>tat</w:t>
      </w:r>
      <w:r>
        <w:rPr>
          <w:sz w:val="20"/>
          <w:szCs w:val="20"/>
        </w:rPr>
        <w:t xml:space="preserve"> étranger contre les fonds </w:t>
      </w:r>
      <w:r w:rsidRPr="009C76CD">
        <w:rPr>
          <w:rFonts w:cs="Times New Roman"/>
          <w:sz w:val="20"/>
          <w:szCs w:val="20"/>
        </w:rPr>
        <w:t>“vautours”</w:t>
      </w:r>
      <w:r>
        <w:rPr>
          <w:rFonts w:cs="Times New Roman"/>
          <w:sz w:val="20"/>
          <w:szCs w:val="20"/>
        </w:rPr>
        <w:t xml:space="preserve"> </w:t>
      </w:r>
      <w:r w:rsidRPr="009C76CD">
        <w:rPr>
          <w:rFonts w:cs="Times New Roman"/>
          <w:sz w:val="20"/>
          <w:szCs w:val="20"/>
        </w:rPr>
        <w:t>»</w:t>
      </w:r>
      <w:r w:rsidRPr="00F01839">
        <w:rPr>
          <w:sz w:val="20"/>
          <w:szCs w:val="20"/>
        </w:rPr>
        <w:t xml:space="preserve"> fut </w:t>
      </w:r>
      <w:r>
        <w:rPr>
          <w:sz w:val="20"/>
          <w:szCs w:val="20"/>
        </w:rPr>
        <w:t xml:space="preserve">un temps </w:t>
      </w:r>
      <w:r w:rsidRPr="00F01839">
        <w:rPr>
          <w:sz w:val="20"/>
          <w:szCs w:val="20"/>
        </w:rPr>
        <w:t>donné à l’article 24</w:t>
      </w:r>
      <w:r w:rsidRPr="00F01839">
        <w:rPr>
          <w:i/>
          <w:sz w:val="20"/>
          <w:szCs w:val="20"/>
        </w:rPr>
        <w:t>bis</w:t>
      </w:r>
      <w:r w:rsidRPr="00F01839">
        <w:rPr>
          <w:sz w:val="20"/>
          <w:szCs w:val="20"/>
        </w:rPr>
        <w:t xml:space="preserve"> qui deviendra l’article 60 de la loi </w:t>
      </w:r>
      <w:r w:rsidRPr="00B11B87">
        <w:rPr>
          <w:sz w:val="20"/>
          <w:szCs w:val="20"/>
        </w:rPr>
        <w:t>adoptée</w:t>
      </w:r>
      <w:r w:rsidR="00924009">
        <w:rPr>
          <w:sz w:val="20"/>
          <w:szCs w:val="20"/>
        </w:rPr>
        <w:t xml:space="preserve"> (voy.</w:t>
      </w:r>
      <w:r w:rsidRPr="00F01839">
        <w:rPr>
          <w:sz w:val="20"/>
          <w:szCs w:val="20"/>
        </w:rPr>
        <w:t xml:space="preserve"> </w:t>
      </w:r>
      <w:r>
        <w:rPr>
          <w:sz w:val="20"/>
          <w:szCs w:val="20"/>
        </w:rPr>
        <w:t xml:space="preserve">notamment le </w:t>
      </w:r>
      <w:r w:rsidRPr="00F01839">
        <w:rPr>
          <w:rFonts w:cs="Times New Roman"/>
          <w:bCs/>
          <w:sz w:val="20"/>
          <w:szCs w:val="20"/>
        </w:rPr>
        <w:t xml:space="preserve">rapport </w:t>
      </w:r>
      <w:r w:rsidRPr="00F01839">
        <w:rPr>
          <w:rFonts w:cs="Times New Roman"/>
          <w:sz w:val="20"/>
          <w:szCs w:val="20"/>
        </w:rPr>
        <w:t>n° 4045 et 4046</w:t>
      </w:r>
      <w:r>
        <w:rPr>
          <w:rFonts w:cs="Times New Roman"/>
          <w:sz w:val="20"/>
          <w:szCs w:val="20"/>
        </w:rPr>
        <w:t xml:space="preserve"> </w:t>
      </w:r>
      <w:r w:rsidRPr="00F01839">
        <w:rPr>
          <w:rFonts w:cs="Times New Roman"/>
          <w:bCs/>
          <w:sz w:val="20"/>
          <w:szCs w:val="20"/>
        </w:rPr>
        <w:t xml:space="preserve">fait au nom de la commission des lois constitutionnelles, de la législation et de l’administration générale de la République, en nouvelle lecture, sur le projet de loi (n° 3939) </w:t>
      </w:r>
      <w:r w:rsidRPr="00F01839">
        <w:rPr>
          <w:rFonts w:cs="Times New Roman"/>
          <w:iCs/>
          <w:sz w:val="20"/>
          <w:szCs w:val="20"/>
        </w:rPr>
        <w:t xml:space="preserve">relatif à la </w:t>
      </w:r>
      <w:r w:rsidRPr="00F01839">
        <w:rPr>
          <w:rFonts w:cs="Times New Roman"/>
          <w:bCs/>
          <w:sz w:val="20"/>
          <w:szCs w:val="20"/>
        </w:rPr>
        <w:t>transparence</w:t>
      </w:r>
      <w:r w:rsidRPr="00F01839">
        <w:rPr>
          <w:rFonts w:cs="Times New Roman"/>
          <w:iCs/>
          <w:sz w:val="20"/>
          <w:szCs w:val="20"/>
        </w:rPr>
        <w:t>, à</w:t>
      </w:r>
      <w:r w:rsidRPr="00F01839">
        <w:rPr>
          <w:rFonts w:cs="Times New Roman"/>
          <w:bCs/>
          <w:sz w:val="20"/>
          <w:szCs w:val="20"/>
        </w:rPr>
        <w:t xml:space="preserve"> </w:t>
      </w:r>
      <w:r w:rsidRPr="00F01839">
        <w:rPr>
          <w:rFonts w:cs="Times New Roman"/>
          <w:iCs/>
          <w:sz w:val="20"/>
          <w:szCs w:val="20"/>
        </w:rPr>
        <w:t xml:space="preserve">la </w:t>
      </w:r>
      <w:r w:rsidRPr="00F01839">
        <w:rPr>
          <w:rFonts w:cs="Times New Roman"/>
          <w:bCs/>
          <w:sz w:val="20"/>
          <w:szCs w:val="20"/>
        </w:rPr>
        <w:t xml:space="preserve">lutte contre </w:t>
      </w:r>
      <w:r w:rsidRPr="00F01839">
        <w:rPr>
          <w:rFonts w:cs="Times New Roman"/>
          <w:iCs/>
          <w:sz w:val="20"/>
          <w:szCs w:val="20"/>
        </w:rPr>
        <w:t xml:space="preserve">la </w:t>
      </w:r>
      <w:r w:rsidRPr="00F01839">
        <w:rPr>
          <w:rFonts w:cs="Times New Roman"/>
          <w:bCs/>
          <w:sz w:val="20"/>
          <w:szCs w:val="20"/>
        </w:rPr>
        <w:t xml:space="preserve">corruption </w:t>
      </w:r>
      <w:r w:rsidRPr="00F01839">
        <w:rPr>
          <w:rFonts w:cs="Times New Roman"/>
          <w:iCs/>
          <w:sz w:val="20"/>
          <w:szCs w:val="20"/>
        </w:rPr>
        <w:t xml:space="preserve">et à la </w:t>
      </w:r>
      <w:r w:rsidRPr="00F01839">
        <w:rPr>
          <w:rFonts w:cs="Times New Roman"/>
          <w:bCs/>
          <w:sz w:val="20"/>
          <w:szCs w:val="20"/>
        </w:rPr>
        <w:t xml:space="preserve">modernisation </w:t>
      </w:r>
      <w:r w:rsidRPr="00F01839">
        <w:rPr>
          <w:rFonts w:cs="Times New Roman"/>
          <w:iCs/>
          <w:sz w:val="20"/>
          <w:szCs w:val="20"/>
        </w:rPr>
        <w:t xml:space="preserve">de la </w:t>
      </w:r>
      <w:r w:rsidRPr="009D75D4">
        <w:rPr>
          <w:rFonts w:cs="Times New Roman"/>
          <w:bCs/>
          <w:sz w:val="20"/>
          <w:szCs w:val="20"/>
        </w:rPr>
        <w:t xml:space="preserve">vie économique </w:t>
      </w:r>
      <w:r w:rsidRPr="009D75D4">
        <w:rPr>
          <w:sz w:val="20"/>
          <w:szCs w:val="20"/>
        </w:rPr>
        <w:t>[…]</w:t>
      </w:r>
      <w:r w:rsidRPr="009D75D4">
        <w:rPr>
          <w:rFonts w:cs="Times New Roman"/>
          <w:sz w:val="20"/>
          <w:szCs w:val="20"/>
        </w:rPr>
        <w:t>, par S. Denaja</w:t>
      </w:r>
      <w:r w:rsidRPr="00F01839">
        <w:rPr>
          <w:rFonts w:cs="Times New Roman"/>
          <w:sz w:val="20"/>
          <w:szCs w:val="20"/>
        </w:rPr>
        <w:t xml:space="preserve">, 21 septembre 2016, </w:t>
      </w:r>
      <w:r>
        <w:rPr>
          <w:rFonts w:cs="Times New Roman"/>
          <w:sz w:val="20"/>
          <w:szCs w:val="20"/>
        </w:rPr>
        <w:t xml:space="preserve">disponible à l’adresse </w:t>
      </w:r>
      <w:hyperlink r:id="rId1" w:history="1">
        <w:r w:rsidRPr="00674042">
          <w:rPr>
            <w:rStyle w:val="Lienhypertexte"/>
            <w:rFonts w:cs="Times New Roman"/>
            <w:sz w:val="20"/>
            <w:szCs w:val="20"/>
          </w:rPr>
          <w:t>www.assemblee-nationale.fr/14/pdf/rapports/r4045.pdf</w:t>
        </w:r>
      </w:hyperlink>
      <w:r>
        <w:rPr>
          <w:rFonts w:cs="Times New Roman"/>
          <w:sz w:val="20"/>
          <w:szCs w:val="20"/>
        </w:rPr>
        <w:t>, p. 121)</w:t>
      </w:r>
      <w:r w:rsidRPr="00F01839">
        <w:rPr>
          <w:sz w:val="20"/>
          <w:szCs w:val="20"/>
        </w:rPr>
        <w:t>.</w:t>
      </w:r>
    </w:p>
  </w:footnote>
  <w:footnote w:id="3">
    <w:p w14:paraId="3A434EC6" w14:textId="77777777" w:rsidR="00552491" w:rsidRDefault="00552491" w:rsidP="002C2F99">
      <w:pPr>
        <w:pStyle w:val="Notedebasdepage"/>
        <w:jc w:val="both"/>
      </w:pPr>
      <w:r>
        <w:rPr>
          <w:rStyle w:val="Appelnotedebasdep"/>
        </w:rPr>
        <w:footnoteRef/>
      </w:r>
      <w:r>
        <w:t xml:space="preserve"> Au sujet de l’enchâssement des articles 59 et 60 de la loi Sapin II, </w:t>
      </w:r>
      <w:r w:rsidRPr="00462BA2">
        <w:rPr>
          <w:rFonts w:cs="Times New Roman"/>
        </w:rPr>
        <w:t>Jérémy</w:t>
      </w:r>
      <w:r w:rsidRPr="00462BA2">
        <w:rPr>
          <w:rFonts w:cs="Times New Roman"/>
          <w:smallCaps/>
        </w:rPr>
        <w:t xml:space="preserve"> </w:t>
      </w:r>
      <w:r w:rsidRPr="00462BA2">
        <w:rPr>
          <w:rFonts w:cs="Times New Roman"/>
        </w:rPr>
        <w:t>Heymann indique que</w:t>
      </w:r>
      <w:r w:rsidRPr="00462BA2">
        <w:rPr>
          <w:rFonts w:cs="Times New Roman"/>
          <w:b/>
        </w:rPr>
        <w:t xml:space="preserve"> </w:t>
      </w:r>
      <w:r w:rsidRPr="00462BA2">
        <w:rPr>
          <w:rStyle w:val="lev"/>
          <w:rFonts w:cs="Times New Roman"/>
          <w:b w:val="0"/>
          <w:shd w:val="clear" w:color="auto" w:fill="FFFFFF"/>
        </w:rPr>
        <w:t xml:space="preserve">« (l)’article 60 </w:t>
      </w:r>
      <w:r>
        <w:rPr>
          <w:szCs w:val="22"/>
        </w:rPr>
        <w:t>[…] </w:t>
      </w:r>
      <w:r w:rsidRPr="00462BA2">
        <w:rPr>
          <w:rStyle w:val="lev"/>
          <w:rFonts w:cs="Times New Roman"/>
          <w:b w:val="0"/>
          <w:shd w:val="clear" w:color="auto" w:fill="FFFFFF"/>
        </w:rPr>
        <w:t xml:space="preserve">est venu créer un régime spécial d’immunité d’exécution, dérogatoire aux dispositions des articles L. 111-1-1 </w:t>
      </w:r>
      <w:r>
        <w:rPr>
          <w:rStyle w:val="lev"/>
          <w:rFonts w:cs="Times New Roman"/>
          <w:b w:val="0"/>
          <w:shd w:val="clear" w:color="auto" w:fill="FFFFFF"/>
        </w:rPr>
        <w:t xml:space="preserve">et suivants </w:t>
      </w:r>
      <w:r w:rsidRPr="00462BA2">
        <w:rPr>
          <w:rStyle w:val="lev"/>
          <w:rFonts w:cs="Times New Roman"/>
          <w:b w:val="0"/>
          <w:shd w:val="clear" w:color="auto" w:fill="FFFFFF"/>
        </w:rPr>
        <w:t>du Code des procédures civiles d’exécution » (</w:t>
      </w:r>
      <w:r w:rsidRPr="00462BA2">
        <w:rPr>
          <w:rFonts w:cs="Times New Roman"/>
        </w:rPr>
        <w:t xml:space="preserve">« La loi Sapin 2 </w:t>
      </w:r>
      <w:r>
        <w:rPr>
          <w:rFonts w:cs="Times New Roman"/>
        </w:rPr>
        <w:t xml:space="preserve">et les immunités </w:t>
      </w:r>
      <w:r w:rsidRPr="00A870C8">
        <w:rPr>
          <w:rFonts w:cs="Times New Roman"/>
        </w:rPr>
        <w:t xml:space="preserve">d’exécution – </w:t>
      </w:r>
      <w:r w:rsidRPr="00A870C8">
        <w:rPr>
          <w:rFonts w:cs="Times New Roman"/>
          <w:lang w:eastAsia="fr-BE"/>
        </w:rPr>
        <w:t>À</w:t>
      </w:r>
      <w:r w:rsidRPr="00462BA2">
        <w:rPr>
          <w:rFonts w:cs="Times New Roman"/>
        </w:rPr>
        <w:t xml:space="preserve"> propos de la loi n°2016-1691 du 9 décembre 2016 », </w:t>
      </w:r>
      <w:r w:rsidRPr="00462BA2">
        <w:rPr>
          <w:rFonts w:cs="Times New Roman"/>
          <w:i/>
        </w:rPr>
        <w:t>La semaine juridique – Edition générale</w:t>
      </w:r>
      <w:r w:rsidRPr="00462BA2">
        <w:rPr>
          <w:rFonts w:cs="Times New Roman"/>
        </w:rPr>
        <w:t xml:space="preserve">, 30 janvier 2017, p. </w:t>
      </w:r>
      <w:r w:rsidRPr="007D3470">
        <w:rPr>
          <w:rFonts w:cs="Times New Roman"/>
        </w:rPr>
        <w:t>178. Fabienne Jault-Seseke parle également de « régime spécial » à l’endroit de l’article 60 (</w:t>
      </w:r>
      <w:r w:rsidRPr="007D3470">
        <w:t xml:space="preserve">« Panorama – Droit international privé – mars 2016 - février 2017 – Conflit de juridictions », </w:t>
      </w:r>
      <w:r w:rsidRPr="007D3470">
        <w:rPr>
          <w:i/>
        </w:rPr>
        <w:t>Recueil Dalloz</w:t>
      </w:r>
      <w:r w:rsidRPr="007D3470">
        <w:t>, 18 mai 2017, p. 1026)</w:t>
      </w:r>
      <w:r w:rsidRPr="007D3470">
        <w:rPr>
          <w:rFonts w:cs="Times New Roman"/>
        </w:rPr>
        <w:t>).</w:t>
      </w:r>
      <w:r w:rsidRPr="00462BA2">
        <w:rPr>
          <w:rFonts w:cs="Times New Roman"/>
        </w:rPr>
        <w:t xml:space="preserve"> Jean-François Giacuzzo parle quant à lui d’une protection originale introduite dans le droit des immunités (« La loi </w:t>
      </w:r>
      <w:r w:rsidRPr="007D3470">
        <w:rPr>
          <w:rFonts w:cs="Times New Roman"/>
          <w:i/>
        </w:rPr>
        <w:t>Sapin 2</w:t>
      </w:r>
      <w:r w:rsidRPr="007D3470">
        <w:rPr>
          <w:rFonts w:cs="Times New Roman"/>
        </w:rPr>
        <w:t xml:space="preserve"> : modernisation de la gestion domaniale et restrictions de la propriété privée », </w:t>
      </w:r>
      <w:r w:rsidRPr="007D3470">
        <w:rPr>
          <w:rFonts w:cs="Times New Roman"/>
          <w:i/>
        </w:rPr>
        <w:t>Constitutions</w:t>
      </w:r>
      <w:r w:rsidRPr="007D3470">
        <w:rPr>
          <w:rFonts w:cs="Times New Roman"/>
        </w:rPr>
        <w:t xml:space="preserve">, 2017, p. 75) là où Sylvain Bollée parle de « solutions s’éloign(a)nt des principes classiques du droit des immunités » (« Les dispositions de la loi Sapin 2 relatives à l’immunité d’exécution », </w:t>
      </w:r>
      <w:r w:rsidRPr="007D3470">
        <w:rPr>
          <w:rFonts w:cs="Times New Roman"/>
          <w:i/>
        </w:rPr>
        <w:t>Recueil Dalloz</w:t>
      </w:r>
      <w:r w:rsidRPr="007D3470">
        <w:rPr>
          <w:rFonts w:cs="Times New Roman"/>
        </w:rPr>
        <w:t xml:space="preserve">, 15 décembre 2016, </w:t>
      </w:r>
      <w:r w:rsidRPr="007D3470">
        <w:t xml:space="preserve">n° 43, </w:t>
      </w:r>
      <w:r w:rsidRPr="007D3470">
        <w:rPr>
          <w:rFonts w:cs="Times New Roman"/>
        </w:rPr>
        <w:t xml:space="preserve">p. 2560). Régis Bismuth parle lui d’un « régime plus restrictif d’immunité » (R. </w:t>
      </w:r>
      <w:r w:rsidRPr="007D3470">
        <w:rPr>
          <w:rFonts w:cs="Times New Roman"/>
          <w:smallCaps/>
        </w:rPr>
        <w:t>Bismuth</w:t>
      </w:r>
      <w:r w:rsidRPr="007D3470">
        <w:rPr>
          <w:rFonts w:cs="Times New Roman"/>
        </w:rPr>
        <w:t xml:space="preserve">, « L’immunité d’exécution après la loi Sapin 2 », </w:t>
      </w:r>
      <w:r w:rsidRPr="007D3470">
        <w:rPr>
          <w:rFonts w:cs="Times New Roman"/>
          <w:i/>
        </w:rPr>
        <w:t>Journal du droit international</w:t>
      </w:r>
      <w:r w:rsidRPr="007D3470">
        <w:rPr>
          <w:rFonts w:cs="Times New Roman"/>
        </w:rPr>
        <w:t>, 2018, p. 447).</w:t>
      </w:r>
    </w:p>
  </w:footnote>
  <w:footnote w:id="4">
    <w:p w14:paraId="4331E56F" w14:textId="49B57124" w:rsidR="00552491" w:rsidRPr="001B7FBB" w:rsidRDefault="00552491" w:rsidP="002C2F99">
      <w:pPr>
        <w:pStyle w:val="Notedebasdepage"/>
        <w:jc w:val="both"/>
      </w:pPr>
      <w:r w:rsidRPr="007D3470">
        <w:rPr>
          <w:rStyle w:val="Appelnotedebasdep"/>
        </w:rPr>
        <w:footnoteRef/>
      </w:r>
      <w:r w:rsidRPr="007D3470">
        <w:t xml:space="preserve"> Respectivement </w:t>
      </w:r>
      <w:r w:rsidRPr="007D3470">
        <w:rPr>
          <w:rFonts w:cs="Times New Roman"/>
          <w:i/>
        </w:rPr>
        <w:t>Moniteur belge</w:t>
      </w:r>
      <w:r w:rsidRPr="007D3470">
        <w:rPr>
          <w:rFonts w:cs="Times New Roman"/>
        </w:rPr>
        <w:t xml:space="preserve">, 3 septembre 2015 </w:t>
      </w:r>
      <w:r w:rsidRPr="007D3470">
        <w:t xml:space="preserve">et </w:t>
      </w:r>
      <w:r w:rsidRPr="007D3470">
        <w:rPr>
          <w:rFonts w:cs="Times New Roman"/>
          <w:i/>
        </w:rPr>
        <w:t>Moniteur belge</w:t>
      </w:r>
      <w:r w:rsidRPr="007D3470">
        <w:rPr>
          <w:rFonts w:cs="Times New Roman"/>
        </w:rPr>
        <w:t>, 11 septembre 2015 (</w:t>
      </w:r>
      <w:r w:rsidRPr="007D3470">
        <w:rPr>
          <w:rFonts w:cs="Times New Roman"/>
          <w:i/>
        </w:rPr>
        <w:t>erratum</w:t>
      </w:r>
      <w:r w:rsidRPr="007D3470">
        <w:rPr>
          <w:rFonts w:cs="Times New Roman"/>
        </w:rPr>
        <w:t xml:space="preserve"> au Moniteur belge du 16 septembre 2015). </w:t>
      </w:r>
      <w:r w:rsidRPr="007D3470">
        <w:t>Sur</w:t>
      </w:r>
      <w:r w:rsidRPr="001B7FBB">
        <w:t xml:space="preserve"> ces deux législations be</w:t>
      </w:r>
      <w:r w:rsidR="00924009">
        <w:t>lges, voy.</w:t>
      </w:r>
      <w:r w:rsidRPr="001B7FBB">
        <w:t xml:space="preserve"> notamment nos contributions intitulées « La saisie de biens appartenant à une puissance étrangère en droit belge » et « La lutte contre les activités des fonds vautours en Belgique » publiées à la </w:t>
      </w:r>
      <w:r w:rsidRPr="001B7FBB">
        <w:rPr>
          <w:i/>
        </w:rPr>
        <w:t>Revue de droit international d’Assas</w:t>
      </w:r>
      <w:r w:rsidRPr="001B7FBB">
        <w:t xml:space="preserve"> (2018, pp. 324-358 et pp. 376-407, disponible à l’adresse </w:t>
      </w:r>
      <w:hyperlink r:id="rId2" w:history="1">
        <w:r w:rsidRPr="001B7FBB">
          <w:rPr>
            <w:rStyle w:val="Lienhypertexte"/>
            <w:color w:val="auto"/>
            <w:u w:val="none"/>
          </w:rPr>
          <w:t>www.u-paris2.fr/fr/revue-de-droit-international-dassas-rdia</w:t>
        </w:r>
      </w:hyperlink>
      <w:r w:rsidR="00924009">
        <w:t>). Voy.</w:t>
      </w:r>
      <w:r w:rsidRPr="001B7FBB">
        <w:t xml:space="preserve"> également nos commentaires des arrêts rendus par la Cour constitutionnelle belge </w:t>
      </w:r>
      <w:r>
        <w:t>à la suite de recours en annulation introduits contre</w:t>
      </w:r>
      <w:r w:rsidRPr="001B7FBB">
        <w:t xml:space="preserve"> ces législations</w:t>
      </w:r>
      <w:r>
        <w:t xml:space="preserve"> : </w:t>
      </w:r>
      <w:r w:rsidRPr="001B7FBB">
        <w:t>« Satisfecit constitutionnel partiel pour l’article 1412</w:t>
      </w:r>
      <w:r w:rsidRPr="001B7FBB">
        <w:rPr>
          <w:i/>
        </w:rPr>
        <w:t>quinquies</w:t>
      </w:r>
      <w:r w:rsidRPr="001B7FBB">
        <w:t xml:space="preserve"> du Code judiciaire » et </w:t>
      </w:r>
      <w:r w:rsidRPr="003B5907">
        <w:t>« La loi anti-fonds vautours belge réussit son examen constitutionnel</w:t>
      </w:r>
      <w:r w:rsidRPr="001B7FBB">
        <w:t xml:space="preserve"> » publiés au </w:t>
      </w:r>
      <w:r w:rsidRPr="001B7FBB">
        <w:rPr>
          <w:i/>
        </w:rPr>
        <w:t>Journal des tribunaux</w:t>
      </w:r>
      <w:r w:rsidRPr="001B7FBB">
        <w:t xml:space="preserve"> (2018, pp. 560-564 et pp. </w:t>
      </w:r>
      <w:r>
        <w:t>870-874</w:t>
      </w:r>
      <w:r w:rsidRPr="001B7FBB">
        <w:t>).</w:t>
      </w:r>
    </w:p>
  </w:footnote>
  <w:footnote w:id="5">
    <w:p w14:paraId="6C3BB58E" w14:textId="77777777" w:rsidR="00552491" w:rsidRDefault="00552491" w:rsidP="002C2F99">
      <w:pPr>
        <w:pStyle w:val="Notedebasdepage"/>
        <w:jc w:val="both"/>
      </w:pPr>
      <w:r>
        <w:rPr>
          <w:rStyle w:val="Appelnotedebasdep"/>
        </w:rPr>
        <w:footnoteRef/>
      </w:r>
      <w:r>
        <w:t xml:space="preserve"> L’article 59 sera analysé dans une contribution future intitulée « La mise en œuvre de mesures de contrainte sur les biens appartenant aux </w:t>
      </w:r>
      <w:r w:rsidRPr="00184539">
        <w:rPr>
          <w:rFonts w:cs="Times New Roman"/>
          <w:shd w:val="clear" w:color="auto" w:fill="FFFFFF"/>
        </w:rPr>
        <w:t>É</w:t>
      </w:r>
      <w:r>
        <w:t>tats étrangers en France : analyse de l’article 59 de la loi Sapin II ».</w:t>
      </w:r>
    </w:p>
  </w:footnote>
  <w:footnote w:id="6">
    <w:p w14:paraId="49B0E772" w14:textId="77777777" w:rsidR="00552491" w:rsidRPr="0094556D" w:rsidRDefault="00552491" w:rsidP="002C2F99">
      <w:pPr>
        <w:pStyle w:val="Notedebasdepage"/>
        <w:jc w:val="both"/>
        <w:rPr>
          <w:rFonts w:cs="Times New Roman"/>
        </w:rPr>
      </w:pPr>
      <w:r w:rsidRPr="0094556D">
        <w:rPr>
          <w:rStyle w:val="Appelnotedebasdep"/>
          <w:rFonts w:cs="Times New Roman"/>
        </w:rPr>
        <w:footnoteRef/>
      </w:r>
      <w:r w:rsidRPr="0094556D">
        <w:rPr>
          <w:rFonts w:cs="Times New Roman"/>
        </w:rPr>
        <w:t xml:space="preserve"> L’action des fonds vautours n’est pas exceptionnelle, si l’on pense à des pays comme le Pérou, l</w:t>
      </w:r>
      <w:r>
        <w:rPr>
          <w:rFonts w:cs="Times New Roman"/>
        </w:rPr>
        <w:t>a République démocratique du Congo ou encore</w:t>
      </w:r>
      <w:r w:rsidRPr="0094556D">
        <w:rPr>
          <w:rFonts w:cs="Times New Roman"/>
        </w:rPr>
        <w:t xml:space="preserve"> la Zambie attaqués par de tels fonds. </w:t>
      </w:r>
      <w:r w:rsidRPr="0094556D">
        <w:rPr>
          <w:rFonts w:cs="Times New Roman"/>
          <w:bCs/>
          <w:color w:val="000000"/>
        </w:rPr>
        <w:t xml:space="preserve">En la matière, le contentieux le plus connu est indubitablement celui opposant la société NML Capital </w:t>
      </w:r>
      <w:r>
        <w:rPr>
          <w:rFonts w:cs="Times New Roman"/>
          <w:bCs/>
          <w:color w:val="000000"/>
        </w:rPr>
        <w:t xml:space="preserve">Ltd. </w:t>
      </w:r>
      <w:r w:rsidRPr="0094556D">
        <w:rPr>
          <w:rFonts w:cs="Times New Roman"/>
          <w:bCs/>
          <w:color w:val="000000"/>
        </w:rPr>
        <w:t>à l</w:t>
      </w:r>
      <w:r>
        <w:rPr>
          <w:rFonts w:cs="Times New Roman"/>
          <w:bCs/>
          <w:color w:val="000000"/>
        </w:rPr>
        <w:t>a République argentine.</w:t>
      </w:r>
    </w:p>
  </w:footnote>
  <w:footnote w:id="7">
    <w:p w14:paraId="22ABD8C2" w14:textId="6AFDC758" w:rsidR="00552491" w:rsidRPr="00070130" w:rsidRDefault="00552491" w:rsidP="002C2F99">
      <w:pPr>
        <w:pStyle w:val="Sansinterligne"/>
        <w:jc w:val="both"/>
        <w:rPr>
          <w:rFonts w:ascii="Times New Roman" w:hAnsi="Times New Roman" w:cs="Times New Roman"/>
          <w:sz w:val="20"/>
          <w:szCs w:val="20"/>
          <w:shd w:val="clear" w:color="auto" w:fill="FFFFFF"/>
        </w:rPr>
      </w:pPr>
      <w:r w:rsidRPr="00070130">
        <w:rPr>
          <w:rStyle w:val="Appelnotedebasdep"/>
          <w:rFonts w:ascii="Times New Roman" w:hAnsi="Times New Roman" w:cs="Times New Roman"/>
          <w:sz w:val="20"/>
          <w:szCs w:val="20"/>
        </w:rPr>
        <w:footnoteRef/>
      </w:r>
      <w:r w:rsidRPr="00070130">
        <w:rPr>
          <w:rFonts w:ascii="Times New Roman" w:hAnsi="Times New Roman" w:cs="Times New Roman"/>
          <w:sz w:val="20"/>
          <w:szCs w:val="20"/>
        </w:rPr>
        <w:t xml:space="preserve"> Le phénomène des fonds vautours est décrit dans l’amendement à l’origine de l’article 60 de la loi Sapin II comme suit : « </w:t>
      </w:r>
      <w:r w:rsidRPr="00070130">
        <w:rPr>
          <w:rFonts w:ascii="Times New Roman" w:hAnsi="Times New Roman" w:cs="Times New Roman"/>
          <w:sz w:val="20"/>
          <w:szCs w:val="20"/>
          <w:shd w:val="clear" w:color="auto" w:fill="FFFFFF"/>
        </w:rPr>
        <w:t>(c)es fonds mettent en œuvre une stratégie qui consiste à racheter au rabais la dette d’un État alors que celui-ci se trouve déjà en situation de difficulté économique grave, voire en situation de défaut de paiement ou en phase de restructuration de sa dette ; ils refusent ensuite de participer à toute restructuration, quand bien même une large majorité de créanciers y participent, ou même font en sorte de les bloquer quand la restructuration est soumise à la règle de l’unanimité. Ils exigent alors par la voie judiciaire, alors qu’ils ont payé des sommes très inférieures au montant nominal des créances, le paiement en plein du titre de créance ainsi racheté ainsi que les intérêts et pénalités accumulés et en multipliant les recours judiciaires, le cas échéant, dans un grand nombre de juridictions » (</w:t>
      </w:r>
      <w:r w:rsidRPr="000502A8">
        <w:rPr>
          <w:rFonts w:ascii="Times New Roman" w:hAnsi="Times New Roman" w:cs="Times New Roman"/>
          <w:sz w:val="20"/>
          <w:szCs w:val="20"/>
        </w:rPr>
        <w:t>amendement n° 1405 (Rect) présenté par D.</w:t>
      </w:r>
      <w:r w:rsidRPr="000502A8">
        <w:rPr>
          <w:rFonts w:ascii="Times New Roman" w:hAnsi="Times New Roman" w:cs="Times New Roman"/>
          <w:iCs/>
          <w:color w:val="000000"/>
          <w:sz w:val="20"/>
          <w:szCs w:val="20"/>
          <w:shd w:val="clear" w:color="auto" w:fill="FFFFFF"/>
        </w:rPr>
        <w:t> Potier, S. Mazetier, S. Denaja, R. Colas, C. Castaner, S. Errante, Y. Galut,</w:t>
      </w:r>
      <w:r>
        <w:rPr>
          <w:rFonts w:ascii="Times New Roman" w:hAnsi="Times New Roman" w:cs="Times New Roman"/>
          <w:iCs/>
          <w:color w:val="000000"/>
          <w:sz w:val="20"/>
          <w:szCs w:val="20"/>
          <w:shd w:val="clear" w:color="auto" w:fill="FFFFFF"/>
        </w:rPr>
        <w:t xml:space="preserve"> </w:t>
      </w:r>
      <w:r w:rsidRPr="000502A8">
        <w:rPr>
          <w:rFonts w:ascii="Times New Roman" w:hAnsi="Times New Roman" w:cs="Times New Roman"/>
          <w:iCs/>
          <w:color w:val="000000"/>
          <w:sz w:val="20"/>
          <w:szCs w:val="20"/>
          <w:shd w:val="clear" w:color="auto" w:fill="FFFFFF"/>
        </w:rPr>
        <w:t>P. Cherki, M. Rabin, C. Guittet, J.-R. Marsac, P. Baumel, J.-P. Dufau et R. Hammadi</w:t>
      </w:r>
      <w:r w:rsidRPr="000502A8">
        <w:rPr>
          <w:rFonts w:ascii="Times New Roman" w:hAnsi="Times New Roman" w:cs="Times New Roman"/>
          <w:iCs/>
          <w:sz w:val="20"/>
          <w:szCs w:val="20"/>
          <w:shd w:val="clear" w:color="auto" w:fill="FFFFFF"/>
        </w:rPr>
        <w:t>,</w:t>
      </w:r>
      <w:r>
        <w:rPr>
          <w:rFonts w:ascii="Times New Roman" w:hAnsi="Times New Roman" w:cs="Times New Roman"/>
          <w:iCs/>
          <w:sz w:val="20"/>
          <w:szCs w:val="20"/>
          <w:shd w:val="clear" w:color="auto" w:fill="FFFFFF"/>
        </w:rPr>
        <w:t xml:space="preserve"> 2 juin 2016,</w:t>
      </w:r>
      <w:r w:rsidRPr="000502A8">
        <w:rPr>
          <w:rFonts w:ascii="Times New Roman" w:hAnsi="Times New Roman" w:cs="Times New Roman"/>
          <w:iCs/>
          <w:sz w:val="20"/>
          <w:szCs w:val="20"/>
          <w:shd w:val="clear" w:color="auto" w:fill="FFFFFF"/>
        </w:rPr>
        <w:t xml:space="preserve"> disponible</w:t>
      </w:r>
      <w:r w:rsidRPr="00070130">
        <w:rPr>
          <w:rFonts w:ascii="Times New Roman" w:hAnsi="Times New Roman" w:cs="Times New Roman"/>
          <w:iCs/>
          <w:sz w:val="20"/>
          <w:szCs w:val="20"/>
          <w:shd w:val="clear" w:color="auto" w:fill="FFFFFF"/>
        </w:rPr>
        <w:t xml:space="preserve"> à l’adresse </w:t>
      </w:r>
      <w:hyperlink r:id="rId3" w:history="1">
        <w:r w:rsidRPr="00674042">
          <w:rPr>
            <w:rStyle w:val="Lienhypertexte"/>
            <w:rFonts w:ascii="Times New Roman" w:hAnsi="Times New Roman" w:cs="Times New Roman"/>
            <w:iCs/>
            <w:sz w:val="20"/>
            <w:szCs w:val="20"/>
            <w:shd w:val="clear" w:color="auto" w:fill="FFFFFF"/>
          </w:rPr>
          <w:t>www.assemblee-nationale.fr/14/amendements/3785/AN/1405.pdf</w:t>
        </w:r>
      </w:hyperlink>
      <w:r w:rsidRPr="00070130">
        <w:rPr>
          <w:rFonts w:ascii="Times New Roman" w:hAnsi="Times New Roman" w:cs="Times New Roman"/>
          <w:iCs/>
          <w:sz w:val="20"/>
          <w:szCs w:val="20"/>
          <w:shd w:val="clear" w:color="auto" w:fill="FFFFFF"/>
        </w:rPr>
        <w:t xml:space="preserve">, pp. 2 et 3. </w:t>
      </w:r>
      <w:r w:rsidR="00924009">
        <w:rPr>
          <w:rFonts w:ascii="Times New Roman" w:hAnsi="Times New Roman" w:cs="Times New Roman"/>
          <w:iCs/>
          <w:sz w:val="20"/>
          <w:szCs w:val="20"/>
          <w:shd w:val="clear" w:color="auto" w:fill="FFFFFF"/>
        </w:rPr>
        <w:t>Voy.</w:t>
      </w:r>
      <w:r w:rsidRPr="0018437C">
        <w:rPr>
          <w:rFonts w:ascii="Times New Roman" w:hAnsi="Times New Roman" w:cs="Times New Roman"/>
          <w:iCs/>
          <w:sz w:val="20"/>
          <w:szCs w:val="20"/>
          <w:shd w:val="clear" w:color="auto" w:fill="FFFFFF"/>
        </w:rPr>
        <w:t xml:space="preserve"> encore la description qui en est faite dans l’amendement n° 634 du Gouvernement visant à rétablir l’article anti-fonds vautours supprimé en </w:t>
      </w:r>
      <w:r w:rsidRPr="0018437C">
        <w:rPr>
          <w:rFonts w:ascii="Times New Roman" w:hAnsi="Times New Roman" w:cs="Times New Roman"/>
          <w:sz w:val="20"/>
          <w:szCs w:val="20"/>
        </w:rPr>
        <w:t xml:space="preserve">commission des lois constitutionnelles, de législation, du suffrage universel, du Règlement et d’administration générale (…) du Sénat </w:t>
      </w:r>
      <w:r w:rsidRPr="0018437C">
        <w:rPr>
          <w:rFonts w:ascii="Times New Roman" w:hAnsi="Times New Roman" w:cs="Times New Roman"/>
          <w:iCs/>
          <w:sz w:val="20"/>
          <w:szCs w:val="20"/>
          <w:shd w:val="clear" w:color="auto" w:fill="FFFFFF"/>
        </w:rPr>
        <w:t>(</w:t>
      </w:r>
      <w:r w:rsidRPr="0018437C">
        <w:rPr>
          <w:rFonts w:ascii="Times New Roman" w:hAnsi="Times New Roman" w:cs="Times New Roman"/>
          <w:sz w:val="20"/>
          <w:szCs w:val="20"/>
        </w:rPr>
        <w:t xml:space="preserve">amendement n° 634 présenté par le Gouvernement, 30 juin 2016, disponible à l’adresse </w:t>
      </w:r>
      <w:hyperlink r:id="rId4" w:history="1">
        <w:r w:rsidRPr="00674042">
          <w:rPr>
            <w:rStyle w:val="Lienhypertexte"/>
            <w:rFonts w:ascii="Times New Roman" w:hAnsi="Times New Roman" w:cs="Times New Roman"/>
            <w:sz w:val="20"/>
            <w:szCs w:val="20"/>
          </w:rPr>
          <w:t>www.senat.fr/amendements/2015-2016/713/Amdt_634.html</w:t>
        </w:r>
      </w:hyperlink>
      <w:r w:rsidRPr="0018437C">
        <w:rPr>
          <w:rFonts w:ascii="Times New Roman" w:hAnsi="Times New Roman" w:cs="Times New Roman"/>
          <w:sz w:val="20"/>
          <w:szCs w:val="20"/>
        </w:rPr>
        <w:t>)</w:t>
      </w:r>
      <w:r w:rsidRPr="0018437C">
        <w:rPr>
          <w:rFonts w:ascii="Times New Roman" w:hAnsi="Times New Roman" w:cs="Times New Roman"/>
          <w:sz w:val="20"/>
          <w:szCs w:val="20"/>
          <w:shd w:val="clear" w:color="auto" w:fill="FFFFFF"/>
        </w:rPr>
        <w:t>.</w:t>
      </w:r>
    </w:p>
  </w:footnote>
  <w:footnote w:id="8">
    <w:p w14:paraId="35A743DF" w14:textId="77777777" w:rsidR="00552491" w:rsidRPr="00EB2014" w:rsidRDefault="00552491" w:rsidP="002C2F99">
      <w:pPr>
        <w:pStyle w:val="Notedebasdepage"/>
        <w:jc w:val="both"/>
        <w:rPr>
          <w:rFonts w:cs="Times New Roman"/>
          <w:lang w:val="en-US"/>
        </w:rPr>
      </w:pPr>
      <w:r w:rsidRPr="0094556D">
        <w:rPr>
          <w:rStyle w:val="Appelnotedebasdep"/>
          <w:rFonts w:cs="Times New Roman"/>
        </w:rPr>
        <w:footnoteRef/>
      </w:r>
      <w:r w:rsidRPr="0094556D">
        <w:rPr>
          <w:rFonts w:cs="Times New Roman"/>
        </w:rPr>
        <w:t xml:space="preserve"> L’utilité des acheteurs d’emprunts souverains sur le marché secondaire est </w:t>
      </w:r>
      <w:r>
        <w:rPr>
          <w:rFonts w:cs="Times New Roman"/>
        </w:rPr>
        <w:t xml:space="preserve">toutefois </w:t>
      </w:r>
      <w:r w:rsidRPr="0094556D">
        <w:rPr>
          <w:rFonts w:cs="Times New Roman"/>
        </w:rPr>
        <w:t>soulignée par certains relevant qu’ils « joue(nt) un rôle essentiel en offrant à l’investisseur d’origine, actif sur le marché primaire, la possibilité de recevoir les fonds nécessaires en échange du titre représentant la dette souveraine » en ce que « toute inefficience du marché secondaire freine l’activité sur le marché primaire, décourageant dans le même temps les émissions de dettes ou rendant les émissions d’origine plus coût</w:t>
      </w:r>
      <w:r>
        <w:rPr>
          <w:rFonts w:cs="Times New Roman"/>
        </w:rPr>
        <w:t>euses pour le pays émetteur » (l</w:t>
      </w:r>
      <w:r w:rsidRPr="0094556D">
        <w:rPr>
          <w:rFonts w:cs="Times New Roman"/>
        </w:rPr>
        <w:t>ettre du 19 mai 2015 de l’</w:t>
      </w:r>
      <w:r>
        <w:rPr>
          <w:rFonts w:cs="Times New Roman"/>
          <w:i/>
        </w:rPr>
        <w:t>Institute of International F</w:t>
      </w:r>
      <w:r w:rsidRPr="0094556D">
        <w:rPr>
          <w:rFonts w:cs="Times New Roman"/>
          <w:i/>
        </w:rPr>
        <w:t xml:space="preserve">inance </w:t>
      </w:r>
      <w:r>
        <w:rPr>
          <w:rFonts w:cs="Times New Roman"/>
        </w:rPr>
        <w:t>reprise dans les travaux préparatoires de la loi belge du 12 juillet 2015 : p</w:t>
      </w:r>
      <w:r w:rsidRPr="0094556D">
        <w:rPr>
          <w:rFonts w:cs="Times New Roman"/>
        </w:rPr>
        <w:t xml:space="preserve">roposition de loi relative à la lutte contre les </w:t>
      </w:r>
      <w:r>
        <w:rPr>
          <w:rFonts w:cs="Times New Roman"/>
        </w:rPr>
        <w:t>activités des fonds vautours - r</w:t>
      </w:r>
      <w:r w:rsidRPr="0094556D">
        <w:rPr>
          <w:rFonts w:cs="Times New Roman"/>
        </w:rPr>
        <w:t xml:space="preserve">apport fait au nom de la commission des finances et du budget, Ch. </w:t>
      </w:r>
      <w:r w:rsidRPr="00B3777C">
        <w:rPr>
          <w:rFonts w:cs="Times New Roman"/>
        </w:rPr>
        <w:t xml:space="preserve">Repr., </w:t>
      </w:r>
      <w:r w:rsidRPr="00B3777C">
        <w:rPr>
          <w:rFonts w:cs="Times New Roman"/>
          <w:i/>
        </w:rPr>
        <w:t>Doc. parl</w:t>
      </w:r>
      <w:r w:rsidRPr="00B3777C">
        <w:rPr>
          <w:rFonts w:cs="Times New Roman"/>
        </w:rPr>
        <w:t xml:space="preserve">., 2014-2015, doc. 54 1057/003, disponible à l’adresse </w:t>
      </w:r>
      <w:hyperlink r:id="rId5" w:history="1">
        <w:r w:rsidRPr="00674042">
          <w:rPr>
            <w:rStyle w:val="Lienhypertexte"/>
            <w:rFonts w:cs="Times New Roman"/>
          </w:rPr>
          <w:t>www.lachambre.be/FLWB/PDF/54/1057/54K1057003.pdf</w:t>
        </w:r>
      </w:hyperlink>
      <w:r w:rsidRPr="00B3777C">
        <w:rPr>
          <w:rFonts w:cs="Times New Roman"/>
        </w:rPr>
        <w:t xml:space="preserve">, p. 40). </w:t>
      </w:r>
      <w:r w:rsidRPr="0094556D">
        <w:rPr>
          <w:rFonts w:cs="Times New Roman"/>
          <w:lang w:val="en-GB"/>
        </w:rPr>
        <w:t xml:space="preserve">G. van Calster relève que « (v)ulture funds often enter the financial arena akin to angel investors albeit at the opposite side of the spectrum. Angel funds (also known as seed money) support budding private initiatives at a time when no one else is interested in supporting the new measure. Likewise, vulture funds step in once everyone </w:t>
      </w:r>
      <w:r>
        <w:rPr>
          <w:rFonts w:cs="Times New Roman"/>
          <w:lang w:val="en-GB"/>
        </w:rPr>
        <w:t xml:space="preserve">else has left the sinking ship </w:t>
      </w:r>
      <w:r w:rsidRPr="0094556D">
        <w:rPr>
          <w:rFonts w:cs="Times New Roman"/>
          <w:lang w:val="en-GB"/>
        </w:rPr>
        <w:t xml:space="preserve">» (G. </w:t>
      </w:r>
      <w:r w:rsidRPr="0094556D">
        <w:rPr>
          <w:rFonts w:cs="Times New Roman"/>
          <w:smallCaps/>
          <w:lang w:val="en-GB"/>
        </w:rPr>
        <w:t>van Calster</w:t>
      </w:r>
      <w:r w:rsidRPr="0094556D">
        <w:rPr>
          <w:rFonts w:cs="Times New Roman"/>
          <w:lang w:val="en-GB"/>
        </w:rPr>
        <w:t xml:space="preserve">, « Do Not Kick Them While They Are Down </w:t>
      </w:r>
      <w:r>
        <w:rPr>
          <w:rFonts w:cs="Times New Roman"/>
          <w:lang w:val="en-GB"/>
        </w:rPr>
        <w:t xml:space="preserve">- </w:t>
      </w:r>
      <w:r w:rsidRPr="0094556D">
        <w:rPr>
          <w:rFonts w:cs="Times New Roman"/>
          <w:lang w:val="en-GB"/>
        </w:rPr>
        <w:t xml:space="preserve">Vulture Funds in Private International Law », </w:t>
      </w:r>
      <w:r w:rsidRPr="009C76CD">
        <w:rPr>
          <w:rFonts w:cs="Times New Roman"/>
          <w:i/>
          <w:lang w:val="en-GB"/>
        </w:rPr>
        <w:t>in</w:t>
      </w:r>
      <w:r w:rsidRPr="0094556D">
        <w:rPr>
          <w:rFonts w:cs="Times New Roman"/>
          <w:i/>
          <w:lang w:val="en-GB"/>
        </w:rPr>
        <w:t xml:space="preserve"> The increasing impact of human rights law on the financial world</w:t>
      </w:r>
      <w:r w:rsidRPr="0094556D">
        <w:rPr>
          <w:rFonts w:cs="Times New Roman"/>
          <w:lang w:val="en-GB" w:eastAsia="fr-FR"/>
        </w:rPr>
        <w:t xml:space="preserve">, </w:t>
      </w:r>
      <w:r>
        <w:rPr>
          <w:rFonts w:cs="Times New Roman"/>
          <w:lang w:val="en-GB" w:eastAsia="fr-FR"/>
        </w:rPr>
        <w:t xml:space="preserve">Limal / Anvers – Cambridge, </w:t>
      </w:r>
      <w:r w:rsidRPr="0094556D">
        <w:rPr>
          <w:rFonts w:cs="Times New Roman"/>
          <w:lang w:val="en-GB" w:eastAsia="fr-FR"/>
        </w:rPr>
        <w:t xml:space="preserve">Anthemis Intersentia, 2016, </w:t>
      </w:r>
      <w:r>
        <w:rPr>
          <w:rFonts w:cs="Times New Roman"/>
          <w:lang w:val="en-GB"/>
        </w:rPr>
        <w:t>p. 66).</w:t>
      </w:r>
    </w:p>
  </w:footnote>
  <w:footnote w:id="9">
    <w:p w14:paraId="6CE3A118" w14:textId="743D0849" w:rsidR="00552491" w:rsidRPr="00E73819" w:rsidRDefault="00552491" w:rsidP="002C2F99">
      <w:pPr>
        <w:autoSpaceDE w:val="0"/>
        <w:autoSpaceDN w:val="0"/>
        <w:adjustRightInd w:val="0"/>
        <w:spacing w:after="0" w:line="240" w:lineRule="auto"/>
        <w:jc w:val="both"/>
        <w:rPr>
          <w:rFonts w:cs="Times New Roman"/>
          <w:sz w:val="20"/>
          <w:szCs w:val="20"/>
        </w:rPr>
      </w:pPr>
      <w:r w:rsidRPr="00C520B5">
        <w:rPr>
          <w:rStyle w:val="Appelnotedebasdep"/>
          <w:rFonts w:cs="Times New Roman"/>
          <w:sz w:val="20"/>
          <w:szCs w:val="20"/>
        </w:rPr>
        <w:footnoteRef/>
      </w:r>
      <w:r w:rsidR="00924009">
        <w:rPr>
          <w:rFonts w:cs="Times New Roman"/>
          <w:sz w:val="20"/>
          <w:szCs w:val="20"/>
        </w:rPr>
        <w:t xml:space="preserve"> Voy.</w:t>
      </w:r>
      <w:r w:rsidRPr="00C520B5">
        <w:rPr>
          <w:rFonts w:cs="Times New Roman"/>
          <w:sz w:val="20"/>
          <w:szCs w:val="20"/>
        </w:rPr>
        <w:t xml:space="preserve"> le rapport de C. Lumina pour le Conseil des droits de l’homme des Nations Unies qui indique notamment que « (l)es procédures judiciaires engagées par les fonds vautours empêchent les pays pauvres très endettés d'utiliser les ressources libérées par l'allégement de la dette pour leurs programmes de développement et de réduction de la pauvreté et diminuent donc la capacité de ces pays à créer les conditions nécessaires à la réalisation des droits de l'homme de </w:t>
      </w:r>
      <w:r w:rsidRPr="009D75D4">
        <w:rPr>
          <w:rFonts w:cs="Times New Roman"/>
          <w:sz w:val="20"/>
          <w:szCs w:val="20"/>
        </w:rPr>
        <w:t xml:space="preserve">leur population. </w:t>
      </w:r>
      <w:r w:rsidRPr="009D75D4">
        <w:rPr>
          <w:sz w:val="20"/>
          <w:szCs w:val="20"/>
        </w:rPr>
        <w:t>[…]</w:t>
      </w:r>
      <w:r w:rsidRPr="009D75D4">
        <w:rPr>
          <w:rFonts w:cs="Times New Roman"/>
          <w:sz w:val="20"/>
          <w:szCs w:val="20"/>
        </w:rPr>
        <w:t xml:space="preserve"> En bref</w:t>
      </w:r>
      <w:r w:rsidRPr="00462BA2">
        <w:rPr>
          <w:rFonts w:cs="Times New Roman"/>
          <w:sz w:val="20"/>
          <w:szCs w:val="20"/>
        </w:rPr>
        <w:t>, les</w:t>
      </w:r>
      <w:r w:rsidRPr="00C520B5">
        <w:rPr>
          <w:rFonts w:cs="Times New Roman"/>
          <w:sz w:val="20"/>
          <w:szCs w:val="20"/>
        </w:rPr>
        <w:t xml:space="preserve"> fonds vautours entament les gains provenant de l'allégement de la dette des pays pauvres et compromettent la réalisation des obligations de ces pays en matière de droits de l'homme » (C. </w:t>
      </w:r>
      <w:r w:rsidRPr="00C520B5">
        <w:rPr>
          <w:rFonts w:cs="Times New Roman"/>
          <w:smallCaps/>
          <w:sz w:val="20"/>
          <w:szCs w:val="20"/>
        </w:rPr>
        <w:t>Lumina</w:t>
      </w:r>
      <w:r w:rsidRPr="00C520B5">
        <w:rPr>
          <w:rFonts w:cs="Times New Roman"/>
          <w:sz w:val="20"/>
          <w:szCs w:val="20"/>
        </w:rPr>
        <w:t xml:space="preserve">, « </w:t>
      </w:r>
      <w:r w:rsidRPr="00C520B5">
        <w:rPr>
          <w:rFonts w:cs="Times New Roman"/>
          <w:bCs/>
          <w:sz w:val="20"/>
          <w:szCs w:val="20"/>
        </w:rPr>
        <w:t>Rapport de l'expert indépendant chargé d'examiner les effets de la dette extérieure et des obligations financières internationales connexes des États sur le plein exercice de tous les droits de l'homme, en particulier des droits économiques, sociaux et culturels</w:t>
      </w:r>
      <w:r w:rsidRPr="00C520B5">
        <w:rPr>
          <w:rFonts w:cs="Times New Roman"/>
          <w:sz w:val="20"/>
          <w:szCs w:val="20"/>
        </w:rPr>
        <w:t xml:space="preserve"> », Conseil des droits de l’homme des </w:t>
      </w:r>
      <w:r w:rsidRPr="00E73819">
        <w:rPr>
          <w:rFonts w:cs="Times New Roman"/>
          <w:sz w:val="20"/>
          <w:szCs w:val="20"/>
        </w:rPr>
        <w:t>Nations Unies, 29 avril 2010, A/HRC/14/21, p. 13, § 33).</w:t>
      </w:r>
    </w:p>
  </w:footnote>
  <w:footnote w:id="10">
    <w:p w14:paraId="73A802D0" w14:textId="29384F78" w:rsidR="00552491" w:rsidRPr="00D224C6" w:rsidRDefault="00552491" w:rsidP="002C2F99">
      <w:pPr>
        <w:autoSpaceDE w:val="0"/>
        <w:autoSpaceDN w:val="0"/>
        <w:adjustRightInd w:val="0"/>
        <w:spacing w:after="0" w:line="240" w:lineRule="auto"/>
        <w:jc w:val="both"/>
        <w:rPr>
          <w:rFonts w:cs="Times New Roman"/>
          <w:sz w:val="20"/>
          <w:szCs w:val="20"/>
        </w:rPr>
      </w:pPr>
      <w:r w:rsidRPr="00E73819">
        <w:rPr>
          <w:rStyle w:val="Appelnotedebasdep"/>
          <w:sz w:val="20"/>
          <w:szCs w:val="20"/>
        </w:rPr>
        <w:footnoteRef/>
      </w:r>
      <w:r w:rsidR="00924009">
        <w:rPr>
          <w:sz w:val="20"/>
          <w:szCs w:val="20"/>
        </w:rPr>
        <w:t xml:space="preserve"> Voy.</w:t>
      </w:r>
      <w:r w:rsidRPr="00E73819">
        <w:rPr>
          <w:sz w:val="20"/>
          <w:szCs w:val="20"/>
        </w:rPr>
        <w:t xml:space="preserve"> notamment les importants arrêts rendus par la Cour de cassation française en 2011 et en 2013 (</w:t>
      </w:r>
      <w:r w:rsidRPr="00E73819">
        <w:rPr>
          <w:rFonts w:eastAsia="Times New Roman" w:cs="Times New Roman"/>
          <w:color w:val="000000"/>
          <w:sz w:val="20"/>
          <w:szCs w:val="20"/>
          <w:lang w:eastAsia="fr-BE"/>
        </w:rPr>
        <w:t>Cass. (civ. 1</w:t>
      </w:r>
      <w:r w:rsidRPr="00E73819">
        <w:rPr>
          <w:rFonts w:eastAsia="Times New Roman" w:cs="Times New Roman"/>
          <w:color w:val="000000"/>
          <w:sz w:val="20"/>
          <w:szCs w:val="20"/>
          <w:vertAlign w:val="superscript"/>
          <w:lang w:eastAsia="fr-BE"/>
        </w:rPr>
        <w:t>re</w:t>
      </w:r>
      <w:r w:rsidRPr="00E73819">
        <w:rPr>
          <w:rFonts w:eastAsia="Times New Roman" w:cs="Times New Roman"/>
          <w:color w:val="000000"/>
          <w:sz w:val="20"/>
          <w:szCs w:val="20"/>
          <w:lang w:eastAsia="fr-BE"/>
        </w:rPr>
        <w:t xml:space="preserve">), 28 septembre 2011, pourvoi n° </w:t>
      </w:r>
      <w:r w:rsidRPr="00E73819">
        <w:rPr>
          <w:rFonts w:cs="Times New Roman"/>
          <w:color w:val="000000"/>
          <w:sz w:val="20"/>
          <w:szCs w:val="20"/>
          <w:shd w:val="clear" w:color="auto" w:fill="FFFFFF"/>
        </w:rPr>
        <w:t xml:space="preserve">09-72057 et </w:t>
      </w:r>
      <w:r w:rsidRPr="00E73819">
        <w:rPr>
          <w:rFonts w:eastAsia="Times New Roman" w:cs="Times New Roman"/>
          <w:color w:val="000000"/>
          <w:sz w:val="20"/>
          <w:szCs w:val="20"/>
          <w:lang w:eastAsia="fr-BE"/>
        </w:rPr>
        <w:t>Cass. (civ. 1</w:t>
      </w:r>
      <w:r>
        <w:rPr>
          <w:rFonts w:eastAsia="Times New Roman" w:cs="Times New Roman"/>
          <w:color w:val="000000"/>
          <w:sz w:val="20"/>
          <w:szCs w:val="20"/>
          <w:vertAlign w:val="superscript"/>
          <w:lang w:eastAsia="fr-BE"/>
        </w:rPr>
        <w:t>r</w:t>
      </w:r>
      <w:r w:rsidRPr="00E73819">
        <w:rPr>
          <w:rFonts w:eastAsia="Times New Roman" w:cs="Times New Roman"/>
          <w:color w:val="000000"/>
          <w:sz w:val="20"/>
          <w:szCs w:val="20"/>
          <w:vertAlign w:val="superscript"/>
          <w:lang w:eastAsia="fr-BE"/>
        </w:rPr>
        <w:t>e</w:t>
      </w:r>
      <w:r w:rsidRPr="00E73819">
        <w:rPr>
          <w:rFonts w:eastAsia="Times New Roman" w:cs="Times New Roman"/>
          <w:color w:val="000000"/>
          <w:sz w:val="20"/>
          <w:szCs w:val="20"/>
          <w:lang w:eastAsia="fr-BE"/>
        </w:rPr>
        <w:t>), 28 mars 2013, pourvois n° 10-25938, n° 11-10450</w:t>
      </w:r>
      <w:r w:rsidRPr="00E73819">
        <w:rPr>
          <w:rStyle w:val="apple-converted-space"/>
          <w:rFonts w:cs="Times New Roman"/>
          <w:bCs/>
          <w:color w:val="000000"/>
          <w:sz w:val="20"/>
          <w:szCs w:val="20"/>
          <w:shd w:val="clear" w:color="auto" w:fill="FFFFFF"/>
        </w:rPr>
        <w:t xml:space="preserve"> et n°11-13323) </w:t>
      </w:r>
      <w:r w:rsidRPr="007D3470">
        <w:rPr>
          <w:rStyle w:val="apple-converted-space"/>
          <w:rFonts w:cs="Times New Roman"/>
          <w:bCs/>
          <w:color w:val="000000"/>
          <w:sz w:val="20"/>
          <w:szCs w:val="20"/>
          <w:shd w:val="clear" w:color="auto" w:fill="FFFFFF"/>
        </w:rPr>
        <w:t xml:space="preserve">mais également </w:t>
      </w:r>
      <w:r w:rsidRPr="007D3470">
        <w:rPr>
          <w:sz w:val="20"/>
          <w:szCs w:val="20"/>
        </w:rPr>
        <w:t xml:space="preserve">Cour eur. D. H., décision du </w:t>
      </w:r>
      <w:r w:rsidRPr="007D3470">
        <w:rPr>
          <w:rFonts w:cs="Times New Roman"/>
          <w:sz w:val="20"/>
          <w:szCs w:val="20"/>
        </w:rPr>
        <w:t>13 janvier 2015</w:t>
      </w:r>
      <w:r w:rsidRPr="007D3470">
        <w:rPr>
          <w:sz w:val="20"/>
          <w:szCs w:val="20"/>
        </w:rPr>
        <w:t xml:space="preserve">, </w:t>
      </w:r>
      <w:r w:rsidRPr="007D3470">
        <w:rPr>
          <w:rFonts w:cs="Times New Roman"/>
          <w:i/>
          <w:sz w:val="20"/>
          <w:szCs w:val="20"/>
        </w:rPr>
        <w:t>NML Capital Ltd c. France</w:t>
      </w:r>
      <w:r w:rsidRPr="007D3470">
        <w:rPr>
          <w:rFonts w:cs="Times New Roman"/>
          <w:sz w:val="20"/>
          <w:szCs w:val="20"/>
        </w:rPr>
        <w:t xml:space="preserve">, </w:t>
      </w:r>
      <w:r w:rsidRPr="007D3470">
        <w:rPr>
          <w:rStyle w:val="s6b621b36"/>
          <w:rFonts w:cs="Times New Roman"/>
          <w:sz w:val="20"/>
          <w:szCs w:val="20"/>
        </w:rPr>
        <w:t>r</w:t>
      </w:r>
      <w:r w:rsidRPr="007D3470">
        <w:rPr>
          <w:rFonts w:cs="Times New Roman"/>
          <w:sz w:val="20"/>
          <w:szCs w:val="20"/>
        </w:rPr>
        <w:t>equête n</w:t>
      </w:r>
      <w:r w:rsidRPr="007D3470">
        <w:rPr>
          <w:rStyle w:val="sf1c7242d"/>
          <w:rFonts w:cs="Times New Roman"/>
          <w:sz w:val="20"/>
          <w:szCs w:val="20"/>
        </w:rPr>
        <w:t xml:space="preserve">° </w:t>
      </w:r>
      <w:r w:rsidRPr="007D3470">
        <w:rPr>
          <w:rStyle w:val="Lienhypertexte"/>
          <w:rFonts w:cs="Times New Roman"/>
          <w:color w:val="auto"/>
          <w:sz w:val="20"/>
          <w:szCs w:val="20"/>
          <w:u w:val="none"/>
        </w:rPr>
        <w:t>23242/12</w:t>
      </w:r>
      <w:r w:rsidRPr="007D3470">
        <w:rPr>
          <w:rStyle w:val="apple-converted-space"/>
          <w:rFonts w:cs="Times New Roman"/>
          <w:bCs/>
          <w:color w:val="000000"/>
          <w:sz w:val="20"/>
          <w:szCs w:val="20"/>
          <w:shd w:val="clear" w:color="auto" w:fill="FFFFFF"/>
        </w:rPr>
        <w:t>.</w:t>
      </w:r>
      <w:r w:rsidRPr="007D3470">
        <w:rPr>
          <w:sz w:val="20"/>
          <w:szCs w:val="20"/>
        </w:rPr>
        <w:t xml:space="preserve"> L</w:t>
      </w:r>
      <w:r w:rsidRPr="007D3470">
        <w:rPr>
          <w:rFonts w:cs="Times New Roman"/>
          <w:sz w:val="20"/>
          <w:szCs w:val="20"/>
        </w:rPr>
        <w:t>ors</w:t>
      </w:r>
      <w:r w:rsidRPr="00D224C6">
        <w:rPr>
          <w:rFonts w:cs="Times New Roman"/>
          <w:sz w:val="20"/>
          <w:szCs w:val="20"/>
        </w:rPr>
        <w:t xml:space="preserve"> de la discussion au Sénat, M.-N. Lienemann s’exclama : « (r)appelez-vous ce qui s’est passé en Argentine ! » (Sénat, compte rendu intégral, session extraordinaire de 2015-2016, séance du jeudi 7 juillet 2016</w:t>
      </w:r>
      <w:r w:rsidRPr="007D3470">
        <w:rPr>
          <w:rFonts w:cs="Times New Roman"/>
          <w:sz w:val="20"/>
          <w:szCs w:val="20"/>
        </w:rPr>
        <w:t xml:space="preserve">, </w:t>
      </w:r>
      <w:r w:rsidRPr="007D3470">
        <w:rPr>
          <w:rFonts w:cs="Times New Roman"/>
          <w:i/>
          <w:sz w:val="20"/>
          <w:szCs w:val="20"/>
        </w:rPr>
        <w:t>Journal officiel de la République française</w:t>
      </w:r>
      <w:r w:rsidRPr="007D3470">
        <w:rPr>
          <w:rFonts w:cs="Times New Roman"/>
          <w:sz w:val="20"/>
          <w:szCs w:val="20"/>
        </w:rPr>
        <w:t xml:space="preserve">, disponible à l’adresse </w:t>
      </w:r>
      <w:hyperlink r:id="rId6" w:history="1">
        <w:r w:rsidRPr="007D3470">
          <w:rPr>
            <w:rStyle w:val="Lienhypertexte"/>
            <w:rFonts w:cs="Times New Roman"/>
            <w:sz w:val="20"/>
            <w:szCs w:val="20"/>
          </w:rPr>
          <w:t>www.senat.fr/seances/s201607/s20160707/s20160707.pdf</w:t>
        </w:r>
      </w:hyperlink>
      <w:r w:rsidRPr="007D3470">
        <w:rPr>
          <w:rFonts w:cs="Times New Roman"/>
          <w:sz w:val="20"/>
          <w:szCs w:val="20"/>
        </w:rPr>
        <w:t xml:space="preserve">, p. 12543). Quoique l’observation soit plus large en ce qu’elle vise généralement l’immunité d’exécution étatique, le Gouvernement épingla le développement récent des contentieux de voies d’exécution engagés contre des biens étatiques étrangers sur le territoire français à la suite de décisions de justice prises dans d’autres </w:t>
      </w:r>
      <w:r w:rsidRPr="007D3470">
        <w:rPr>
          <w:rFonts w:cs="Times New Roman"/>
          <w:sz w:val="20"/>
          <w:szCs w:val="20"/>
          <w:shd w:val="clear" w:color="auto" w:fill="FFFFFF"/>
        </w:rPr>
        <w:t>É</w:t>
      </w:r>
      <w:r w:rsidRPr="007D3470">
        <w:rPr>
          <w:rFonts w:cs="Times New Roman"/>
          <w:sz w:val="20"/>
          <w:szCs w:val="20"/>
        </w:rPr>
        <w:t>tats o</w:t>
      </w:r>
      <w:r w:rsidR="00924009">
        <w:rPr>
          <w:rFonts w:cs="Times New Roman"/>
          <w:sz w:val="20"/>
          <w:szCs w:val="20"/>
        </w:rPr>
        <w:t>u de sentences arbitrales (voy.</w:t>
      </w:r>
      <w:r w:rsidRPr="007D3470">
        <w:rPr>
          <w:rFonts w:cs="Times New Roman"/>
          <w:sz w:val="20"/>
          <w:szCs w:val="20"/>
        </w:rPr>
        <w:t xml:space="preserve"> les observations du Gouvernement français sur les recours dirigés contre la loi relative à la transparence, à la lutte contre la corruption et à la modernisation de la vie économique, disponibles à l’adresse </w:t>
      </w:r>
      <w:hyperlink r:id="rId7" w:history="1">
        <w:r w:rsidRPr="007D3470">
          <w:rPr>
            <w:rStyle w:val="Lienhypertexte"/>
            <w:rFonts w:cs="Times New Roman"/>
            <w:sz w:val="20"/>
            <w:szCs w:val="20"/>
          </w:rPr>
          <w:t>www.conseil-constitutionnel.fr/les-decisions/decision-n-2016-741-dc-du-8-decembre-2016-observations-du-gouvernement</w:t>
        </w:r>
      </w:hyperlink>
      <w:r w:rsidR="00924009">
        <w:rPr>
          <w:rFonts w:cs="Times New Roman"/>
          <w:sz w:val="20"/>
          <w:szCs w:val="20"/>
        </w:rPr>
        <w:t>). Voy.</w:t>
      </w:r>
      <w:r w:rsidRPr="007D3470">
        <w:rPr>
          <w:rFonts w:cs="Times New Roman"/>
          <w:sz w:val="20"/>
          <w:szCs w:val="20"/>
        </w:rPr>
        <w:t xml:space="preserve"> encore les conclusions de l’avocat général Nathalie Ancel, précédant l’arrêt de la Cour de cassation française du 10 janvier 2018 (pourvoi n° 16-22494), dont il ressort qu’ « à la suite immédiate de votre arrêt du 13 mai 2015 </w:t>
      </w:r>
      <w:r w:rsidRPr="007D3470">
        <w:rPr>
          <w:sz w:val="20"/>
          <w:szCs w:val="20"/>
        </w:rPr>
        <w:t>[</w:t>
      </w:r>
      <w:r w:rsidRPr="007D3470">
        <w:rPr>
          <w:i/>
          <w:sz w:val="20"/>
          <w:szCs w:val="20"/>
        </w:rPr>
        <w:t>i.e.</w:t>
      </w:r>
      <w:r w:rsidRPr="007D3470">
        <w:rPr>
          <w:sz w:val="20"/>
          <w:szCs w:val="20"/>
        </w:rPr>
        <w:t xml:space="preserve"> l’arrêt opposant la société Commisimpex à la République du Congo (pourvoi n° 13-17751)], les </w:t>
      </w:r>
      <w:r w:rsidRPr="007D3470">
        <w:rPr>
          <w:rFonts w:cs="Times New Roman"/>
          <w:sz w:val="20"/>
          <w:szCs w:val="20"/>
        </w:rPr>
        <w:t>“</w:t>
      </w:r>
      <w:r w:rsidRPr="007D3470">
        <w:rPr>
          <w:rFonts w:cs="Times New Roman"/>
          <w:color w:val="000000"/>
          <w:sz w:val="20"/>
          <w:szCs w:val="20"/>
          <w:shd w:val="clear" w:color="auto" w:fill="FFFFFF"/>
        </w:rPr>
        <w:t>fonds vautours</w:t>
      </w:r>
      <w:r w:rsidRPr="007D3470">
        <w:rPr>
          <w:rFonts w:cs="Times New Roman"/>
          <w:sz w:val="20"/>
          <w:szCs w:val="20"/>
        </w:rPr>
        <w:t xml:space="preserve">” </w:t>
      </w:r>
      <w:r w:rsidRPr="007D3470">
        <w:rPr>
          <w:sz w:val="20"/>
          <w:szCs w:val="20"/>
        </w:rPr>
        <w:t>ont procédé à la saisie des comptes de l’ambassade d’Argentine laquelle a été obligée de fonctionner depuis sa représentation à Genève ».</w:t>
      </w:r>
    </w:p>
  </w:footnote>
  <w:footnote w:id="11">
    <w:p w14:paraId="0F80D163" w14:textId="77777777" w:rsidR="00552491" w:rsidRDefault="00552491" w:rsidP="002C2F99">
      <w:pPr>
        <w:pStyle w:val="Notedebasdepage"/>
        <w:jc w:val="both"/>
      </w:pPr>
      <w:r>
        <w:rPr>
          <w:rStyle w:val="Appelnotedebasdep"/>
        </w:rPr>
        <w:footnoteRef/>
      </w:r>
      <w:r>
        <w:t xml:space="preserve"> Propos repris </w:t>
      </w:r>
      <w:r w:rsidRPr="00BD747E">
        <w:rPr>
          <w:i/>
        </w:rPr>
        <w:t>in</w:t>
      </w:r>
      <w:r>
        <w:t xml:space="preserve"> </w:t>
      </w:r>
      <w:r>
        <w:rPr>
          <w:rFonts w:cs="Times New Roman"/>
        </w:rPr>
        <w:t>r</w:t>
      </w:r>
      <w:r w:rsidRPr="006E7C7D">
        <w:rPr>
          <w:rFonts w:cs="Times New Roman"/>
        </w:rPr>
        <w:t>apport n° 712</w:t>
      </w:r>
      <w:r>
        <w:rPr>
          <w:rFonts w:cs="Times New Roman"/>
        </w:rPr>
        <w:t xml:space="preserve"> </w:t>
      </w:r>
      <w:r w:rsidRPr="006E7C7D">
        <w:rPr>
          <w:rFonts w:cs="Times New Roman"/>
        </w:rPr>
        <w:t xml:space="preserve">fait au nom de la commission des lois constitutionnelles, de législation, du suffrage universel, du Règlement et d’administration générale </w:t>
      </w:r>
      <w:r w:rsidRPr="009D75D4">
        <w:t>[…]</w:t>
      </w:r>
      <w:r w:rsidRPr="006E7C7D">
        <w:rPr>
          <w:rFonts w:cs="Times New Roman"/>
        </w:rPr>
        <w:t xml:space="preserve"> sur le projet de loi, adopté par l’Assemblée nationale </w:t>
      </w:r>
      <w:r w:rsidRPr="009D75D4">
        <w:t>[…]</w:t>
      </w:r>
      <w:r w:rsidRPr="006E7C7D">
        <w:rPr>
          <w:rFonts w:cs="Times New Roman"/>
        </w:rPr>
        <w:t xml:space="preserve">, relatif à la transparence, à la lutte contre la corruption et à la modernisation de la vie économique </w:t>
      </w:r>
      <w:r w:rsidRPr="009D75D4">
        <w:t>[…]</w:t>
      </w:r>
      <w:r w:rsidRPr="006E7C7D">
        <w:rPr>
          <w:rFonts w:cs="Times New Roman"/>
        </w:rPr>
        <w:t>,</w:t>
      </w:r>
      <w:r>
        <w:rPr>
          <w:rFonts w:cs="Times New Roman"/>
        </w:rPr>
        <w:t xml:space="preserve"> </w:t>
      </w:r>
      <w:r w:rsidRPr="006E7C7D">
        <w:rPr>
          <w:rFonts w:cs="Times New Roman"/>
        </w:rPr>
        <w:t xml:space="preserve">par F. </w:t>
      </w:r>
      <w:r w:rsidRPr="00B3777C">
        <w:rPr>
          <w:rFonts w:cs="Times New Roman"/>
        </w:rPr>
        <w:t>Pillet</w:t>
      </w:r>
      <w:r w:rsidRPr="006E7C7D">
        <w:rPr>
          <w:rFonts w:cs="Times New Roman"/>
        </w:rPr>
        <w:t xml:space="preserve">, 22 juin 2016, disponible à l’adresse </w:t>
      </w:r>
      <w:hyperlink r:id="rId8" w:history="1">
        <w:r w:rsidRPr="00674042">
          <w:rPr>
            <w:rStyle w:val="Lienhypertexte"/>
            <w:rFonts w:cs="Times New Roman"/>
          </w:rPr>
          <w:t>www.senat.fr/rap/l15-712-1/l15-712-11.pdf</w:t>
        </w:r>
      </w:hyperlink>
      <w:r w:rsidRPr="006E7C7D">
        <w:rPr>
          <w:rFonts w:cs="Times New Roman"/>
        </w:rPr>
        <w:t>,</w:t>
      </w:r>
      <w:r>
        <w:rPr>
          <w:rFonts w:cs="Times New Roman"/>
        </w:rPr>
        <w:t xml:space="preserve"> p. 234.</w:t>
      </w:r>
    </w:p>
  </w:footnote>
  <w:footnote w:id="12">
    <w:p w14:paraId="5BED8520" w14:textId="2C57364D" w:rsidR="00552491" w:rsidRPr="00E95781" w:rsidRDefault="00552491" w:rsidP="002C2F99">
      <w:pPr>
        <w:pStyle w:val="Sansinterligne"/>
        <w:jc w:val="both"/>
        <w:rPr>
          <w:rFonts w:ascii="Times New Roman" w:hAnsi="Times New Roman" w:cs="Times New Roman"/>
          <w:bCs/>
          <w:color w:val="000000"/>
          <w:sz w:val="20"/>
          <w:szCs w:val="20"/>
          <w:shd w:val="clear" w:color="auto" w:fill="FFFFFF"/>
        </w:rPr>
      </w:pPr>
      <w:r w:rsidRPr="00E95781">
        <w:rPr>
          <w:rStyle w:val="Appelnotedebasdep"/>
          <w:rFonts w:ascii="Times New Roman" w:hAnsi="Times New Roman" w:cs="Times New Roman"/>
          <w:sz w:val="20"/>
          <w:szCs w:val="20"/>
        </w:rPr>
        <w:footnoteRef/>
      </w:r>
      <w:r w:rsidRPr="00E95781">
        <w:rPr>
          <w:rFonts w:ascii="Times New Roman" w:hAnsi="Times New Roman" w:cs="Times New Roman"/>
          <w:sz w:val="20"/>
          <w:szCs w:val="20"/>
        </w:rPr>
        <w:t xml:space="preserve"> Commission des lois constitutionnelles, de la législation et de l’administration générale de la République, session ordinaire de 2015-2016, compte rendu n° 83 du 24 mai 2016, disponible à l’adresse </w:t>
      </w:r>
      <w:hyperlink r:id="rId9" w:history="1">
        <w:r w:rsidRPr="00674042">
          <w:rPr>
            <w:rStyle w:val="Lienhypertexte"/>
            <w:rFonts w:ascii="Times New Roman" w:hAnsi="Times New Roman" w:cs="Times New Roman"/>
            <w:sz w:val="20"/>
            <w:szCs w:val="20"/>
          </w:rPr>
          <w:t>www.assemblee-nationale.fr/14/pdf/cr-cloi/15-16/c1516083.pdf</w:t>
        </w:r>
      </w:hyperlink>
      <w:r w:rsidRPr="00E95781">
        <w:rPr>
          <w:rFonts w:ascii="Times New Roman" w:hAnsi="Times New Roman" w:cs="Times New Roman"/>
          <w:sz w:val="20"/>
          <w:szCs w:val="20"/>
        </w:rPr>
        <w:t xml:space="preserve">, p. 12. Notons qu’il n’était à ce moment précis du processus législatif pas encore question de lutte contre les activités des fonds vautours. En effet, la régulation des « fonds vautours », absente du projet de loi originel, fut abordée pour la première fois dans un amendement postérieur à </w:t>
      </w:r>
      <w:r w:rsidRPr="00E95781">
        <w:rPr>
          <w:rFonts w:ascii="Times New Roman" w:hAnsi="Times New Roman" w:cs="Times New Roman"/>
          <w:bCs/>
          <w:color w:val="000000"/>
          <w:sz w:val="20"/>
          <w:szCs w:val="20"/>
          <w:shd w:val="clear" w:color="auto" w:fill="FFFFFF"/>
        </w:rPr>
        <w:t>au texte de c</w:t>
      </w:r>
      <w:r w:rsidRPr="00E95781">
        <w:rPr>
          <w:rFonts w:ascii="Times New Roman" w:hAnsi="Times New Roman" w:cs="Times New Roman"/>
          <w:sz w:val="20"/>
          <w:szCs w:val="20"/>
        </w:rPr>
        <w:t>ommission des lois constitutionnelles, de la législation et de l’administration générale de la République. Nous y reviendrons (</w:t>
      </w:r>
      <w:r w:rsidRPr="00E95781">
        <w:rPr>
          <w:rFonts w:ascii="Times New Roman" w:hAnsi="Times New Roman" w:cs="Times New Roman"/>
          <w:i/>
          <w:sz w:val="20"/>
          <w:szCs w:val="20"/>
        </w:rPr>
        <w:t>infra</w:t>
      </w:r>
      <w:r w:rsidRPr="00E95781">
        <w:rPr>
          <w:rFonts w:ascii="Times New Roman" w:hAnsi="Times New Roman" w:cs="Times New Roman"/>
          <w:sz w:val="20"/>
          <w:szCs w:val="20"/>
        </w:rPr>
        <w:t xml:space="preserve">, </w:t>
      </w:r>
      <w:r w:rsidRPr="00B56CBC">
        <w:rPr>
          <w:rFonts w:ascii="Times New Roman" w:hAnsi="Times New Roman" w:cs="Times New Roman"/>
          <w:sz w:val="20"/>
          <w:szCs w:val="20"/>
        </w:rPr>
        <w:t xml:space="preserve">point </w:t>
      </w:r>
      <w:r>
        <w:rPr>
          <w:rFonts w:ascii="Times New Roman" w:hAnsi="Times New Roman" w:cs="Times New Roman"/>
          <w:sz w:val="20"/>
          <w:szCs w:val="20"/>
        </w:rPr>
        <w:t>5</w:t>
      </w:r>
      <w:r w:rsidRPr="00B56CBC">
        <w:rPr>
          <w:rFonts w:ascii="Times New Roman" w:hAnsi="Times New Roman" w:cs="Times New Roman"/>
          <w:sz w:val="20"/>
          <w:szCs w:val="20"/>
        </w:rPr>
        <w:t>).</w:t>
      </w:r>
    </w:p>
  </w:footnote>
  <w:footnote w:id="13">
    <w:p w14:paraId="42190560" w14:textId="77777777" w:rsidR="00552491" w:rsidRPr="00834579" w:rsidRDefault="00552491" w:rsidP="002C2F99">
      <w:pPr>
        <w:autoSpaceDE w:val="0"/>
        <w:autoSpaceDN w:val="0"/>
        <w:adjustRightInd w:val="0"/>
        <w:spacing w:after="0" w:line="240" w:lineRule="auto"/>
        <w:jc w:val="both"/>
        <w:rPr>
          <w:rFonts w:cs="Times New Roman"/>
          <w:sz w:val="20"/>
          <w:szCs w:val="20"/>
        </w:rPr>
      </w:pPr>
      <w:r w:rsidRPr="00834579">
        <w:rPr>
          <w:rStyle w:val="Appelnotedebasdep"/>
          <w:sz w:val="20"/>
          <w:szCs w:val="20"/>
        </w:rPr>
        <w:footnoteRef/>
      </w:r>
      <w:r w:rsidRPr="00834579">
        <w:rPr>
          <w:sz w:val="20"/>
          <w:szCs w:val="20"/>
        </w:rPr>
        <w:t xml:space="preserve"> Quoique l’article relati</w:t>
      </w:r>
      <w:r>
        <w:rPr>
          <w:sz w:val="20"/>
          <w:szCs w:val="20"/>
        </w:rPr>
        <w:t xml:space="preserve">f à l’immunité d’exécution des </w:t>
      </w:r>
      <w:r w:rsidRPr="00184539">
        <w:rPr>
          <w:rFonts w:cs="Times New Roman"/>
          <w:sz w:val="20"/>
          <w:szCs w:val="20"/>
          <w:shd w:val="clear" w:color="auto" w:fill="FFFFFF"/>
        </w:rPr>
        <w:t>É</w:t>
      </w:r>
      <w:r w:rsidRPr="00834579">
        <w:rPr>
          <w:sz w:val="20"/>
          <w:szCs w:val="20"/>
        </w:rPr>
        <w:t>tats étrangers ne soit pas l’objet de la présente contribution, notons que la pertinence de son adoption fut défendue</w:t>
      </w:r>
      <w:r>
        <w:rPr>
          <w:rFonts w:cs="Times New Roman"/>
          <w:sz w:val="20"/>
          <w:szCs w:val="20"/>
        </w:rPr>
        <w:t xml:space="preserve"> par le m</w:t>
      </w:r>
      <w:r w:rsidRPr="00834579">
        <w:rPr>
          <w:rFonts w:cs="Times New Roman"/>
          <w:sz w:val="20"/>
          <w:szCs w:val="20"/>
        </w:rPr>
        <w:t xml:space="preserve">inistre Michel Sapin indiquant qu’« (a)ujourd’hui, en France, il y a un certain nombre d’incertitudes sur les modalités d’application de cette </w:t>
      </w:r>
      <w:r>
        <w:rPr>
          <w:rFonts w:cs="Times New Roman"/>
          <w:sz w:val="20"/>
          <w:szCs w:val="20"/>
        </w:rPr>
        <w:t xml:space="preserve">convention </w:t>
      </w:r>
      <w:r>
        <w:rPr>
          <w:sz w:val="20"/>
          <w:szCs w:val="20"/>
        </w:rPr>
        <w:t>[</w:t>
      </w:r>
      <w:r w:rsidRPr="00462BA2">
        <w:rPr>
          <w:rFonts w:cs="Times New Roman"/>
          <w:i/>
          <w:sz w:val="20"/>
          <w:szCs w:val="20"/>
        </w:rPr>
        <w:t>i.e.</w:t>
      </w:r>
      <w:r w:rsidRPr="00462BA2">
        <w:rPr>
          <w:rFonts w:cs="Times New Roman"/>
          <w:sz w:val="20"/>
          <w:szCs w:val="20"/>
        </w:rPr>
        <w:t xml:space="preserve"> la</w:t>
      </w:r>
      <w:r w:rsidRPr="00462BA2">
        <w:rPr>
          <w:sz w:val="20"/>
          <w:szCs w:val="20"/>
        </w:rPr>
        <w:t xml:space="preserve"> Convention des Nations Unies du 2 décembre 2004 sur les i</w:t>
      </w:r>
      <w:r>
        <w:rPr>
          <w:sz w:val="20"/>
          <w:szCs w:val="20"/>
        </w:rPr>
        <w:t xml:space="preserve">mmunités juridictionnelles des </w:t>
      </w:r>
      <w:r w:rsidRPr="00184539">
        <w:rPr>
          <w:rFonts w:cs="Times New Roman"/>
          <w:sz w:val="20"/>
          <w:szCs w:val="20"/>
          <w:shd w:val="clear" w:color="auto" w:fill="FFFFFF"/>
        </w:rPr>
        <w:t>É</w:t>
      </w:r>
      <w:r w:rsidRPr="00462BA2">
        <w:rPr>
          <w:sz w:val="20"/>
          <w:szCs w:val="20"/>
        </w:rPr>
        <w:t>tats et de leurs bie</w:t>
      </w:r>
      <w:r>
        <w:rPr>
          <w:sz w:val="20"/>
          <w:szCs w:val="20"/>
        </w:rPr>
        <w:t>ns</w:t>
      </w:r>
      <w:r w:rsidRPr="009D75D4">
        <w:rPr>
          <w:sz w:val="20"/>
          <w:szCs w:val="20"/>
        </w:rPr>
        <w:t>]</w:t>
      </w:r>
      <w:r w:rsidRPr="00462BA2">
        <w:rPr>
          <w:sz w:val="20"/>
          <w:szCs w:val="20"/>
        </w:rPr>
        <w:t>.</w:t>
      </w:r>
      <w:r w:rsidRPr="00834579">
        <w:rPr>
          <w:rFonts w:cs="Times New Roman"/>
          <w:sz w:val="20"/>
          <w:szCs w:val="20"/>
        </w:rPr>
        <w:t xml:space="preserve"> Cela aboutit à une prolifération, tout particulièrement dans notre pays, de demandes de saisie d’un certain nombre de créanciers, quels que soient les pays concernés. On cite souvent la Russie aujourd’hui ; il y avait l’Argentine hier, et bien d’autres pays. Cela est très dommageable, y compris pour la qualité de certaines de nos relations diplomatiques » (</w:t>
      </w:r>
      <w:r>
        <w:rPr>
          <w:rFonts w:cs="Times New Roman"/>
          <w:sz w:val="20"/>
          <w:szCs w:val="20"/>
        </w:rPr>
        <w:t xml:space="preserve">Sénat, </w:t>
      </w:r>
      <w:r w:rsidRPr="00834579">
        <w:rPr>
          <w:rFonts w:cs="Times New Roman"/>
          <w:sz w:val="20"/>
          <w:szCs w:val="20"/>
        </w:rPr>
        <w:t xml:space="preserve">compte rendu intégral, session extraordinaire de 2015-2016, séance du jeudi 7 juillet 2016, </w:t>
      </w:r>
      <w:r w:rsidRPr="00834579">
        <w:rPr>
          <w:rFonts w:cs="Times New Roman"/>
          <w:i/>
          <w:sz w:val="20"/>
          <w:szCs w:val="20"/>
        </w:rPr>
        <w:t>Journal officiel de la République française</w:t>
      </w:r>
      <w:r w:rsidRPr="00834579">
        <w:rPr>
          <w:rFonts w:cs="Times New Roman"/>
          <w:sz w:val="20"/>
          <w:szCs w:val="20"/>
        </w:rPr>
        <w:t>, p. 12540).</w:t>
      </w:r>
    </w:p>
  </w:footnote>
  <w:footnote w:id="14">
    <w:p w14:paraId="54F00B2A" w14:textId="0EDAC3CA" w:rsidR="00552491" w:rsidRDefault="00552491" w:rsidP="002C2F99">
      <w:pPr>
        <w:pStyle w:val="Notedebasdepage"/>
        <w:jc w:val="both"/>
      </w:pPr>
      <w:r w:rsidRPr="00834579">
        <w:rPr>
          <w:rStyle w:val="Appelnotedebasdep"/>
        </w:rPr>
        <w:footnoteRef/>
      </w:r>
      <w:r w:rsidRPr="00834579">
        <w:t xml:space="preserve"> </w:t>
      </w:r>
      <w:r>
        <w:t>Assemblée nationale, c</w:t>
      </w:r>
      <w:r w:rsidRPr="00834579">
        <w:t>ompte rendu intégral, session ordinaire de 2015-2016, 1</w:t>
      </w:r>
      <w:r w:rsidRPr="00834579">
        <w:rPr>
          <w:vertAlign w:val="superscript"/>
        </w:rPr>
        <w:t>re</w:t>
      </w:r>
      <w:r w:rsidRPr="00834579">
        <w:t xml:space="preserve"> séance du lundi 6 juin 2016, </w:t>
      </w:r>
      <w:r w:rsidRPr="00834579">
        <w:rPr>
          <w:i/>
        </w:rPr>
        <w:t>Journal officiel de la République française</w:t>
      </w:r>
      <w:r>
        <w:t xml:space="preserve">, disponible à l’adresse </w:t>
      </w:r>
      <w:hyperlink r:id="rId10" w:history="1">
        <w:r w:rsidRPr="00674042">
          <w:rPr>
            <w:rStyle w:val="Lienhypertexte"/>
          </w:rPr>
          <w:t>www.assemblee-nationale.fr/14/pdf/cri/2015-2016/20160203.pdf</w:t>
        </w:r>
      </w:hyperlink>
      <w:r w:rsidRPr="00834579">
        <w:t>, p. 3886.</w:t>
      </w:r>
    </w:p>
  </w:footnote>
  <w:footnote w:id="15">
    <w:p w14:paraId="17E93B8D" w14:textId="0B6012F3" w:rsidR="00552491" w:rsidRPr="00CB7DBC" w:rsidRDefault="00552491" w:rsidP="002C2F99">
      <w:pPr>
        <w:pStyle w:val="Sansinterligne"/>
        <w:jc w:val="both"/>
        <w:rPr>
          <w:rFonts w:ascii="Times New Roman" w:hAnsi="Times New Roman" w:cs="Times New Roman"/>
          <w:color w:val="000000"/>
          <w:sz w:val="20"/>
          <w:szCs w:val="20"/>
          <w:shd w:val="clear" w:color="auto" w:fill="FFFFFF"/>
        </w:rPr>
      </w:pPr>
      <w:r w:rsidRPr="00CB7DBC">
        <w:rPr>
          <w:rStyle w:val="Appelnotedebasdep"/>
          <w:rFonts w:ascii="Times New Roman" w:hAnsi="Times New Roman" w:cs="Times New Roman"/>
          <w:sz w:val="20"/>
          <w:szCs w:val="20"/>
        </w:rPr>
        <w:footnoteRef/>
      </w:r>
      <w:r>
        <w:rPr>
          <w:rFonts w:ascii="Times New Roman" w:hAnsi="Times New Roman" w:cs="Times New Roman"/>
          <w:sz w:val="20"/>
          <w:szCs w:val="20"/>
        </w:rPr>
        <w:t xml:space="preserve"> Assemblée nationale, c</w:t>
      </w:r>
      <w:r w:rsidRPr="00CB7DBC">
        <w:rPr>
          <w:rFonts w:ascii="Times New Roman" w:hAnsi="Times New Roman" w:cs="Times New Roman"/>
          <w:sz w:val="20"/>
          <w:szCs w:val="20"/>
        </w:rPr>
        <w:t>ompte rendu intégral, session ordinaire de 2015-2016, 1</w:t>
      </w:r>
      <w:r w:rsidRPr="00CB7DBC">
        <w:rPr>
          <w:rFonts w:ascii="Times New Roman" w:hAnsi="Times New Roman" w:cs="Times New Roman"/>
          <w:sz w:val="20"/>
          <w:szCs w:val="20"/>
          <w:vertAlign w:val="superscript"/>
        </w:rPr>
        <w:t>re</w:t>
      </w:r>
      <w:r w:rsidRPr="00CB7DBC">
        <w:rPr>
          <w:rFonts w:ascii="Times New Roman" w:hAnsi="Times New Roman" w:cs="Times New Roman"/>
          <w:sz w:val="20"/>
          <w:szCs w:val="20"/>
        </w:rPr>
        <w:t xml:space="preserve"> séance du lundi 6 juin 2016, </w:t>
      </w:r>
      <w:r w:rsidRPr="00CB7DBC">
        <w:rPr>
          <w:rFonts w:ascii="Times New Roman" w:hAnsi="Times New Roman" w:cs="Times New Roman"/>
          <w:i/>
          <w:sz w:val="20"/>
          <w:szCs w:val="20"/>
        </w:rPr>
        <w:t>Journal officiel de la République française</w:t>
      </w:r>
      <w:r w:rsidRPr="00CB7DBC">
        <w:rPr>
          <w:rFonts w:ascii="Times New Roman" w:hAnsi="Times New Roman" w:cs="Times New Roman"/>
          <w:sz w:val="20"/>
          <w:szCs w:val="20"/>
        </w:rPr>
        <w:t>, p. 3888. Plus tard dans le processus législatif, l</w:t>
      </w:r>
      <w:r w:rsidRPr="00CB7DBC">
        <w:rPr>
          <w:rFonts w:ascii="Times New Roman" w:hAnsi="Times New Roman" w:cs="Times New Roman"/>
          <w:color w:val="000000"/>
          <w:sz w:val="20"/>
          <w:szCs w:val="20"/>
          <w:shd w:val="clear" w:color="auto" w:fill="FFFFFF"/>
        </w:rPr>
        <w:t>ors de la réunion des co</w:t>
      </w:r>
      <w:r>
        <w:rPr>
          <w:rFonts w:ascii="Times New Roman" w:hAnsi="Times New Roman" w:cs="Times New Roman"/>
          <w:color w:val="000000"/>
          <w:sz w:val="20"/>
          <w:szCs w:val="20"/>
          <w:shd w:val="clear" w:color="auto" w:fill="FFFFFF"/>
        </w:rPr>
        <w:t xml:space="preserve">mmissions mixtes paritaires, Dominique </w:t>
      </w:r>
      <w:r w:rsidRPr="00CB7DBC">
        <w:rPr>
          <w:rFonts w:ascii="Times New Roman" w:hAnsi="Times New Roman" w:cs="Times New Roman"/>
          <w:color w:val="000000"/>
          <w:sz w:val="20"/>
          <w:szCs w:val="20"/>
          <w:shd w:val="clear" w:color="auto" w:fill="FFFFFF"/>
        </w:rPr>
        <w:t>Potier, après avoir indiqué que la mise en place d’une législation sur les fonds vautours lui tenait à cœur, releva que « nous sommes tous d’accord pour en finir enfin avec des pratiques nuisant à la saine économie et à la dignité humaine</w:t>
      </w:r>
      <w:r>
        <w:rPr>
          <w:rFonts w:ascii="Times New Roman" w:hAnsi="Times New Roman" w:cs="Times New Roman"/>
          <w:color w:val="000000"/>
          <w:sz w:val="20"/>
          <w:szCs w:val="20"/>
          <w:shd w:val="clear" w:color="auto" w:fill="FFFFFF"/>
        </w:rPr>
        <w:t> »</w:t>
      </w:r>
      <w:r w:rsidRPr="00CB7DBC">
        <w:rPr>
          <w:rFonts w:ascii="Times New Roman" w:hAnsi="Times New Roman" w:cs="Times New Roman"/>
          <w:color w:val="000000"/>
          <w:sz w:val="20"/>
          <w:szCs w:val="20"/>
          <w:shd w:val="clear" w:color="auto" w:fill="FFFFFF"/>
        </w:rPr>
        <w:t>. Et le député de ponctuer : « (a)llons vite et rassemblons-nous : nous sommes attendus ! » (r</w:t>
      </w:r>
      <w:r w:rsidRPr="00CB7DBC">
        <w:rPr>
          <w:rFonts w:ascii="Times New Roman" w:hAnsi="Times New Roman" w:cs="Times New Roman"/>
          <w:sz w:val="20"/>
          <w:szCs w:val="20"/>
        </w:rPr>
        <w:t>apport</w:t>
      </w:r>
      <w:r>
        <w:rPr>
          <w:rFonts w:ascii="Times New Roman" w:hAnsi="Times New Roman" w:cs="Times New Roman"/>
          <w:sz w:val="20"/>
          <w:szCs w:val="20"/>
        </w:rPr>
        <w:t xml:space="preserve"> </w:t>
      </w:r>
      <w:r w:rsidRPr="00CB7DBC">
        <w:rPr>
          <w:rFonts w:ascii="Times New Roman" w:hAnsi="Times New Roman" w:cs="Times New Roman"/>
          <w:bCs/>
          <w:sz w:val="20"/>
          <w:szCs w:val="20"/>
        </w:rPr>
        <w:t>n° 4032 et 4033 (Assemblée nationale) et n° 830 (Sénat)</w:t>
      </w:r>
      <w:r w:rsidRPr="00CB7DBC">
        <w:rPr>
          <w:rFonts w:ascii="Times New Roman" w:hAnsi="Times New Roman" w:cs="Times New Roman"/>
          <w:sz w:val="20"/>
          <w:szCs w:val="20"/>
        </w:rPr>
        <w:t xml:space="preserve"> fait au nom des commissions </w:t>
      </w:r>
      <w:r w:rsidRPr="009D75D4">
        <w:rPr>
          <w:rFonts w:ascii="Times New Roman" w:hAnsi="Times New Roman" w:cs="Times New Roman"/>
          <w:sz w:val="20"/>
          <w:szCs w:val="20"/>
        </w:rPr>
        <w:t>mixtes paritaires […] chargées</w:t>
      </w:r>
      <w:r w:rsidRPr="00CB7DBC">
        <w:rPr>
          <w:rFonts w:ascii="Times New Roman" w:hAnsi="Times New Roman" w:cs="Times New Roman"/>
          <w:sz w:val="20"/>
          <w:szCs w:val="20"/>
        </w:rPr>
        <w:t xml:space="preserve"> de proposer un texte sur les dispositions restant en discussion du projet de loi relatif à la </w:t>
      </w:r>
      <w:r w:rsidRPr="00CB7DBC">
        <w:rPr>
          <w:rFonts w:ascii="Times New Roman" w:hAnsi="Times New Roman" w:cs="Times New Roman"/>
          <w:bCs/>
          <w:sz w:val="20"/>
          <w:szCs w:val="20"/>
        </w:rPr>
        <w:t>transparence</w:t>
      </w:r>
      <w:r w:rsidRPr="00CB7DBC">
        <w:rPr>
          <w:rFonts w:ascii="Times New Roman" w:hAnsi="Times New Roman" w:cs="Times New Roman"/>
          <w:iCs/>
          <w:sz w:val="20"/>
          <w:szCs w:val="20"/>
        </w:rPr>
        <w:t xml:space="preserve">, à la </w:t>
      </w:r>
      <w:r w:rsidRPr="00CB7DBC">
        <w:rPr>
          <w:rFonts w:ascii="Times New Roman" w:hAnsi="Times New Roman" w:cs="Times New Roman"/>
          <w:bCs/>
          <w:sz w:val="20"/>
          <w:szCs w:val="20"/>
        </w:rPr>
        <w:t xml:space="preserve">lutte contre </w:t>
      </w:r>
      <w:r w:rsidRPr="00CB7DBC">
        <w:rPr>
          <w:rFonts w:ascii="Times New Roman" w:hAnsi="Times New Roman" w:cs="Times New Roman"/>
          <w:iCs/>
          <w:sz w:val="20"/>
          <w:szCs w:val="20"/>
        </w:rPr>
        <w:t xml:space="preserve">la </w:t>
      </w:r>
      <w:r w:rsidRPr="00CB7DBC">
        <w:rPr>
          <w:rFonts w:ascii="Times New Roman" w:hAnsi="Times New Roman" w:cs="Times New Roman"/>
          <w:bCs/>
          <w:sz w:val="20"/>
          <w:szCs w:val="20"/>
        </w:rPr>
        <w:t xml:space="preserve">corruption </w:t>
      </w:r>
      <w:r w:rsidRPr="00CB7DBC">
        <w:rPr>
          <w:rFonts w:ascii="Times New Roman" w:hAnsi="Times New Roman" w:cs="Times New Roman"/>
          <w:iCs/>
          <w:sz w:val="20"/>
          <w:szCs w:val="20"/>
        </w:rPr>
        <w:t xml:space="preserve">et à la </w:t>
      </w:r>
      <w:r w:rsidRPr="00CB7DBC">
        <w:rPr>
          <w:rFonts w:ascii="Times New Roman" w:hAnsi="Times New Roman" w:cs="Times New Roman"/>
          <w:bCs/>
          <w:sz w:val="20"/>
          <w:szCs w:val="20"/>
        </w:rPr>
        <w:t xml:space="preserve">modernisation </w:t>
      </w:r>
      <w:r w:rsidRPr="00CB7DBC">
        <w:rPr>
          <w:rFonts w:ascii="Times New Roman" w:hAnsi="Times New Roman" w:cs="Times New Roman"/>
          <w:iCs/>
          <w:sz w:val="20"/>
          <w:szCs w:val="20"/>
        </w:rPr>
        <w:t xml:space="preserve">de la </w:t>
      </w:r>
      <w:r>
        <w:rPr>
          <w:rFonts w:ascii="Times New Roman" w:hAnsi="Times New Roman" w:cs="Times New Roman"/>
          <w:bCs/>
          <w:sz w:val="20"/>
          <w:szCs w:val="20"/>
        </w:rPr>
        <w:t xml:space="preserve">vie </w:t>
      </w:r>
      <w:r w:rsidRPr="009D75D4">
        <w:rPr>
          <w:rFonts w:ascii="Times New Roman" w:hAnsi="Times New Roman" w:cs="Times New Roman"/>
          <w:bCs/>
          <w:sz w:val="20"/>
          <w:szCs w:val="20"/>
        </w:rPr>
        <w:t xml:space="preserve">économique </w:t>
      </w:r>
      <w:r w:rsidRPr="009D75D4">
        <w:rPr>
          <w:rFonts w:ascii="Times New Roman" w:hAnsi="Times New Roman" w:cs="Times New Roman"/>
          <w:sz w:val="20"/>
          <w:szCs w:val="20"/>
        </w:rPr>
        <w:t>[…]</w:t>
      </w:r>
      <w:r w:rsidRPr="009D75D4">
        <w:rPr>
          <w:rFonts w:ascii="Times New Roman" w:hAnsi="Times New Roman" w:cs="Times New Roman"/>
          <w:bCs/>
          <w:sz w:val="20"/>
          <w:szCs w:val="20"/>
        </w:rPr>
        <w:t>, par</w:t>
      </w:r>
      <w:r w:rsidRPr="00CB7DBC">
        <w:rPr>
          <w:rFonts w:ascii="Times New Roman" w:hAnsi="Times New Roman" w:cs="Times New Roman"/>
          <w:bCs/>
          <w:sz w:val="20"/>
          <w:szCs w:val="20"/>
        </w:rPr>
        <w:t xml:space="preserve"> S. </w:t>
      </w:r>
      <w:r w:rsidRPr="009D5D0D">
        <w:rPr>
          <w:rFonts w:ascii="Times New Roman" w:hAnsi="Times New Roman" w:cs="Times New Roman"/>
          <w:bCs/>
          <w:sz w:val="20"/>
          <w:szCs w:val="20"/>
        </w:rPr>
        <w:t>Denaja</w:t>
      </w:r>
      <w:r w:rsidRPr="00CB7DBC">
        <w:rPr>
          <w:rFonts w:ascii="Times New Roman" w:hAnsi="Times New Roman" w:cs="Times New Roman"/>
          <w:bCs/>
          <w:sz w:val="20"/>
          <w:szCs w:val="20"/>
        </w:rPr>
        <w:t xml:space="preserve"> et F. </w:t>
      </w:r>
      <w:r w:rsidRPr="009D5D0D">
        <w:rPr>
          <w:rFonts w:ascii="Times New Roman" w:hAnsi="Times New Roman" w:cs="Times New Roman"/>
          <w:bCs/>
          <w:sz w:val="20"/>
          <w:szCs w:val="20"/>
        </w:rPr>
        <w:t>Pillet</w:t>
      </w:r>
      <w:r w:rsidRPr="00CB7DBC">
        <w:rPr>
          <w:rFonts w:ascii="Times New Roman" w:hAnsi="Times New Roman" w:cs="Times New Roman"/>
          <w:bCs/>
          <w:sz w:val="20"/>
          <w:szCs w:val="20"/>
        </w:rPr>
        <w:t>,</w:t>
      </w:r>
      <w:r>
        <w:rPr>
          <w:rFonts w:ascii="Times New Roman" w:hAnsi="Times New Roman" w:cs="Times New Roman"/>
          <w:bCs/>
          <w:sz w:val="20"/>
          <w:szCs w:val="20"/>
        </w:rPr>
        <w:t xml:space="preserve"> </w:t>
      </w:r>
      <w:r w:rsidRPr="00CB7DBC">
        <w:rPr>
          <w:rFonts w:ascii="Times New Roman" w:hAnsi="Times New Roman" w:cs="Times New Roman"/>
          <w:bCs/>
          <w:sz w:val="20"/>
          <w:szCs w:val="20"/>
        </w:rPr>
        <w:t>14 septembre 2016</w:t>
      </w:r>
      <w:r>
        <w:rPr>
          <w:rFonts w:ascii="Times New Roman" w:hAnsi="Times New Roman" w:cs="Times New Roman"/>
          <w:bCs/>
          <w:sz w:val="20"/>
          <w:szCs w:val="20"/>
        </w:rPr>
        <w:t xml:space="preserve">, disponible à l’adresse </w:t>
      </w:r>
      <w:hyperlink r:id="rId11" w:history="1">
        <w:r w:rsidRPr="00674042">
          <w:rPr>
            <w:rStyle w:val="Lienhypertexte"/>
            <w:rFonts w:ascii="Times New Roman" w:hAnsi="Times New Roman" w:cs="Times New Roman"/>
            <w:bCs/>
            <w:sz w:val="20"/>
            <w:szCs w:val="20"/>
          </w:rPr>
          <w:t>www.assemblee-nationale.fr/14/pdf/rapports/r4032.pdf</w:t>
        </w:r>
      </w:hyperlink>
      <w:r w:rsidRPr="00CB7DBC">
        <w:rPr>
          <w:rFonts w:ascii="Times New Roman" w:hAnsi="Times New Roman" w:cs="Times New Roman"/>
          <w:bCs/>
          <w:sz w:val="20"/>
          <w:szCs w:val="20"/>
        </w:rPr>
        <w:t>, p. 10)</w:t>
      </w:r>
      <w:r w:rsidRPr="00CB7DBC">
        <w:rPr>
          <w:rFonts w:ascii="Times New Roman" w:hAnsi="Times New Roman" w:cs="Times New Roman"/>
          <w:color w:val="000000"/>
          <w:sz w:val="20"/>
          <w:szCs w:val="20"/>
          <w:shd w:val="clear" w:color="auto" w:fill="FFFFFF"/>
        </w:rPr>
        <w:t>.</w:t>
      </w:r>
    </w:p>
  </w:footnote>
  <w:footnote w:id="16">
    <w:p w14:paraId="699E5C46" w14:textId="63469A10" w:rsidR="00552491" w:rsidRPr="00041E80" w:rsidRDefault="00552491" w:rsidP="002C2F99">
      <w:pPr>
        <w:pStyle w:val="Notedebasdepage"/>
        <w:jc w:val="both"/>
        <w:rPr>
          <w:rFonts w:cs="Times New Roman"/>
        </w:rPr>
      </w:pPr>
      <w:r>
        <w:rPr>
          <w:rStyle w:val="Appelnotedebasdep"/>
        </w:rPr>
        <w:footnoteRef/>
      </w:r>
      <w:r>
        <w:t xml:space="preserve"> Assemblée nationale, compte rendu intégral, session ordinaire de 2015-2016, 2</w:t>
      </w:r>
      <w:r>
        <w:rPr>
          <w:vertAlign w:val="superscript"/>
        </w:rPr>
        <w:t>e</w:t>
      </w:r>
      <w:r>
        <w:t xml:space="preserve"> séance du mardi 14 juin 2016, </w:t>
      </w:r>
      <w:r w:rsidRPr="00B41D0F">
        <w:rPr>
          <w:i/>
        </w:rPr>
        <w:t>Journal officiel de la République française</w:t>
      </w:r>
      <w:r>
        <w:t xml:space="preserve">, disponible à l’adresse </w:t>
      </w:r>
      <w:hyperlink r:id="rId12" w:history="1">
        <w:r w:rsidRPr="00674042">
          <w:rPr>
            <w:rStyle w:val="Lienhypertexte"/>
          </w:rPr>
          <w:t>www.assemblee-nationale.fr/14/pdf/cri/2015-</w:t>
        </w:r>
        <w:r w:rsidRPr="00674042">
          <w:rPr>
            <w:rStyle w:val="Lienhypertexte"/>
            <w:rFonts w:cs="Times New Roman"/>
          </w:rPr>
          <w:t>2016/20160214.pdf</w:t>
        </w:r>
      </w:hyperlink>
      <w:r w:rsidRPr="00041E80">
        <w:rPr>
          <w:rFonts w:cs="Times New Roman"/>
        </w:rPr>
        <w:t>, p. 4340.</w:t>
      </w:r>
      <w:r>
        <w:rPr>
          <w:rFonts w:cs="Times New Roman"/>
        </w:rPr>
        <w:t xml:space="preserve"> </w:t>
      </w:r>
      <w:r>
        <w:rPr>
          <w:rFonts w:cs="Times New Roman"/>
          <w:color w:val="000000"/>
          <w:szCs w:val="24"/>
          <w:shd w:val="clear" w:color="auto" w:fill="FFFFFF"/>
        </w:rPr>
        <w:t xml:space="preserve">La députée saluera encore la transparence poursuivie par le texte de loi en projet, soulignant la « transparence contre les trous noirs de la finance internationale, contre l’opacité grâce à laquelle les fonds vautours ruinent des économies » (Assemblée nationale, </w:t>
      </w:r>
      <w:r>
        <w:rPr>
          <w:rFonts w:cs="Times New Roman"/>
        </w:rPr>
        <w:t>c</w:t>
      </w:r>
      <w:r w:rsidRPr="00966F7E">
        <w:rPr>
          <w:rFonts w:cs="Times New Roman"/>
        </w:rPr>
        <w:t>ompte rendu intégral, 2</w:t>
      </w:r>
      <w:r w:rsidRPr="00966F7E">
        <w:rPr>
          <w:rFonts w:cs="Times New Roman"/>
          <w:vertAlign w:val="superscript"/>
        </w:rPr>
        <w:t>e</w:t>
      </w:r>
      <w:r w:rsidRPr="00966F7E">
        <w:rPr>
          <w:rFonts w:cs="Times New Roman"/>
        </w:rPr>
        <w:t xml:space="preserve"> session extraordinaire de 2015-2016, 1</w:t>
      </w:r>
      <w:r w:rsidRPr="00966F7E">
        <w:rPr>
          <w:rFonts w:cs="Times New Roman"/>
          <w:vertAlign w:val="superscript"/>
        </w:rPr>
        <w:t>re</w:t>
      </w:r>
      <w:r w:rsidRPr="00966F7E">
        <w:rPr>
          <w:rFonts w:cs="Times New Roman"/>
        </w:rPr>
        <w:t xml:space="preserve"> séance du mercredi 28 septembre 2016, </w:t>
      </w:r>
      <w:r w:rsidRPr="00B41D0F">
        <w:rPr>
          <w:rFonts w:cs="Times New Roman"/>
          <w:i/>
        </w:rPr>
        <w:t>Journal officiel de la République française</w:t>
      </w:r>
      <w:r>
        <w:rPr>
          <w:rFonts w:cs="Times New Roman"/>
        </w:rPr>
        <w:t xml:space="preserve">, disponible à l’adresse </w:t>
      </w:r>
      <w:hyperlink r:id="rId13" w:history="1">
        <w:r w:rsidRPr="00674042">
          <w:rPr>
            <w:rStyle w:val="Lienhypertexte"/>
            <w:rFonts w:cs="Times New Roman"/>
          </w:rPr>
          <w:t>www.assemblee-nationale.fr/14/pdf/cri/2015-2016-extra2/20162003.pdf</w:t>
        </w:r>
      </w:hyperlink>
      <w:r w:rsidRPr="00966F7E">
        <w:rPr>
          <w:rFonts w:cs="Times New Roman"/>
        </w:rPr>
        <w:t xml:space="preserve">, p. </w:t>
      </w:r>
      <w:r>
        <w:rPr>
          <w:rFonts w:cs="Times New Roman"/>
        </w:rPr>
        <w:t>5683)</w:t>
      </w:r>
      <w:r>
        <w:rPr>
          <w:rFonts w:cs="Times New Roman"/>
          <w:color w:val="000000"/>
          <w:szCs w:val="24"/>
          <w:shd w:val="clear" w:color="auto" w:fill="FFFFFF"/>
        </w:rPr>
        <w:t>.</w:t>
      </w:r>
    </w:p>
  </w:footnote>
  <w:footnote w:id="17">
    <w:p w14:paraId="7B46D147" w14:textId="77777777" w:rsidR="00552491" w:rsidRPr="00A344BD" w:rsidRDefault="00552491" w:rsidP="002C2F99">
      <w:pPr>
        <w:pStyle w:val="Notedebasdepage"/>
        <w:jc w:val="both"/>
      </w:pPr>
      <w:r>
        <w:rPr>
          <w:rStyle w:val="Appelnotedebasdep"/>
        </w:rPr>
        <w:footnoteRef/>
      </w:r>
      <w:r>
        <w:t xml:space="preserve"> Sénat, c</w:t>
      </w:r>
      <w:r w:rsidRPr="00041E80">
        <w:rPr>
          <w:rFonts w:cs="Times New Roman"/>
        </w:rPr>
        <w:t xml:space="preserve">ompte rendu intégral, session extraordinaire de 2015-2016, séance du jeudi 7 juillet 2016, </w:t>
      </w:r>
      <w:r w:rsidRPr="00B41D0F">
        <w:rPr>
          <w:rFonts w:cs="Times New Roman"/>
          <w:i/>
        </w:rPr>
        <w:t>Journal officiel de la République française</w:t>
      </w:r>
      <w:r>
        <w:rPr>
          <w:rFonts w:cs="Times New Roman"/>
        </w:rPr>
        <w:t>, p. 12543.</w:t>
      </w:r>
    </w:p>
  </w:footnote>
  <w:footnote w:id="18">
    <w:p w14:paraId="66D7878D" w14:textId="5C2D750F" w:rsidR="00552491" w:rsidRPr="00462BA2" w:rsidRDefault="00552491" w:rsidP="002C2F99">
      <w:pPr>
        <w:autoSpaceDE w:val="0"/>
        <w:autoSpaceDN w:val="0"/>
        <w:adjustRightInd w:val="0"/>
        <w:spacing w:after="0" w:line="240" w:lineRule="auto"/>
        <w:jc w:val="both"/>
        <w:rPr>
          <w:rFonts w:cs="Times New Roman"/>
          <w:sz w:val="20"/>
          <w:szCs w:val="20"/>
          <w:lang w:val="en-US"/>
        </w:rPr>
      </w:pPr>
      <w:r w:rsidRPr="00462BA2">
        <w:rPr>
          <w:rStyle w:val="Appelnotedebasdep"/>
          <w:rFonts w:cs="Times New Roman"/>
          <w:sz w:val="20"/>
          <w:szCs w:val="20"/>
        </w:rPr>
        <w:footnoteRef/>
      </w:r>
      <w:r w:rsidR="00924009">
        <w:rPr>
          <w:rFonts w:cs="Times New Roman"/>
          <w:sz w:val="20"/>
          <w:szCs w:val="20"/>
          <w:lang w:val="en-US"/>
        </w:rPr>
        <w:t xml:space="preserve"> Voy.</w:t>
      </w:r>
      <w:r w:rsidRPr="00351C7E">
        <w:rPr>
          <w:rFonts w:cs="Times New Roman"/>
          <w:sz w:val="20"/>
          <w:szCs w:val="20"/>
          <w:lang w:val="en-US"/>
        </w:rPr>
        <w:t xml:space="preserve"> le </w:t>
      </w:r>
      <w:r w:rsidRPr="00351C7E">
        <w:rPr>
          <w:rFonts w:cs="Times New Roman"/>
          <w:i/>
          <w:sz w:val="20"/>
          <w:szCs w:val="20"/>
          <w:lang w:val="en-US"/>
        </w:rPr>
        <w:t>Debt Relief (Developing Countries) Act 2010</w:t>
      </w:r>
      <w:r w:rsidRPr="00351C7E">
        <w:rPr>
          <w:rFonts w:cs="Times New Roman"/>
          <w:sz w:val="20"/>
          <w:szCs w:val="20"/>
          <w:lang w:val="en-US"/>
        </w:rPr>
        <w:t xml:space="preserve">. </w:t>
      </w:r>
      <w:r w:rsidR="00924009">
        <w:rPr>
          <w:rFonts w:cs="Times New Roman"/>
          <w:sz w:val="20"/>
          <w:szCs w:val="20"/>
          <w:lang w:val="en-US"/>
        </w:rPr>
        <w:t>Voy.</w:t>
      </w:r>
      <w:r w:rsidRPr="00462BA2">
        <w:rPr>
          <w:rFonts w:cs="Times New Roman"/>
          <w:sz w:val="20"/>
          <w:szCs w:val="20"/>
          <w:lang w:val="en-US"/>
        </w:rPr>
        <w:t xml:space="preserve"> également </w:t>
      </w:r>
      <w:r>
        <w:rPr>
          <w:rFonts w:cs="Times New Roman"/>
          <w:sz w:val="20"/>
          <w:szCs w:val="20"/>
          <w:lang w:val="en-US"/>
        </w:rPr>
        <w:t xml:space="preserve">le </w:t>
      </w:r>
      <w:r w:rsidRPr="00462BA2">
        <w:rPr>
          <w:rFonts w:cs="Times New Roman"/>
          <w:i/>
          <w:sz w:val="20"/>
          <w:szCs w:val="20"/>
          <w:lang w:val="en-US"/>
        </w:rPr>
        <w:t xml:space="preserve">Heavily Indebted Poor Countries (Limitation on Debt Recovery) Act 2012 </w:t>
      </w:r>
      <w:r w:rsidRPr="00462BA2">
        <w:rPr>
          <w:rFonts w:cs="Times New Roman"/>
          <w:sz w:val="20"/>
          <w:szCs w:val="20"/>
          <w:lang w:val="en-US"/>
        </w:rPr>
        <w:t>(</w:t>
      </w:r>
      <w:r>
        <w:rPr>
          <w:rFonts w:cs="Times New Roman"/>
          <w:sz w:val="20"/>
          <w:szCs w:val="20"/>
          <w:lang w:val="en-US"/>
        </w:rPr>
        <w:t>Ile de</w:t>
      </w:r>
      <w:r w:rsidRPr="00462BA2">
        <w:rPr>
          <w:rFonts w:cs="Times New Roman"/>
          <w:sz w:val="20"/>
          <w:szCs w:val="20"/>
          <w:lang w:val="en-US"/>
        </w:rPr>
        <w:t xml:space="preserve"> Man), </w:t>
      </w:r>
      <w:r>
        <w:rPr>
          <w:rFonts w:cs="Times New Roman"/>
          <w:sz w:val="20"/>
          <w:szCs w:val="20"/>
          <w:lang w:val="en-US"/>
        </w:rPr>
        <w:t xml:space="preserve">le </w:t>
      </w:r>
      <w:r w:rsidRPr="00462BA2">
        <w:rPr>
          <w:rFonts w:cs="Times New Roman"/>
          <w:i/>
          <w:sz w:val="20"/>
          <w:szCs w:val="20"/>
          <w:lang w:val="en-US"/>
        </w:rPr>
        <w:t>Debt Relief (Developing Countries) (Jersey) Law 2013</w:t>
      </w:r>
      <w:r w:rsidRPr="00462BA2">
        <w:rPr>
          <w:rFonts w:cs="Times New Roman"/>
          <w:sz w:val="20"/>
          <w:szCs w:val="20"/>
          <w:lang w:val="en-US"/>
        </w:rPr>
        <w:t xml:space="preserve"> </w:t>
      </w:r>
      <w:r>
        <w:rPr>
          <w:rFonts w:cs="Times New Roman"/>
          <w:sz w:val="20"/>
          <w:szCs w:val="20"/>
          <w:lang w:val="en-US"/>
        </w:rPr>
        <w:t>et le</w:t>
      </w:r>
      <w:r w:rsidRPr="00462BA2">
        <w:rPr>
          <w:rFonts w:cs="Times New Roman"/>
          <w:sz w:val="20"/>
          <w:szCs w:val="20"/>
          <w:lang w:val="en-US"/>
        </w:rPr>
        <w:t xml:space="preserve"> </w:t>
      </w:r>
      <w:r w:rsidRPr="00462BA2">
        <w:rPr>
          <w:rFonts w:cs="Times New Roman"/>
          <w:i/>
          <w:sz w:val="20"/>
          <w:szCs w:val="20"/>
          <w:lang w:val="en-US"/>
        </w:rPr>
        <w:t>Debt Relief (Developing Countries) (Guernsey and Alderney) Law 2013</w:t>
      </w:r>
      <w:r w:rsidRPr="00462BA2">
        <w:rPr>
          <w:rFonts w:cs="Times New Roman"/>
          <w:sz w:val="20"/>
          <w:szCs w:val="20"/>
          <w:lang w:val="en-US"/>
        </w:rPr>
        <w:t>.</w:t>
      </w:r>
    </w:p>
  </w:footnote>
  <w:footnote w:id="19">
    <w:p w14:paraId="757828AD" w14:textId="5EBEC22B" w:rsidR="00552491" w:rsidRPr="00EF3A2D" w:rsidRDefault="00552491" w:rsidP="002C2F99">
      <w:pPr>
        <w:pStyle w:val="Notedebasdepage"/>
        <w:jc w:val="both"/>
        <w:rPr>
          <w:rFonts w:cs="Times New Roman"/>
        </w:rPr>
      </w:pPr>
      <w:r w:rsidRPr="00EF3A2D">
        <w:rPr>
          <w:rStyle w:val="Appelnotedebasdep"/>
          <w:rFonts w:cs="Times New Roman"/>
        </w:rPr>
        <w:footnoteRef/>
      </w:r>
      <w:r w:rsidR="00924009">
        <w:rPr>
          <w:rFonts w:cs="Times New Roman"/>
        </w:rPr>
        <w:t xml:space="preserve"> Voy.</w:t>
      </w:r>
      <w:r w:rsidRPr="00EF3A2D">
        <w:rPr>
          <w:rFonts w:cs="Times New Roman"/>
        </w:rPr>
        <w:t xml:space="preserve"> la loi du 6 avril 2008 v</w:t>
      </w:r>
      <w:r w:rsidRPr="00EF3A2D">
        <w:rPr>
          <w:rFonts w:cs="Times New Roman"/>
          <w:color w:val="000000"/>
        </w:rPr>
        <w:t>isant à empêcher la saisie ou la cession des fonds publics destinés à la coopération internationale, notamment par la technique des fonds vautours</w:t>
      </w:r>
      <w:r w:rsidRPr="00EF3A2D">
        <w:rPr>
          <w:rFonts w:cs="Times New Roman"/>
        </w:rPr>
        <w:t xml:space="preserve"> et la loi</w:t>
      </w:r>
      <w:r>
        <w:rPr>
          <w:rFonts w:cs="Times New Roman"/>
        </w:rPr>
        <w:t xml:space="preserve"> </w:t>
      </w:r>
      <w:r w:rsidRPr="001B7FBB">
        <w:t>du 12 juillet 2015 relative à la lutte contre les activités des fonds vautours</w:t>
      </w:r>
      <w:r>
        <w:t>.</w:t>
      </w:r>
    </w:p>
  </w:footnote>
  <w:footnote w:id="20">
    <w:p w14:paraId="1DBD69BD" w14:textId="7405BC10" w:rsidR="00552491" w:rsidRDefault="00552491" w:rsidP="002C2F99">
      <w:pPr>
        <w:pStyle w:val="Notedebasdepage"/>
        <w:jc w:val="both"/>
      </w:pPr>
      <w:r>
        <w:rPr>
          <w:rStyle w:val="Appelnotedebasdep"/>
        </w:rPr>
        <w:footnoteRef/>
      </w:r>
      <w:r w:rsidR="00924009">
        <w:t xml:space="preserve"> Voy.</w:t>
      </w:r>
      <w:r>
        <w:t xml:space="preserve"> l’a</w:t>
      </w:r>
      <w:r w:rsidRPr="00AA1922">
        <w:rPr>
          <w:rFonts w:cs="Times New Roman"/>
        </w:rPr>
        <w:t xml:space="preserve">mendement n° 1405 </w:t>
      </w:r>
      <w:r>
        <w:rPr>
          <w:rFonts w:cs="Times New Roman"/>
        </w:rPr>
        <w:t xml:space="preserve">(Rect) </w:t>
      </w:r>
      <w:r w:rsidRPr="00AA1922">
        <w:rPr>
          <w:rFonts w:cs="Times New Roman"/>
        </w:rPr>
        <w:t xml:space="preserve">présenté par </w:t>
      </w:r>
      <w:r>
        <w:rPr>
          <w:rFonts w:cs="Times New Roman"/>
        </w:rPr>
        <w:t>D.</w:t>
      </w:r>
      <w:r w:rsidRPr="00AA1922">
        <w:rPr>
          <w:rFonts w:cs="Times New Roman"/>
          <w:iCs/>
          <w:color w:val="000000"/>
          <w:shd w:val="clear" w:color="auto" w:fill="FFFFFF"/>
        </w:rPr>
        <w:t xml:space="preserve"> Potier, </w:t>
      </w:r>
      <w:r>
        <w:rPr>
          <w:rFonts w:cs="Times New Roman"/>
          <w:iCs/>
          <w:color w:val="000000"/>
          <w:shd w:val="clear" w:color="auto" w:fill="FFFFFF"/>
        </w:rPr>
        <w:t>S. Mazetier, S. Denaja, R. Colas, C</w:t>
      </w:r>
      <w:r w:rsidRPr="00AA1922">
        <w:rPr>
          <w:rFonts w:cs="Times New Roman"/>
          <w:iCs/>
          <w:color w:val="000000"/>
          <w:shd w:val="clear" w:color="auto" w:fill="FFFFFF"/>
        </w:rPr>
        <w:t xml:space="preserve">. Castaner, </w:t>
      </w:r>
      <w:r>
        <w:rPr>
          <w:rFonts w:cs="Times New Roman"/>
          <w:iCs/>
          <w:color w:val="000000"/>
          <w:shd w:val="clear" w:color="auto" w:fill="FFFFFF"/>
        </w:rPr>
        <w:t>S. Errante, Y. Galut, P. Cherki, M. Rabin, C. Guittet, J.-R. Marsac, P.</w:t>
      </w:r>
      <w:r w:rsidRPr="00AA1922">
        <w:rPr>
          <w:rFonts w:cs="Times New Roman"/>
          <w:iCs/>
          <w:color w:val="000000"/>
          <w:shd w:val="clear" w:color="auto" w:fill="FFFFFF"/>
        </w:rPr>
        <w:t xml:space="preserve"> </w:t>
      </w:r>
      <w:r>
        <w:rPr>
          <w:rFonts w:cs="Times New Roman"/>
          <w:iCs/>
          <w:color w:val="000000"/>
          <w:shd w:val="clear" w:color="auto" w:fill="FFFFFF"/>
        </w:rPr>
        <w:t>Baumel, J</w:t>
      </w:r>
      <w:r w:rsidRPr="00AA1922">
        <w:rPr>
          <w:rFonts w:cs="Times New Roman"/>
          <w:iCs/>
          <w:color w:val="000000"/>
          <w:shd w:val="clear" w:color="auto" w:fill="FFFFFF"/>
        </w:rPr>
        <w:t>.</w:t>
      </w:r>
      <w:r>
        <w:rPr>
          <w:rFonts w:cs="Times New Roman"/>
          <w:iCs/>
          <w:color w:val="000000"/>
          <w:shd w:val="clear" w:color="auto" w:fill="FFFFFF"/>
        </w:rPr>
        <w:t>-P. Dufau et R</w:t>
      </w:r>
      <w:r w:rsidRPr="00AA1922">
        <w:rPr>
          <w:rFonts w:cs="Times New Roman"/>
          <w:iCs/>
          <w:color w:val="000000"/>
          <w:shd w:val="clear" w:color="auto" w:fill="FFFFFF"/>
        </w:rPr>
        <w:t xml:space="preserve">. Hammadi, </w:t>
      </w:r>
      <w:r>
        <w:rPr>
          <w:rFonts w:cs="Times New Roman"/>
          <w:iCs/>
          <w:color w:val="000000"/>
          <w:shd w:val="clear" w:color="auto" w:fill="FFFFFF"/>
        </w:rPr>
        <w:t>2 juin 2016</w:t>
      </w:r>
      <w:r w:rsidRPr="00660430">
        <w:rPr>
          <w:rStyle w:val="Lienhypertexte"/>
          <w:rFonts w:cs="Times New Roman"/>
          <w:iCs/>
          <w:color w:val="auto"/>
          <w:u w:val="none"/>
          <w:shd w:val="clear" w:color="auto" w:fill="FFFFFF"/>
        </w:rPr>
        <w:t>, p. 5.</w:t>
      </w:r>
    </w:p>
  </w:footnote>
  <w:footnote w:id="21">
    <w:p w14:paraId="068E38ED" w14:textId="634C659B" w:rsidR="00552491" w:rsidRDefault="00552491" w:rsidP="002C2F99">
      <w:pPr>
        <w:pStyle w:val="Notedebasdepage"/>
        <w:jc w:val="both"/>
      </w:pPr>
      <w:r>
        <w:rPr>
          <w:rStyle w:val="Appelnotedebasdep"/>
        </w:rPr>
        <w:footnoteRef/>
      </w:r>
      <w:r w:rsidR="00924009">
        <w:t xml:space="preserve"> Voy.</w:t>
      </w:r>
      <w:r>
        <w:t xml:space="preserve"> les propos de D. </w:t>
      </w:r>
      <w:r w:rsidRPr="00BD747E">
        <w:t>Potier</w:t>
      </w:r>
      <w:r>
        <w:t xml:space="preserve"> </w:t>
      </w:r>
      <w:r w:rsidRPr="00600A9B">
        <w:rPr>
          <w:i/>
        </w:rPr>
        <w:t>in</w:t>
      </w:r>
      <w:r>
        <w:t xml:space="preserve"> Assemblée nationale, compte rendu intégral, session ordinaire de 2015-2016, 3</w:t>
      </w:r>
      <w:r w:rsidRPr="00AA0772">
        <w:rPr>
          <w:vertAlign w:val="superscript"/>
        </w:rPr>
        <w:t>e</w:t>
      </w:r>
      <w:r>
        <w:t xml:space="preserve"> séance du jeudi 9 juin 2016, </w:t>
      </w:r>
      <w:r w:rsidRPr="00B41D0F">
        <w:rPr>
          <w:i/>
        </w:rPr>
        <w:t>Journal officiel de la République française</w:t>
      </w:r>
      <w:r>
        <w:t xml:space="preserve">, disponible à l’adresse </w:t>
      </w:r>
      <w:hyperlink r:id="rId14" w:history="1">
        <w:r w:rsidRPr="00674042">
          <w:rPr>
            <w:rStyle w:val="Lienhypertexte"/>
          </w:rPr>
          <w:t>www.assemblee-nationale.fr/14/pdf/cri/2015-2016/20160211.pdf</w:t>
        </w:r>
      </w:hyperlink>
      <w:r>
        <w:t>, p. 4236.</w:t>
      </w:r>
    </w:p>
  </w:footnote>
  <w:footnote w:id="22">
    <w:p w14:paraId="192A9798" w14:textId="77777777" w:rsidR="00552491" w:rsidRPr="001B57AD" w:rsidRDefault="00552491" w:rsidP="002C2F99">
      <w:pPr>
        <w:pStyle w:val="Sansinterligne"/>
        <w:jc w:val="both"/>
        <w:rPr>
          <w:rFonts w:ascii="Times New Roman" w:hAnsi="Times New Roman" w:cs="Times New Roman"/>
          <w:sz w:val="20"/>
          <w:szCs w:val="20"/>
        </w:rPr>
      </w:pPr>
      <w:r w:rsidRPr="001B57AD">
        <w:rPr>
          <w:rStyle w:val="Appelnotedebasdep"/>
          <w:rFonts w:ascii="Times New Roman" w:hAnsi="Times New Roman" w:cs="Times New Roman"/>
          <w:sz w:val="20"/>
          <w:szCs w:val="20"/>
        </w:rPr>
        <w:footnoteRef/>
      </w:r>
      <w:r w:rsidRPr="001B57AD">
        <w:rPr>
          <w:rFonts w:ascii="Times New Roman" w:hAnsi="Times New Roman" w:cs="Times New Roman"/>
          <w:sz w:val="20"/>
          <w:szCs w:val="20"/>
        </w:rPr>
        <w:t xml:space="preserve"> </w:t>
      </w:r>
      <w:r>
        <w:rPr>
          <w:rFonts w:ascii="Times New Roman" w:hAnsi="Times New Roman" w:cs="Times New Roman"/>
          <w:sz w:val="20"/>
          <w:szCs w:val="20"/>
        </w:rPr>
        <w:t>Sénat, c</w:t>
      </w:r>
      <w:r w:rsidRPr="001B57AD">
        <w:rPr>
          <w:rFonts w:ascii="Times New Roman" w:hAnsi="Times New Roman" w:cs="Times New Roman"/>
          <w:sz w:val="20"/>
          <w:szCs w:val="20"/>
        </w:rPr>
        <w:t xml:space="preserve">ompte rendu intégral, session extraordinaire de 2015-2016, séance du lundi 4 juillet 2016, </w:t>
      </w:r>
      <w:r w:rsidRPr="00B41D0F">
        <w:rPr>
          <w:rFonts w:ascii="Times New Roman" w:hAnsi="Times New Roman" w:cs="Times New Roman"/>
          <w:i/>
          <w:sz w:val="20"/>
          <w:szCs w:val="20"/>
        </w:rPr>
        <w:t>Journal officiel de la République française</w:t>
      </w:r>
      <w:r w:rsidRPr="001B57AD">
        <w:rPr>
          <w:rFonts w:ascii="Times New Roman" w:hAnsi="Times New Roman" w:cs="Times New Roman"/>
          <w:sz w:val="20"/>
          <w:szCs w:val="20"/>
        </w:rPr>
        <w:t xml:space="preserve">, disponible à l’adresse </w:t>
      </w:r>
      <w:hyperlink r:id="rId15" w:history="1">
        <w:r w:rsidRPr="00674042">
          <w:rPr>
            <w:rStyle w:val="Lienhypertexte"/>
            <w:rFonts w:ascii="Times New Roman" w:hAnsi="Times New Roman" w:cs="Times New Roman"/>
            <w:sz w:val="20"/>
            <w:szCs w:val="20"/>
          </w:rPr>
          <w:t>www.senat.fr/seances/s201607/s20160704/s20160704.pdf</w:t>
        </w:r>
      </w:hyperlink>
      <w:r w:rsidRPr="001B57AD">
        <w:rPr>
          <w:rFonts w:ascii="Times New Roman" w:hAnsi="Times New Roman" w:cs="Times New Roman"/>
          <w:sz w:val="20"/>
          <w:szCs w:val="20"/>
        </w:rPr>
        <w:t>, p. 12115.</w:t>
      </w:r>
    </w:p>
  </w:footnote>
  <w:footnote w:id="23">
    <w:p w14:paraId="12065E3D" w14:textId="73B307FC" w:rsidR="00552491" w:rsidRPr="00966F7E" w:rsidRDefault="00552491" w:rsidP="002C2F99">
      <w:pPr>
        <w:pStyle w:val="Sansinterligne"/>
        <w:jc w:val="both"/>
        <w:rPr>
          <w:rFonts w:ascii="Times New Roman" w:hAnsi="Times New Roman" w:cs="Times New Roman"/>
          <w:sz w:val="20"/>
          <w:szCs w:val="20"/>
        </w:rPr>
      </w:pPr>
      <w:r w:rsidRPr="00966F7E">
        <w:rPr>
          <w:rStyle w:val="Appelnotedebasdep"/>
          <w:rFonts w:ascii="Times New Roman" w:hAnsi="Times New Roman" w:cs="Times New Roman"/>
          <w:sz w:val="20"/>
          <w:szCs w:val="20"/>
        </w:rPr>
        <w:footnoteRef/>
      </w:r>
      <w:r w:rsidRPr="00966F7E">
        <w:rPr>
          <w:rFonts w:ascii="Times New Roman" w:hAnsi="Times New Roman" w:cs="Times New Roman"/>
          <w:sz w:val="20"/>
          <w:szCs w:val="20"/>
        </w:rPr>
        <w:t xml:space="preserve"> </w:t>
      </w:r>
      <w:r>
        <w:rPr>
          <w:rFonts w:ascii="Times New Roman" w:hAnsi="Times New Roman" w:cs="Times New Roman"/>
          <w:sz w:val="20"/>
          <w:szCs w:val="20"/>
        </w:rPr>
        <w:t>Assemblée nationale, c</w:t>
      </w:r>
      <w:r w:rsidRPr="00966F7E">
        <w:rPr>
          <w:rFonts w:ascii="Times New Roman" w:hAnsi="Times New Roman" w:cs="Times New Roman"/>
          <w:sz w:val="20"/>
          <w:szCs w:val="20"/>
        </w:rPr>
        <w:t>ompte rendu intégral, 2</w:t>
      </w:r>
      <w:r w:rsidRPr="00966F7E">
        <w:rPr>
          <w:rFonts w:ascii="Times New Roman" w:hAnsi="Times New Roman" w:cs="Times New Roman"/>
          <w:sz w:val="20"/>
          <w:szCs w:val="20"/>
          <w:vertAlign w:val="superscript"/>
        </w:rPr>
        <w:t>e</w:t>
      </w:r>
      <w:r w:rsidRPr="00966F7E">
        <w:rPr>
          <w:rFonts w:ascii="Times New Roman" w:hAnsi="Times New Roman" w:cs="Times New Roman"/>
          <w:sz w:val="20"/>
          <w:szCs w:val="20"/>
        </w:rPr>
        <w:t xml:space="preserve"> session extraordinaire de 2015-2016, 1</w:t>
      </w:r>
      <w:r w:rsidRPr="00966F7E">
        <w:rPr>
          <w:rFonts w:ascii="Times New Roman" w:hAnsi="Times New Roman" w:cs="Times New Roman"/>
          <w:sz w:val="20"/>
          <w:szCs w:val="20"/>
          <w:vertAlign w:val="superscript"/>
        </w:rPr>
        <w:t>re</w:t>
      </w:r>
      <w:r w:rsidRPr="00966F7E">
        <w:rPr>
          <w:rFonts w:ascii="Times New Roman" w:hAnsi="Times New Roman" w:cs="Times New Roman"/>
          <w:sz w:val="20"/>
          <w:szCs w:val="20"/>
        </w:rPr>
        <w:t xml:space="preserve"> séance du mercredi 28 septembre 2016, </w:t>
      </w:r>
      <w:r w:rsidRPr="00B41D0F">
        <w:rPr>
          <w:rFonts w:ascii="Times New Roman" w:hAnsi="Times New Roman" w:cs="Times New Roman"/>
          <w:i/>
          <w:sz w:val="20"/>
          <w:szCs w:val="20"/>
        </w:rPr>
        <w:t>Journal officiel de la République française</w:t>
      </w:r>
      <w:r w:rsidRPr="00966F7E">
        <w:rPr>
          <w:rFonts w:ascii="Times New Roman" w:hAnsi="Times New Roman" w:cs="Times New Roman"/>
          <w:sz w:val="20"/>
          <w:szCs w:val="20"/>
        </w:rPr>
        <w:t>, p. 5677.</w:t>
      </w:r>
    </w:p>
  </w:footnote>
  <w:footnote w:id="24">
    <w:p w14:paraId="195A1098" w14:textId="77777777" w:rsidR="00552491" w:rsidRDefault="00552491" w:rsidP="002C2F99">
      <w:pPr>
        <w:pStyle w:val="Notedebasdepage"/>
        <w:jc w:val="both"/>
      </w:pPr>
      <w:r>
        <w:rPr>
          <w:rStyle w:val="Appelnotedebasdep"/>
        </w:rPr>
        <w:footnoteRef/>
      </w:r>
      <w:r>
        <w:t xml:space="preserve"> </w:t>
      </w:r>
      <w:r w:rsidRPr="00A45CAA">
        <w:t>Assemblée générale des Nations Unies, Conseil des droits de l’homme</w:t>
      </w:r>
      <w:r>
        <w:rPr>
          <w:rFonts w:cs="Times New Roman"/>
          <w:szCs w:val="24"/>
        </w:rPr>
        <w:t>, r</w:t>
      </w:r>
      <w:r w:rsidRPr="00D0240B">
        <w:rPr>
          <w:rFonts w:cs="Times New Roman"/>
          <w:szCs w:val="24"/>
        </w:rPr>
        <w:t xml:space="preserve">ésolution 27/30 – Effets de la dette extérieure et des obligations financières internationales connexes des </w:t>
      </w:r>
      <w:r w:rsidRPr="00D0240B">
        <w:rPr>
          <w:rFonts w:cs="Times New Roman"/>
          <w:caps/>
          <w:szCs w:val="24"/>
        </w:rPr>
        <w:t>é</w:t>
      </w:r>
      <w:r w:rsidRPr="00D0240B">
        <w:rPr>
          <w:rFonts w:cs="Times New Roman"/>
          <w:szCs w:val="24"/>
        </w:rPr>
        <w:t xml:space="preserve">tats sur le plein exercice de tous les droits de l’homme, en particulier des droits économiques, sociaux et culturels : activités des fonds rapaces, A/HRC/RES/27/30, 26 septembre 2014, </w:t>
      </w:r>
      <w:r>
        <w:rPr>
          <w:rFonts w:cs="Times New Roman"/>
          <w:szCs w:val="24"/>
        </w:rPr>
        <w:t xml:space="preserve">disponible à l’adresse </w:t>
      </w:r>
      <w:hyperlink r:id="rId16" w:history="1">
        <w:r w:rsidRPr="00674042">
          <w:rPr>
            <w:rStyle w:val="Lienhypertexte"/>
            <w:rFonts w:cs="Times New Roman"/>
            <w:szCs w:val="24"/>
          </w:rPr>
          <w:t>www.undocs.org/fr/A/HRC/RES/27/30</w:t>
        </w:r>
      </w:hyperlink>
      <w:r>
        <w:rPr>
          <w:rFonts w:cs="Times New Roman"/>
          <w:szCs w:val="24"/>
        </w:rPr>
        <w:t xml:space="preserve">, </w:t>
      </w:r>
      <w:r w:rsidRPr="00D0240B">
        <w:rPr>
          <w:rFonts w:cs="Times New Roman"/>
          <w:szCs w:val="24"/>
        </w:rPr>
        <w:t xml:space="preserve">p. 3. Sans doute le terme « engage » traduit-il mal les termes </w:t>
      </w:r>
      <w:r w:rsidRPr="00D0240B">
        <w:rPr>
          <w:rFonts w:cs="Times New Roman"/>
          <w:i/>
          <w:szCs w:val="24"/>
        </w:rPr>
        <w:t>call upon</w:t>
      </w:r>
      <w:r w:rsidRPr="00D0240B">
        <w:rPr>
          <w:rFonts w:cs="Times New Roman"/>
          <w:szCs w:val="24"/>
        </w:rPr>
        <w:t xml:space="preserve"> utilisés dans la version anglaise</w:t>
      </w:r>
      <w:r>
        <w:rPr>
          <w:rFonts w:cs="Times New Roman"/>
          <w:szCs w:val="24"/>
        </w:rPr>
        <w:t>.</w:t>
      </w:r>
    </w:p>
  </w:footnote>
  <w:footnote w:id="25">
    <w:p w14:paraId="2F3B672B" w14:textId="77777777" w:rsidR="00552491" w:rsidRPr="00EF3A2D" w:rsidRDefault="00552491" w:rsidP="002C2F99">
      <w:pPr>
        <w:pStyle w:val="Notedebasdepage"/>
        <w:jc w:val="both"/>
      </w:pPr>
      <w:r w:rsidRPr="00A45CAA">
        <w:rPr>
          <w:rStyle w:val="Appelnotedebasdep"/>
        </w:rPr>
        <w:footnoteRef/>
      </w:r>
      <w:r w:rsidRPr="00A45CAA">
        <w:t xml:space="preserve"> Assemblée générale des Nations Unies, Conseil des droits de l’homme, </w:t>
      </w:r>
      <w:r>
        <w:t>r</w:t>
      </w:r>
      <w:r w:rsidRPr="00137757">
        <w:t>apport du Comité consultatif du Conseil des droits de l’homme sur les activités des fonds vautours et leurs incidences sur les droits de l’homme,</w:t>
      </w:r>
      <w:r w:rsidRPr="00A45CAA">
        <w:t xml:space="preserve"> A/HRC/33/54, 20 juillet 2016, disponible à l’adresse </w:t>
      </w:r>
      <w:hyperlink r:id="rId17" w:history="1">
        <w:r w:rsidRPr="00EF3A2D">
          <w:rPr>
            <w:rStyle w:val="Lienhypertexte"/>
          </w:rPr>
          <w:t>https://documents-dds-ny.un.org/doc/UNDOC/GEN/G16/160/66/PDF/G1616066.pdf?OpenElement</w:t>
        </w:r>
      </w:hyperlink>
      <w:r w:rsidRPr="00EF3A2D">
        <w:t>, p. 23 (point 87, a)).</w:t>
      </w:r>
    </w:p>
  </w:footnote>
  <w:footnote w:id="26">
    <w:p w14:paraId="14F1AF32" w14:textId="77777777" w:rsidR="00552491" w:rsidRDefault="00552491" w:rsidP="002C2F99">
      <w:pPr>
        <w:pStyle w:val="Notedebasdepage"/>
        <w:jc w:val="both"/>
      </w:pPr>
      <w:r w:rsidRPr="00070C85">
        <w:rPr>
          <w:rStyle w:val="Appelnotedebasdep"/>
        </w:rPr>
        <w:footnoteRef/>
      </w:r>
      <w:r w:rsidRPr="00070C85">
        <w:t xml:space="preserve"> R</w:t>
      </w:r>
      <w:r w:rsidRPr="00070C85">
        <w:rPr>
          <w:rFonts w:cs="Times New Roman"/>
        </w:rPr>
        <w:t xml:space="preserve">ésolution </w:t>
      </w:r>
      <w:r w:rsidRPr="00070C85">
        <w:rPr>
          <w:rFonts w:cs="Times New Roman"/>
          <w:bCs/>
          <w:shd w:val="clear" w:color="auto" w:fill="FFFFFF"/>
        </w:rPr>
        <w:t>du Parlement européen du 17 avril 2018 sur l’amélioration de la viabilité de la dette des pays en développement</w:t>
      </w:r>
      <w:r w:rsidRPr="00070C85">
        <w:t xml:space="preserve"> </w:t>
      </w:r>
      <w:r w:rsidRPr="00070C85">
        <w:rPr>
          <w:rFonts w:cs="Times New Roman"/>
          <w:bCs/>
          <w:shd w:val="clear" w:color="auto" w:fill="FFFFFF"/>
        </w:rPr>
        <w:t>(</w:t>
      </w:r>
      <w:hyperlink r:id="rId18" w:history="1">
        <w:r w:rsidRPr="00070C85">
          <w:rPr>
            <w:rStyle w:val="Lienhypertexte"/>
            <w:rFonts w:cs="Times New Roman"/>
            <w:bCs/>
            <w:color w:val="auto"/>
            <w:u w:val="none"/>
            <w:shd w:val="clear" w:color="auto" w:fill="FFFFFF"/>
          </w:rPr>
          <w:t>2016/2241(INI)</w:t>
        </w:r>
      </w:hyperlink>
      <w:r w:rsidRPr="00070C85">
        <w:rPr>
          <w:rFonts w:cs="Times New Roman"/>
        </w:rPr>
        <w:t xml:space="preserve">), disponible à l’adresse </w:t>
      </w:r>
      <w:hyperlink r:id="rId19" w:history="1">
        <w:r w:rsidRPr="00674042">
          <w:rPr>
            <w:rStyle w:val="Lienhypertexte"/>
            <w:rFonts w:cs="Times New Roman"/>
          </w:rPr>
          <w:t>www.europarl.europa.eu/sides/getDoc.do?pubRef=-//EP//NONSGML+TA+P8-TA-2018-0104+0+DOC+PDF+V0//FR</w:t>
        </w:r>
      </w:hyperlink>
      <w:r>
        <w:rPr>
          <w:rFonts w:cs="Times New Roman"/>
        </w:rPr>
        <w:t>.</w:t>
      </w:r>
    </w:p>
  </w:footnote>
  <w:footnote w:id="27">
    <w:p w14:paraId="16DACB16" w14:textId="77777777" w:rsidR="00552491" w:rsidRDefault="00552491" w:rsidP="002C2F99">
      <w:pPr>
        <w:pStyle w:val="Notedebasdepage"/>
        <w:jc w:val="both"/>
      </w:pPr>
      <w:r>
        <w:rPr>
          <w:rStyle w:val="Appelnotedebasdep"/>
        </w:rPr>
        <w:footnoteRef/>
      </w:r>
      <w:r>
        <w:t xml:space="preserve"> Assemblée nationale, compte rendu intégral, session ordinaire de 2015-2016, 3</w:t>
      </w:r>
      <w:r w:rsidRPr="00AA0772">
        <w:rPr>
          <w:vertAlign w:val="superscript"/>
        </w:rPr>
        <w:t>e</w:t>
      </w:r>
      <w:r>
        <w:t xml:space="preserve"> séance du jeudi 9 juin 2016, </w:t>
      </w:r>
      <w:r w:rsidRPr="00B41D0F">
        <w:rPr>
          <w:i/>
        </w:rPr>
        <w:t>Journal officiel de la République française</w:t>
      </w:r>
      <w:r>
        <w:t>, p. 4236.</w:t>
      </w:r>
    </w:p>
  </w:footnote>
  <w:footnote w:id="28">
    <w:p w14:paraId="62ADCE20" w14:textId="54FBAF05" w:rsidR="00552491" w:rsidRPr="00AA1922" w:rsidRDefault="00552491" w:rsidP="002C2F99">
      <w:pPr>
        <w:pStyle w:val="Notedebasdepage"/>
        <w:jc w:val="both"/>
        <w:rPr>
          <w:rFonts w:cs="Times New Roman"/>
        </w:rPr>
      </w:pPr>
      <w:r w:rsidRPr="00AA1922">
        <w:rPr>
          <w:rStyle w:val="Appelnotedebasdep"/>
          <w:rFonts w:cs="Times New Roman"/>
        </w:rPr>
        <w:footnoteRef/>
      </w:r>
      <w:r w:rsidRPr="00AA1922">
        <w:rPr>
          <w:rFonts w:cs="Times New Roman"/>
        </w:rPr>
        <w:t xml:space="preserve"> Amendement n° 1405 </w:t>
      </w:r>
      <w:r>
        <w:rPr>
          <w:rFonts w:cs="Times New Roman"/>
        </w:rPr>
        <w:t>(Rect) présenté par D.</w:t>
      </w:r>
      <w:r w:rsidRPr="00AA1922">
        <w:rPr>
          <w:rFonts w:cs="Times New Roman"/>
          <w:iCs/>
          <w:color w:val="000000"/>
          <w:shd w:val="clear" w:color="auto" w:fill="FFFFFF"/>
        </w:rPr>
        <w:t xml:space="preserve"> Potier, </w:t>
      </w:r>
      <w:r>
        <w:rPr>
          <w:rFonts w:cs="Times New Roman"/>
          <w:iCs/>
          <w:color w:val="000000"/>
          <w:shd w:val="clear" w:color="auto" w:fill="FFFFFF"/>
        </w:rPr>
        <w:t>S. Mazetier, S. Denaja, R. Colas, C</w:t>
      </w:r>
      <w:r w:rsidRPr="00AA1922">
        <w:rPr>
          <w:rFonts w:cs="Times New Roman"/>
          <w:iCs/>
          <w:color w:val="000000"/>
          <w:shd w:val="clear" w:color="auto" w:fill="FFFFFF"/>
        </w:rPr>
        <w:t xml:space="preserve">. Castaner, </w:t>
      </w:r>
      <w:r>
        <w:rPr>
          <w:rFonts w:cs="Times New Roman"/>
          <w:iCs/>
          <w:color w:val="000000"/>
          <w:shd w:val="clear" w:color="auto" w:fill="FFFFFF"/>
        </w:rPr>
        <w:t>S. Errante, Y. Galut, P. Cherki, M. Rabin, C. Guittet, J.-R. Marsac, P.</w:t>
      </w:r>
      <w:r w:rsidRPr="00AA1922">
        <w:rPr>
          <w:rFonts w:cs="Times New Roman"/>
          <w:iCs/>
          <w:color w:val="000000"/>
          <w:shd w:val="clear" w:color="auto" w:fill="FFFFFF"/>
        </w:rPr>
        <w:t xml:space="preserve"> </w:t>
      </w:r>
      <w:r>
        <w:rPr>
          <w:rFonts w:cs="Times New Roman"/>
          <w:iCs/>
          <w:color w:val="000000"/>
          <w:shd w:val="clear" w:color="auto" w:fill="FFFFFF"/>
        </w:rPr>
        <w:t>Baumel, J</w:t>
      </w:r>
      <w:r w:rsidRPr="00AA1922">
        <w:rPr>
          <w:rFonts w:cs="Times New Roman"/>
          <w:iCs/>
          <w:color w:val="000000"/>
          <w:shd w:val="clear" w:color="auto" w:fill="FFFFFF"/>
        </w:rPr>
        <w:t>.</w:t>
      </w:r>
      <w:r>
        <w:rPr>
          <w:rFonts w:cs="Times New Roman"/>
          <w:iCs/>
          <w:color w:val="000000"/>
          <w:shd w:val="clear" w:color="auto" w:fill="FFFFFF"/>
        </w:rPr>
        <w:t>-P. Dufau et R</w:t>
      </w:r>
      <w:r w:rsidRPr="00AA1922">
        <w:rPr>
          <w:rFonts w:cs="Times New Roman"/>
          <w:iCs/>
          <w:color w:val="000000"/>
          <w:shd w:val="clear" w:color="auto" w:fill="FFFFFF"/>
        </w:rPr>
        <w:t>. Hammadi,</w:t>
      </w:r>
      <w:r w:rsidR="00924009">
        <w:rPr>
          <w:rFonts w:cs="Times New Roman"/>
          <w:iCs/>
          <w:color w:val="000000"/>
          <w:shd w:val="clear" w:color="auto" w:fill="FFFFFF"/>
        </w:rPr>
        <w:t xml:space="preserve"> 2 juin 2016, p. 2. Voy.</w:t>
      </w:r>
      <w:r>
        <w:rPr>
          <w:rFonts w:cs="Times New Roman"/>
          <w:iCs/>
          <w:color w:val="000000"/>
          <w:shd w:val="clear" w:color="auto" w:fill="FFFFFF"/>
        </w:rPr>
        <w:t xml:space="preserve"> encore les critiques similaires reprises dans l’amendement </w:t>
      </w:r>
      <w:r>
        <w:t>n° 634 présenté par le Gouvernement.</w:t>
      </w:r>
    </w:p>
  </w:footnote>
  <w:footnote w:id="29">
    <w:p w14:paraId="40C9983D" w14:textId="2D19E43A" w:rsidR="00552491" w:rsidRDefault="00552491" w:rsidP="002C2F99">
      <w:pPr>
        <w:pStyle w:val="Notedebasdepage"/>
        <w:jc w:val="both"/>
      </w:pPr>
      <w:r>
        <w:rPr>
          <w:rStyle w:val="Appelnotedebasdep"/>
        </w:rPr>
        <w:footnoteRef/>
      </w:r>
      <w:r w:rsidR="00924009">
        <w:t xml:space="preserve"> Voy.</w:t>
      </w:r>
      <w:r>
        <w:t xml:space="preserve"> l’exposé sommaire de l’a</w:t>
      </w:r>
      <w:r w:rsidRPr="00AA1922">
        <w:rPr>
          <w:rFonts w:cs="Times New Roman"/>
        </w:rPr>
        <w:t xml:space="preserve">mendement n° 1405 </w:t>
      </w:r>
      <w:r>
        <w:rPr>
          <w:rFonts w:cs="Times New Roman"/>
        </w:rPr>
        <w:t xml:space="preserve">(Rect) </w:t>
      </w:r>
      <w:r w:rsidRPr="00AA1922">
        <w:rPr>
          <w:rFonts w:cs="Times New Roman"/>
        </w:rPr>
        <w:t xml:space="preserve">présenté par </w:t>
      </w:r>
      <w:r>
        <w:rPr>
          <w:rFonts w:cs="Times New Roman"/>
        </w:rPr>
        <w:t>D.</w:t>
      </w:r>
      <w:r w:rsidRPr="00AA1922">
        <w:rPr>
          <w:rFonts w:cs="Times New Roman"/>
          <w:iCs/>
          <w:color w:val="000000"/>
          <w:shd w:val="clear" w:color="auto" w:fill="FFFFFF"/>
        </w:rPr>
        <w:t xml:space="preserve"> Potier, </w:t>
      </w:r>
      <w:r>
        <w:rPr>
          <w:rFonts w:cs="Times New Roman"/>
          <w:iCs/>
          <w:color w:val="000000"/>
          <w:shd w:val="clear" w:color="auto" w:fill="FFFFFF"/>
        </w:rPr>
        <w:t>S. Mazetier, S. Denaja, R. Colas, C</w:t>
      </w:r>
      <w:r w:rsidRPr="00AA1922">
        <w:rPr>
          <w:rFonts w:cs="Times New Roman"/>
          <w:iCs/>
          <w:color w:val="000000"/>
          <w:shd w:val="clear" w:color="auto" w:fill="FFFFFF"/>
        </w:rPr>
        <w:t xml:space="preserve">. Castaner, </w:t>
      </w:r>
      <w:r>
        <w:rPr>
          <w:rFonts w:cs="Times New Roman"/>
          <w:iCs/>
          <w:color w:val="000000"/>
          <w:shd w:val="clear" w:color="auto" w:fill="FFFFFF"/>
        </w:rPr>
        <w:t>S. Errante, Y. Galut, P. Cherki, M. Rabin, C. Guittet, J.-R. Marsac, P.</w:t>
      </w:r>
      <w:r w:rsidRPr="00AA1922">
        <w:rPr>
          <w:rFonts w:cs="Times New Roman"/>
          <w:iCs/>
          <w:color w:val="000000"/>
          <w:shd w:val="clear" w:color="auto" w:fill="FFFFFF"/>
        </w:rPr>
        <w:t xml:space="preserve"> </w:t>
      </w:r>
      <w:r>
        <w:rPr>
          <w:rFonts w:cs="Times New Roman"/>
          <w:iCs/>
          <w:color w:val="000000"/>
          <w:shd w:val="clear" w:color="auto" w:fill="FFFFFF"/>
        </w:rPr>
        <w:t>Baumel, J</w:t>
      </w:r>
      <w:r w:rsidRPr="00AA1922">
        <w:rPr>
          <w:rFonts w:cs="Times New Roman"/>
          <w:iCs/>
          <w:color w:val="000000"/>
          <w:shd w:val="clear" w:color="auto" w:fill="FFFFFF"/>
        </w:rPr>
        <w:t>.</w:t>
      </w:r>
      <w:r>
        <w:rPr>
          <w:rFonts w:cs="Times New Roman"/>
          <w:iCs/>
          <w:color w:val="000000"/>
          <w:shd w:val="clear" w:color="auto" w:fill="FFFFFF"/>
        </w:rPr>
        <w:t>-P. Dufau et R</w:t>
      </w:r>
      <w:r w:rsidRPr="00AA1922">
        <w:rPr>
          <w:rFonts w:cs="Times New Roman"/>
          <w:iCs/>
          <w:color w:val="000000"/>
          <w:shd w:val="clear" w:color="auto" w:fill="FFFFFF"/>
        </w:rPr>
        <w:t xml:space="preserve">. Hammadi, </w:t>
      </w:r>
      <w:r>
        <w:rPr>
          <w:rFonts w:cs="Times New Roman"/>
          <w:iCs/>
          <w:color w:val="000000"/>
          <w:shd w:val="clear" w:color="auto" w:fill="FFFFFF"/>
        </w:rPr>
        <w:t>2 juin 2016</w:t>
      </w:r>
      <w:r w:rsidRPr="00AA1922">
        <w:rPr>
          <w:rFonts w:cs="Times New Roman"/>
          <w:iCs/>
          <w:color w:val="000000"/>
          <w:shd w:val="clear" w:color="auto" w:fill="FFFFFF"/>
        </w:rPr>
        <w:t>.</w:t>
      </w:r>
    </w:p>
  </w:footnote>
  <w:footnote w:id="30">
    <w:p w14:paraId="10E2243F" w14:textId="77777777" w:rsidR="00552491" w:rsidRDefault="00552491" w:rsidP="002C2F99">
      <w:pPr>
        <w:pStyle w:val="Notedebasdepage"/>
        <w:jc w:val="both"/>
      </w:pPr>
      <w:r>
        <w:rPr>
          <w:rStyle w:val="Appelnotedebasdep"/>
        </w:rPr>
        <w:footnoteRef/>
      </w:r>
      <w:r>
        <w:t xml:space="preserve"> Les parlementaires remarquent toutefois que des clauses d’action </w:t>
      </w:r>
      <w:r w:rsidRPr="00462BA2">
        <w:t>collective avec agrégation ont</w:t>
      </w:r>
      <w:r>
        <w:t xml:space="preserve"> été récemment introduites dans la plupart des contrats obligataires permettant qu’une restructuration s’impose à tous dès lors qu’elle emporte l’adhésion d’une très large majorité des créanciers. Toutefois, ils relèvent, d’une part, que nombre de créances souveraines restent dépourvues de telles clauses, d’autre part, que les </w:t>
      </w:r>
      <w:r w:rsidRPr="00184539">
        <w:rPr>
          <w:rFonts w:cs="Times New Roman"/>
          <w:shd w:val="clear" w:color="auto" w:fill="FFFFFF"/>
        </w:rPr>
        <w:t>É</w:t>
      </w:r>
      <w:r>
        <w:t xml:space="preserve">tats en développement ne disposent pas toujours des ressources juridiques suffisantes pour s’assurer que leurs levées de dette obligataires sont dûment protégées de l’action des fonds vautours. </w:t>
      </w:r>
    </w:p>
  </w:footnote>
  <w:footnote w:id="31">
    <w:p w14:paraId="4E952E52" w14:textId="77777777" w:rsidR="00552491" w:rsidRPr="00966A57" w:rsidRDefault="00552491" w:rsidP="002C2F99">
      <w:pPr>
        <w:pStyle w:val="Sansinterligne"/>
        <w:jc w:val="both"/>
        <w:rPr>
          <w:rFonts w:ascii="Times New Roman" w:hAnsi="Times New Roman" w:cs="Times New Roman"/>
          <w:sz w:val="20"/>
          <w:szCs w:val="20"/>
          <w:shd w:val="clear" w:color="auto" w:fill="FFFFFF"/>
        </w:rPr>
      </w:pPr>
      <w:r w:rsidRPr="00966A57">
        <w:rPr>
          <w:rStyle w:val="Appelnotedebasdep"/>
          <w:rFonts w:ascii="Times New Roman" w:hAnsi="Times New Roman" w:cs="Times New Roman"/>
          <w:sz w:val="20"/>
          <w:szCs w:val="20"/>
        </w:rPr>
        <w:footnoteRef/>
      </w:r>
      <w:r w:rsidRPr="00966A57">
        <w:rPr>
          <w:rFonts w:ascii="Times New Roman" w:hAnsi="Times New Roman" w:cs="Times New Roman"/>
          <w:sz w:val="20"/>
          <w:szCs w:val="20"/>
        </w:rPr>
        <w:t xml:space="preserve"> </w:t>
      </w:r>
      <w:r w:rsidRPr="00966A57">
        <w:rPr>
          <w:rFonts w:ascii="Times New Roman" w:hAnsi="Times New Roman" w:cs="Times New Roman"/>
          <w:sz w:val="20"/>
          <w:szCs w:val="20"/>
          <w:shd w:val="clear" w:color="auto" w:fill="FFFFFF"/>
        </w:rPr>
        <w:t xml:space="preserve">Le Gouvernement français releva quant à lui que « ces fonds peuvent même bloquer toute perspective de sortie de </w:t>
      </w:r>
      <w:r w:rsidRPr="009D75D4">
        <w:rPr>
          <w:rFonts w:ascii="Times New Roman" w:hAnsi="Times New Roman" w:cs="Times New Roman"/>
          <w:sz w:val="20"/>
          <w:szCs w:val="20"/>
          <w:shd w:val="clear" w:color="auto" w:fill="FFFFFF"/>
        </w:rPr>
        <w:t xml:space="preserve">crise </w:t>
      </w:r>
      <w:r w:rsidRPr="009D75D4">
        <w:rPr>
          <w:rFonts w:ascii="Times New Roman" w:hAnsi="Times New Roman" w:cs="Times New Roman"/>
          <w:sz w:val="20"/>
          <w:szCs w:val="20"/>
        </w:rPr>
        <w:t>[…]</w:t>
      </w:r>
      <w:r w:rsidRPr="009D75D4">
        <w:rPr>
          <w:rFonts w:ascii="Times New Roman" w:hAnsi="Times New Roman" w:cs="Times New Roman"/>
          <w:sz w:val="20"/>
          <w:szCs w:val="20"/>
          <w:shd w:val="clear" w:color="auto" w:fill="FFFFFF"/>
        </w:rPr>
        <w:t> »</w:t>
      </w:r>
      <w:r w:rsidRPr="00966A57">
        <w:rPr>
          <w:rFonts w:ascii="Times New Roman" w:hAnsi="Times New Roman" w:cs="Times New Roman"/>
          <w:sz w:val="20"/>
          <w:szCs w:val="20"/>
          <w:shd w:val="clear" w:color="auto" w:fill="FFFFFF"/>
        </w:rPr>
        <w:t xml:space="preserve"> (</w:t>
      </w:r>
      <w:r w:rsidRPr="00966A57">
        <w:rPr>
          <w:rFonts w:ascii="Times New Roman" w:hAnsi="Times New Roman" w:cs="Times New Roman"/>
          <w:sz w:val="20"/>
          <w:szCs w:val="20"/>
        </w:rPr>
        <w:t>amendement n° 6</w:t>
      </w:r>
      <w:r>
        <w:rPr>
          <w:rFonts w:ascii="Times New Roman" w:hAnsi="Times New Roman" w:cs="Times New Roman"/>
          <w:sz w:val="20"/>
          <w:szCs w:val="20"/>
        </w:rPr>
        <w:t>34 présenté par le Gouvernement)</w:t>
      </w:r>
      <w:r w:rsidRPr="00966A57">
        <w:rPr>
          <w:rFonts w:ascii="Times New Roman" w:hAnsi="Times New Roman" w:cs="Times New Roman"/>
          <w:sz w:val="20"/>
          <w:szCs w:val="20"/>
          <w:shd w:val="clear" w:color="auto" w:fill="FFFFFF"/>
        </w:rPr>
        <w:t>.</w:t>
      </w:r>
    </w:p>
  </w:footnote>
  <w:footnote w:id="32">
    <w:p w14:paraId="4C1EEAC9" w14:textId="77777777" w:rsidR="00552491" w:rsidRPr="008A5D7B" w:rsidRDefault="00552491" w:rsidP="002C2F99">
      <w:pPr>
        <w:pStyle w:val="Notedebasdepage"/>
        <w:jc w:val="both"/>
        <w:rPr>
          <w:rFonts w:cs="Times New Roman"/>
        </w:rPr>
      </w:pPr>
      <w:r w:rsidRPr="008A5D7B">
        <w:rPr>
          <w:rStyle w:val="Appelnotedebasdep"/>
          <w:rFonts w:cs="Times New Roman"/>
        </w:rPr>
        <w:footnoteRef/>
      </w:r>
      <w:r w:rsidRPr="008A5D7B">
        <w:rPr>
          <w:rFonts w:cs="Times New Roman"/>
        </w:rPr>
        <w:t xml:space="preserve"> « </w:t>
      </w:r>
      <w:r w:rsidRPr="008A5D7B">
        <w:rPr>
          <w:rFonts w:cs="Times New Roman"/>
          <w:shd w:val="clear" w:color="auto" w:fill="FFFFFF"/>
        </w:rPr>
        <w:t>Le Club de Paris est un groupe informel de créanciers publics dont le rôle est de trouver des solutions coordonnées et durables aux difficultés de paiement de pays endettés. Les créanciers du Club de Paris leur accordent un allègement de dette pour les aider à rétablir leur</w:t>
      </w:r>
      <w:r>
        <w:rPr>
          <w:rFonts w:cs="Times New Roman"/>
          <w:shd w:val="clear" w:color="auto" w:fill="FFFFFF"/>
        </w:rPr>
        <w:t xml:space="preserve"> situation financière » (</w:t>
      </w:r>
      <w:r w:rsidRPr="008A5D7B">
        <w:rPr>
          <w:rFonts w:cs="Times New Roman"/>
          <w:shd w:val="clear" w:color="auto" w:fill="FFFFFF"/>
        </w:rPr>
        <w:t>www.clubdeparis.org/fr).</w:t>
      </w:r>
    </w:p>
  </w:footnote>
  <w:footnote w:id="33">
    <w:p w14:paraId="5922098B" w14:textId="77777777" w:rsidR="00552491" w:rsidRDefault="00552491" w:rsidP="002C2F99">
      <w:pPr>
        <w:pStyle w:val="Notedebasdepage"/>
        <w:jc w:val="both"/>
      </w:pPr>
      <w:r>
        <w:rPr>
          <w:rStyle w:val="Appelnotedebasdep"/>
        </w:rPr>
        <w:footnoteRef/>
      </w:r>
      <w:r>
        <w:t xml:space="preserve"> </w:t>
      </w:r>
      <w:r w:rsidRPr="00AA1922">
        <w:rPr>
          <w:rFonts w:cs="Times New Roman"/>
        </w:rPr>
        <w:t xml:space="preserve">Amendement n° 1405 </w:t>
      </w:r>
      <w:r>
        <w:rPr>
          <w:rFonts w:cs="Times New Roman"/>
        </w:rPr>
        <w:t>(Rect) présenté par D.</w:t>
      </w:r>
      <w:r w:rsidRPr="00AA1922">
        <w:rPr>
          <w:rFonts w:cs="Times New Roman"/>
          <w:iCs/>
          <w:color w:val="000000"/>
          <w:shd w:val="clear" w:color="auto" w:fill="FFFFFF"/>
        </w:rPr>
        <w:t xml:space="preserve"> Potier, </w:t>
      </w:r>
      <w:r>
        <w:rPr>
          <w:rFonts w:cs="Times New Roman"/>
          <w:iCs/>
          <w:color w:val="000000"/>
          <w:shd w:val="clear" w:color="auto" w:fill="FFFFFF"/>
        </w:rPr>
        <w:t>S. Mazetier, S. Denaja, R. Colas, C</w:t>
      </w:r>
      <w:r w:rsidRPr="00AA1922">
        <w:rPr>
          <w:rFonts w:cs="Times New Roman"/>
          <w:iCs/>
          <w:color w:val="000000"/>
          <w:shd w:val="clear" w:color="auto" w:fill="FFFFFF"/>
        </w:rPr>
        <w:t xml:space="preserve">. Castaner, </w:t>
      </w:r>
      <w:r>
        <w:rPr>
          <w:rFonts w:cs="Times New Roman"/>
          <w:iCs/>
          <w:color w:val="000000"/>
          <w:shd w:val="clear" w:color="auto" w:fill="FFFFFF"/>
        </w:rPr>
        <w:t>S. Errante, Y. Galut, P. Cherki, M. Rabin, C. Guittet, J.-R. Marsac, P.</w:t>
      </w:r>
      <w:r w:rsidRPr="00AA1922">
        <w:rPr>
          <w:rFonts w:cs="Times New Roman"/>
          <w:iCs/>
          <w:color w:val="000000"/>
          <w:shd w:val="clear" w:color="auto" w:fill="FFFFFF"/>
        </w:rPr>
        <w:t xml:space="preserve"> </w:t>
      </w:r>
      <w:r>
        <w:rPr>
          <w:rFonts w:cs="Times New Roman"/>
          <w:iCs/>
          <w:color w:val="000000"/>
          <w:shd w:val="clear" w:color="auto" w:fill="FFFFFF"/>
        </w:rPr>
        <w:t>Baumel, J</w:t>
      </w:r>
      <w:r w:rsidRPr="00AA1922">
        <w:rPr>
          <w:rFonts w:cs="Times New Roman"/>
          <w:iCs/>
          <w:color w:val="000000"/>
          <w:shd w:val="clear" w:color="auto" w:fill="FFFFFF"/>
        </w:rPr>
        <w:t>.</w:t>
      </w:r>
      <w:r>
        <w:rPr>
          <w:rFonts w:cs="Times New Roman"/>
          <w:iCs/>
          <w:color w:val="000000"/>
          <w:shd w:val="clear" w:color="auto" w:fill="FFFFFF"/>
        </w:rPr>
        <w:t>-P. Dufau et R</w:t>
      </w:r>
      <w:r w:rsidRPr="00AA1922">
        <w:rPr>
          <w:rFonts w:cs="Times New Roman"/>
          <w:iCs/>
          <w:color w:val="000000"/>
          <w:shd w:val="clear" w:color="auto" w:fill="FFFFFF"/>
        </w:rPr>
        <w:t>. Hammadi,</w:t>
      </w:r>
      <w:r>
        <w:rPr>
          <w:rFonts w:cs="Times New Roman"/>
          <w:iCs/>
          <w:color w:val="000000"/>
          <w:shd w:val="clear" w:color="auto" w:fill="FFFFFF"/>
        </w:rPr>
        <w:t xml:space="preserve"> 2 juin 2016, p. 4.</w:t>
      </w:r>
    </w:p>
  </w:footnote>
  <w:footnote w:id="34">
    <w:p w14:paraId="09D50240" w14:textId="77777777" w:rsidR="00552491" w:rsidRDefault="00552491" w:rsidP="002C2F99">
      <w:pPr>
        <w:pStyle w:val="Notedebasdepage"/>
        <w:jc w:val="both"/>
      </w:pPr>
      <w:r w:rsidRPr="00765D7E">
        <w:rPr>
          <w:rStyle w:val="Appelnotedebasdep"/>
        </w:rPr>
        <w:footnoteRef/>
      </w:r>
      <w:r w:rsidRPr="00765D7E">
        <w:t xml:space="preserve"> J. </w:t>
      </w:r>
      <w:r w:rsidRPr="00765D7E">
        <w:rPr>
          <w:rFonts w:cs="Times New Roman"/>
          <w:smallCaps/>
          <w:shd w:val="clear" w:color="auto" w:fill="FFFFFF"/>
        </w:rPr>
        <w:t xml:space="preserve">Morel-Maroger, </w:t>
      </w:r>
      <w:r w:rsidRPr="00765D7E">
        <w:rPr>
          <w:rFonts w:cs="Times New Roman"/>
        </w:rPr>
        <w:t xml:space="preserve">« Jurisprudence du tribunal de grande instance de Paris », </w:t>
      </w:r>
      <w:r w:rsidRPr="00765D7E">
        <w:rPr>
          <w:rFonts w:cs="Times New Roman"/>
          <w:i/>
        </w:rPr>
        <w:t>La semaine juridique – Edition générale</w:t>
      </w:r>
      <w:r w:rsidRPr="00765D7E">
        <w:rPr>
          <w:rFonts w:cs="Times New Roman"/>
        </w:rPr>
        <w:t>, 11 juin 2018, p. 1185.</w:t>
      </w:r>
    </w:p>
  </w:footnote>
  <w:footnote w:id="35">
    <w:p w14:paraId="4BC4022E" w14:textId="77777777" w:rsidR="00552491" w:rsidRPr="0027181C" w:rsidRDefault="00552491" w:rsidP="002C2F99">
      <w:pPr>
        <w:pStyle w:val="Notedebasdepage"/>
        <w:jc w:val="both"/>
      </w:pPr>
      <w:r>
        <w:rPr>
          <w:rStyle w:val="Appelnotedebasdep"/>
        </w:rPr>
        <w:footnoteRef/>
      </w:r>
      <w:r>
        <w:t xml:space="preserve"> </w:t>
      </w:r>
      <w:r w:rsidRPr="00AA1922">
        <w:rPr>
          <w:rFonts w:cs="Times New Roman"/>
        </w:rPr>
        <w:t xml:space="preserve">Amendement n° 1405 </w:t>
      </w:r>
      <w:r>
        <w:rPr>
          <w:rFonts w:cs="Times New Roman"/>
        </w:rPr>
        <w:t xml:space="preserve">(Rect) </w:t>
      </w:r>
      <w:r w:rsidRPr="00AA1922">
        <w:rPr>
          <w:rFonts w:cs="Times New Roman"/>
        </w:rPr>
        <w:t xml:space="preserve">présenté par </w:t>
      </w:r>
      <w:r>
        <w:rPr>
          <w:rFonts w:cs="Times New Roman"/>
        </w:rPr>
        <w:t>D.</w:t>
      </w:r>
      <w:r w:rsidRPr="00AA1922">
        <w:rPr>
          <w:rFonts w:cs="Times New Roman"/>
          <w:iCs/>
          <w:color w:val="000000"/>
          <w:shd w:val="clear" w:color="auto" w:fill="FFFFFF"/>
        </w:rPr>
        <w:t xml:space="preserve"> Potier, </w:t>
      </w:r>
      <w:r>
        <w:rPr>
          <w:rFonts w:cs="Times New Roman"/>
          <w:iCs/>
          <w:color w:val="000000"/>
          <w:shd w:val="clear" w:color="auto" w:fill="FFFFFF"/>
        </w:rPr>
        <w:t>S. Mazetier, S. Denaja, R. Colas, C</w:t>
      </w:r>
      <w:r w:rsidRPr="00AA1922">
        <w:rPr>
          <w:rFonts w:cs="Times New Roman"/>
          <w:iCs/>
          <w:color w:val="000000"/>
          <w:shd w:val="clear" w:color="auto" w:fill="FFFFFF"/>
        </w:rPr>
        <w:t xml:space="preserve">. Castaner, </w:t>
      </w:r>
      <w:r>
        <w:rPr>
          <w:rFonts w:cs="Times New Roman"/>
          <w:iCs/>
          <w:color w:val="000000"/>
          <w:shd w:val="clear" w:color="auto" w:fill="FFFFFF"/>
        </w:rPr>
        <w:t>S. Errante, Y. Galut, P. Cherki, M. Rabin, C. Guittet, J.-R. Marsac, P.</w:t>
      </w:r>
      <w:r w:rsidRPr="00AA1922">
        <w:rPr>
          <w:rFonts w:cs="Times New Roman"/>
          <w:iCs/>
          <w:color w:val="000000"/>
          <w:shd w:val="clear" w:color="auto" w:fill="FFFFFF"/>
        </w:rPr>
        <w:t xml:space="preserve"> </w:t>
      </w:r>
      <w:r>
        <w:rPr>
          <w:rFonts w:cs="Times New Roman"/>
          <w:iCs/>
          <w:color w:val="000000"/>
          <w:shd w:val="clear" w:color="auto" w:fill="FFFFFF"/>
        </w:rPr>
        <w:t>Baumel, J</w:t>
      </w:r>
      <w:r w:rsidRPr="00AA1922">
        <w:rPr>
          <w:rFonts w:cs="Times New Roman"/>
          <w:iCs/>
          <w:color w:val="000000"/>
          <w:shd w:val="clear" w:color="auto" w:fill="FFFFFF"/>
        </w:rPr>
        <w:t>.</w:t>
      </w:r>
      <w:r>
        <w:rPr>
          <w:rFonts w:cs="Times New Roman"/>
          <w:iCs/>
          <w:color w:val="000000"/>
          <w:shd w:val="clear" w:color="auto" w:fill="FFFFFF"/>
        </w:rPr>
        <w:t>-P. Dufau et R</w:t>
      </w:r>
      <w:r w:rsidRPr="00AA1922">
        <w:rPr>
          <w:rFonts w:cs="Times New Roman"/>
          <w:iCs/>
          <w:color w:val="000000"/>
          <w:shd w:val="clear" w:color="auto" w:fill="FFFFFF"/>
        </w:rPr>
        <w:t>. Hammadi,</w:t>
      </w:r>
      <w:r>
        <w:rPr>
          <w:rFonts w:cs="Times New Roman"/>
          <w:iCs/>
          <w:color w:val="000000"/>
          <w:shd w:val="clear" w:color="auto" w:fill="FFFFFF"/>
        </w:rPr>
        <w:t xml:space="preserve"> 2 juin 2016.</w:t>
      </w:r>
      <w:r w:rsidRPr="003A56BE">
        <w:rPr>
          <w:rStyle w:val="Lienhypertexte"/>
          <w:rFonts w:cs="Times New Roman"/>
          <w:iCs/>
          <w:color w:val="auto"/>
          <w:u w:val="none"/>
          <w:shd w:val="clear" w:color="auto" w:fill="FFFFFF"/>
        </w:rPr>
        <w:t xml:space="preserve"> Le</w:t>
      </w:r>
      <w:r w:rsidRPr="0027181C">
        <w:rPr>
          <w:rStyle w:val="Lienhypertexte"/>
          <w:rFonts w:cs="Times New Roman"/>
          <w:iCs/>
          <w:color w:val="auto"/>
          <w:u w:val="none"/>
          <w:shd w:val="clear" w:color="auto" w:fill="FFFFFF"/>
        </w:rPr>
        <w:t xml:space="preserve"> </w:t>
      </w:r>
      <w:r w:rsidRPr="0027181C">
        <w:t>texte n° 3785</w:t>
      </w:r>
      <w:r>
        <w:t xml:space="preserve"> (26 mai 2016)</w:t>
      </w:r>
      <w:r w:rsidRPr="0027181C">
        <w:t xml:space="preserve"> de la commission des lois constitutionnelles, de la législation et de l’administration générale de la République es</w:t>
      </w:r>
      <w:r>
        <w:t xml:space="preserve">t disponible à l’adresse </w:t>
      </w:r>
      <w:hyperlink r:id="rId20" w:history="1">
        <w:r w:rsidRPr="00674042">
          <w:rPr>
            <w:rStyle w:val="Lienhypertexte"/>
          </w:rPr>
          <w:t>www.assemblee-nationale.fr/14/pdf/ta-commission/r3785-a0.pdf</w:t>
        </w:r>
      </w:hyperlink>
      <w:r w:rsidRPr="0027181C">
        <w:t>.</w:t>
      </w:r>
    </w:p>
  </w:footnote>
  <w:footnote w:id="36">
    <w:p w14:paraId="399469A4" w14:textId="77777777" w:rsidR="00552491" w:rsidRDefault="00552491" w:rsidP="002C2F99">
      <w:pPr>
        <w:pStyle w:val="Notedebasdepage"/>
        <w:jc w:val="both"/>
      </w:pPr>
      <w:r>
        <w:rPr>
          <w:rStyle w:val="Appelnotedebasdep"/>
        </w:rPr>
        <w:footnoteRef/>
      </w:r>
      <w:r>
        <w:t xml:space="preserve"> Dominique Potier indiqua à l’Assemblée nationale que le sujet qui aurait dû être traité dans une proposition de loi trouva sa place dans le texte du projet de loi Sapin II sous forme d’amendement suite à l’accord du ministre Michel Sapin (Assemblée nationale, compte rendu intégral, session ordinaire de 2015-2016, 3</w:t>
      </w:r>
      <w:r w:rsidRPr="00AA0772">
        <w:rPr>
          <w:vertAlign w:val="superscript"/>
        </w:rPr>
        <w:t>e</w:t>
      </w:r>
      <w:r>
        <w:t xml:space="preserve"> séance du jeudi 9 juin 2016, </w:t>
      </w:r>
      <w:r w:rsidRPr="00B41D0F">
        <w:rPr>
          <w:i/>
        </w:rPr>
        <w:t>Journal officiel de la République française</w:t>
      </w:r>
      <w:r>
        <w:t>, p. 4236).</w:t>
      </w:r>
    </w:p>
  </w:footnote>
  <w:footnote w:id="37">
    <w:p w14:paraId="0DA584A2" w14:textId="77777777" w:rsidR="00552491" w:rsidRPr="003A56BE" w:rsidRDefault="00552491" w:rsidP="002C2F99">
      <w:pPr>
        <w:pStyle w:val="Sansinterligne"/>
        <w:jc w:val="both"/>
        <w:rPr>
          <w:rFonts w:ascii="Times New Roman" w:hAnsi="Times New Roman" w:cs="Times New Roman"/>
          <w:sz w:val="20"/>
          <w:szCs w:val="20"/>
        </w:rPr>
      </w:pPr>
      <w:r w:rsidRPr="003A56BE">
        <w:rPr>
          <w:rStyle w:val="Appelnotedebasdep"/>
          <w:rFonts w:ascii="Times New Roman" w:hAnsi="Times New Roman" w:cs="Times New Roman"/>
          <w:sz w:val="20"/>
          <w:szCs w:val="20"/>
        </w:rPr>
        <w:footnoteRef/>
      </w:r>
      <w:r w:rsidRPr="003A56BE">
        <w:rPr>
          <w:rFonts w:ascii="Times New Roman" w:hAnsi="Times New Roman" w:cs="Times New Roman"/>
          <w:sz w:val="20"/>
          <w:szCs w:val="20"/>
        </w:rPr>
        <w:t xml:space="preserve"> Projet de loi relatif à la transparence, à la lutte contre la corruption et à la modernisation de la vie économique, adopté par l’Assemblée nationale en première lecture, texte adopté n° 755, 14 juin 2016, disponible à l’adresse </w:t>
      </w:r>
      <w:hyperlink r:id="rId21" w:history="1">
        <w:r w:rsidRPr="00674042">
          <w:rPr>
            <w:rStyle w:val="Lienhypertexte"/>
            <w:rFonts w:ascii="Times New Roman" w:hAnsi="Times New Roman" w:cs="Times New Roman"/>
            <w:sz w:val="20"/>
            <w:szCs w:val="20"/>
          </w:rPr>
          <w:t>www.assemblee-nationale.fr/14/pdf/ta/ta0755.pdf</w:t>
        </w:r>
      </w:hyperlink>
      <w:r w:rsidRPr="003A56BE">
        <w:rPr>
          <w:rFonts w:ascii="Times New Roman" w:hAnsi="Times New Roman" w:cs="Times New Roman"/>
          <w:sz w:val="20"/>
          <w:szCs w:val="20"/>
        </w:rPr>
        <w:t xml:space="preserve">. </w:t>
      </w:r>
    </w:p>
  </w:footnote>
  <w:footnote w:id="38">
    <w:p w14:paraId="21DDFC57" w14:textId="77777777" w:rsidR="00552491" w:rsidRDefault="00552491" w:rsidP="002C2F99">
      <w:pPr>
        <w:pStyle w:val="Notedebasdepage"/>
        <w:jc w:val="both"/>
      </w:pPr>
      <w:r w:rsidRPr="003A56BE">
        <w:rPr>
          <w:rStyle w:val="Appelnotedebasdep"/>
          <w:rFonts w:cs="Times New Roman"/>
        </w:rPr>
        <w:footnoteRef/>
      </w:r>
      <w:r w:rsidRPr="003A56BE">
        <w:rPr>
          <w:rFonts w:cs="Times New Roman"/>
        </w:rPr>
        <w:t xml:space="preserve"> Compte rendu de l’audition de Michel Sapin reprise </w:t>
      </w:r>
      <w:r w:rsidRPr="003A56BE">
        <w:rPr>
          <w:rFonts w:cs="Times New Roman"/>
          <w:i/>
        </w:rPr>
        <w:t>in</w:t>
      </w:r>
      <w:r>
        <w:rPr>
          <w:rFonts w:cs="Times New Roman"/>
        </w:rPr>
        <w:t xml:space="preserve"> r</w:t>
      </w:r>
      <w:r w:rsidRPr="003A56BE">
        <w:rPr>
          <w:rFonts w:cs="Times New Roman"/>
        </w:rPr>
        <w:t>apport</w:t>
      </w:r>
      <w:r>
        <w:rPr>
          <w:rFonts w:cs="Times New Roman"/>
        </w:rPr>
        <w:t xml:space="preserve"> </w:t>
      </w:r>
      <w:r w:rsidRPr="003A56BE">
        <w:rPr>
          <w:rFonts w:cs="Times New Roman"/>
        </w:rPr>
        <w:t xml:space="preserve">n° 712 fait au nom de la commission des lois constitutionnelles, de législation, du suffrage universel, du Règlement et d’administration générale </w:t>
      </w:r>
      <w:r w:rsidRPr="009D75D4">
        <w:t>[…]</w:t>
      </w:r>
      <w:r w:rsidRPr="003A56BE">
        <w:rPr>
          <w:rFonts w:cs="Times New Roman"/>
        </w:rPr>
        <w:t xml:space="preserve"> sur le projet de loi, adopté par l’Assemblée nationale </w:t>
      </w:r>
      <w:r w:rsidRPr="009D75D4">
        <w:t>[…]</w:t>
      </w:r>
      <w:r w:rsidRPr="003A56BE">
        <w:rPr>
          <w:rFonts w:cs="Times New Roman"/>
        </w:rPr>
        <w:t xml:space="preserve">, relatif à la transparence, à la lutte contre la corruption et à la modernisation de la vie économique </w:t>
      </w:r>
      <w:r w:rsidRPr="009D75D4">
        <w:t>[…]</w:t>
      </w:r>
      <w:r w:rsidRPr="003A56BE">
        <w:rPr>
          <w:rFonts w:cs="Times New Roman"/>
        </w:rPr>
        <w:t xml:space="preserve">, par F. </w:t>
      </w:r>
      <w:r w:rsidRPr="009D5D0D">
        <w:rPr>
          <w:rFonts w:cs="Times New Roman"/>
        </w:rPr>
        <w:t>Pillet</w:t>
      </w:r>
      <w:r>
        <w:rPr>
          <w:rFonts w:cs="Times New Roman"/>
        </w:rPr>
        <w:t>, 22 juin 2016</w:t>
      </w:r>
      <w:r w:rsidRPr="003A56BE">
        <w:rPr>
          <w:rFonts w:cs="Times New Roman"/>
        </w:rPr>
        <w:t>, p. 269</w:t>
      </w:r>
      <w:r>
        <w:rPr>
          <w:rFonts w:cs="Times New Roman"/>
        </w:rPr>
        <w:t>.</w:t>
      </w:r>
    </w:p>
  </w:footnote>
  <w:footnote w:id="39">
    <w:p w14:paraId="5C266601" w14:textId="50362713" w:rsidR="00552491" w:rsidRDefault="00552491" w:rsidP="002C2F99">
      <w:pPr>
        <w:pStyle w:val="Notedebasdepage"/>
        <w:jc w:val="both"/>
      </w:pPr>
      <w:r>
        <w:rPr>
          <w:rStyle w:val="Appelnotedebasdep"/>
        </w:rPr>
        <w:footnoteRef/>
      </w:r>
      <w:r w:rsidR="00924009">
        <w:t xml:space="preserve"> Voy.</w:t>
      </w:r>
      <w:r>
        <w:t xml:space="preserve"> le texte n° 713 (22 juin 2016) de </w:t>
      </w:r>
      <w:r>
        <w:rPr>
          <w:rFonts w:cs="Times New Roman"/>
        </w:rPr>
        <w:t>la commission d</w:t>
      </w:r>
      <w:r>
        <w:t xml:space="preserve">es lois constitutionnelles, de législation, du suffrage universel, du règlement et d’administration générale, disponible à l’adresse </w:t>
      </w:r>
      <w:hyperlink r:id="rId22" w:history="1">
        <w:r w:rsidRPr="00674042">
          <w:rPr>
            <w:rStyle w:val="Lienhypertexte"/>
          </w:rPr>
          <w:t>www.senat.fr/leg/pjl15-713.pdf</w:t>
        </w:r>
      </w:hyperlink>
      <w:r>
        <w:t>.</w:t>
      </w:r>
    </w:p>
  </w:footnote>
  <w:footnote w:id="40">
    <w:p w14:paraId="48240A61" w14:textId="77777777" w:rsidR="00552491" w:rsidRDefault="00552491" w:rsidP="002C2F99">
      <w:pPr>
        <w:pStyle w:val="Notedebasdepage"/>
        <w:jc w:val="both"/>
      </w:pPr>
      <w:r>
        <w:rPr>
          <w:rStyle w:val="Appelnotedebasdep"/>
        </w:rPr>
        <w:footnoteRef/>
      </w:r>
      <w:r>
        <w:t xml:space="preserve"> Amendement n° COM-232</w:t>
      </w:r>
      <w:r w:rsidRPr="00AD18D6">
        <w:t xml:space="preserve"> présenté par F. </w:t>
      </w:r>
      <w:r w:rsidRPr="009D5D0D">
        <w:t>Pillet</w:t>
      </w:r>
      <w:r w:rsidRPr="00AD18D6">
        <w:t xml:space="preserve">, disponible à l’adresse </w:t>
      </w:r>
      <w:hyperlink r:id="rId23" w:history="1">
        <w:r w:rsidRPr="00674042">
          <w:rPr>
            <w:rStyle w:val="Lienhypertexte"/>
          </w:rPr>
          <w:t>www.senat.fr/amendements/commissions/2015-2016/691/Amdt_COM-232.html</w:t>
        </w:r>
      </w:hyperlink>
      <w:r>
        <w:t xml:space="preserve">. L’amendement n° COM-232 reprenait (pas de manière parfaitement pertinente à notre estime) les mêmes arguments que l’amendement n° COM-231 qui conduisit à la suppression de l’article 24 relatif à l’immunité d’exécution des </w:t>
      </w:r>
      <w:r w:rsidRPr="00184539">
        <w:rPr>
          <w:rFonts w:cs="Times New Roman"/>
          <w:shd w:val="clear" w:color="auto" w:fill="FFFFFF"/>
        </w:rPr>
        <w:t>É</w:t>
      </w:r>
      <w:r>
        <w:t>tats étrangers.</w:t>
      </w:r>
    </w:p>
  </w:footnote>
  <w:footnote w:id="41">
    <w:p w14:paraId="29AF1929" w14:textId="2B43CA6A" w:rsidR="00552491" w:rsidRPr="003B2B2A" w:rsidRDefault="00552491" w:rsidP="002C2F99">
      <w:pPr>
        <w:pStyle w:val="Notedebasdepage"/>
        <w:jc w:val="both"/>
        <w:rPr>
          <w:rFonts w:cs="Times New Roman"/>
        </w:rPr>
      </w:pPr>
      <w:r w:rsidRPr="003B2B2A">
        <w:rPr>
          <w:rStyle w:val="Appelnotedebasdep"/>
          <w:rFonts w:cs="Times New Roman"/>
        </w:rPr>
        <w:footnoteRef/>
      </w:r>
      <w:r w:rsidRPr="003B2B2A">
        <w:rPr>
          <w:rFonts w:cs="Times New Roman"/>
        </w:rPr>
        <w:t xml:space="preserve"> Rapport n° 712</w:t>
      </w:r>
      <w:r>
        <w:rPr>
          <w:rFonts w:cs="Times New Roman"/>
        </w:rPr>
        <w:t xml:space="preserve"> </w:t>
      </w:r>
      <w:r w:rsidRPr="003B2B2A">
        <w:rPr>
          <w:rFonts w:cs="Times New Roman"/>
        </w:rPr>
        <w:t xml:space="preserve">fait au nom de la commission des lois constitutionnelles, de législation, du suffrage universel, du Règlement et d’administration générale </w:t>
      </w:r>
      <w:r w:rsidRPr="009D75D4">
        <w:t>[…]</w:t>
      </w:r>
      <w:r w:rsidRPr="003B2B2A">
        <w:rPr>
          <w:rFonts w:cs="Times New Roman"/>
        </w:rPr>
        <w:t xml:space="preserve"> sur le projet de loi, adopté par l’Assemblée nationale </w:t>
      </w:r>
      <w:r w:rsidRPr="009D75D4">
        <w:t>[…]</w:t>
      </w:r>
      <w:r w:rsidRPr="003B2B2A">
        <w:rPr>
          <w:rFonts w:cs="Times New Roman"/>
        </w:rPr>
        <w:t xml:space="preserve">, relatif à la transparence, à la lutte contre la corruption et à la modernisation de la vie économique </w:t>
      </w:r>
      <w:r w:rsidRPr="009D75D4">
        <w:t>[…]</w:t>
      </w:r>
      <w:r w:rsidRPr="003B2B2A">
        <w:rPr>
          <w:rFonts w:cs="Times New Roman"/>
        </w:rPr>
        <w:t xml:space="preserve">, par F. </w:t>
      </w:r>
      <w:r w:rsidRPr="009D5D0D">
        <w:rPr>
          <w:rFonts w:cs="Times New Roman"/>
        </w:rPr>
        <w:t>Pillet</w:t>
      </w:r>
      <w:r>
        <w:rPr>
          <w:rFonts w:cs="Times New Roman"/>
        </w:rPr>
        <w:t>, 22 juin 2016</w:t>
      </w:r>
      <w:r w:rsidRPr="003B2B2A">
        <w:rPr>
          <w:rFonts w:cs="Times New Roman"/>
        </w:rPr>
        <w:t>, p. 145.</w:t>
      </w:r>
      <w:r w:rsidR="00924009">
        <w:rPr>
          <w:rFonts w:cs="Times New Roman"/>
        </w:rPr>
        <w:t xml:space="preserve"> Voy.</w:t>
      </w:r>
      <w:r>
        <w:rPr>
          <w:rFonts w:cs="Times New Roman"/>
        </w:rPr>
        <w:t xml:space="preserve"> encore le r</w:t>
      </w:r>
      <w:r w:rsidRPr="001D1902">
        <w:rPr>
          <w:rFonts w:cs="Times New Roman"/>
        </w:rPr>
        <w:t xml:space="preserve">apport </w:t>
      </w:r>
      <w:r w:rsidRPr="001D1902">
        <w:rPr>
          <w:rFonts w:cs="Times New Roman"/>
          <w:iCs/>
        </w:rPr>
        <w:t>n° 79</w:t>
      </w:r>
      <w:r>
        <w:rPr>
          <w:rFonts w:cs="Times New Roman"/>
          <w:iCs/>
        </w:rPr>
        <w:t xml:space="preserve"> </w:t>
      </w:r>
      <w:r w:rsidRPr="001D1902">
        <w:rPr>
          <w:rFonts w:cs="Times New Roman"/>
        </w:rPr>
        <w:t xml:space="preserve">fait au nom de </w:t>
      </w:r>
      <w:r w:rsidRPr="001D1902">
        <w:rPr>
          <w:rFonts w:cs="Times New Roman"/>
          <w:iCs/>
        </w:rPr>
        <w:t>la commission des lois constitutionnelles, de législation, du suffrage</w:t>
      </w:r>
      <w:r w:rsidRPr="001D1902">
        <w:rPr>
          <w:rFonts w:cs="Times New Roman"/>
        </w:rPr>
        <w:t xml:space="preserve"> </w:t>
      </w:r>
      <w:r w:rsidRPr="001D1902">
        <w:rPr>
          <w:rFonts w:cs="Times New Roman"/>
          <w:iCs/>
        </w:rPr>
        <w:t xml:space="preserve">universel, du Règlement et d’administration générale </w:t>
      </w:r>
      <w:r w:rsidRPr="009D75D4">
        <w:t>[…]</w:t>
      </w:r>
      <w:r w:rsidRPr="001D1902">
        <w:rPr>
          <w:rFonts w:cs="Times New Roman"/>
          <w:iCs/>
        </w:rPr>
        <w:t xml:space="preserve"> sur le projet de loi</w:t>
      </w:r>
      <w:r w:rsidRPr="001D1902">
        <w:rPr>
          <w:rFonts w:cs="Times New Roman"/>
        </w:rPr>
        <w:t>, adopté par l’Assemblée nationale en nouvelle lecture</w:t>
      </w:r>
      <w:r w:rsidRPr="001D1902">
        <w:rPr>
          <w:rFonts w:cs="Times New Roman"/>
          <w:iCs/>
        </w:rPr>
        <w:t xml:space="preserve">, relatif à la </w:t>
      </w:r>
      <w:r w:rsidRPr="001D1902">
        <w:rPr>
          <w:rFonts w:cs="Times New Roman"/>
          <w:bCs/>
        </w:rPr>
        <w:t>transparence</w:t>
      </w:r>
      <w:r w:rsidRPr="001D1902">
        <w:rPr>
          <w:rFonts w:cs="Times New Roman"/>
          <w:iCs/>
        </w:rPr>
        <w:t>, à la</w:t>
      </w:r>
      <w:r w:rsidRPr="001D1902">
        <w:rPr>
          <w:rFonts w:cs="Times New Roman"/>
        </w:rPr>
        <w:t xml:space="preserve"> </w:t>
      </w:r>
      <w:r w:rsidRPr="001D1902">
        <w:rPr>
          <w:rFonts w:cs="Times New Roman"/>
          <w:bCs/>
        </w:rPr>
        <w:t xml:space="preserve">lutte contre </w:t>
      </w:r>
      <w:r w:rsidRPr="001D1902">
        <w:rPr>
          <w:rFonts w:cs="Times New Roman"/>
          <w:iCs/>
        </w:rPr>
        <w:t xml:space="preserve">la </w:t>
      </w:r>
      <w:r w:rsidRPr="001D1902">
        <w:rPr>
          <w:rFonts w:cs="Times New Roman"/>
          <w:bCs/>
        </w:rPr>
        <w:t xml:space="preserve">corruption </w:t>
      </w:r>
      <w:r w:rsidRPr="001D1902">
        <w:rPr>
          <w:rFonts w:cs="Times New Roman"/>
          <w:iCs/>
        </w:rPr>
        <w:t xml:space="preserve">et à la </w:t>
      </w:r>
      <w:r w:rsidRPr="001D1902">
        <w:rPr>
          <w:rFonts w:cs="Times New Roman"/>
          <w:bCs/>
        </w:rPr>
        <w:t xml:space="preserve">modernisation </w:t>
      </w:r>
      <w:r w:rsidRPr="001D1902">
        <w:rPr>
          <w:rFonts w:cs="Times New Roman"/>
          <w:iCs/>
        </w:rPr>
        <w:t xml:space="preserve">de la </w:t>
      </w:r>
      <w:r w:rsidRPr="001D1902">
        <w:rPr>
          <w:rFonts w:cs="Times New Roman"/>
          <w:bCs/>
        </w:rPr>
        <w:t>vie économique</w:t>
      </w:r>
      <w:r>
        <w:rPr>
          <w:rFonts w:cs="Times New Roman"/>
          <w:iCs/>
        </w:rPr>
        <w:t xml:space="preserve"> </w:t>
      </w:r>
      <w:r w:rsidRPr="009D75D4">
        <w:t>[…]</w:t>
      </w:r>
      <w:r>
        <w:rPr>
          <w:rFonts w:cs="Times New Roman"/>
          <w:iCs/>
        </w:rPr>
        <w:t>,</w:t>
      </w:r>
      <w:r w:rsidRPr="001D1902">
        <w:rPr>
          <w:rFonts w:cs="Times New Roman"/>
          <w:iCs/>
        </w:rPr>
        <w:t xml:space="preserve"> par F. Pillet, 26 octobre 2016, disponible à l’adresse </w:t>
      </w:r>
      <w:hyperlink r:id="rId24" w:history="1">
        <w:r w:rsidRPr="00674042">
          <w:rPr>
            <w:rStyle w:val="Lienhypertexte"/>
            <w:rFonts w:cs="Times New Roman"/>
            <w:iCs/>
          </w:rPr>
          <w:t>www.senat.fr/rap/l16-079-1/l16-079-11.pdf</w:t>
        </w:r>
      </w:hyperlink>
      <w:r>
        <w:rPr>
          <w:rFonts w:cs="Times New Roman"/>
          <w:iCs/>
        </w:rPr>
        <w:t>, p. 75.</w:t>
      </w:r>
    </w:p>
  </w:footnote>
  <w:footnote w:id="42">
    <w:p w14:paraId="3D64FF47" w14:textId="77777777" w:rsidR="00552491" w:rsidRPr="00974495" w:rsidRDefault="00552491" w:rsidP="00974495">
      <w:pPr>
        <w:pStyle w:val="Sansinterligne"/>
        <w:jc w:val="both"/>
        <w:rPr>
          <w:rFonts w:ascii="Times New Roman" w:hAnsi="Times New Roman" w:cs="Times New Roman"/>
          <w:sz w:val="20"/>
          <w:szCs w:val="20"/>
        </w:rPr>
      </w:pPr>
      <w:r w:rsidRPr="00974495">
        <w:rPr>
          <w:rStyle w:val="Appelnotedebasdep"/>
          <w:rFonts w:ascii="Times New Roman" w:hAnsi="Times New Roman" w:cs="Times New Roman"/>
          <w:sz w:val="20"/>
          <w:szCs w:val="20"/>
        </w:rPr>
        <w:footnoteRef/>
      </w:r>
      <w:r w:rsidRPr="00974495">
        <w:rPr>
          <w:rFonts w:ascii="Times New Roman" w:hAnsi="Times New Roman" w:cs="Times New Roman"/>
          <w:sz w:val="20"/>
          <w:szCs w:val="20"/>
        </w:rPr>
        <w:t xml:space="preserve"> Notons que les amendements n° 192 rectifié </w:t>
      </w:r>
      <w:r w:rsidRPr="00974495">
        <w:rPr>
          <w:rFonts w:ascii="Times New Roman" w:hAnsi="Times New Roman" w:cs="Times New Roman"/>
          <w:i/>
          <w:sz w:val="20"/>
          <w:szCs w:val="20"/>
        </w:rPr>
        <w:t>bis</w:t>
      </w:r>
      <w:r w:rsidRPr="00974495">
        <w:rPr>
          <w:rFonts w:ascii="Times New Roman" w:hAnsi="Times New Roman" w:cs="Times New Roman"/>
          <w:sz w:val="20"/>
          <w:szCs w:val="20"/>
        </w:rPr>
        <w:t xml:space="preserve"> et n° 492 rectifié, présentés respectivement par M.-N. Lienemann et J. Durain et par J. Labbé et A. Gattolin, visaient à rétablir l’article anti-fonds vautours dans la même rédaction que celle issue du projet de loi adopté par l’Assemblée nationale en première lecture (texte adopté n° 755, 14 juin 2016 - à quelques différences de forme près), rédaction qui pourtant avait conduit à son annulation par la commission des lois constitutionnelles, de législation, du suffrage universel, du règlement et d’administration générale du Sénat. L’amendement n° 192 rectifié </w:t>
      </w:r>
      <w:r w:rsidRPr="00974495">
        <w:rPr>
          <w:rFonts w:ascii="Times New Roman" w:hAnsi="Times New Roman" w:cs="Times New Roman"/>
          <w:i/>
          <w:sz w:val="20"/>
          <w:szCs w:val="20"/>
        </w:rPr>
        <w:t>bis</w:t>
      </w:r>
      <w:r w:rsidRPr="00974495">
        <w:rPr>
          <w:rFonts w:ascii="Times New Roman" w:hAnsi="Times New Roman" w:cs="Times New Roman"/>
          <w:sz w:val="20"/>
          <w:szCs w:val="20"/>
        </w:rPr>
        <w:t xml:space="preserve"> qui fut retiré était identique à l’amendement n° 492 rectifié présenté par J. Labbé et A. Gattolin qui fut également retiré au profit du sous-amendement n° 677 à l’amendement n° 634 du Gouvernement présenté par les mêmes sénateurs (sous-amendement n° 677 disponible à l’adresse </w:t>
      </w:r>
      <w:hyperlink r:id="rId25" w:history="1">
        <w:r w:rsidRPr="00974495">
          <w:rPr>
            <w:rStyle w:val="Lienhypertexte"/>
            <w:rFonts w:ascii="Times New Roman" w:hAnsi="Times New Roman" w:cs="Times New Roman"/>
            <w:sz w:val="20"/>
            <w:szCs w:val="20"/>
          </w:rPr>
          <w:t>www.senat.fr/amendements/2015-2016/713/Amdt_677.html</w:t>
        </w:r>
      </w:hyperlink>
      <w:r w:rsidRPr="00974495">
        <w:rPr>
          <w:rFonts w:ascii="Times New Roman" w:hAnsi="Times New Roman" w:cs="Times New Roman"/>
          <w:sz w:val="20"/>
          <w:szCs w:val="20"/>
        </w:rPr>
        <w:t xml:space="preserve">). Ce sous-amendement n° 677 ne fut toutefois finalement pas adopté (Sénat, compte rendu intégral, session extraordinaire de 2015-2016, séance du jeudi 7 juillet 2016, </w:t>
      </w:r>
      <w:r w:rsidRPr="00974495">
        <w:rPr>
          <w:rFonts w:ascii="Times New Roman" w:hAnsi="Times New Roman" w:cs="Times New Roman"/>
          <w:i/>
          <w:sz w:val="20"/>
          <w:szCs w:val="20"/>
        </w:rPr>
        <w:t>Journal officiel de la République française</w:t>
      </w:r>
      <w:r w:rsidRPr="00974495">
        <w:rPr>
          <w:rFonts w:ascii="Times New Roman" w:hAnsi="Times New Roman" w:cs="Times New Roman"/>
          <w:sz w:val="20"/>
          <w:szCs w:val="20"/>
        </w:rPr>
        <w:t>, p. 12546).</w:t>
      </w:r>
    </w:p>
  </w:footnote>
  <w:footnote w:id="43">
    <w:p w14:paraId="66A22846" w14:textId="77777777" w:rsidR="00552491" w:rsidRPr="00AA2986" w:rsidRDefault="00552491" w:rsidP="002C2F99">
      <w:pPr>
        <w:pStyle w:val="Sansinterligne"/>
        <w:jc w:val="both"/>
        <w:rPr>
          <w:rFonts w:ascii="Times New Roman" w:hAnsi="Times New Roman" w:cs="Times New Roman"/>
          <w:color w:val="000000"/>
          <w:sz w:val="20"/>
          <w:szCs w:val="20"/>
          <w:shd w:val="clear" w:color="auto" w:fill="FFFFFF"/>
        </w:rPr>
      </w:pPr>
      <w:r w:rsidRPr="00AA2986">
        <w:rPr>
          <w:rStyle w:val="Appelnotedebasdep"/>
          <w:rFonts w:ascii="Times New Roman" w:hAnsi="Times New Roman" w:cs="Times New Roman"/>
          <w:sz w:val="20"/>
          <w:szCs w:val="20"/>
        </w:rPr>
        <w:footnoteRef/>
      </w:r>
      <w:r w:rsidRPr="00AA2986">
        <w:rPr>
          <w:rFonts w:ascii="Times New Roman" w:hAnsi="Times New Roman" w:cs="Times New Roman"/>
          <w:sz w:val="20"/>
          <w:szCs w:val="20"/>
        </w:rPr>
        <w:t xml:space="preserve"> Sénat, compte rendu intégral, session extraordinaire de 2015-2016, séance du jeudi 7 juillet 2016, </w:t>
      </w:r>
      <w:r w:rsidRPr="00AA2986">
        <w:rPr>
          <w:rFonts w:ascii="Times New Roman" w:hAnsi="Times New Roman" w:cs="Times New Roman"/>
          <w:i/>
          <w:sz w:val="20"/>
          <w:szCs w:val="20"/>
        </w:rPr>
        <w:t>Journal officiel de la République française</w:t>
      </w:r>
      <w:r w:rsidRPr="00AA2986">
        <w:rPr>
          <w:rFonts w:ascii="Times New Roman" w:hAnsi="Times New Roman" w:cs="Times New Roman"/>
          <w:sz w:val="20"/>
          <w:szCs w:val="20"/>
        </w:rPr>
        <w:t>, p. 12546. De l’avis du ministre Michel Sapin, l’article 24</w:t>
      </w:r>
      <w:r w:rsidRPr="00AA2986">
        <w:rPr>
          <w:rFonts w:ascii="Times New Roman" w:hAnsi="Times New Roman" w:cs="Times New Roman"/>
          <w:i/>
          <w:sz w:val="20"/>
          <w:szCs w:val="20"/>
        </w:rPr>
        <w:t>bis</w:t>
      </w:r>
      <w:r w:rsidRPr="00AA2986">
        <w:rPr>
          <w:rFonts w:ascii="Times New Roman" w:hAnsi="Times New Roman" w:cs="Times New Roman"/>
          <w:sz w:val="20"/>
          <w:szCs w:val="20"/>
        </w:rPr>
        <w:t xml:space="preserve"> est dans sa nouvelle version mieux articulé avec l’article 24 traitant</w:t>
      </w:r>
      <w:r>
        <w:rPr>
          <w:rFonts w:ascii="Times New Roman" w:hAnsi="Times New Roman" w:cs="Times New Roman"/>
          <w:sz w:val="20"/>
          <w:szCs w:val="20"/>
        </w:rPr>
        <w:t xml:space="preserve"> de l’immunité d’exécution des </w:t>
      </w:r>
      <w:r w:rsidRPr="00184539">
        <w:rPr>
          <w:rFonts w:ascii="Times New Roman" w:hAnsi="Times New Roman" w:cs="Times New Roman"/>
          <w:sz w:val="20"/>
          <w:szCs w:val="20"/>
          <w:shd w:val="clear" w:color="auto" w:fill="FFFFFF"/>
        </w:rPr>
        <w:t>É</w:t>
      </w:r>
      <w:r w:rsidRPr="00AA2986">
        <w:rPr>
          <w:rFonts w:ascii="Times New Roman" w:hAnsi="Times New Roman" w:cs="Times New Roman"/>
          <w:sz w:val="20"/>
          <w:szCs w:val="20"/>
        </w:rPr>
        <w:t xml:space="preserve">tats (Sénat, compte rendu intégral, session extraordinaire de 2015-2016, séance du jeudi 7 juillet 2016, </w:t>
      </w:r>
      <w:r w:rsidRPr="00AA2986">
        <w:rPr>
          <w:rFonts w:ascii="Times New Roman" w:hAnsi="Times New Roman" w:cs="Times New Roman"/>
          <w:i/>
          <w:sz w:val="20"/>
          <w:szCs w:val="20"/>
        </w:rPr>
        <w:t>Journal officiel de la République française</w:t>
      </w:r>
      <w:r w:rsidRPr="00AA2986">
        <w:rPr>
          <w:rFonts w:ascii="Times New Roman" w:hAnsi="Times New Roman" w:cs="Times New Roman"/>
          <w:sz w:val="20"/>
          <w:szCs w:val="20"/>
        </w:rPr>
        <w:t>, p. 12544). L’articulation est effectivement accrue, le renvoi étant par exemple opéré dans l’article 24</w:t>
      </w:r>
      <w:r w:rsidRPr="00AA2986">
        <w:rPr>
          <w:rFonts w:ascii="Times New Roman" w:hAnsi="Times New Roman" w:cs="Times New Roman"/>
          <w:i/>
          <w:sz w:val="20"/>
          <w:szCs w:val="20"/>
        </w:rPr>
        <w:t>bis</w:t>
      </w:r>
      <w:r w:rsidRPr="00AA2986">
        <w:rPr>
          <w:rFonts w:ascii="Times New Roman" w:hAnsi="Times New Roman" w:cs="Times New Roman"/>
          <w:sz w:val="20"/>
          <w:szCs w:val="20"/>
        </w:rPr>
        <w:t xml:space="preserve"> à une disposition de l’article 24 (« dans le cadre de l’article L.111-1-1 du code des procédures civiles d’exécution »). </w:t>
      </w:r>
      <w:r w:rsidRPr="00AA2986">
        <w:rPr>
          <w:rFonts w:ascii="Times New Roman" w:hAnsi="Times New Roman" w:cs="Times New Roman"/>
          <w:color w:val="000000"/>
          <w:sz w:val="20"/>
          <w:szCs w:val="20"/>
          <w:shd w:val="clear" w:color="auto" w:fill="FFFFFF"/>
        </w:rPr>
        <w:t xml:space="preserve">Michel Sapin releva encore l’importance de l’article ayant pour objet de </w:t>
      </w:r>
      <w:r>
        <w:rPr>
          <w:rFonts w:ascii="Times New Roman" w:hAnsi="Times New Roman" w:cs="Times New Roman"/>
          <w:color w:val="000000"/>
          <w:sz w:val="20"/>
          <w:szCs w:val="20"/>
          <w:shd w:val="clear" w:color="auto" w:fill="FFFFFF"/>
        </w:rPr>
        <w:t>« </w:t>
      </w:r>
      <w:r w:rsidRPr="00AA2986">
        <w:rPr>
          <w:rFonts w:ascii="Times New Roman" w:hAnsi="Times New Roman" w:cs="Times New Roman"/>
          <w:color w:val="000000"/>
          <w:sz w:val="20"/>
          <w:szCs w:val="20"/>
          <w:shd w:val="clear" w:color="auto" w:fill="FFFFFF"/>
        </w:rPr>
        <w:t xml:space="preserve">lutter contre ce que l’on appelle parfois </w:t>
      </w:r>
      <w:r w:rsidRPr="009C76CD">
        <w:rPr>
          <w:rFonts w:ascii="Times New Roman" w:hAnsi="Times New Roman" w:cs="Times New Roman"/>
          <w:sz w:val="20"/>
          <w:szCs w:val="20"/>
        </w:rPr>
        <w:t>“</w:t>
      </w:r>
      <w:r w:rsidRPr="009C76CD">
        <w:rPr>
          <w:rFonts w:ascii="Times New Roman" w:hAnsi="Times New Roman" w:cs="Times New Roman"/>
          <w:color w:val="000000"/>
          <w:sz w:val="20"/>
          <w:szCs w:val="20"/>
          <w:shd w:val="clear" w:color="auto" w:fill="FFFFFF"/>
        </w:rPr>
        <w:t>les fonds vautours</w:t>
      </w:r>
      <w:r w:rsidRPr="009C76CD">
        <w:rPr>
          <w:rFonts w:ascii="Times New Roman" w:hAnsi="Times New Roman" w:cs="Times New Roman"/>
          <w:sz w:val="20"/>
          <w:szCs w:val="20"/>
        </w:rPr>
        <w:t>”</w:t>
      </w:r>
      <w:r w:rsidRPr="009C76CD">
        <w:rPr>
          <w:rFonts w:ascii="Times New Roman" w:hAnsi="Times New Roman" w:cs="Times New Roman"/>
          <w:color w:val="000000"/>
          <w:sz w:val="20"/>
          <w:szCs w:val="20"/>
          <w:shd w:val="clear" w:color="auto" w:fill="FFFFFF"/>
        </w:rPr>
        <w:t xml:space="preserve"> ou</w:t>
      </w:r>
      <w:r w:rsidRPr="00AA2986">
        <w:rPr>
          <w:rFonts w:ascii="Times New Roman" w:hAnsi="Times New Roman" w:cs="Times New Roman"/>
          <w:color w:val="000000"/>
          <w:sz w:val="20"/>
          <w:szCs w:val="20"/>
          <w:shd w:val="clear" w:color="auto" w:fill="FFFFFF"/>
        </w:rPr>
        <w:t>, en tous cas, contre les comportements anormaux d’un certain nombre de fonds spéculatifs</w:t>
      </w:r>
      <w:r>
        <w:rPr>
          <w:rFonts w:ascii="Times New Roman" w:hAnsi="Times New Roman" w:cs="Times New Roman"/>
          <w:color w:val="000000"/>
          <w:sz w:val="20"/>
          <w:szCs w:val="20"/>
          <w:shd w:val="clear" w:color="auto" w:fill="FFFFFF"/>
        </w:rPr>
        <w:t> »</w:t>
      </w:r>
      <w:r w:rsidRPr="00AA2986">
        <w:rPr>
          <w:rFonts w:ascii="Times New Roman" w:hAnsi="Times New Roman" w:cs="Times New Roman"/>
          <w:color w:val="000000"/>
          <w:sz w:val="20"/>
          <w:szCs w:val="20"/>
          <w:shd w:val="clear" w:color="auto" w:fill="FFFFFF"/>
        </w:rPr>
        <w:t xml:space="preserve"> (</w:t>
      </w:r>
      <w:r>
        <w:rPr>
          <w:rFonts w:ascii="Times New Roman" w:hAnsi="Times New Roman" w:cs="Times New Roman"/>
          <w:color w:val="000000"/>
          <w:sz w:val="20"/>
          <w:szCs w:val="20"/>
          <w:shd w:val="clear" w:color="auto" w:fill="FFFFFF"/>
        </w:rPr>
        <w:t xml:space="preserve">Sénat, </w:t>
      </w:r>
      <w:r w:rsidRPr="00AA2986">
        <w:rPr>
          <w:rFonts w:ascii="Times New Roman" w:hAnsi="Times New Roman" w:cs="Times New Roman"/>
          <w:sz w:val="20"/>
          <w:szCs w:val="20"/>
        </w:rPr>
        <w:t xml:space="preserve">compte rendu intégral, session extraordinaire de 2015-2016, séance du jeudi 7 juillet 2016, </w:t>
      </w:r>
      <w:r w:rsidRPr="00AA2986">
        <w:rPr>
          <w:rFonts w:ascii="Times New Roman" w:hAnsi="Times New Roman" w:cs="Times New Roman"/>
          <w:i/>
          <w:sz w:val="20"/>
          <w:szCs w:val="20"/>
        </w:rPr>
        <w:t>Journal officiel de la République française</w:t>
      </w:r>
      <w:r w:rsidRPr="00AA2986">
        <w:rPr>
          <w:rFonts w:ascii="Times New Roman" w:hAnsi="Times New Roman" w:cs="Times New Roman"/>
          <w:sz w:val="20"/>
          <w:szCs w:val="20"/>
        </w:rPr>
        <w:t>, p. 12544)</w:t>
      </w:r>
      <w:r w:rsidRPr="00AA2986">
        <w:rPr>
          <w:rFonts w:ascii="Times New Roman" w:hAnsi="Times New Roman" w:cs="Times New Roman"/>
          <w:color w:val="000000"/>
          <w:sz w:val="20"/>
          <w:szCs w:val="20"/>
          <w:shd w:val="clear" w:color="auto" w:fill="FFFFFF"/>
        </w:rPr>
        <w:t>.</w:t>
      </w:r>
    </w:p>
  </w:footnote>
  <w:footnote w:id="44">
    <w:p w14:paraId="75EFEB54" w14:textId="42F26FC3" w:rsidR="00552491" w:rsidRDefault="00552491">
      <w:pPr>
        <w:pStyle w:val="Notedebasdepage"/>
      </w:pPr>
      <w:r>
        <w:rPr>
          <w:rStyle w:val="Appelnotedebasdep"/>
        </w:rPr>
        <w:footnoteRef/>
      </w:r>
      <w:r w:rsidR="00924009">
        <w:t xml:space="preserve"> Voy.</w:t>
      </w:r>
      <w:r>
        <w:t xml:space="preserve"> </w:t>
      </w:r>
      <w:r w:rsidRPr="007D4BF1">
        <w:rPr>
          <w:i/>
        </w:rPr>
        <w:t>infra</w:t>
      </w:r>
      <w:r>
        <w:t xml:space="preserve"> point 17.</w:t>
      </w:r>
    </w:p>
  </w:footnote>
  <w:footnote w:id="45">
    <w:p w14:paraId="1023F6EC" w14:textId="77777777" w:rsidR="00552491" w:rsidRDefault="00552491" w:rsidP="002C2F99">
      <w:pPr>
        <w:pStyle w:val="Notedebasdepage"/>
        <w:jc w:val="both"/>
      </w:pPr>
      <w:r>
        <w:rPr>
          <w:rStyle w:val="Appelnotedebasdep"/>
        </w:rPr>
        <w:footnoteRef/>
      </w:r>
      <w:r>
        <w:t xml:space="preserve"> La logique est différente de celle de l’article 59 de la même loi qui traite, nous l’avons déjà indiqué, généralement de l’immunité d’exécution des </w:t>
      </w:r>
      <w:r w:rsidRPr="00184539">
        <w:rPr>
          <w:rFonts w:cs="Times New Roman"/>
          <w:shd w:val="clear" w:color="auto" w:fill="FFFFFF"/>
        </w:rPr>
        <w:t>É</w:t>
      </w:r>
      <w:r>
        <w:t xml:space="preserve">tats étrangers. Cet article </w:t>
      </w:r>
      <w:r>
        <w:rPr>
          <w:color w:val="000000"/>
        </w:rPr>
        <w:t xml:space="preserve">insère dans le code des procédures civiles d’exécution trois articles, précisément les articles </w:t>
      </w:r>
      <w:r>
        <w:rPr>
          <w:rFonts w:eastAsia="Times New Roman" w:cs="Times New Roman"/>
          <w:color w:val="000000"/>
          <w:lang w:eastAsia="fr-BE"/>
        </w:rPr>
        <w:t>L. 111-1-1, L. 111-1-2 et L. 111-1-3,</w:t>
      </w:r>
      <w:r>
        <w:rPr>
          <w:color w:val="000000"/>
        </w:rPr>
        <w:t xml:space="preserve"> visant à régler les modalités de mise en œuvre des mesures conservatoires et des mesures d’exécution forcée sur les biens appartenant à des </w:t>
      </w:r>
      <w:r w:rsidRPr="00184539">
        <w:rPr>
          <w:rFonts w:cs="Times New Roman"/>
          <w:shd w:val="clear" w:color="auto" w:fill="FFFFFF"/>
        </w:rPr>
        <w:t>É</w:t>
      </w:r>
      <w:r>
        <w:rPr>
          <w:color w:val="000000"/>
        </w:rPr>
        <w:t>tats étrangers.</w:t>
      </w:r>
    </w:p>
  </w:footnote>
  <w:footnote w:id="46">
    <w:p w14:paraId="4EC46385" w14:textId="77777777" w:rsidR="00552491" w:rsidRDefault="00552491" w:rsidP="002C2F99">
      <w:pPr>
        <w:pStyle w:val="Notedebasdepage"/>
        <w:jc w:val="both"/>
      </w:pPr>
      <w:r>
        <w:rPr>
          <w:rStyle w:val="Appelnotedebasdep"/>
        </w:rPr>
        <w:footnoteRef/>
      </w:r>
      <w:r>
        <w:t xml:space="preserve"> Notons qu’il fut proposé, au cours des travaux préparatoires de la loi Sapin II, </w:t>
      </w:r>
      <w:r w:rsidRPr="00FB05EE">
        <w:t>sans que cela soit suivi, de substituer les mots « saisie-attribution » aux mots « mesure d’exécution forcée »</w:t>
      </w:r>
      <w:r>
        <w:t xml:space="preserve"> (Assemblée nationale, compte rendu intégral, session ordinaire de 2015-2016, 3</w:t>
      </w:r>
      <w:r w:rsidRPr="00AA0772">
        <w:rPr>
          <w:vertAlign w:val="superscript"/>
        </w:rPr>
        <w:t>e</w:t>
      </w:r>
      <w:r>
        <w:t xml:space="preserve"> séance du jeudi 9 juin 2016, </w:t>
      </w:r>
      <w:r w:rsidRPr="00B41D0F">
        <w:rPr>
          <w:i/>
        </w:rPr>
        <w:t>Journal officiel de la République française</w:t>
      </w:r>
      <w:r>
        <w:t>, p. 4237).</w:t>
      </w:r>
    </w:p>
  </w:footnote>
  <w:footnote w:id="47">
    <w:p w14:paraId="5F2AD076" w14:textId="0B8649C4" w:rsidR="00552491" w:rsidRPr="00DE7BAE" w:rsidRDefault="00552491" w:rsidP="002C2F99">
      <w:pPr>
        <w:pStyle w:val="Sansinterligne"/>
        <w:jc w:val="both"/>
        <w:rPr>
          <w:rFonts w:ascii="Times New Roman" w:hAnsi="Times New Roman" w:cs="Times New Roman"/>
          <w:b/>
          <w:sz w:val="20"/>
          <w:szCs w:val="20"/>
        </w:rPr>
      </w:pPr>
      <w:r w:rsidRPr="00DE7BAE">
        <w:rPr>
          <w:rStyle w:val="Appelnotedebasdep"/>
          <w:rFonts w:ascii="Times New Roman" w:hAnsi="Times New Roman" w:cs="Times New Roman"/>
          <w:sz w:val="20"/>
          <w:szCs w:val="20"/>
        </w:rPr>
        <w:footnoteRef/>
      </w:r>
      <w:r w:rsidRPr="00DE7BAE">
        <w:rPr>
          <w:rFonts w:ascii="Times New Roman" w:hAnsi="Times New Roman" w:cs="Times New Roman"/>
          <w:sz w:val="20"/>
          <w:szCs w:val="20"/>
        </w:rPr>
        <w:t xml:space="preserve"> Quoique cela ne ressorte pas du texte vo</w:t>
      </w:r>
      <w:r>
        <w:rPr>
          <w:rFonts w:ascii="Times New Roman" w:hAnsi="Times New Roman" w:cs="Times New Roman"/>
          <w:sz w:val="20"/>
          <w:szCs w:val="20"/>
        </w:rPr>
        <w:t xml:space="preserve">té, les biens appartenant à un </w:t>
      </w:r>
      <w:r w:rsidRPr="00184539">
        <w:rPr>
          <w:rFonts w:ascii="Times New Roman" w:hAnsi="Times New Roman" w:cs="Times New Roman"/>
          <w:sz w:val="20"/>
          <w:szCs w:val="20"/>
          <w:shd w:val="clear" w:color="auto" w:fill="FFFFFF"/>
        </w:rPr>
        <w:t>É</w:t>
      </w:r>
      <w:r w:rsidRPr="00DE7BAE">
        <w:rPr>
          <w:rFonts w:ascii="Times New Roman" w:hAnsi="Times New Roman" w:cs="Times New Roman"/>
          <w:sz w:val="20"/>
          <w:szCs w:val="20"/>
        </w:rPr>
        <w:t xml:space="preserve">tat étranger visés dans l’article anti-fonds vautours sont </w:t>
      </w:r>
      <w:r>
        <w:rPr>
          <w:rFonts w:ascii="Times New Roman" w:hAnsi="Times New Roman" w:cs="Times New Roman"/>
          <w:sz w:val="20"/>
          <w:szCs w:val="20"/>
        </w:rPr>
        <w:t xml:space="preserve">bien </w:t>
      </w:r>
      <w:r w:rsidR="00924009">
        <w:rPr>
          <w:rFonts w:ascii="Times New Roman" w:hAnsi="Times New Roman" w:cs="Times New Roman"/>
          <w:sz w:val="20"/>
          <w:szCs w:val="20"/>
        </w:rPr>
        <w:t>ceux situés en France (voy.</w:t>
      </w:r>
      <w:r w:rsidRPr="00DE7BAE">
        <w:rPr>
          <w:rFonts w:ascii="Times New Roman" w:hAnsi="Times New Roman" w:cs="Times New Roman"/>
          <w:sz w:val="20"/>
          <w:szCs w:val="20"/>
        </w:rPr>
        <w:t xml:space="preserve"> Conseil constitutionnel, décision n° 2016-741 DC du 8 décembre 2016, disponible à l’adresse </w:t>
      </w:r>
      <w:hyperlink r:id="rId26" w:history="1">
        <w:r w:rsidRPr="00674042">
          <w:rPr>
            <w:rStyle w:val="Lienhypertexte"/>
            <w:rFonts w:ascii="Times New Roman" w:hAnsi="Times New Roman" w:cs="Times New Roman"/>
            <w:sz w:val="20"/>
            <w:szCs w:val="20"/>
          </w:rPr>
          <w:t>www.conseil-constitutionnel.fr/decision/2016/2016741DC.htm</w:t>
        </w:r>
      </w:hyperlink>
      <w:r>
        <w:rPr>
          <w:rFonts w:ascii="Times New Roman" w:hAnsi="Times New Roman" w:cs="Times New Roman"/>
          <w:sz w:val="20"/>
          <w:szCs w:val="20"/>
        </w:rPr>
        <w:t>,</w:t>
      </w:r>
      <w:r w:rsidRPr="00DE7BAE">
        <w:rPr>
          <w:rFonts w:ascii="Times New Roman" w:hAnsi="Times New Roman" w:cs="Times New Roman"/>
          <w:sz w:val="20"/>
          <w:szCs w:val="20"/>
        </w:rPr>
        <w:t xml:space="preserve"> </w:t>
      </w:r>
      <w:r>
        <w:rPr>
          <w:rFonts w:ascii="Times New Roman" w:hAnsi="Times New Roman" w:cs="Times New Roman"/>
          <w:sz w:val="20"/>
          <w:szCs w:val="20"/>
        </w:rPr>
        <w:t>point</w:t>
      </w:r>
      <w:r w:rsidRPr="00DE7BAE">
        <w:rPr>
          <w:rFonts w:ascii="Times New Roman" w:hAnsi="Times New Roman" w:cs="Times New Roman"/>
          <w:sz w:val="20"/>
          <w:szCs w:val="20"/>
        </w:rPr>
        <w:t xml:space="preserve"> 61).</w:t>
      </w:r>
    </w:p>
  </w:footnote>
  <w:footnote w:id="48">
    <w:p w14:paraId="088C3555" w14:textId="2D65C26A" w:rsidR="00552491" w:rsidRDefault="00552491" w:rsidP="002C2F99">
      <w:pPr>
        <w:pStyle w:val="Notedebasdepage"/>
        <w:jc w:val="both"/>
      </w:pPr>
      <w:r>
        <w:rPr>
          <w:rStyle w:val="Appelnotedebasdep"/>
        </w:rPr>
        <w:footnoteRef/>
      </w:r>
      <w:r>
        <w:t xml:space="preserve"> </w:t>
      </w:r>
      <w:r w:rsidRPr="00AA1922">
        <w:rPr>
          <w:rFonts w:cs="Times New Roman"/>
        </w:rPr>
        <w:t xml:space="preserve">Amendement n° 1405 </w:t>
      </w:r>
      <w:r>
        <w:rPr>
          <w:rFonts w:cs="Times New Roman"/>
        </w:rPr>
        <w:t xml:space="preserve">(Rect) </w:t>
      </w:r>
      <w:r w:rsidRPr="00AA1922">
        <w:rPr>
          <w:rFonts w:cs="Times New Roman"/>
        </w:rPr>
        <w:t xml:space="preserve">présenté par </w:t>
      </w:r>
      <w:r>
        <w:rPr>
          <w:rFonts w:cs="Times New Roman"/>
        </w:rPr>
        <w:t>D.</w:t>
      </w:r>
      <w:r w:rsidRPr="00AA1922">
        <w:rPr>
          <w:rFonts w:cs="Times New Roman"/>
          <w:iCs/>
          <w:color w:val="000000"/>
          <w:shd w:val="clear" w:color="auto" w:fill="FFFFFF"/>
        </w:rPr>
        <w:t xml:space="preserve"> Potier, </w:t>
      </w:r>
      <w:r>
        <w:rPr>
          <w:rFonts w:cs="Times New Roman"/>
          <w:iCs/>
          <w:color w:val="000000"/>
          <w:shd w:val="clear" w:color="auto" w:fill="FFFFFF"/>
        </w:rPr>
        <w:t>S. Mazetier, S. Denaja, R. Colas, C</w:t>
      </w:r>
      <w:r w:rsidRPr="00AA1922">
        <w:rPr>
          <w:rFonts w:cs="Times New Roman"/>
          <w:iCs/>
          <w:color w:val="000000"/>
          <w:shd w:val="clear" w:color="auto" w:fill="FFFFFF"/>
        </w:rPr>
        <w:t xml:space="preserve">. Castaner, </w:t>
      </w:r>
      <w:r>
        <w:rPr>
          <w:rFonts w:cs="Times New Roman"/>
          <w:iCs/>
          <w:color w:val="000000"/>
          <w:shd w:val="clear" w:color="auto" w:fill="FFFFFF"/>
        </w:rPr>
        <w:t>S. Errante, Y. Galut, P. Cherki, M. Rabin, C. Guittet, J.-R. Marsac, P.</w:t>
      </w:r>
      <w:r w:rsidRPr="00AA1922">
        <w:rPr>
          <w:rFonts w:cs="Times New Roman"/>
          <w:iCs/>
          <w:color w:val="000000"/>
          <w:shd w:val="clear" w:color="auto" w:fill="FFFFFF"/>
        </w:rPr>
        <w:t xml:space="preserve"> </w:t>
      </w:r>
      <w:r>
        <w:rPr>
          <w:rFonts w:cs="Times New Roman"/>
          <w:iCs/>
          <w:color w:val="000000"/>
          <w:shd w:val="clear" w:color="auto" w:fill="FFFFFF"/>
        </w:rPr>
        <w:t>Baumel, J</w:t>
      </w:r>
      <w:r w:rsidRPr="00AA1922">
        <w:rPr>
          <w:rFonts w:cs="Times New Roman"/>
          <w:iCs/>
          <w:color w:val="000000"/>
          <w:shd w:val="clear" w:color="auto" w:fill="FFFFFF"/>
        </w:rPr>
        <w:t>.</w:t>
      </w:r>
      <w:r>
        <w:rPr>
          <w:rFonts w:cs="Times New Roman"/>
          <w:iCs/>
          <w:color w:val="000000"/>
          <w:shd w:val="clear" w:color="auto" w:fill="FFFFFF"/>
        </w:rPr>
        <w:t>-P. Dufau et R</w:t>
      </w:r>
      <w:r w:rsidRPr="00AA1922">
        <w:rPr>
          <w:rFonts w:cs="Times New Roman"/>
          <w:iCs/>
          <w:color w:val="000000"/>
          <w:shd w:val="clear" w:color="auto" w:fill="FFFFFF"/>
        </w:rPr>
        <w:t xml:space="preserve">. Hammadi, </w:t>
      </w:r>
      <w:r w:rsidR="00924009">
        <w:rPr>
          <w:rFonts w:cs="Times New Roman"/>
          <w:iCs/>
          <w:color w:val="000000"/>
          <w:shd w:val="clear" w:color="auto" w:fill="FFFFFF"/>
        </w:rPr>
        <w:t>2 juin 2016, p. 4. Voy.</w:t>
      </w:r>
      <w:r>
        <w:rPr>
          <w:rFonts w:cs="Times New Roman"/>
          <w:iCs/>
          <w:color w:val="000000"/>
          <w:shd w:val="clear" w:color="auto" w:fill="FFFFFF"/>
        </w:rPr>
        <w:t xml:space="preserve"> également le rappel de cet objectif dans l’amendement n° 634 du Gouvernement visant à rétablir l’article anti-fonds vautours supprimé </w:t>
      </w:r>
      <w:r w:rsidRPr="0018437C">
        <w:rPr>
          <w:rFonts w:cs="Times New Roman"/>
          <w:iCs/>
          <w:shd w:val="clear" w:color="auto" w:fill="FFFFFF"/>
        </w:rPr>
        <w:t xml:space="preserve">en </w:t>
      </w:r>
      <w:r w:rsidRPr="0018437C">
        <w:rPr>
          <w:rFonts w:cs="Times New Roman"/>
        </w:rPr>
        <w:t xml:space="preserve">commission des lois constitutionnelles, de législation, du suffrage universel, du Règlement et d’administration générale </w:t>
      </w:r>
      <w:r>
        <w:rPr>
          <w:szCs w:val="22"/>
        </w:rPr>
        <w:t>[…]</w:t>
      </w:r>
      <w:r w:rsidRPr="0018437C">
        <w:rPr>
          <w:rFonts w:cs="Times New Roman"/>
        </w:rPr>
        <w:t xml:space="preserve"> du Sénat</w:t>
      </w:r>
      <w:r>
        <w:t>.</w:t>
      </w:r>
    </w:p>
  </w:footnote>
  <w:footnote w:id="49">
    <w:p w14:paraId="05E6B807" w14:textId="77777777" w:rsidR="00552491" w:rsidRDefault="00552491" w:rsidP="002C2F99">
      <w:pPr>
        <w:pStyle w:val="Notedebasdepage"/>
        <w:jc w:val="both"/>
      </w:pPr>
      <w:r>
        <w:rPr>
          <w:rStyle w:val="Appelnotedebasdep"/>
        </w:rPr>
        <w:footnoteRef/>
      </w:r>
      <w:r>
        <w:t xml:space="preserve"> P. </w:t>
      </w:r>
      <w:r w:rsidRPr="005E3D36">
        <w:rPr>
          <w:smallCaps/>
        </w:rPr>
        <w:t>Giraud</w:t>
      </w:r>
      <w:r>
        <w:t xml:space="preserve">, « La restriction des mesures conservatoires et d’exécution forcée exercées par les fonds dits vautours : le syndrome du </w:t>
      </w:r>
      <w:r>
        <w:rPr>
          <w:szCs w:val="22"/>
        </w:rPr>
        <w:t>“</w:t>
      </w:r>
      <w:r>
        <w:t>milieu du gué</w:t>
      </w:r>
      <w:r>
        <w:rPr>
          <w:szCs w:val="22"/>
        </w:rPr>
        <w:t xml:space="preserve">” </w:t>
      </w:r>
      <w:r>
        <w:t xml:space="preserve">», </w:t>
      </w:r>
      <w:r w:rsidRPr="005E3D36">
        <w:rPr>
          <w:i/>
        </w:rPr>
        <w:t>Revue de droit international d’Assas</w:t>
      </w:r>
      <w:r>
        <w:t>, 2018, vol. 1, p. 368.</w:t>
      </w:r>
    </w:p>
  </w:footnote>
  <w:footnote w:id="50">
    <w:p w14:paraId="7F2E9638" w14:textId="09009DE9" w:rsidR="00552491" w:rsidRDefault="00552491" w:rsidP="002C2F99">
      <w:pPr>
        <w:pStyle w:val="Notedebasdepage"/>
        <w:jc w:val="both"/>
      </w:pPr>
      <w:r>
        <w:rPr>
          <w:rStyle w:val="Appelnotedebasdep"/>
        </w:rPr>
        <w:footnoteRef/>
      </w:r>
      <w:r w:rsidR="00924009">
        <w:t xml:space="preserve"> Voy.</w:t>
      </w:r>
      <w:r>
        <w:t xml:space="preserve"> </w:t>
      </w:r>
      <w:r w:rsidRPr="007D4BF1">
        <w:rPr>
          <w:i/>
        </w:rPr>
        <w:t>infra</w:t>
      </w:r>
      <w:r>
        <w:t xml:space="preserve"> point 9. </w:t>
      </w:r>
    </w:p>
  </w:footnote>
  <w:footnote w:id="51">
    <w:p w14:paraId="3945CC98" w14:textId="3A5D0A36" w:rsidR="00552491" w:rsidRDefault="00552491" w:rsidP="002C2F99">
      <w:pPr>
        <w:pStyle w:val="Notedebasdepage"/>
        <w:jc w:val="both"/>
      </w:pPr>
      <w:r>
        <w:rPr>
          <w:rStyle w:val="Appelnotedebasdep"/>
        </w:rPr>
        <w:footnoteRef/>
      </w:r>
      <w:r>
        <w:t xml:space="preserve"> </w:t>
      </w:r>
      <w:r w:rsidRPr="00C3536D">
        <w:rPr>
          <w:rFonts w:cs="Times New Roman"/>
          <w:szCs w:val="24"/>
        </w:rPr>
        <w:t xml:space="preserve">Les autres </w:t>
      </w:r>
      <w:r w:rsidRPr="00A23453">
        <w:rPr>
          <w:rFonts w:cs="Times New Roman"/>
          <w:szCs w:val="24"/>
        </w:rPr>
        <w:t>dispositions</w:t>
      </w:r>
      <w:r w:rsidRPr="00C3536D">
        <w:rPr>
          <w:rFonts w:cs="Times New Roman"/>
          <w:szCs w:val="24"/>
        </w:rPr>
        <w:t xml:space="preserve"> de l’article 59 de la loi Sapin II introduisent deux articles dans le code des</w:t>
      </w:r>
      <w:r>
        <w:rPr>
          <w:rFonts w:cs="Times New Roman"/>
          <w:szCs w:val="24"/>
        </w:rPr>
        <w:t xml:space="preserve"> procédures civiles d’exécution visant à régler les conditions dans lesquelles des mesures conservatoires ou des mesures d’exécution forcée peuvent être mises en œuvre sur un bien appartenant à un </w:t>
      </w:r>
      <w:r w:rsidRPr="00184539">
        <w:rPr>
          <w:rFonts w:cs="Times New Roman"/>
          <w:shd w:val="clear" w:color="auto" w:fill="FFFFFF"/>
        </w:rPr>
        <w:t>É</w:t>
      </w:r>
      <w:r>
        <w:rPr>
          <w:rFonts w:cs="Times New Roman"/>
          <w:szCs w:val="24"/>
        </w:rPr>
        <w:t>tat étranger (</w:t>
      </w:r>
      <w:r w:rsidR="00924009">
        <w:t>voy.,</w:t>
      </w:r>
      <w:r>
        <w:t xml:space="preserve"> sur les objectifs poursuivis par cet article 59 et sur son adoption chahutée, notre contribution « La mise en œuvre de mesures de contrainte sur les biens appartenant aux </w:t>
      </w:r>
      <w:r w:rsidRPr="00184539">
        <w:rPr>
          <w:rFonts w:cs="Times New Roman"/>
          <w:shd w:val="clear" w:color="auto" w:fill="FFFFFF"/>
        </w:rPr>
        <w:t>É</w:t>
      </w:r>
      <w:r>
        <w:t>tats étrangers en France : analyse de l’article 59 de la loi Sapin II »</w:t>
      </w:r>
      <w:r>
        <w:rPr>
          <w:rFonts w:cs="Times New Roman"/>
          <w:szCs w:val="24"/>
        </w:rPr>
        <w:t>).</w:t>
      </w:r>
    </w:p>
  </w:footnote>
  <w:footnote w:id="52">
    <w:p w14:paraId="45C6AC93" w14:textId="09B3B923" w:rsidR="00552491" w:rsidRDefault="00552491" w:rsidP="00A35E3D">
      <w:pPr>
        <w:pStyle w:val="Notedebasdepage"/>
        <w:jc w:val="both"/>
      </w:pPr>
      <w:r w:rsidRPr="007D3470">
        <w:rPr>
          <w:rStyle w:val="Appelnotedebasdep"/>
        </w:rPr>
        <w:footnoteRef/>
      </w:r>
      <w:r w:rsidR="00924009">
        <w:t xml:space="preserve"> Voy.</w:t>
      </w:r>
      <w:r w:rsidRPr="007D3470">
        <w:t xml:space="preserve"> sur les règles de droit commun : </w:t>
      </w:r>
      <w:r w:rsidRPr="007D3470">
        <w:rPr>
          <w:rFonts w:cs="Times New Roman"/>
        </w:rPr>
        <w:t xml:space="preserve">R. </w:t>
      </w:r>
      <w:r w:rsidRPr="007D3470">
        <w:rPr>
          <w:rFonts w:cs="Times New Roman"/>
          <w:smallCaps/>
        </w:rPr>
        <w:t>Bismuth</w:t>
      </w:r>
      <w:r w:rsidRPr="007D3470">
        <w:rPr>
          <w:rFonts w:cs="Times New Roman"/>
        </w:rPr>
        <w:t xml:space="preserve">, « L’immunité d’exécution après la loi Sapin 2 », </w:t>
      </w:r>
      <w:r w:rsidRPr="007D3470">
        <w:rPr>
          <w:rFonts w:cs="Times New Roman"/>
          <w:i/>
        </w:rPr>
        <w:t>Journal du droit international</w:t>
      </w:r>
      <w:r w:rsidRPr="007D3470">
        <w:rPr>
          <w:rFonts w:cs="Times New Roman"/>
        </w:rPr>
        <w:t>, 2018, p. 450.</w:t>
      </w:r>
    </w:p>
  </w:footnote>
  <w:footnote w:id="53">
    <w:p w14:paraId="71D75692" w14:textId="77777777" w:rsidR="00552491" w:rsidRDefault="00552491" w:rsidP="002C2F99">
      <w:pPr>
        <w:pStyle w:val="Notedebasdepage"/>
        <w:jc w:val="both"/>
      </w:pPr>
      <w:r>
        <w:rPr>
          <w:rStyle w:val="Appelnotedebasdep"/>
        </w:rPr>
        <w:footnoteRef/>
      </w:r>
      <w:r>
        <w:t xml:space="preserve"> </w:t>
      </w:r>
      <w:r>
        <w:rPr>
          <w:rFonts w:cs="Times New Roman"/>
          <w:szCs w:val="24"/>
        </w:rPr>
        <w:t>P</w:t>
      </w:r>
      <w:r>
        <w:t xml:space="preserve">rojet de loi n° 3623 relatif à la transparence, à la lutte contre la corruption et à la modernisation de la vie économique, étude d’impact, 30 mars 2016, p. 94, document disponible à l’adresse </w:t>
      </w:r>
      <w:hyperlink r:id="rId27" w:history="1">
        <w:r w:rsidRPr="00674042">
          <w:rPr>
            <w:rStyle w:val="Lienhypertexte"/>
          </w:rPr>
          <w:t>www.assemblee-nationale.fr/14/pdf/projets/pl3623-ei.pdf</w:t>
        </w:r>
      </w:hyperlink>
      <w:r>
        <w:t>.</w:t>
      </w:r>
    </w:p>
  </w:footnote>
  <w:footnote w:id="54">
    <w:p w14:paraId="6D2110B4" w14:textId="44578827" w:rsidR="00552491" w:rsidRDefault="00552491" w:rsidP="002C2F99">
      <w:pPr>
        <w:pStyle w:val="Notedebasdepage"/>
        <w:jc w:val="both"/>
      </w:pPr>
      <w:r w:rsidRPr="004B1730">
        <w:rPr>
          <w:rStyle w:val="Appelnotedebasdep"/>
        </w:rPr>
        <w:footnoteRef/>
      </w:r>
      <w:r w:rsidRPr="004B1730">
        <w:t xml:space="preserve"> Généralement, sur le régime immunitaire mis en p</w:t>
      </w:r>
      <w:r>
        <w:t>lace par la loi Sapin II, Sylvia</w:t>
      </w:r>
      <w:r w:rsidRPr="004B1730">
        <w:t>n Dorol indique que « l’exéc</w:t>
      </w:r>
      <w:r>
        <w:t xml:space="preserve">ution forcée contre un </w:t>
      </w:r>
      <w:r w:rsidRPr="00184539">
        <w:rPr>
          <w:rFonts w:cs="Times New Roman"/>
          <w:shd w:val="clear" w:color="auto" w:fill="FFFFFF"/>
        </w:rPr>
        <w:t>É</w:t>
      </w:r>
      <w:r w:rsidRPr="004B1730">
        <w:t xml:space="preserve">tat étranger est un poids sur la conscience du législateur, tant la question est délicate » et que « (c’)est pourquoi il a prévu qu’elle soit mesurée par le juge en aval de la délivrance d’un titre exécutoire, en prenant bien soin de définir en amont l’étalon » (S. </w:t>
      </w:r>
      <w:r w:rsidRPr="004B1730">
        <w:rPr>
          <w:smallCaps/>
        </w:rPr>
        <w:t>Dorol</w:t>
      </w:r>
      <w:r>
        <w:t xml:space="preserve">, « Exécution forcée contre un </w:t>
      </w:r>
      <w:r w:rsidRPr="00184539">
        <w:rPr>
          <w:rFonts w:cs="Times New Roman"/>
          <w:shd w:val="clear" w:color="auto" w:fill="FFFFFF"/>
        </w:rPr>
        <w:t>É</w:t>
      </w:r>
      <w:r w:rsidRPr="004B1730">
        <w:t xml:space="preserve">tat étranger : oui, mais… », </w:t>
      </w:r>
      <w:r w:rsidRPr="004B1730">
        <w:rPr>
          <w:i/>
        </w:rPr>
        <w:t>La Semaine juridique – Edition générale</w:t>
      </w:r>
      <w:r w:rsidRPr="004B1730">
        <w:t>, 9 janvier 2017, p. 16).</w:t>
      </w:r>
    </w:p>
  </w:footnote>
  <w:footnote w:id="55">
    <w:p w14:paraId="288AB85C" w14:textId="77777777" w:rsidR="00552491" w:rsidRPr="00FF5AF0" w:rsidRDefault="00552491" w:rsidP="002C2F99">
      <w:pPr>
        <w:autoSpaceDE w:val="0"/>
        <w:autoSpaceDN w:val="0"/>
        <w:adjustRightInd w:val="0"/>
        <w:spacing w:after="0" w:line="240" w:lineRule="auto"/>
        <w:jc w:val="both"/>
        <w:rPr>
          <w:rFonts w:cs="Times New Roman"/>
          <w:sz w:val="20"/>
          <w:szCs w:val="20"/>
        </w:rPr>
      </w:pPr>
      <w:r w:rsidRPr="00AE1274">
        <w:rPr>
          <w:rStyle w:val="Appelnotedebasdep"/>
          <w:rFonts w:cs="Times New Roman"/>
          <w:sz w:val="20"/>
          <w:szCs w:val="20"/>
        </w:rPr>
        <w:footnoteRef/>
      </w:r>
      <w:r w:rsidRPr="00AE1274">
        <w:rPr>
          <w:rFonts w:cs="Times New Roman"/>
          <w:sz w:val="20"/>
          <w:szCs w:val="20"/>
        </w:rPr>
        <w:t xml:space="preserve"> Rapport n° 3785 et 3786</w:t>
      </w:r>
      <w:r>
        <w:rPr>
          <w:rFonts w:cs="Times New Roman"/>
          <w:sz w:val="20"/>
          <w:szCs w:val="20"/>
        </w:rPr>
        <w:t xml:space="preserve"> </w:t>
      </w:r>
      <w:r w:rsidRPr="00AE1274">
        <w:rPr>
          <w:rFonts w:cs="Times New Roman"/>
          <w:sz w:val="20"/>
          <w:szCs w:val="20"/>
        </w:rPr>
        <w:t xml:space="preserve">fait au nom de la commission des lois constitutionnelles, de la législation et de l’administration générale de la République, sur le projet de </w:t>
      </w:r>
      <w:r w:rsidRPr="009D75D4">
        <w:rPr>
          <w:rFonts w:cs="Times New Roman"/>
          <w:sz w:val="20"/>
          <w:szCs w:val="20"/>
        </w:rPr>
        <w:t xml:space="preserve">loi (n° 3623) </w:t>
      </w:r>
      <w:r w:rsidRPr="009D75D4">
        <w:rPr>
          <w:sz w:val="20"/>
          <w:szCs w:val="20"/>
        </w:rPr>
        <w:t>[…]</w:t>
      </w:r>
      <w:r w:rsidRPr="009D75D4">
        <w:rPr>
          <w:rFonts w:cs="Times New Roman"/>
          <w:sz w:val="20"/>
          <w:szCs w:val="20"/>
        </w:rPr>
        <w:t xml:space="preserve"> relatif</w:t>
      </w:r>
      <w:r w:rsidRPr="00AE1274">
        <w:rPr>
          <w:rFonts w:cs="Times New Roman"/>
          <w:sz w:val="20"/>
          <w:szCs w:val="20"/>
        </w:rPr>
        <w:t xml:space="preserve"> à la transparence, à la lutte contre la corruption et à la modernisation </w:t>
      </w:r>
      <w:r w:rsidRPr="009D75D4">
        <w:rPr>
          <w:rFonts w:cs="Times New Roman"/>
          <w:sz w:val="20"/>
          <w:szCs w:val="20"/>
        </w:rPr>
        <w:t xml:space="preserve">de la vie économique </w:t>
      </w:r>
      <w:r w:rsidRPr="009D75D4">
        <w:rPr>
          <w:sz w:val="20"/>
          <w:szCs w:val="20"/>
        </w:rPr>
        <w:t>[…]</w:t>
      </w:r>
      <w:r w:rsidRPr="009D75D4">
        <w:rPr>
          <w:rFonts w:cs="Times New Roman"/>
          <w:sz w:val="20"/>
          <w:szCs w:val="20"/>
        </w:rPr>
        <w:t>, par</w:t>
      </w:r>
      <w:r>
        <w:rPr>
          <w:rFonts w:cs="Times New Roman"/>
          <w:sz w:val="20"/>
          <w:szCs w:val="20"/>
        </w:rPr>
        <w:t xml:space="preserve"> S. Denaja</w:t>
      </w:r>
      <w:r w:rsidRPr="00AE1274">
        <w:rPr>
          <w:rFonts w:cs="Times New Roman"/>
          <w:sz w:val="20"/>
          <w:szCs w:val="20"/>
        </w:rPr>
        <w:t xml:space="preserve">, 26 mai 2016, disponible à l’adresse </w:t>
      </w:r>
      <w:hyperlink r:id="rId28" w:history="1">
        <w:r w:rsidRPr="00674042">
          <w:rPr>
            <w:rStyle w:val="Lienhypertexte"/>
            <w:rFonts w:cs="Times New Roman"/>
            <w:bCs/>
            <w:sz w:val="20"/>
            <w:szCs w:val="20"/>
          </w:rPr>
          <w:t>www.assemblee-nationale.fr/14/pdf/rapports/r3785-tI.pdf</w:t>
        </w:r>
      </w:hyperlink>
      <w:r w:rsidRPr="00AE1274">
        <w:rPr>
          <w:rFonts w:cs="Times New Roman"/>
          <w:sz w:val="20"/>
          <w:szCs w:val="20"/>
        </w:rPr>
        <w:t xml:space="preserve">, p. 278. </w:t>
      </w:r>
      <w:r w:rsidRPr="00AE1274">
        <w:rPr>
          <w:sz w:val="20"/>
          <w:szCs w:val="20"/>
        </w:rPr>
        <w:t xml:space="preserve">Dans son rapport </w:t>
      </w:r>
      <w:r>
        <w:rPr>
          <w:sz w:val="20"/>
          <w:szCs w:val="20"/>
        </w:rPr>
        <w:t xml:space="preserve">postérieur </w:t>
      </w:r>
      <w:r w:rsidRPr="00AE1274">
        <w:rPr>
          <w:sz w:val="20"/>
          <w:szCs w:val="20"/>
        </w:rPr>
        <w:t xml:space="preserve">fait </w:t>
      </w:r>
      <w:r w:rsidRPr="00AE1274">
        <w:rPr>
          <w:rFonts w:cs="Times New Roman"/>
          <w:bCs/>
          <w:sz w:val="20"/>
          <w:szCs w:val="20"/>
        </w:rPr>
        <w:t xml:space="preserve">au nom de la commission des lois constitutionnelles, de la législation et de l’administration générale de la République, </w:t>
      </w:r>
      <w:r w:rsidRPr="00333487">
        <w:rPr>
          <w:rFonts w:cs="Times New Roman"/>
          <w:bCs/>
          <w:sz w:val="20"/>
          <w:szCs w:val="20"/>
        </w:rPr>
        <w:t>en nouvelle lecture,</w:t>
      </w:r>
      <w:r w:rsidRPr="00AE1274">
        <w:rPr>
          <w:rFonts w:cs="Times New Roman"/>
          <w:bCs/>
          <w:sz w:val="20"/>
          <w:szCs w:val="20"/>
        </w:rPr>
        <w:t xml:space="preserve"> sur notamment le projet de loi </w:t>
      </w:r>
      <w:r w:rsidRPr="00AE1274">
        <w:rPr>
          <w:rFonts w:cs="Times New Roman"/>
          <w:iCs/>
          <w:sz w:val="20"/>
          <w:szCs w:val="20"/>
        </w:rPr>
        <w:t xml:space="preserve">relatif à la </w:t>
      </w:r>
      <w:r w:rsidRPr="00AE1274">
        <w:rPr>
          <w:rFonts w:cs="Times New Roman"/>
          <w:bCs/>
          <w:sz w:val="20"/>
          <w:szCs w:val="20"/>
        </w:rPr>
        <w:t>transparence</w:t>
      </w:r>
      <w:r w:rsidRPr="00AE1274">
        <w:rPr>
          <w:rFonts w:cs="Times New Roman"/>
          <w:iCs/>
          <w:sz w:val="20"/>
          <w:szCs w:val="20"/>
        </w:rPr>
        <w:t>, à</w:t>
      </w:r>
      <w:r w:rsidRPr="00AE1274">
        <w:rPr>
          <w:rFonts w:cs="Times New Roman"/>
          <w:bCs/>
          <w:sz w:val="20"/>
          <w:szCs w:val="20"/>
        </w:rPr>
        <w:t xml:space="preserve"> </w:t>
      </w:r>
      <w:r w:rsidRPr="00AE1274">
        <w:rPr>
          <w:rFonts w:cs="Times New Roman"/>
          <w:iCs/>
          <w:sz w:val="20"/>
          <w:szCs w:val="20"/>
        </w:rPr>
        <w:t xml:space="preserve">la </w:t>
      </w:r>
      <w:r w:rsidRPr="00AE1274">
        <w:rPr>
          <w:rFonts w:cs="Times New Roman"/>
          <w:bCs/>
          <w:sz w:val="20"/>
          <w:szCs w:val="20"/>
        </w:rPr>
        <w:t xml:space="preserve">lutte contre </w:t>
      </w:r>
      <w:r w:rsidRPr="00AE1274">
        <w:rPr>
          <w:rFonts w:cs="Times New Roman"/>
          <w:iCs/>
          <w:sz w:val="20"/>
          <w:szCs w:val="20"/>
        </w:rPr>
        <w:t xml:space="preserve">la </w:t>
      </w:r>
      <w:r w:rsidRPr="00AE1274">
        <w:rPr>
          <w:rFonts w:cs="Times New Roman"/>
          <w:bCs/>
          <w:sz w:val="20"/>
          <w:szCs w:val="20"/>
        </w:rPr>
        <w:t xml:space="preserve">corruption </w:t>
      </w:r>
      <w:r w:rsidRPr="00AE1274">
        <w:rPr>
          <w:rFonts w:cs="Times New Roman"/>
          <w:iCs/>
          <w:sz w:val="20"/>
          <w:szCs w:val="20"/>
        </w:rPr>
        <w:t xml:space="preserve">et à la </w:t>
      </w:r>
      <w:r w:rsidRPr="00AE1274">
        <w:rPr>
          <w:rFonts w:cs="Times New Roman"/>
          <w:bCs/>
          <w:sz w:val="20"/>
          <w:szCs w:val="20"/>
        </w:rPr>
        <w:t xml:space="preserve">modernisation </w:t>
      </w:r>
      <w:r w:rsidRPr="00AE1274">
        <w:rPr>
          <w:rFonts w:cs="Times New Roman"/>
          <w:iCs/>
          <w:sz w:val="20"/>
          <w:szCs w:val="20"/>
        </w:rPr>
        <w:t xml:space="preserve">de la </w:t>
      </w:r>
      <w:r w:rsidRPr="00AE1274">
        <w:rPr>
          <w:rFonts w:cs="Times New Roman"/>
          <w:bCs/>
          <w:sz w:val="20"/>
          <w:szCs w:val="20"/>
        </w:rPr>
        <w:t>vie économique</w:t>
      </w:r>
      <w:r w:rsidRPr="00AE1274">
        <w:rPr>
          <w:rFonts w:cs="Times New Roman"/>
          <w:sz w:val="20"/>
          <w:szCs w:val="20"/>
        </w:rPr>
        <w:t>, Sébastien Denaja indiqua encore qu’avec l’autorisation judiciaire préalable il en allait d’une « sé</w:t>
      </w:r>
      <w:r>
        <w:rPr>
          <w:rFonts w:cs="Times New Roman"/>
          <w:sz w:val="20"/>
          <w:szCs w:val="20"/>
        </w:rPr>
        <w:t xml:space="preserve">curité supplémentaire pour les </w:t>
      </w:r>
      <w:r w:rsidRPr="00184539">
        <w:rPr>
          <w:rFonts w:cs="Times New Roman"/>
          <w:sz w:val="20"/>
          <w:szCs w:val="20"/>
          <w:shd w:val="clear" w:color="auto" w:fill="FFFFFF"/>
        </w:rPr>
        <w:t>É</w:t>
      </w:r>
      <w:r w:rsidRPr="00AE1274">
        <w:rPr>
          <w:rFonts w:cs="Times New Roman"/>
          <w:sz w:val="20"/>
          <w:szCs w:val="20"/>
        </w:rPr>
        <w:t>tats concernés » (rapport n° 4045 et 4046</w:t>
      </w:r>
      <w:r w:rsidRPr="00AE1274">
        <w:rPr>
          <w:rFonts w:cs="Times New Roman"/>
          <w:bCs/>
          <w:sz w:val="20"/>
          <w:szCs w:val="20"/>
        </w:rPr>
        <w:t xml:space="preserve"> fait au nom de la commission des lois constitutionnelles, de la législation et de l’administration générale de la République, en nouvelle lecture, sur le projet de loi (n° 3939) </w:t>
      </w:r>
      <w:r w:rsidRPr="00AE1274">
        <w:rPr>
          <w:rFonts w:cs="Times New Roman"/>
          <w:iCs/>
          <w:sz w:val="20"/>
          <w:szCs w:val="20"/>
        </w:rPr>
        <w:t xml:space="preserve">relatif à la </w:t>
      </w:r>
      <w:r w:rsidRPr="00AE1274">
        <w:rPr>
          <w:rFonts w:cs="Times New Roman"/>
          <w:bCs/>
          <w:sz w:val="20"/>
          <w:szCs w:val="20"/>
        </w:rPr>
        <w:t>transparence</w:t>
      </w:r>
      <w:r w:rsidRPr="00AE1274">
        <w:rPr>
          <w:rFonts w:cs="Times New Roman"/>
          <w:iCs/>
          <w:sz w:val="20"/>
          <w:szCs w:val="20"/>
        </w:rPr>
        <w:t>, à</w:t>
      </w:r>
      <w:r w:rsidRPr="00AE1274">
        <w:rPr>
          <w:rFonts w:cs="Times New Roman"/>
          <w:bCs/>
          <w:sz w:val="20"/>
          <w:szCs w:val="20"/>
        </w:rPr>
        <w:t xml:space="preserve"> </w:t>
      </w:r>
      <w:r w:rsidRPr="00AE1274">
        <w:rPr>
          <w:rFonts w:cs="Times New Roman"/>
          <w:iCs/>
          <w:sz w:val="20"/>
          <w:szCs w:val="20"/>
        </w:rPr>
        <w:t xml:space="preserve">la </w:t>
      </w:r>
      <w:r w:rsidRPr="00AE1274">
        <w:rPr>
          <w:rFonts w:cs="Times New Roman"/>
          <w:bCs/>
          <w:sz w:val="20"/>
          <w:szCs w:val="20"/>
        </w:rPr>
        <w:t xml:space="preserve">lutte contre </w:t>
      </w:r>
      <w:r w:rsidRPr="00AE1274">
        <w:rPr>
          <w:rFonts w:cs="Times New Roman"/>
          <w:iCs/>
          <w:sz w:val="20"/>
          <w:szCs w:val="20"/>
        </w:rPr>
        <w:t xml:space="preserve">la </w:t>
      </w:r>
      <w:r w:rsidRPr="00AE1274">
        <w:rPr>
          <w:rFonts w:cs="Times New Roman"/>
          <w:bCs/>
          <w:sz w:val="20"/>
          <w:szCs w:val="20"/>
        </w:rPr>
        <w:t xml:space="preserve">corruption </w:t>
      </w:r>
      <w:r w:rsidRPr="00AE1274">
        <w:rPr>
          <w:rFonts w:cs="Times New Roman"/>
          <w:iCs/>
          <w:sz w:val="20"/>
          <w:szCs w:val="20"/>
        </w:rPr>
        <w:t xml:space="preserve">et à la </w:t>
      </w:r>
      <w:r w:rsidRPr="009D75D4">
        <w:rPr>
          <w:rFonts w:cs="Times New Roman"/>
          <w:bCs/>
          <w:sz w:val="20"/>
          <w:szCs w:val="20"/>
        </w:rPr>
        <w:t xml:space="preserve">modernisation </w:t>
      </w:r>
      <w:r w:rsidRPr="009D75D4">
        <w:rPr>
          <w:rFonts w:cs="Times New Roman"/>
          <w:iCs/>
          <w:sz w:val="20"/>
          <w:szCs w:val="20"/>
        </w:rPr>
        <w:t xml:space="preserve">de la </w:t>
      </w:r>
      <w:r w:rsidRPr="009D75D4">
        <w:rPr>
          <w:rFonts w:cs="Times New Roman"/>
          <w:bCs/>
          <w:sz w:val="20"/>
          <w:szCs w:val="20"/>
        </w:rPr>
        <w:t xml:space="preserve">vie économique </w:t>
      </w:r>
      <w:r w:rsidRPr="009D75D4">
        <w:rPr>
          <w:sz w:val="20"/>
          <w:szCs w:val="20"/>
        </w:rPr>
        <w:t>[…]</w:t>
      </w:r>
      <w:r w:rsidRPr="009D75D4">
        <w:rPr>
          <w:rFonts w:cs="Times New Roman"/>
          <w:sz w:val="20"/>
          <w:szCs w:val="20"/>
        </w:rPr>
        <w:t>, par</w:t>
      </w:r>
      <w:r w:rsidRPr="00AE1274">
        <w:rPr>
          <w:rFonts w:cs="Times New Roman"/>
          <w:sz w:val="20"/>
          <w:szCs w:val="20"/>
        </w:rPr>
        <w:t xml:space="preserve"> S. Denaja, 21 septembre 2016, disponible à l’adresse </w:t>
      </w:r>
      <w:hyperlink r:id="rId29" w:history="1">
        <w:r w:rsidRPr="00674042">
          <w:rPr>
            <w:rStyle w:val="Lienhypertexte"/>
            <w:rFonts w:cs="Times New Roman"/>
            <w:sz w:val="20"/>
            <w:szCs w:val="20"/>
          </w:rPr>
          <w:t>www.assemblee-nationale.fr/14/pdf/rapports/r4045.pdf</w:t>
        </w:r>
      </w:hyperlink>
      <w:r w:rsidRPr="00AE1274">
        <w:rPr>
          <w:rFonts w:cs="Times New Roman"/>
          <w:sz w:val="20"/>
          <w:szCs w:val="20"/>
        </w:rPr>
        <w:t>, p. 120).</w:t>
      </w:r>
    </w:p>
  </w:footnote>
  <w:footnote w:id="56">
    <w:p w14:paraId="6CCF7BB5" w14:textId="77777777" w:rsidR="00552491" w:rsidRDefault="00552491" w:rsidP="002C2F99">
      <w:pPr>
        <w:pStyle w:val="Notedebasdepage"/>
        <w:jc w:val="both"/>
      </w:pPr>
      <w:r w:rsidRPr="008B180F">
        <w:rPr>
          <w:rStyle w:val="Appelnotedebasdep"/>
        </w:rPr>
        <w:footnoteRef/>
      </w:r>
      <w:r w:rsidRPr="008B180F">
        <w:t xml:space="preserve"> Le fer fut croisé tantôt lors des discussions relatives </w:t>
      </w:r>
      <w:r>
        <w:t>à l’article</w:t>
      </w:r>
      <w:r w:rsidRPr="008B180F">
        <w:t xml:space="preserve"> régissant généralem</w:t>
      </w:r>
      <w:r>
        <w:t xml:space="preserve">ent l’immunité d’exécution des </w:t>
      </w:r>
      <w:r w:rsidRPr="00184539">
        <w:rPr>
          <w:rFonts w:cs="Times New Roman"/>
          <w:shd w:val="clear" w:color="auto" w:fill="FFFFFF"/>
        </w:rPr>
        <w:t>É</w:t>
      </w:r>
      <w:r w:rsidRPr="008B180F">
        <w:t xml:space="preserve">tats étrangers, tantôt lors de celles relatives à </w:t>
      </w:r>
      <w:r>
        <w:t>l’article</w:t>
      </w:r>
      <w:r w:rsidRPr="008B180F">
        <w:t xml:space="preserve"> luttant spécifiquement contre les activités des fonds vautours. Le double sujet de discussions </w:t>
      </w:r>
      <w:r>
        <w:t>s’explique par le renvoi opéré par le second au premier</w:t>
      </w:r>
      <w:r w:rsidRPr="008B180F">
        <w:t>.</w:t>
      </w:r>
    </w:p>
  </w:footnote>
  <w:footnote w:id="57">
    <w:p w14:paraId="6EC9CA3C" w14:textId="77777777" w:rsidR="00552491" w:rsidRDefault="00552491" w:rsidP="002C2F99">
      <w:pPr>
        <w:pStyle w:val="Notedebasdepage"/>
        <w:jc w:val="both"/>
      </w:pPr>
      <w:r>
        <w:rPr>
          <w:rStyle w:val="Appelnotedebasdep"/>
        </w:rPr>
        <w:footnoteRef/>
      </w:r>
      <w:r>
        <w:t xml:space="preserve"> </w:t>
      </w:r>
      <w:r>
        <w:rPr>
          <w:rFonts w:cs="Times New Roman"/>
          <w:color w:val="000000"/>
          <w:shd w:val="clear" w:color="auto" w:fill="FFFFFF"/>
        </w:rPr>
        <w:t>S</w:t>
      </w:r>
      <w:r w:rsidRPr="003B1290">
        <w:t>ous-amendement n° 1566</w:t>
      </w:r>
      <w:r>
        <w:t xml:space="preserve">, présenté par N. Mamère, L. Abeille, B. Allain, I. Attard, D. Auroi, S. Coronado, C. Duflot, M. Bonneton, J.-L. Roumégas et E. Sas, </w:t>
      </w:r>
      <w:r w:rsidRPr="003B1290">
        <w:t xml:space="preserve">à l’amendement n° 1470 du Gouvernement, disponible à l’adresse </w:t>
      </w:r>
      <w:hyperlink r:id="rId30" w:history="1">
        <w:r w:rsidRPr="00674042">
          <w:rPr>
            <w:rStyle w:val="Lienhypertexte"/>
          </w:rPr>
          <w:t>www.assemblee-nationale.fr/14/amendements/3785/AN/1566.pdf</w:t>
        </w:r>
      </w:hyperlink>
      <w:r>
        <w:t xml:space="preserve">. Les parlementaires à l’origine du sous-amendement n° 1566 </w:t>
      </w:r>
      <w:r>
        <w:rPr>
          <w:rFonts w:cs="Times New Roman"/>
        </w:rPr>
        <w:t xml:space="preserve">avaient déposé, avec P. Noguès, </w:t>
      </w:r>
      <w:r w:rsidRPr="00CA27CB">
        <w:rPr>
          <w:rFonts w:cs="Times New Roman"/>
        </w:rPr>
        <w:t>un</w:t>
      </w:r>
      <w:r>
        <w:rPr>
          <w:rFonts w:cs="Times New Roman"/>
        </w:rPr>
        <w:t xml:space="preserve"> autre</w:t>
      </w:r>
      <w:r w:rsidRPr="00CA27CB">
        <w:rPr>
          <w:rFonts w:cs="Times New Roman"/>
        </w:rPr>
        <w:t xml:space="preserve"> sous-amendement n° 1499</w:t>
      </w:r>
      <w:r>
        <w:rPr>
          <w:rFonts w:cs="Times New Roman"/>
        </w:rPr>
        <w:t>,</w:t>
      </w:r>
      <w:r w:rsidRPr="00CA27CB">
        <w:rPr>
          <w:rFonts w:cs="Times New Roman"/>
        </w:rPr>
        <w:t xml:space="preserve"> à l’amendement n° 1405</w:t>
      </w:r>
      <w:r>
        <w:rPr>
          <w:rFonts w:cs="Times New Roman"/>
        </w:rPr>
        <w:t xml:space="preserve"> cette fois,</w:t>
      </w:r>
      <w:r w:rsidRPr="00CA27CB">
        <w:rPr>
          <w:rFonts w:cs="Times New Roman"/>
        </w:rPr>
        <w:t xml:space="preserve"> visant à supprimer l’exigence de l’autorisation préalable du juge au motif que «</w:t>
      </w:r>
      <w:r w:rsidRPr="00CA27CB">
        <w:rPr>
          <w:rFonts w:cs="Times New Roman"/>
          <w:color w:val="000000"/>
          <w:shd w:val="clear" w:color="auto" w:fill="FFFFFF"/>
        </w:rPr>
        <w:t xml:space="preserve"> si cet amendement propose de lutter avec effica</w:t>
      </w:r>
      <w:r>
        <w:rPr>
          <w:rFonts w:cs="Times New Roman"/>
          <w:color w:val="000000"/>
          <w:shd w:val="clear" w:color="auto" w:fill="FFFFFF"/>
        </w:rPr>
        <w:t xml:space="preserve">cité contre les </w:t>
      </w:r>
      <w:r>
        <w:rPr>
          <w:szCs w:val="22"/>
        </w:rPr>
        <w:t>“</w:t>
      </w:r>
      <w:r>
        <w:rPr>
          <w:rFonts w:cs="Times New Roman"/>
          <w:color w:val="000000"/>
          <w:shd w:val="clear" w:color="auto" w:fill="FFFFFF"/>
        </w:rPr>
        <w:t>fonds-vautours</w:t>
      </w:r>
      <w:r>
        <w:rPr>
          <w:szCs w:val="22"/>
        </w:rPr>
        <w:t>”</w:t>
      </w:r>
      <w:r w:rsidRPr="00CA27CB">
        <w:rPr>
          <w:rFonts w:cs="Times New Roman"/>
          <w:color w:val="000000"/>
          <w:shd w:val="clear" w:color="auto" w:fill="FFFFFF"/>
        </w:rPr>
        <w:t>, l’alinéa premier viendrait poser un verrou en sollicitant du juge une autorisation préalable, par ordonnance, rendue sur requête, qui contreviendrait à la bonne application de l’ensemble du dispositif » (</w:t>
      </w:r>
      <w:r>
        <w:rPr>
          <w:rFonts w:eastAsia="Times New Roman" w:cs="Times New Roman"/>
          <w:bCs/>
          <w:lang w:eastAsia="fr-BE"/>
        </w:rPr>
        <w:t>s</w:t>
      </w:r>
      <w:r w:rsidRPr="00CA27CB">
        <w:rPr>
          <w:rFonts w:eastAsia="Times New Roman" w:cs="Times New Roman"/>
          <w:bCs/>
          <w:lang w:eastAsia="fr-BE"/>
        </w:rPr>
        <w:t xml:space="preserve">ous-amendement n° 1499, présenté par </w:t>
      </w:r>
      <w:r>
        <w:rPr>
          <w:rFonts w:cs="Times New Roman"/>
          <w:shd w:val="clear" w:color="auto" w:fill="FFFFFF"/>
        </w:rPr>
        <w:t>N. Mamère, L.</w:t>
      </w:r>
      <w:r w:rsidRPr="00CA27CB">
        <w:rPr>
          <w:rFonts w:cs="Times New Roman"/>
          <w:shd w:val="clear" w:color="auto" w:fill="FFFFFF"/>
        </w:rPr>
        <w:t xml:space="preserve"> Abeille, </w:t>
      </w:r>
      <w:r>
        <w:rPr>
          <w:rFonts w:cs="Times New Roman"/>
          <w:shd w:val="clear" w:color="auto" w:fill="FFFFFF"/>
        </w:rPr>
        <w:t xml:space="preserve">B. </w:t>
      </w:r>
      <w:r w:rsidRPr="00CA27CB">
        <w:rPr>
          <w:rFonts w:cs="Times New Roman"/>
          <w:shd w:val="clear" w:color="auto" w:fill="FFFFFF"/>
        </w:rPr>
        <w:t xml:space="preserve">Allain, </w:t>
      </w:r>
      <w:r>
        <w:rPr>
          <w:rFonts w:cs="Times New Roman"/>
          <w:shd w:val="clear" w:color="auto" w:fill="FFFFFF"/>
        </w:rPr>
        <w:t>I.</w:t>
      </w:r>
      <w:r w:rsidRPr="00CA27CB">
        <w:rPr>
          <w:rFonts w:cs="Times New Roman"/>
          <w:shd w:val="clear" w:color="auto" w:fill="FFFFFF"/>
        </w:rPr>
        <w:t xml:space="preserve"> Attard, </w:t>
      </w:r>
      <w:r>
        <w:rPr>
          <w:rFonts w:cs="Times New Roman"/>
          <w:shd w:val="clear" w:color="auto" w:fill="FFFFFF"/>
        </w:rPr>
        <w:t>D. Auroi, M. Bonneton, S</w:t>
      </w:r>
      <w:r w:rsidRPr="00CA27CB">
        <w:rPr>
          <w:rFonts w:cs="Times New Roman"/>
          <w:shd w:val="clear" w:color="auto" w:fill="FFFFFF"/>
        </w:rPr>
        <w:t>. Co</w:t>
      </w:r>
      <w:r>
        <w:rPr>
          <w:rFonts w:cs="Times New Roman"/>
          <w:shd w:val="clear" w:color="auto" w:fill="FFFFFF"/>
        </w:rPr>
        <w:t>ronado, C. Duflot, P. Noguès, J.-L. Roumégas et E.</w:t>
      </w:r>
      <w:r w:rsidRPr="00CA27CB">
        <w:rPr>
          <w:rFonts w:cs="Times New Roman"/>
          <w:shd w:val="clear" w:color="auto" w:fill="FFFFFF"/>
        </w:rPr>
        <w:t> Sas,</w:t>
      </w:r>
      <w:r w:rsidRPr="00CA27CB">
        <w:rPr>
          <w:rFonts w:eastAsia="Times New Roman" w:cs="Times New Roman"/>
          <w:lang w:eastAsia="fr-BE"/>
        </w:rPr>
        <w:t xml:space="preserve"> à l'amendement n° </w:t>
      </w:r>
      <w:r w:rsidRPr="00CA27CB">
        <w:rPr>
          <w:rFonts w:eastAsia="Times New Roman" w:cs="Times New Roman"/>
          <w:bCs/>
          <w:lang w:eastAsia="fr-BE"/>
        </w:rPr>
        <w:t>1405 (Rect)</w:t>
      </w:r>
      <w:r w:rsidRPr="00CA27CB">
        <w:rPr>
          <w:rFonts w:eastAsia="Times New Roman" w:cs="Times New Roman"/>
          <w:lang w:eastAsia="fr-BE"/>
        </w:rPr>
        <w:t>, sous-amendement non-soutenu</w:t>
      </w:r>
      <w:r>
        <w:rPr>
          <w:rFonts w:eastAsia="Times New Roman" w:cs="Times New Roman"/>
          <w:lang w:eastAsia="fr-BE"/>
        </w:rPr>
        <w:t xml:space="preserve">, disponible à l’adresse </w:t>
      </w:r>
      <w:hyperlink r:id="rId31" w:history="1">
        <w:r w:rsidRPr="00674042">
          <w:rPr>
            <w:rStyle w:val="Lienhypertexte"/>
            <w:rFonts w:eastAsia="Times New Roman" w:cs="Times New Roman"/>
            <w:lang w:eastAsia="fr-BE"/>
          </w:rPr>
          <w:t>www.assemblee-nationale.fr/14/amendements/3785/AN/1499.pdf</w:t>
        </w:r>
      </w:hyperlink>
      <w:r w:rsidRPr="00CA27CB">
        <w:rPr>
          <w:rFonts w:eastAsia="Times New Roman" w:cs="Times New Roman"/>
          <w:lang w:eastAsia="fr-BE"/>
        </w:rPr>
        <w:t>)</w:t>
      </w:r>
      <w:r>
        <w:rPr>
          <w:rFonts w:eastAsia="Times New Roman" w:cs="Times New Roman"/>
          <w:lang w:eastAsia="fr-BE"/>
        </w:rPr>
        <w:t>.</w:t>
      </w:r>
    </w:p>
  </w:footnote>
  <w:footnote w:id="58">
    <w:p w14:paraId="4E6046D3" w14:textId="3B5086AF" w:rsidR="00552491" w:rsidRDefault="00552491" w:rsidP="00C214DB">
      <w:pPr>
        <w:pStyle w:val="Notedebasdepage"/>
        <w:jc w:val="both"/>
      </w:pPr>
      <w:r w:rsidRPr="007D3470">
        <w:rPr>
          <w:rStyle w:val="Appelnotedebasdep"/>
        </w:rPr>
        <w:footnoteRef/>
      </w:r>
      <w:r w:rsidRPr="007D3470">
        <w:t xml:space="preserve"> Dans la lignée du premier argument, Thomas Clay indique que « l’autorisation ne pourra être obtenue que par une demande étayée qui, même présentée sur requête, prendra du temps à être bâtie et examinée par le juge, ce qui compromettra les mesures urgentes » (T. </w:t>
      </w:r>
      <w:r w:rsidRPr="007D3470">
        <w:rPr>
          <w:smallCaps/>
        </w:rPr>
        <w:t>Clay</w:t>
      </w:r>
      <w:r w:rsidRPr="007D3470">
        <w:t xml:space="preserve">, « Arbitrage et modes alternatifs de règlement des litiges », </w:t>
      </w:r>
      <w:r w:rsidRPr="007D3470">
        <w:rPr>
          <w:i/>
        </w:rPr>
        <w:t>Recueil Dalloz</w:t>
      </w:r>
      <w:r w:rsidRPr="007D3470">
        <w:t>, 29 déce</w:t>
      </w:r>
      <w:r w:rsidR="00924009">
        <w:t>mbre 2016, n° 44, p. 2593. Voy.</w:t>
      </w:r>
      <w:r w:rsidRPr="007D3470">
        <w:t xml:space="preserve"> d’ailleurs l’article R. 111-2 du code des procédures civiles d’exécution qui précise que la requête est « motivée et comporte l’indication précise des pièces invoquées »). Dans l’ordre d’idées du deuxième argument, Régis Bismuth relève qu’ « il est possible que les </w:t>
      </w:r>
      <w:r w:rsidRPr="007D3470">
        <w:rPr>
          <w:rFonts w:cs="Times New Roman"/>
          <w:shd w:val="clear" w:color="auto" w:fill="FFFFFF"/>
        </w:rPr>
        <w:t>É</w:t>
      </w:r>
      <w:r w:rsidRPr="007D3470">
        <w:t>tats puissent être tenus informés des tentatives de saisie à une phase très préliminaire du litige » (</w:t>
      </w:r>
      <w:r w:rsidRPr="007D3470">
        <w:rPr>
          <w:rFonts w:cs="Times New Roman"/>
        </w:rPr>
        <w:t xml:space="preserve">R. </w:t>
      </w:r>
      <w:r w:rsidRPr="007D3470">
        <w:rPr>
          <w:rFonts w:cs="Times New Roman"/>
          <w:smallCaps/>
        </w:rPr>
        <w:t>Bismuth</w:t>
      </w:r>
      <w:r w:rsidRPr="007D3470">
        <w:rPr>
          <w:rFonts w:cs="Times New Roman"/>
        </w:rPr>
        <w:t xml:space="preserve">, « L’immunité d’exécution après la loi Sapin 2 », </w:t>
      </w:r>
      <w:r w:rsidRPr="007D3470">
        <w:rPr>
          <w:rFonts w:cs="Times New Roman"/>
          <w:i/>
        </w:rPr>
        <w:t>Journal du droit international</w:t>
      </w:r>
      <w:r w:rsidRPr="007D3470">
        <w:rPr>
          <w:rFonts w:cs="Times New Roman"/>
        </w:rPr>
        <w:t>, 2018, p. 454).</w:t>
      </w:r>
    </w:p>
  </w:footnote>
  <w:footnote w:id="59">
    <w:p w14:paraId="5E89DD33" w14:textId="417EB8FA" w:rsidR="00552491" w:rsidRPr="00A65860" w:rsidRDefault="00552491" w:rsidP="002C2F99">
      <w:pPr>
        <w:pStyle w:val="Sansinterligne"/>
        <w:jc w:val="both"/>
        <w:rPr>
          <w:rFonts w:ascii="Times New Roman" w:hAnsi="Times New Roman" w:cs="Times New Roman"/>
          <w:sz w:val="20"/>
          <w:szCs w:val="20"/>
        </w:rPr>
      </w:pPr>
      <w:r w:rsidRPr="00A65860">
        <w:rPr>
          <w:rStyle w:val="Appelnotedebasdep"/>
          <w:rFonts w:ascii="Times New Roman" w:hAnsi="Times New Roman" w:cs="Times New Roman"/>
          <w:sz w:val="20"/>
          <w:szCs w:val="20"/>
        </w:rPr>
        <w:footnoteRef/>
      </w:r>
      <w:r w:rsidRPr="00A65860">
        <w:rPr>
          <w:rFonts w:ascii="Times New Roman" w:hAnsi="Times New Roman" w:cs="Times New Roman"/>
          <w:sz w:val="20"/>
          <w:szCs w:val="20"/>
        </w:rPr>
        <w:t xml:space="preserve"> Amendement n° COM-231 présenté par F. Pillet, disponible à l’adresse </w:t>
      </w:r>
      <w:hyperlink r:id="rId32" w:history="1">
        <w:r w:rsidRPr="00674042">
          <w:rPr>
            <w:rStyle w:val="Lienhypertexte"/>
            <w:rFonts w:ascii="Times New Roman" w:hAnsi="Times New Roman" w:cs="Times New Roman"/>
            <w:sz w:val="20"/>
            <w:szCs w:val="20"/>
          </w:rPr>
          <w:t>www.senat.fr/amendements/commissions/2015-2016/691/Amdt_COM-231.html</w:t>
        </w:r>
      </w:hyperlink>
      <w:r w:rsidR="00924009">
        <w:rPr>
          <w:rFonts w:ascii="Times New Roman" w:hAnsi="Times New Roman" w:cs="Times New Roman"/>
          <w:sz w:val="20"/>
          <w:szCs w:val="20"/>
        </w:rPr>
        <w:t>. Voy.</w:t>
      </w:r>
      <w:r w:rsidRPr="00A65860">
        <w:rPr>
          <w:rFonts w:ascii="Times New Roman" w:hAnsi="Times New Roman" w:cs="Times New Roman"/>
          <w:sz w:val="20"/>
          <w:szCs w:val="20"/>
        </w:rPr>
        <w:t xml:space="preserve"> encore les propos de Sandrine Mazetier </w:t>
      </w:r>
      <w:r w:rsidRPr="00A65860">
        <w:rPr>
          <w:rFonts w:ascii="Times New Roman" w:hAnsi="Times New Roman" w:cs="Times New Roman"/>
          <w:i/>
          <w:sz w:val="20"/>
          <w:szCs w:val="20"/>
        </w:rPr>
        <w:t>in</w:t>
      </w:r>
      <w:r w:rsidRPr="00A65860">
        <w:rPr>
          <w:rFonts w:ascii="Times New Roman" w:hAnsi="Times New Roman" w:cs="Times New Roman"/>
          <w:sz w:val="20"/>
          <w:szCs w:val="20"/>
        </w:rPr>
        <w:t xml:space="preserve"> commission des lois constitutionnelles, de la législation et de l’administration générale de la République, session ordinaire de 2015-2016, compte rendu n° 87 du 25 mai 2016</w:t>
      </w:r>
      <w:r>
        <w:rPr>
          <w:rFonts w:ascii="Times New Roman" w:hAnsi="Times New Roman" w:cs="Times New Roman"/>
          <w:sz w:val="20"/>
          <w:szCs w:val="20"/>
        </w:rPr>
        <w:t xml:space="preserve">, disponible à l’adresse </w:t>
      </w:r>
      <w:hyperlink r:id="rId33" w:history="1">
        <w:r w:rsidRPr="00674042">
          <w:rPr>
            <w:rStyle w:val="Lienhypertexte"/>
            <w:rFonts w:ascii="Times New Roman" w:hAnsi="Times New Roman" w:cs="Times New Roman"/>
            <w:sz w:val="20"/>
            <w:szCs w:val="20"/>
          </w:rPr>
          <w:t>www.assemblee-nationale.fr/14/pdf/cr-cloi/15-16/c1516087.pdf</w:t>
        </w:r>
      </w:hyperlink>
      <w:r>
        <w:rPr>
          <w:rFonts w:ascii="Times New Roman" w:hAnsi="Times New Roman" w:cs="Times New Roman"/>
          <w:sz w:val="20"/>
          <w:szCs w:val="20"/>
        </w:rPr>
        <w:t xml:space="preserve">, p. 40. </w:t>
      </w:r>
      <w:r w:rsidR="00924009">
        <w:rPr>
          <w:rFonts w:ascii="Times New Roman" w:hAnsi="Times New Roman" w:cs="Times New Roman"/>
          <w:sz w:val="20"/>
          <w:szCs w:val="20"/>
        </w:rPr>
        <w:t>Voy.</w:t>
      </w:r>
      <w:r w:rsidRPr="00A65860">
        <w:rPr>
          <w:rFonts w:ascii="Times New Roman" w:hAnsi="Times New Roman" w:cs="Times New Roman"/>
          <w:sz w:val="20"/>
          <w:szCs w:val="20"/>
        </w:rPr>
        <w:t xml:space="preserve"> finalement </w:t>
      </w:r>
      <w:r w:rsidRPr="00A65860">
        <w:rPr>
          <w:rStyle w:val="lev"/>
          <w:rFonts w:ascii="Times New Roman" w:hAnsi="Times New Roman" w:cs="Times New Roman"/>
          <w:b w:val="0"/>
          <w:color w:val="000000"/>
          <w:sz w:val="20"/>
          <w:szCs w:val="20"/>
        </w:rPr>
        <w:t>la saisine du Conseil constitutionnel en date du 15 novembre 2016 présentée par au moins soixante sénateurs, en application de l'article 61, alinéa 2, de la Constitution, et visée dans la décision n° 2016-741 DC où il est argumenté que «</w:t>
      </w:r>
      <w:r w:rsidRPr="00A65860">
        <w:rPr>
          <w:rFonts w:ascii="Times New Roman" w:hAnsi="Times New Roman" w:cs="Times New Roman"/>
          <w:sz w:val="20"/>
          <w:szCs w:val="20"/>
        </w:rPr>
        <w:t xml:space="preserve"> cette autorisation judiciaire préalable oblige les per</w:t>
      </w:r>
      <w:r>
        <w:rPr>
          <w:rFonts w:ascii="Times New Roman" w:hAnsi="Times New Roman" w:cs="Times New Roman"/>
          <w:sz w:val="20"/>
          <w:szCs w:val="20"/>
        </w:rPr>
        <w:t xml:space="preserve">sonnes ayant fait condamner un </w:t>
      </w:r>
      <w:r w:rsidRPr="00184539">
        <w:rPr>
          <w:rFonts w:ascii="Times New Roman" w:hAnsi="Times New Roman" w:cs="Times New Roman"/>
          <w:sz w:val="20"/>
          <w:szCs w:val="20"/>
          <w:shd w:val="clear" w:color="auto" w:fill="FFFFFF"/>
        </w:rPr>
        <w:t>É</w:t>
      </w:r>
      <w:r w:rsidRPr="00A65860">
        <w:rPr>
          <w:rFonts w:ascii="Times New Roman" w:hAnsi="Times New Roman" w:cs="Times New Roman"/>
          <w:sz w:val="20"/>
          <w:szCs w:val="20"/>
        </w:rPr>
        <w:t>tat par un jugement à saisir à nouveau un juge pour obtenir l'autorisation d'exécution d'une décision » (saisine</w:t>
      </w:r>
      <w:r>
        <w:rPr>
          <w:rFonts w:ascii="Times New Roman" w:hAnsi="Times New Roman" w:cs="Times New Roman"/>
          <w:sz w:val="20"/>
          <w:szCs w:val="20"/>
        </w:rPr>
        <w:t xml:space="preserve"> disponible à l’adresse </w:t>
      </w:r>
      <w:hyperlink r:id="rId34" w:history="1">
        <w:r w:rsidRPr="00674042">
          <w:rPr>
            <w:rStyle w:val="Lienhypertexte"/>
            <w:rFonts w:ascii="Times New Roman" w:hAnsi="Times New Roman" w:cs="Times New Roman"/>
            <w:sz w:val="20"/>
            <w:szCs w:val="20"/>
          </w:rPr>
          <w:t>www.legifrance.gouv.fr/affichTexte.do?cidTexte=JORFTEXT000033558796</w:t>
        </w:r>
      </w:hyperlink>
      <w:r w:rsidRPr="00A65860">
        <w:rPr>
          <w:rFonts w:ascii="Times New Roman" w:hAnsi="Times New Roman" w:cs="Times New Roman"/>
          <w:sz w:val="20"/>
          <w:szCs w:val="20"/>
        </w:rPr>
        <w:t>).</w:t>
      </w:r>
    </w:p>
  </w:footnote>
  <w:footnote w:id="60">
    <w:p w14:paraId="69F7D17B" w14:textId="77777777" w:rsidR="00552491" w:rsidRDefault="00552491" w:rsidP="002C2F99">
      <w:pPr>
        <w:pStyle w:val="Notedebasdepage"/>
        <w:jc w:val="both"/>
      </w:pPr>
      <w:r w:rsidRPr="00585DFB">
        <w:rPr>
          <w:rStyle w:val="Appelnotedebasdep"/>
        </w:rPr>
        <w:footnoteRef/>
      </w:r>
      <w:r w:rsidRPr="00585DFB">
        <w:t xml:space="preserve"> Relativement à cette critique concernant l’adéquation avec la Convention des Nations Unies du 2 décembre 2004, Michel Sapin </w:t>
      </w:r>
      <w:r>
        <w:t>indiqua</w:t>
      </w:r>
      <w:r w:rsidRPr="00585DFB">
        <w:t>,</w:t>
      </w:r>
      <w:r>
        <w:t xml:space="preserve"> lors de la discussion au Sénat :</w:t>
      </w:r>
      <w:r w:rsidRPr="00585DFB">
        <w:t xml:space="preserve"> « Je le dis d’emblée, cette disposition n’est pas nécessaire pour respecter la convention des Nations unies », précisant ensuite qu’ « (e)lle n’y est pas contraire non plus… » (Sénat, c</w:t>
      </w:r>
      <w:r w:rsidRPr="00585DFB">
        <w:rPr>
          <w:rFonts w:cs="Times New Roman"/>
        </w:rPr>
        <w:t xml:space="preserve">ompte rendu intégral, session extraordinaire de 2015-2016, séance du jeudi 7 juillet 2016, </w:t>
      </w:r>
      <w:r w:rsidRPr="00585DFB">
        <w:rPr>
          <w:rFonts w:cs="Times New Roman"/>
          <w:i/>
        </w:rPr>
        <w:t>Journal officiel de la République française</w:t>
      </w:r>
      <w:r w:rsidRPr="00585DFB">
        <w:rPr>
          <w:rFonts w:cs="Times New Roman"/>
        </w:rPr>
        <w:t>, p. 12541).</w:t>
      </w:r>
    </w:p>
  </w:footnote>
  <w:footnote w:id="61">
    <w:p w14:paraId="632C415C" w14:textId="09471AD1" w:rsidR="00552491" w:rsidRPr="001D1902" w:rsidRDefault="00552491" w:rsidP="002C2F99">
      <w:pPr>
        <w:autoSpaceDE w:val="0"/>
        <w:autoSpaceDN w:val="0"/>
        <w:adjustRightInd w:val="0"/>
        <w:spacing w:after="0" w:line="240" w:lineRule="auto"/>
        <w:jc w:val="both"/>
        <w:rPr>
          <w:rFonts w:cs="Times New Roman"/>
          <w:sz w:val="20"/>
          <w:szCs w:val="20"/>
        </w:rPr>
      </w:pPr>
      <w:r w:rsidRPr="001D1902">
        <w:rPr>
          <w:rStyle w:val="Appelnotedebasdep"/>
          <w:sz w:val="20"/>
          <w:szCs w:val="20"/>
        </w:rPr>
        <w:footnoteRef/>
      </w:r>
      <w:r w:rsidRPr="001D1902">
        <w:rPr>
          <w:sz w:val="20"/>
          <w:szCs w:val="20"/>
        </w:rPr>
        <w:t xml:space="preserve"> </w:t>
      </w:r>
      <w:r>
        <w:rPr>
          <w:rFonts w:cs="Times New Roman"/>
          <w:sz w:val="20"/>
          <w:szCs w:val="20"/>
        </w:rPr>
        <w:t xml:space="preserve">Rapport </w:t>
      </w:r>
      <w:r w:rsidRPr="001D1902">
        <w:rPr>
          <w:rFonts w:cs="Times New Roman"/>
          <w:iCs/>
          <w:sz w:val="20"/>
          <w:szCs w:val="20"/>
        </w:rPr>
        <w:t>n° 79</w:t>
      </w:r>
      <w:r>
        <w:rPr>
          <w:rFonts w:cs="Times New Roman"/>
          <w:iCs/>
          <w:sz w:val="20"/>
          <w:szCs w:val="20"/>
        </w:rPr>
        <w:t xml:space="preserve"> </w:t>
      </w:r>
      <w:r w:rsidRPr="001D1902">
        <w:rPr>
          <w:rFonts w:cs="Times New Roman"/>
          <w:sz w:val="20"/>
          <w:szCs w:val="20"/>
        </w:rPr>
        <w:t xml:space="preserve">fait au nom de </w:t>
      </w:r>
      <w:r w:rsidRPr="001D1902">
        <w:rPr>
          <w:rFonts w:cs="Times New Roman"/>
          <w:iCs/>
          <w:sz w:val="20"/>
          <w:szCs w:val="20"/>
        </w:rPr>
        <w:t>la commission des lois constitutionnelles, de législation, du suffrage</w:t>
      </w:r>
      <w:r w:rsidRPr="001D1902">
        <w:rPr>
          <w:rFonts w:cs="Times New Roman"/>
          <w:sz w:val="20"/>
          <w:szCs w:val="20"/>
        </w:rPr>
        <w:t xml:space="preserve"> </w:t>
      </w:r>
      <w:r w:rsidRPr="001D1902">
        <w:rPr>
          <w:rFonts w:cs="Times New Roman"/>
          <w:iCs/>
          <w:sz w:val="20"/>
          <w:szCs w:val="20"/>
        </w:rPr>
        <w:t xml:space="preserve">universel, du Règlement et </w:t>
      </w:r>
      <w:r w:rsidRPr="009D75D4">
        <w:rPr>
          <w:rFonts w:cs="Times New Roman"/>
          <w:iCs/>
          <w:sz w:val="20"/>
          <w:szCs w:val="20"/>
        </w:rPr>
        <w:t xml:space="preserve">d’administration générale </w:t>
      </w:r>
      <w:r w:rsidRPr="009D75D4">
        <w:rPr>
          <w:sz w:val="20"/>
          <w:szCs w:val="20"/>
        </w:rPr>
        <w:t>[…]</w:t>
      </w:r>
      <w:r w:rsidRPr="009D75D4">
        <w:rPr>
          <w:rFonts w:cs="Times New Roman"/>
          <w:iCs/>
          <w:sz w:val="20"/>
          <w:szCs w:val="20"/>
        </w:rPr>
        <w:t xml:space="preserve"> sur</w:t>
      </w:r>
      <w:r w:rsidRPr="001D1902">
        <w:rPr>
          <w:rFonts w:cs="Times New Roman"/>
          <w:iCs/>
          <w:sz w:val="20"/>
          <w:szCs w:val="20"/>
        </w:rPr>
        <w:t xml:space="preserve"> le projet de loi</w:t>
      </w:r>
      <w:r w:rsidRPr="001D1902">
        <w:rPr>
          <w:rFonts w:cs="Times New Roman"/>
          <w:sz w:val="20"/>
          <w:szCs w:val="20"/>
        </w:rPr>
        <w:t>, adopté par l’Assemblée nationale en nouvelle lecture</w:t>
      </w:r>
      <w:r w:rsidRPr="001D1902">
        <w:rPr>
          <w:rFonts w:cs="Times New Roman"/>
          <w:iCs/>
          <w:sz w:val="20"/>
          <w:szCs w:val="20"/>
        </w:rPr>
        <w:t xml:space="preserve">, relatif à la </w:t>
      </w:r>
      <w:r w:rsidRPr="001D1902">
        <w:rPr>
          <w:rFonts w:cs="Times New Roman"/>
          <w:bCs/>
          <w:sz w:val="20"/>
          <w:szCs w:val="20"/>
        </w:rPr>
        <w:t>transparence</w:t>
      </w:r>
      <w:r w:rsidRPr="001D1902">
        <w:rPr>
          <w:rFonts w:cs="Times New Roman"/>
          <w:iCs/>
          <w:sz w:val="20"/>
          <w:szCs w:val="20"/>
        </w:rPr>
        <w:t>, à la</w:t>
      </w:r>
      <w:r w:rsidRPr="001D1902">
        <w:rPr>
          <w:rFonts w:cs="Times New Roman"/>
          <w:sz w:val="20"/>
          <w:szCs w:val="20"/>
        </w:rPr>
        <w:t xml:space="preserve"> </w:t>
      </w:r>
      <w:r w:rsidRPr="001D1902">
        <w:rPr>
          <w:rFonts w:cs="Times New Roman"/>
          <w:bCs/>
          <w:sz w:val="20"/>
          <w:szCs w:val="20"/>
        </w:rPr>
        <w:t xml:space="preserve">lutte contre </w:t>
      </w:r>
      <w:r w:rsidRPr="001D1902">
        <w:rPr>
          <w:rFonts w:cs="Times New Roman"/>
          <w:iCs/>
          <w:sz w:val="20"/>
          <w:szCs w:val="20"/>
        </w:rPr>
        <w:t xml:space="preserve">la </w:t>
      </w:r>
      <w:r w:rsidRPr="001D1902">
        <w:rPr>
          <w:rFonts w:cs="Times New Roman"/>
          <w:bCs/>
          <w:sz w:val="20"/>
          <w:szCs w:val="20"/>
        </w:rPr>
        <w:t xml:space="preserve">corruption </w:t>
      </w:r>
      <w:r w:rsidRPr="001D1902">
        <w:rPr>
          <w:rFonts w:cs="Times New Roman"/>
          <w:iCs/>
          <w:sz w:val="20"/>
          <w:szCs w:val="20"/>
        </w:rPr>
        <w:t xml:space="preserve">et à la </w:t>
      </w:r>
      <w:r w:rsidRPr="001D1902">
        <w:rPr>
          <w:rFonts w:cs="Times New Roman"/>
          <w:bCs/>
          <w:sz w:val="20"/>
          <w:szCs w:val="20"/>
        </w:rPr>
        <w:t xml:space="preserve">modernisation </w:t>
      </w:r>
      <w:r w:rsidRPr="001D1902">
        <w:rPr>
          <w:rFonts w:cs="Times New Roman"/>
          <w:iCs/>
          <w:sz w:val="20"/>
          <w:szCs w:val="20"/>
        </w:rPr>
        <w:t xml:space="preserve">de la </w:t>
      </w:r>
      <w:r w:rsidRPr="001D1902">
        <w:rPr>
          <w:rFonts w:cs="Times New Roman"/>
          <w:bCs/>
          <w:sz w:val="20"/>
          <w:szCs w:val="20"/>
        </w:rPr>
        <w:t xml:space="preserve">vie </w:t>
      </w:r>
      <w:r w:rsidRPr="009D75D4">
        <w:rPr>
          <w:rFonts w:cs="Times New Roman"/>
          <w:bCs/>
          <w:sz w:val="20"/>
          <w:szCs w:val="20"/>
        </w:rPr>
        <w:t>économique</w:t>
      </w:r>
      <w:r w:rsidRPr="009D75D4">
        <w:rPr>
          <w:rFonts w:cs="Times New Roman"/>
          <w:iCs/>
          <w:sz w:val="20"/>
          <w:szCs w:val="20"/>
        </w:rPr>
        <w:t xml:space="preserve"> </w:t>
      </w:r>
      <w:r w:rsidRPr="009D75D4">
        <w:rPr>
          <w:sz w:val="20"/>
          <w:szCs w:val="20"/>
        </w:rPr>
        <w:t>[…]</w:t>
      </w:r>
      <w:r w:rsidRPr="009D75D4">
        <w:rPr>
          <w:rFonts w:cs="Times New Roman"/>
          <w:iCs/>
          <w:sz w:val="20"/>
          <w:szCs w:val="20"/>
        </w:rPr>
        <w:t>,</w:t>
      </w:r>
      <w:r>
        <w:rPr>
          <w:rFonts w:cs="Times New Roman"/>
          <w:iCs/>
          <w:sz w:val="20"/>
          <w:szCs w:val="20"/>
        </w:rPr>
        <w:t xml:space="preserve"> par F. Pillet, 26 octobre 2016, pp. 73-</w:t>
      </w:r>
      <w:r w:rsidRPr="00AE1274">
        <w:rPr>
          <w:rFonts w:cs="Times New Roman"/>
          <w:iCs/>
          <w:sz w:val="20"/>
          <w:szCs w:val="20"/>
        </w:rPr>
        <w:t>75. Le sénateur présenta ainsi notamment un amendement n° COM-57 visant à « </w:t>
      </w:r>
      <w:r w:rsidRPr="00AE1274">
        <w:rPr>
          <w:rFonts w:cs="Times New Roman"/>
          <w:color w:val="000000"/>
          <w:sz w:val="20"/>
          <w:szCs w:val="20"/>
          <w:shd w:val="clear" w:color="auto" w:fill="FFFFFF"/>
        </w:rPr>
        <w:t>mettre en conformité l’article 24</w:t>
      </w:r>
      <w:r w:rsidRPr="00AE1274">
        <w:rPr>
          <w:rFonts w:cs="Times New Roman"/>
          <w:i/>
          <w:color w:val="000000"/>
          <w:sz w:val="20"/>
          <w:szCs w:val="20"/>
          <w:shd w:val="clear" w:color="auto" w:fill="FFFFFF"/>
        </w:rPr>
        <w:t>bis</w:t>
      </w:r>
      <w:r w:rsidRPr="00AE1274">
        <w:rPr>
          <w:rFonts w:cs="Times New Roman"/>
          <w:color w:val="000000"/>
          <w:sz w:val="20"/>
          <w:szCs w:val="20"/>
          <w:shd w:val="clear" w:color="auto" w:fill="FFFFFF"/>
        </w:rPr>
        <w:t xml:space="preserve"> avec les principes constitutionnels qui garantissent le droit de propriété, protègent le droit des créanciers et garantit le droit d’obtenir l’exécution des décisions juridictionnell</w:t>
      </w:r>
      <w:r>
        <w:rPr>
          <w:rFonts w:cs="Times New Roman"/>
          <w:color w:val="000000"/>
          <w:sz w:val="20"/>
          <w:szCs w:val="20"/>
          <w:shd w:val="clear" w:color="auto" w:fill="FFFFFF"/>
        </w:rPr>
        <w:t xml:space="preserve">es » et par coordination avec son autre </w:t>
      </w:r>
      <w:r w:rsidRPr="00AE1274">
        <w:rPr>
          <w:rFonts w:cs="Times New Roman"/>
          <w:color w:val="000000"/>
          <w:sz w:val="20"/>
          <w:szCs w:val="20"/>
          <w:shd w:val="clear" w:color="auto" w:fill="FFFFFF"/>
        </w:rPr>
        <w:t>amendement n</w:t>
      </w:r>
      <w:r w:rsidRPr="002548FA">
        <w:rPr>
          <w:rFonts w:cs="Times New Roman"/>
          <w:color w:val="000000"/>
          <w:sz w:val="20"/>
          <w:szCs w:val="20"/>
          <w:shd w:val="clear" w:color="auto" w:fill="FFFFFF"/>
        </w:rPr>
        <w:t>° COM-56, visant</w:t>
      </w:r>
      <w:r w:rsidRPr="00AE1274">
        <w:rPr>
          <w:rFonts w:cs="Times New Roman"/>
          <w:color w:val="000000"/>
          <w:sz w:val="20"/>
          <w:szCs w:val="20"/>
          <w:shd w:val="clear" w:color="auto" w:fill="FFFFFF"/>
        </w:rPr>
        <w:t xml:space="preserve"> à « supprimer l’autorisation préalable d’un juge qui aurait </w:t>
      </w:r>
      <w:r w:rsidRPr="00AE1274">
        <w:rPr>
          <w:rFonts w:cs="Times New Roman"/>
          <w:i/>
          <w:iCs/>
          <w:color w:val="000000"/>
          <w:sz w:val="20"/>
          <w:szCs w:val="20"/>
          <w:shd w:val="clear" w:color="auto" w:fill="FFFFFF"/>
        </w:rPr>
        <w:t>de facto </w:t>
      </w:r>
      <w:r w:rsidRPr="00AE1274">
        <w:rPr>
          <w:rFonts w:cs="Times New Roman"/>
          <w:color w:val="000000"/>
          <w:sz w:val="20"/>
          <w:szCs w:val="20"/>
          <w:shd w:val="clear" w:color="auto" w:fill="FFFFFF"/>
        </w:rPr>
        <w:t>pour conséquence d’empêcher toute saisie » (</w:t>
      </w:r>
      <w:r w:rsidRPr="00AE1274">
        <w:rPr>
          <w:rFonts w:cs="Times New Roman"/>
          <w:iCs/>
          <w:sz w:val="20"/>
          <w:szCs w:val="20"/>
        </w:rPr>
        <w:t>amendement</w:t>
      </w:r>
      <w:r>
        <w:rPr>
          <w:rFonts w:cs="Times New Roman"/>
          <w:iCs/>
          <w:sz w:val="20"/>
          <w:szCs w:val="20"/>
        </w:rPr>
        <w:t>s</w:t>
      </w:r>
      <w:r w:rsidRPr="00AE1274">
        <w:rPr>
          <w:rFonts w:cs="Times New Roman"/>
          <w:iCs/>
          <w:sz w:val="20"/>
          <w:szCs w:val="20"/>
        </w:rPr>
        <w:t xml:space="preserve"> n° </w:t>
      </w:r>
      <w:r>
        <w:rPr>
          <w:rFonts w:cs="Times New Roman"/>
          <w:iCs/>
          <w:sz w:val="20"/>
          <w:szCs w:val="20"/>
        </w:rPr>
        <w:t xml:space="preserve">COM-56 et </w:t>
      </w:r>
      <w:r w:rsidRPr="00AE1274">
        <w:rPr>
          <w:rFonts w:cs="Times New Roman"/>
          <w:iCs/>
          <w:sz w:val="20"/>
          <w:szCs w:val="20"/>
        </w:rPr>
        <w:t>COM-57, 24 octobre 2016</w:t>
      </w:r>
      <w:r>
        <w:rPr>
          <w:rFonts w:cs="Times New Roman"/>
          <w:iCs/>
          <w:sz w:val="20"/>
          <w:szCs w:val="20"/>
        </w:rPr>
        <w:t xml:space="preserve">, disponibles aux adresses </w:t>
      </w:r>
      <w:hyperlink r:id="rId35" w:history="1">
        <w:r w:rsidRPr="00674042">
          <w:rPr>
            <w:rStyle w:val="Lienhypertexte"/>
            <w:rFonts w:cs="Times New Roman"/>
            <w:iCs/>
            <w:sz w:val="20"/>
            <w:szCs w:val="20"/>
          </w:rPr>
          <w:t>www.senat.fr/amendements/commissions/2015-2016/866/Amdt_COM-56.html</w:t>
        </w:r>
      </w:hyperlink>
      <w:r>
        <w:rPr>
          <w:rFonts w:cs="Times New Roman"/>
          <w:iCs/>
          <w:sz w:val="20"/>
          <w:szCs w:val="20"/>
        </w:rPr>
        <w:t xml:space="preserve"> et </w:t>
      </w:r>
      <w:hyperlink r:id="rId36" w:history="1">
        <w:r w:rsidRPr="00674042">
          <w:rPr>
            <w:rStyle w:val="Lienhypertexte"/>
            <w:rFonts w:cs="Times New Roman"/>
            <w:iCs/>
            <w:sz w:val="20"/>
            <w:szCs w:val="20"/>
          </w:rPr>
          <w:t>www.senat.fr/amendements/commissions/2015-2016/866/Amdt_COM-57.html</w:t>
        </w:r>
      </w:hyperlink>
      <w:r w:rsidRPr="00AE1274">
        <w:rPr>
          <w:rFonts w:cs="Times New Roman"/>
          <w:iCs/>
          <w:sz w:val="20"/>
          <w:szCs w:val="20"/>
        </w:rPr>
        <w:t>)</w:t>
      </w:r>
      <w:r w:rsidRPr="00AE1274">
        <w:rPr>
          <w:rFonts w:cs="Times New Roman"/>
          <w:color w:val="000000"/>
          <w:sz w:val="20"/>
          <w:szCs w:val="20"/>
          <w:shd w:val="clear" w:color="auto" w:fill="FFFFFF"/>
        </w:rPr>
        <w:t>.</w:t>
      </w:r>
      <w:r>
        <w:rPr>
          <w:rFonts w:cs="Times New Roman"/>
          <w:color w:val="000000"/>
          <w:sz w:val="20"/>
          <w:szCs w:val="20"/>
          <w:shd w:val="clear" w:color="auto" w:fill="FFFFFF"/>
        </w:rPr>
        <w:t xml:space="preserve"> </w:t>
      </w:r>
      <w:r w:rsidR="00924009">
        <w:rPr>
          <w:rFonts w:cs="Times New Roman"/>
          <w:sz w:val="20"/>
          <w:szCs w:val="20"/>
        </w:rPr>
        <w:t>Voy.</w:t>
      </w:r>
      <w:r w:rsidRPr="00A65860">
        <w:rPr>
          <w:rFonts w:cs="Times New Roman"/>
          <w:sz w:val="20"/>
          <w:szCs w:val="20"/>
        </w:rPr>
        <w:t xml:space="preserve"> </w:t>
      </w:r>
      <w:r>
        <w:rPr>
          <w:rFonts w:cs="Times New Roman"/>
          <w:sz w:val="20"/>
          <w:szCs w:val="20"/>
        </w:rPr>
        <w:t>déjà avant le rapport n° 79,</w:t>
      </w:r>
      <w:r w:rsidRPr="00A65860">
        <w:rPr>
          <w:rFonts w:cs="Times New Roman"/>
          <w:sz w:val="20"/>
          <w:szCs w:val="20"/>
        </w:rPr>
        <w:t xml:space="preserve"> le rapport n° 712 fait au nom de la commission des lois constitutionnelles, de législation, du suffrage universel, du Règlement et d’administration </w:t>
      </w:r>
      <w:r w:rsidRPr="009D75D4">
        <w:rPr>
          <w:rFonts w:cs="Times New Roman"/>
          <w:sz w:val="20"/>
          <w:szCs w:val="20"/>
        </w:rPr>
        <w:t xml:space="preserve">générale </w:t>
      </w:r>
      <w:r w:rsidRPr="009D75D4">
        <w:rPr>
          <w:sz w:val="20"/>
          <w:szCs w:val="20"/>
        </w:rPr>
        <w:t>[…] </w:t>
      </w:r>
      <w:r w:rsidRPr="009D75D4">
        <w:rPr>
          <w:rFonts w:cs="Times New Roman"/>
          <w:sz w:val="20"/>
          <w:szCs w:val="20"/>
        </w:rPr>
        <w:t>sur le</w:t>
      </w:r>
      <w:r w:rsidRPr="00A65860">
        <w:rPr>
          <w:rFonts w:cs="Times New Roman"/>
          <w:sz w:val="20"/>
          <w:szCs w:val="20"/>
        </w:rPr>
        <w:t xml:space="preserve"> projet de loi, adopté par </w:t>
      </w:r>
      <w:r w:rsidRPr="009D75D4">
        <w:rPr>
          <w:rFonts w:cs="Times New Roman"/>
          <w:sz w:val="20"/>
          <w:szCs w:val="20"/>
        </w:rPr>
        <w:t xml:space="preserve">l’Assemblée nationale </w:t>
      </w:r>
      <w:r w:rsidRPr="009D75D4">
        <w:rPr>
          <w:sz w:val="20"/>
          <w:szCs w:val="20"/>
        </w:rPr>
        <w:t>[…]</w:t>
      </w:r>
      <w:r w:rsidRPr="009D75D4">
        <w:rPr>
          <w:rFonts w:cs="Times New Roman"/>
          <w:sz w:val="20"/>
          <w:szCs w:val="20"/>
        </w:rPr>
        <w:t>, relatif</w:t>
      </w:r>
      <w:r w:rsidRPr="00A65860">
        <w:rPr>
          <w:rFonts w:cs="Times New Roman"/>
          <w:sz w:val="20"/>
          <w:szCs w:val="20"/>
        </w:rPr>
        <w:t xml:space="preserve"> à la transparence, à la lutte contre la corruption et à la modernisation de la vie économique </w:t>
      </w:r>
      <w:r w:rsidRPr="009D75D4">
        <w:rPr>
          <w:sz w:val="20"/>
          <w:szCs w:val="20"/>
        </w:rPr>
        <w:t>[…]</w:t>
      </w:r>
      <w:r w:rsidRPr="00A65860">
        <w:rPr>
          <w:rFonts w:cs="Times New Roman"/>
          <w:sz w:val="20"/>
          <w:szCs w:val="20"/>
        </w:rPr>
        <w:t>, par F. Pillet, 22 juin 2016, pp. 143-145</w:t>
      </w:r>
      <w:r>
        <w:rPr>
          <w:rFonts w:cs="Times New Roman"/>
          <w:sz w:val="20"/>
          <w:szCs w:val="20"/>
        </w:rPr>
        <w:t>.</w:t>
      </w:r>
    </w:p>
  </w:footnote>
  <w:footnote w:id="62">
    <w:p w14:paraId="33D452EB" w14:textId="77777777" w:rsidR="00552491" w:rsidRDefault="00552491" w:rsidP="002C2F99">
      <w:pPr>
        <w:pStyle w:val="Notedebasdepage"/>
        <w:jc w:val="both"/>
      </w:pPr>
      <w:r>
        <w:rPr>
          <w:rStyle w:val="Appelnotedebasdep"/>
        </w:rPr>
        <w:footnoteRef/>
      </w:r>
      <w:r>
        <w:t xml:space="preserve"> Amendement n° 632 présenté par le Gouvernement, 30 juin 2016, disponible à l’adresse </w:t>
      </w:r>
      <w:hyperlink r:id="rId37" w:history="1">
        <w:r w:rsidRPr="00674042">
          <w:rPr>
            <w:rStyle w:val="Lienhypertexte"/>
          </w:rPr>
          <w:t>www.senat.fr/amendements/2015-2016/713/Amdt_632.html</w:t>
        </w:r>
      </w:hyperlink>
      <w:r>
        <w:t>.</w:t>
      </w:r>
    </w:p>
  </w:footnote>
  <w:footnote w:id="63">
    <w:p w14:paraId="737DDBCF" w14:textId="77777777" w:rsidR="00552491" w:rsidRDefault="00552491" w:rsidP="002C2F99">
      <w:pPr>
        <w:pStyle w:val="Notedebasdepage"/>
        <w:jc w:val="both"/>
      </w:pPr>
      <w:r>
        <w:rPr>
          <w:rStyle w:val="Appelnotedebasdep"/>
        </w:rPr>
        <w:footnoteRef/>
      </w:r>
      <w:r>
        <w:t xml:space="preserve"> </w:t>
      </w:r>
      <w:r>
        <w:rPr>
          <w:rFonts w:cs="Times New Roman"/>
        </w:rPr>
        <w:t>Sénat, c</w:t>
      </w:r>
      <w:r w:rsidRPr="00041E80">
        <w:rPr>
          <w:rFonts w:cs="Times New Roman"/>
        </w:rPr>
        <w:t xml:space="preserve">ompte rendu intégral, session extraordinaire de 2015-2016, séance du jeudi 7 juillet 2016, </w:t>
      </w:r>
      <w:r w:rsidRPr="00B41D0F">
        <w:rPr>
          <w:rFonts w:cs="Times New Roman"/>
          <w:i/>
        </w:rPr>
        <w:t>Journal officiel de la République française</w:t>
      </w:r>
      <w:r>
        <w:rPr>
          <w:rFonts w:cs="Times New Roman"/>
        </w:rPr>
        <w:t xml:space="preserve">, </w:t>
      </w:r>
      <w:r w:rsidRPr="00041E80">
        <w:rPr>
          <w:rFonts w:cs="Times New Roman"/>
        </w:rPr>
        <w:t>p</w:t>
      </w:r>
      <w:r>
        <w:rPr>
          <w:rFonts w:cs="Times New Roman"/>
        </w:rPr>
        <w:t>p</w:t>
      </w:r>
      <w:r w:rsidRPr="00041E80">
        <w:rPr>
          <w:rFonts w:cs="Times New Roman"/>
        </w:rPr>
        <w:t>. 12540</w:t>
      </w:r>
      <w:r>
        <w:rPr>
          <w:rFonts w:cs="Times New Roman"/>
        </w:rPr>
        <w:t>-12541.</w:t>
      </w:r>
    </w:p>
  </w:footnote>
  <w:footnote w:id="64">
    <w:p w14:paraId="3E667741" w14:textId="2A175520" w:rsidR="00552491" w:rsidRDefault="00552491" w:rsidP="002C2F99">
      <w:pPr>
        <w:pStyle w:val="Notedebasdepage"/>
        <w:jc w:val="both"/>
      </w:pPr>
      <w:r>
        <w:rPr>
          <w:rStyle w:val="Appelnotedebasdep"/>
        </w:rPr>
        <w:footnoteRef/>
      </w:r>
      <w:r w:rsidR="00924009">
        <w:t xml:space="preserve"> Voy.</w:t>
      </w:r>
      <w:r>
        <w:t xml:space="preserve"> </w:t>
      </w:r>
      <w:r w:rsidRPr="00D73FBB">
        <w:rPr>
          <w:i/>
        </w:rPr>
        <w:t>infra</w:t>
      </w:r>
      <w:r>
        <w:t xml:space="preserve"> point 17.</w:t>
      </w:r>
    </w:p>
  </w:footnote>
  <w:footnote w:id="65">
    <w:p w14:paraId="7BF9D78B" w14:textId="512625E6" w:rsidR="00552491" w:rsidRDefault="00552491" w:rsidP="002C2F99">
      <w:pPr>
        <w:pStyle w:val="Notedebasdepage"/>
        <w:jc w:val="both"/>
      </w:pPr>
      <w:r>
        <w:rPr>
          <w:rStyle w:val="Appelnotedebasdep"/>
        </w:rPr>
        <w:footnoteRef/>
      </w:r>
      <w:r w:rsidR="00924009">
        <w:t xml:space="preserve"> Voy.</w:t>
      </w:r>
      <w:r>
        <w:t xml:space="preserve"> le point 72 de la décision du Conseil constitutionnel n° 2016-741 DC du 8 décembre 2016.</w:t>
      </w:r>
    </w:p>
  </w:footnote>
  <w:footnote w:id="66">
    <w:p w14:paraId="3ACEF505" w14:textId="77777777" w:rsidR="00552491" w:rsidRPr="00CE46DE" w:rsidRDefault="00552491" w:rsidP="002C2F99">
      <w:pPr>
        <w:pStyle w:val="Notedebasdepage"/>
        <w:jc w:val="both"/>
        <w:rPr>
          <w:rFonts w:cs="Times New Roman"/>
        </w:rPr>
      </w:pPr>
      <w:r w:rsidRPr="00CE46DE">
        <w:rPr>
          <w:rStyle w:val="Appelnotedebasdep"/>
          <w:rFonts w:cs="Times New Roman"/>
        </w:rPr>
        <w:footnoteRef/>
      </w:r>
      <w:r w:rsidRPr="00CE46DE">
        <w:rPr>
          <w:rFonts w:cs="Times New Roman"/>
        </w:rPr>
        <w:t xml:space="preserve"> L’article 493 du code de procédure civile est ici visé. Celui-ci dispose que « </w:t>
      </w:r>
      <w:r w:rsidRPr="00CE46DE">
        <w:rPr>
          <w:rFonts w:cs="Times New Roman"/>
          <w:color w:val="000000"/>
          <w:shd w:val="clear" w:color="auto" w:fill="FFFFFF"/>
        </w:rPr>
        <w:t>(l)'ordonnance sur requête est une décision provisoire rendue non contradictoirement dans les cas où le requérant est fondé à ne pas appeler de partie adverse ».</w:t>
      </w:r>
      <w:r>
        <w:rPr>
          <w:rFonts w:cs="Times New Roman"/>
          <w:color w:val="000000"/>
          <w:shd w:val="clear" w:color="auto" w:fill="FFFFFF"/>
        </w:rPr>
        <w:t xml:space="preserve"> </w:t>
      </w:r>
    </w:p>
  </w:footnote>
  <w:footnote w:id="67">
    <w:p w14:paraId="309A8EAB" w14:textId="3B8E9CF8" w:rsidR="00552491" w:rsidRDefault="00552491" w:rsidP="002C2F99">
      <w:pPr>
        <w:pStyle w:val="Notedebasdepage"/>
        <w:jc w:val="both"/>
      </w:pPr>
      <w:r>
        <w:rPr>
          <w:rStyle w:val="Appelnotedebasdep"/>
        </w:rPr>
        <w:footnoteRef/>
      </w:r>
      <w:r>
        <w:t xml:space="preserve"> Projet de loi n° 3623 relatif à la transparence, à la lutte contre la corruption et à la modernisation de la vie économique, exposé des motifs, Assemblée nationale, 30 mars 2016, p. 17, document disponible à l’adresse </w:t>
      </w:r>
      <w:hyperlink r:id="rId38" w:history="1">
        <w:r w:rsidRPr="00674042">
          <w:rPr>
            <w:rStyle w:val="Lienhypertexte"/>
          </w:rPr>
          <w:t>www.assemblee-nationale.fr/14/pdf/projets/pl3623.pdf</w:t>
        </w:r>
      </w:hyperlink>
      <w:r w:rsidR="00924009">
        <w:t>. Voy.</w:t>
      </w:r>
      <w:r>
        <w:t xml:space="preserve"> encore, au sujet de l’article anti-fonds vautours spécifiquement, l’a</w:t>
      </w:r>
      <w:r w:rsidRPr="00AA1922">
        <w:rPr>
          <w:rFonts w:cs="Times New Roman"/>
        </w:rPr>
        <w:t xml:space="preserve">mendement n° 1405 </w:t>
      </w:r>
      <w:r>
        <w:rPr>
          <w:rFonts w:cs="Times New Roman"/>
        </w:rPr>
        <w:t xml:space="preserve">(Rect) </w:t>
      </w:r>
      <w:r w:rsidRPr="00AA1922">
        <w:rPr>
          <w:rFonts w:cs="Times New Roman"/>
        </w:rPr>
        <w:t xml:space="preserve">présenté par </w:t>
      </w:r>
      <w:r>
        <w:rPr>
          <w:rFonts w:cs="Times New Roman"/>
        </w:rPr>
        <w:t>D.</w:t>
      </w:r>
      <w:r w:rsidRPr="00AA1922">
        <w:rPr>
          <w:rFonts w:cs="Times New Roman"/>
          <w:iCs/>
          <w:color w:val="000000"/>
          <w:shd w:val="clear" w:color="auto" w:fill="FFFFFF"/>
        </w:rPr>
        <w:t xml:space="preserve"> Potier, </w:t>
      </w:r>
      <w:r>
        <w:rPr>
          <w:rFonts w:cs="Times New Roman"/>
          <w:iCs/>
          <w:color w:val="000000"/>
          <w:shd w:val="clear" w:color="auto" w:fill="FFFFFF"/>
        </w:rPr>
        <w:t>S. Mazetier, S. Denaja, R. Colas, C</w:t>
      </w:r>
      <w:r w:rsidRPr="00AA1922">
        <w:rPr>
          <w:rFonts w:cs="Times New Roman"/>
          <w:iCs/>
          <w:color w:val="000000"/>
          <w:shd w:val="clear" w:color="auto" w:fill="FFFFFF"/>
        </w:rPr>
        <w:t xml:space="preserve">. Castaner, </w:t>
      </w:r>
      <w:r>
        <w:rPr>
          <w:rFonts w:cs="Times New Roman"/>
          <w:iCs/>
          <w:color w:val="000000"/>
          <w:shd w:val="clear" w:color="auto" w:fill="FFFFFF"/>
        </w:rPr>
        <w:t>S. Errante, Y. Galut, P. Cherki, M. Rabin, C. Guittet, J.-R. Marsac, P.</w:t>
      </w:r>
      <w:r w:rsidRPr="00AA1922">
        <w:rPr>
          <w:rFonts w:cs="Times New Roman"/>
          <w:iCs/>
          <w:color w:val="000000"/>
          <w:shd w:val="clear" w:color="auto" w:fill="FFFFFF"/>
        </w:rPr>
        <w:t xml:space="preserve"> </w:t>
      </w:r>
      <w:r>
        <w:rPr>
          <w:rFonts w:cs="Times New Roman"/>
          <w:iCs/>
          <w:color w:val="000000"/>
          <w:shd w:val="clear" w:color="auto" w:fill="FFFFFF"/>
        </w:rPr>
        <w:t>Baumel, J</w:t>
      </w:r>
      <w:r w:rsidRPr="00AA1922">
        <w:rPr>
          <w:rFonts w:cs="Times New Roman"/>
          <w:iCs/>
          <w:color w:val="000000"/>
          <w:shd w:val="clear" w:color="auto" w:fill="FFFFFF"/>
        </w:rPr>
        <w:t>.</w:t>
      </w:r>
      <w:r>
        <w:rPr>
          <w:rFonts w:cs="Times New Roman"/>
          <w:iCs/>
          <w:color w:val="000000"/>
          <w:shd w:val="clear" w:color="auto" w:fill="FFFFFF"/>
        </w:rPr>
        <w:t>-P. Dufau et R</w:t>
      </w:r>
      <w:r w:rsidRPr="00AA1922">
        <w:rPr>
          <w:rFonts w:cs="Times New Roman"/>
          <w:iCs/>
          <w:color w:val="000000"/>
          <w:shd w:val="clear" w:color="auto" w:fill="FFFFFF"/>
        </w:rPr>
        <w:t xml:space="preserve">. Hammadi, </w:t>
      </w:r>
      <w:r>
        <w:rPr>
          <w:rFonts w:cs="Times New Roman"/>
          <w:iCs/>
          <w:color w:val="000000"/>
          <w:shd w:val="clear" w:color="auto" w:fill="FFFFFF"/>
        </w:rPr>
        <w:t>2 juin 2016, p. 4. L’amendement reprenait une disposition visant textuellement le passage préalable par le juge, laquelle disposition ne se retrouve pas dans le texte de l’article 60 adopté qui renvoie plutôt à l’article L. 111-1-1 du code des procédures civiles d’exécution, inséré par l’article 59 de la même loi Sapin II.</w:t>
      </w:r>
    </w:p>
  </w:footnote>
  <w:footnote w:id="68">
    <w:p w14:paraId="34600565" w14:textId="47B345D2" w:rsidR="00552491" w:rsidRDefault="00552491" w:rsidP="002C2F99">
      <w:pPr>
        <w:pStyle w:val="Notedebasdepage"/>
        <w:jc w:val="both"/>
      </w:pPr>
      <w:r>
        <w:rPr>
          <w:rStyle w:val="Appelnotedebasdep"/>
        </w:rPr>
        <w:footnoteRef/>
      </w:r>
      <w:r>
        <w:t xml:space="preserve"> Projet de loi n° 3623 relatif à la transparence, à la lutte contre la corruption et à la modernisation de la vie économique, étude d’impact, 30 mars 2016, p. 94. Sébastien Dorol s’interroge sur cet argument repris dans l’étude d’impact et se demande comment une procédure non contradictoire peut être présentée comme protégeant efficacement les intérêts de la partie absente (S. </w:t>
      </w:r>
      <w:r w:rsidRPr="00724ECE">
        <w:rPr>
          <w:smallCaps/>
        </w:rPr>
        <w:t>Dorol</w:t>
      </w:r>
      <w:r>
        <w:t xml:space="preserve">, « Exécution forcée contre un </w:t>
      </w:r>
      <w:r w:rsidRPr="00184539">
        <w:rPr>
          <w:rFonts w:cs="Times New Roman"/>
          <w:shd w:val="clear" w:color="auto" w:fill="FFFFFF"/>
        </w:rPr>
        <w:t>É</w:t>
      </w:r>
      <w:r>
        <w:t xml:space="preserve">tat étranger : oui, mais… », </w:t>
      </w:r>
      <w:r w:rsidRPr="00724ECE">
        <w:rPr>
          <w:i/>
        </w:rPr>
        <w:t>La Semaine juridique</w:t>
      </w:r>
      <w:r>
        <w:rPr>
          <w:i/>
        </w:rPr>
        <w:t xml:space="preserve"> </w:t>
      </w:r>
      <w:r w:rsidRPr="008749C4">
        <w:rPr>
          <w:i/>
        </w:rPr>
        <w:t>– Edition générale</w:t>
      </w:r>
      <w:r>
        <w:t xml:space="preserve">, 9 janvier 2017, p. </w:t>
      </w:r>
      <w:r w:rsidRPr="00A870C8">
        <w:t>16). Le Gouvernement français releva encore la rapidité de la procédure (</w:t>
      </w:r>
      <w:r w:rsidR="00924009">
        <w:rPr>
          <w:rFonts w:cs="Times New Roman"/>
        </w:rPr>
        <w:t>voy.</w:t>
      </w:r>
      <w:r w:rsidRPr="00A870C8">
        <w:rPr>
          <w:rFonts w:cs="Times New Roman"/>
        </w:rPr>
        <w:t xml:space="preserve"> les observations du Gouvernement français sur les recours dirigés contre la loi relative à la transparence, à la lutte contre la corruption et à la modernisation de la vie économique).</w:t>
      </w:r>
    </w:p>
  </w:footnote>
  <w:footnote w:id="69">
    <w:p w14:paraId="62BBD446" w14:textId="77580C45" w:rsidR="00552491" w:rsidRDefault="00552491" w:rsidP="002C2F99">
      <w:pPr>
        <w:pStyle w:val="Notedebasdepage"/>
        <w:jc w:val="both"/>
      </w:pPr>
      <w:r>
        <w:rPr>
          <w:rStyle w:val="Appelnotedebasdep"/>
        </w:rPr>
        <w:footnoteRef/>
      </w:r>
      <w:r>
        <w:t xml:space="preserve"> S. </w:t>
      </w:r>
      <w:r>
        <w:rPr>
          <w:smallCaps/>
        </w:rPr>
        <w:t>D</w:t>
      </w:r>
      <w:r w:rsidRPr="008749C4">
        <w:rPr>
          <w:smallCaps/>
        </w:rPr>
        <w:t>orol</w:t>
      </w:r>
      <w:r>
        <w:t xml:space="preserve">, « Exécution forcée contre un </w:t>
      </w:r>
      <w:r w:rsidRPr="00184539">
        <w:rPr>
          <w:rFonts w:cs="Times New Roman"/>
          <w:shd w:val="clear" w:color="auto" w:fill="FFFFFF"/>
        </w:rPr>
        <w:t>É</w:t>
      </w:r>
      <w:r>
        <w:t xml:space="preserve">tat étranger : oui, mais… », </w:t>
      </w:r>
      <w:r w:rsidRPr="008749C4">
        <w:rPr>
          <w:i/>
        </w:rPr>
        <w:t>La Semaine juridique – Edition générale</w:t>
      </w:r>
      <w:r>
        <w:t xml:space="preserve">, 9 janvier </w:t>
      </w:r>
      <w:r w:rsidR="00924009">
        <w:t>2017, p. 16. Voy.</w:t>
      </w:r>
      <w:r w:rsidRPr="00A870C8">
        <w:t xml:space="preserve"> également la même question posée par Jérémy Heymann (« La loi Sapin 2 et les immunités d’exécution – </w:t>
      </w:r>
      <w:r w:rsidRPr="00A870C8">
        <w:rPr>
          <w:rFonts w:cs="Times New Roman"/>
          <w:lang w:eastAsia="fr-BE"/>
        </w:rPr>
        <w:t>À</w:t>
      </w:r>
      <w:r w:rsidRPr="00A870C8">
        <w:t xml:space="preserve"> propos de la loi n°2016-1691 du 9 décembre 2016 », </w:t>
      </w:r>
      <w:r w:rsidRPr="00A870C8">
        <w:rPr>
          <w:i/>
        </w:rPr>
        <w:t>La semaine juridique</w:t>
      </w:r>
      <w:r w:rsidRPr="00A870C8">
        <w:t>, 30 janvier 2017, p. 179).</w:t>
      </w:r>
    </w:p>
  </w:footnote>
  <w:footnote w:id="70">
    <w:p w14:paraId="5ACB6070" w14:textId="77777777" w:rsidR="00552491" w:rsidRDefault="00552491" w:rsidP="002C2F99">
      <w:pPr>
        <w:pStyle w:val="Notedebasdepage"/>
        <w:jc w:val="both"/>
      </w:pPr>
      <w:r>
        <w:rPr>
          <w:rStyle w:val="Appelnotedebasdep"/>
        </w:rPr>
        <w:footnoteRef/>
      </w:r>
      <w:r>
        <w:t xml:space="preserve"> P. </w:t>
      </w:r>
      <w:r w:rsidRPr="005E3D36">
        <w:rPr>
          <w:smallCaps/>
        </w:rPr>
        <w:t>Giraud</w:t>
      </w:r>
      <w:r>
        <w:t xml:space="preserve">, « La restriction des mesures conservatoires et d’exécution forcée exercées par les fonds dits vautours : le syndrome du </w:t>
      </w:r>
      <w:r>
        <w:rPr>
          <w:szCs w:val="22"/>
        </w:rPr>
        <w:t>“</w:t>
      </w:r>
      <w:r>
        <w:t>milieu du gué</w:t>
      </w:r>
      <w:r>
        <w:rPr>
          <w:szCs w:val="22"/>
        </w:rPr>
        <w:t>”</w:t>
      </w:r>
      <w:r>
        <w:t xml:space="preserve"> », </w:t>
      </w:r>
      <w:r w:rsidRPr="005E3D36">
        <w:rPr>
          <w:i/>
        </w:rPr>
        <w:t>Revue de droit international d’Assas</w:t>
      </w:r>
      <w:r>
        <w:t>, 2018, vol. 1, p. 369.</w:t>
      </w:r>
    </w:p>
  </w:footnote>
  <w:footnote w:id="71">
    <w:p w14:paraId="473F8ED1" w14:textId="77777777" w:rsidR="00552491" w:rsidRPr="00111983" w:rsidRDefault="00552491" w:rsidP="008C335B">
      <w:pPr>
        <w:pStyle w:val="Notedebasdepage"/>
        <w:jc w:val="both"/>
        <w:rPr>
          <w:rFonts w:cs="Times New Roman"/>
        </w:rPr>
      </w:pPr>
      <w:r w:rsidRPr="00A870C8">
        <w:rPr>
          <w:rStyle w:val="Appelnotedebasdep"/>
          <w:rFonts w:cs="Times New Roman"/>
        </w:rPr>
        <w:footnoteRef/>
      </w:r>
      <w:r w:rsidRPr="00A870C8">
        <w:rPr>
          <w:rFonts w:cs="Times New Roman"/>
        </w:rPr>
        <w:t xml:space="preserve"> L’article a été inséré par le</w:t>
      </w:r>
      <w:r w:rsidRPr="00A870C8">
        <w:rPr>
          <w:rFonts w:cs="Times New Roman"/>
          <w:b/>
        </w:rPr>
        <w:t xml:space="preserve"> </w:t>
      </w:r>
      <w:r w:rsidRPr="00A870C8">
        <w:rPr>
          <w:rStyle w:val="lev"/>
          <w:rFonts w:cs="Times New Roman"/>
          <w:b w:val="0"/>
          <w:color w:val="000000"/>
          <w:shd w:val="clear" w:color="auto" w:fill="FFFFFF"/>
        </w:rPr>
        <w:t>décret n° 2017-892 du 6 mai 2017 portant diverses mesures de modernisation et de simplification de la procédure civile (</w:t>
      </w:r>
      <w:r w:rsidRPr="00A870C8">
        <w:rPr>
          <w:rFonts w:cs="Times New Roman"/>
          <w:i/>
          <w:color w:val="000000"/>
          <w:shd w:val="clear" w:color="auto" w:fill="FFFFFF"/>
        </w:rPr>
        <w:t>Journal officiel de la République française</w:t>
      </w:r>
      <w:r w:rsidRPr="00A870C8">
        <w:rPr>
          <w:rFonts w:cs="Times New Roman"/>
          <w:color w:val="000000"/>
          <w:shd w:val="clear" w:color="auto" w:fill="FFFFFF"/>
        </w:rPr>
        <w:t xml:space="preserve">, n° 0109, 10 mai 2017). Ce décret insère quatre autres articles définissant le régime procédural de l'ordonnance rendue sur requête par le juge de l'exécution pour autoriser les mesures conservatoires et d'exécution forcée portant sur les biens des </w:t>
      </w:r>
      <w:r w:rsidRPr="00A870C8">
        <w:rPr>
          <w:rFonts w:cs="Times New Roman"/>
          <w:szCs w:val="24"/>
          <w:shd w:val="clear" w:color="auto" w:fill="FFFFFF"/>
        </w:rPr>
        <w:t>É</w:t>
      </w:r>
      <w:r w:rsidRPr="00A870C8">
        <w:rPr>
          <w:rFonts w:cs="Times New Roman"/>
          <w:color w:val="000000"/>
          <w:shd w:val="clear" w:color="auto" w:fill="FFFFFF"/>
        </w:rPr>
        <w:t>tats étrangers.</w:t>
      </w:r>
    </w:p>
  </w:footnote>
  <w:footnote w:id="72">
    <w:p w14:paraId="6C56B181" w14:textId="77777777" w:rsidR="00552491" w:rsidRDefault="00552491" w:rsidP="002C2F99">
      <w:pPr>
        <w:pStyle w:val="Notedebasdepage"/>
        <w:jc w:val="both"/>
      </w:pPr>
      <w:r>
        <w:rPr>
          <w:rStyle w:val="Appelnotedebasdep"/>
        </w:rPr>
        <w:footnoteRef/>
      </w:r>
      <w:r>
        <w:t xml:space="preserve"> </w:t>
      </w:r>
      <w:r w:rsidRPr="00143C83">
        <w:t xml:space="preserve">J. </w:t>
      </w:r>
      <w:r w:rsidRPr="00143C83">
        <w:rPr>
          <w:rFonts w:cs="Times New Roman"/>
          <w:smallCaps/>
          <w:shd w:val="clear" w:color="auto" w:fill="FFFFFF"/>
        </w:rPr>
        <w:t xml:space="preserve">Morel-Maroger, </w:t>
      </w:r>
      <w:r w:rsidRPr="00143C83">
        <w:rPr>
          <w:rFonts w:cs="Times New Roman"/>
        </w:rPr>
        <w:t xml:space="preserve">« Jurisprudence du tribunal de grande instance de Paris », </w:t>
      </w:r>
      <w:r w:rsidRPr="00143C83">
        <w:rPr>
          <w:rFonts w:cs="Times New Roman"/>
          <w:i/>
        </w:rPr>
        <w:t>La semaine juridique – Edition générale</w:t>
      </w:r>
      <w:r w:rsidRPr="00143C83">
        <w:rPr>
          <w:rFonts w:cs="Times New Roman"/>
        </w:rPr>
        <w:t>, 11 juin 2018, p. 118</w:t>
      </w:r>
      <w:r>
        <w:rPr>
          <w:rFonts w:cs="Times New Roman"/>
        </w:rPr>
        <w:t>6</w:t>
      </w:r>
      <w:r w:rsidRPr="00143C83">
        <w:rPr>
          <w:rFonts w:cs="Times New Roman"/>
        </w:rPr>
        <w:t>.</w:t>
      </w:r>
      <w:r>
        <w:rPr>
          <w:rFonts w:cs="Times New Roman"/>
        </w:rPr>
        <w:t xml:space="preserve"> Elle relève encore que l’argument de la situation de la plupart des lieux diplomatiques à Paris a également été avancé mais le critique en ce que les biens appartenant aux </w:t>
      </w:r>
      <w:r w:rsidRPr="00184539">
        <w:rPr>
          <w:rFonts w:cs="Times New Roman"/>
          <w:shd w:val="clear" w:color="auto" w:fill="FFFFFF"/>
        </w:rPr>
        <w:t>É</w:t>
      </w:r>
      <w:r>
        <w:rPr>
          <w:rFonts w:cs="Times New Roman"/>
        </w:rPr>
        <w:t>tats étrangers n’y sont pas tous situés.</w:t>
      </w:r>
    </w:p>
  </w:footnote>
  <w:footnote w:id="73">
    <w:p w14:paraId="54E489F0" w14:textId="77777777" w:rsidR="00552491" w:rsidRDefault="00552491" w:rsidP="00246D72">
      <w:pPr>
        <w:pStyle w:val="Notedebasdepage"/>
        <w:jc w:val="both"/>
      </w:pPr>
      <w:r w:rsidRPr="00A870C8">
        <w:rPr>
          <w:rStyle w:val="Appelnotedebasdep"/>
        </w:rPr>
        <w:footnoteRef/>
      </w:r>
      <w:r w:rsidRPr="00A870C8">
        <w:t xml:space="preserve"> Régis Bismuth, épinglant la possible surprise découlant de cette règle de compétence spéciale, se demande si la haute technicité du contentieux, des raisons touchant à la sécurité nationale ou encore la matière internationale en cause la justifient. </w:t>
      </w:r>
      <w:r w:rsidRPr="00A870C8">
        <w:rPr>
          <w:rFonts w:cs="Times New Roman"/>
          <w:lang w:eastAsia="fr-BE"/>
        </w:rPr>
        <w:t>À</w:t>
      </w:r>
      <w:r w:rsidRPr="00A870C8">
        <w:t xml:space="preserve"> son estime « (o)n peut légitimement en douter et s’interroger sur les motivations consistant à centraliser le contentieux de l’immunité d’exécution à Paris », l’auteur étant d’avis que « (l)a matière ne fait certes pas partie du contentieux quotidien du juge de l’exécution, mais elle n’est pas excessivement technique au point de la confier à une seule juridiction destinée à se spécialiser dans cette matière » (</w:t>
      </w:r>
      <w:r w:rsidRPr="00A870C8">
        <w:rPr>
          <w:rFonts w:cs="Times New Roman"/>
        </w:rPr>
        <w:t xml:space="preserve">R. </w:t>
      </w:r>
      <w:r w:rsidRPr="00A870C8">
        <w:rPr>
          <w:rFonts w:cs="Times New Roman"/>
          <w:smallCaps/>
        </w:rPr>
        <w:t>Bismuth</w:t>
      </w:r>
      <w:r w:rsidRPr="00A870C8">
        <w:rPr>
          <w:rFonts w:cs="Times New Roman"/>
        </w:rPr>
        <w:t xml:space="preserve">, « L’immunité d’exécution après la loi Sapin 2 », </w:t>
      </w:r>
      <w:r w:rsidRPr="00A870C8">
        <w:rPr>
          <w:rFonts w:cs="Times New Roman"/>
          <w:i/>
        </w:rPr>
        <w:t>Journal du droit international</w:t>
      </w:r>
      <w:r w:rsidRPr="00A870C8">
        <w:rPr>
          <w:rFonts w:cs="Times New Roman"/>
        </w:rPr>
        <w:t>, 2018, pp. 451-452)</w:t>
      </w:r>
    </w:p>
  </w:footnote>
  <w:footnote w:id="74">
    <w:p w14:paraId="5E8CA190" w14:textId="77777777" w:rsidR="00552491" w:rsidRPr="00383CA0" w:rsidRDefault="00552491" w:rsidP="002C2F99">
      <w:pPr>
        <w:pStyle w:val="Sansinterligne"/>
        <w:jc w:val="both"/>
        <w:rPr>
          <w:rFonts w:ascii="Times New Roman" w:hAnsi="Times New Roman" w:cs="Times New Roman"/>
          <w:sz w:val="20"/>
          <w:szCs w:val="20"/>
        </w:rPr>
      </w:pPr>
      <w:r w:rsidRPr="00383CA0">
        <w:rPr>
          <w:rStyle w:val="Appelnotedebasdep"/>
          <w:rFonts w:ascii="Times New Roman" w:hAnsi="Times New Roman" w:cs="Times New Roman"/>
          <w:sz w:val="20"/>
          <w:szCs w:val="20"/>
        </w:rPr>
        <w:footnoteRef/>
      </w:r>
      <w:r w:rsidRPr="00383CA0">
        <w:rPr>
          <w:rFonts w:ascii="Times New Roman" w:hAnsi="Times New Roman" w:cs="Times New Roman"/>
          <w:sz w:val="20"/>
          <w:szCs w:val="20"/>
        </w:rPr>
        <w:t xml:space="preserve"> </w:t>
      </w:r>
      <w:r>
        <w:rPr>
          <w:rFonts w:ascii="Times New Roman" w:hAnsi="Times New Roman" w:cs="Times New Roman"/>
          <w:sz w:val="20"/>
          <w:szCs w:val="20"/>
        </w:rPr>
        <w:t>Notons que cette exigence était absente de la rédaction originaire de l’amendement n° 1405 à l’origine de l’article anti-fonds vautours. Elle découle précisément d’un s</w:t>
      </w:r>
      <w:r w:rsidRPr="00383CA0">
        <w:rPr>
          <w:rFonts w:ascii="Times New Roman" w:hAnsi="Times New Roman" w:cs="Times New Roman"/>
          <w:sz w:val="20"/>
          <w:szCs w:val="20"/>
          <w:lang w:eastAsia="fr-BE"/>
        </w:rPr>
        <w:t>ous-amendement n° 156</w:t>
      </w:r>
      <w:r>
        <w:rPr>
          <w:rFonts w:ascii="Times New Roman" w:hAnsi="Times New Roman" w:cs="Times New Roman"/>
          <w:sz w:val="20"/>
          <w:szCs w:val="20"/>
          <w:lang w:eastAsia="fr-BE"/>
        </w:rPr>
        <w:t xml:space="preserve">8, présenté par E. Alauzet, à cet </w:t>
      </w:r>
      <w:r w:rsidRPr="00383CA0">
        <w:rPr>
          <w:rFonts w:ascii="Times New Roman" w:hAnsi="Times New Roman" w:cs="Times New Roman"/>
          <w:sz w:val="20"/>
          <w:szCs w:val="20"/>
          <w:lang w:eastAsia="fr-BE"/>
        </w:rPr>
        <w:t>amendement n° 1405</w:t>
      </w:r>
      <w:r>
        <w:rPr>
          <w:rFonts w:ascii="Times New Roman" w:hAnsi="Times New Roman" w:cs="Times New Roman"/>
          <w:sz w:val="20"/>
          <w:szCs w:val="20"/>
          <w:lang w:eastAsia="fr-BE"/>
        </w:rPr>
        <w:t xml:space="preserve"> (disponible à l’adresse </w:t>
      </w:r>
      <w:hyperlink r:id="rId39" w:history="1">
        <w:r w:rsidRPr="00674042">
          <w:rPr>
            <w:rStyle w:val="Lienhypertexte"/>
            <w:rFonts w:ascii="Times New Roman" w:hAnsi="Times New Roman" w:cs="Times New Roman"/>
            <w:sz w:val="20"/>
            <w:szCs w:val="20"/>
            <w:lang w:eastAsia="fr-BE"/>
          </w:rPr>
          <w:t>www.assemblee-nationale.fr/14/amendements/3785/AN/1568.pdf</w:t>
        </w:r>
      </w:hyperlink>
      <w:r>
        <w:rPr>
          <w:rFonts w:ascii="Times New Roman" w:hAnsi="Times New Roman" w:cs="Times New Roman"/>
          <w:sz w:val="20"/>
          <w:szCs w:val="20"/>
          <w:lang w:eastAsia="fr-BE"/>
        </w:rPr>
        <w:t>)</w:t>
      </w:r>
      <w:r w:rsidRPr="00383CA0">
        <w:rPr>
          <w:rFonts w:ascii="Times New Roman" w:hAnsi="Times New Roman" w:cs="Times New Roman"/>
          <w:sz w:val="20"/>
          <w:szCs w:val="20"/>
          <w:lang w:eastAsia="fr-BE"/>
        </w:rPr>
        <w:t>. L’exposé sommaire de ce sous-amendement précise que « </w:t>
      </w:r>
      <w:r>
        <w:rPr>
          <w:rFonts w:ascii="Times New Roman" w:hAnsi="Times New Roman" w:cs="Times New Roman"/>
          <w:sz w:val="20"/>
          <w:szCs w:val="20"/>
          <w:shd w:val="clear" w:color="auto" w:fill="FFFFFF"/>
        </w:rPr>
        <w:t>(p)</w:t>
      </w:r>
      <w:r w:rsidRPr="00383CA0">
        <w:rPr>
          <w:rFonts w:ascii="Times New Roman" w:hAnsi="Times New Roman" w:cs="Times New Roman"/>
          <w:sz w:val="20"/>
          <w:szCs w:val="20"/>
          <w:shd w:val="clear" w:color="auto" w:fill="FFFFFF"/>
        </w:rPr>
        <w:t>ratiquée dans d’autres domaines, la c</w:t>
      </w:r>
      <w:r>
        <w:rPr>
          <w:rFonts w:ascii="Times New Roman" w:hAnsi="Times New Roman" w:cs="Times New Roman"/>
          <w:sz w:val="20"/>
          <w:szCs w:val="20"/>
          <w:shd w:val="clear" w:color="auto" w:fill="FFFFFF"/>
        </w:rPr>
        <w:t xml:space="preserve">ertification par un commissaire aux </w:t>
      </w:r>
      <w:r w:rsidRPr="00383CA0">
        <w:rPr>
          <w:rFonts w:ascii="Times New Roman" w:hAnsi="Times New Roman" w:cs="Times New Roman"/>
          <w:sz w:val="20"/>
          <w:szCs w:val="20"/>
          <w:shd w:val="clear" w:color="auto" w:fill="FFFFFF"/>
        </w:rPr>
        <w:t>comptes, et donc par un expert indépendant des parties et qui se prononcera sous sa responsabilité, est nécessaire à l’efficacité du dispositif ».</w:t>
      </w:r>
    </w:p>
  </w:footnote>
  <w:footnote w:id="75">
    <w:p w14:paraId="541F084C" w14:textId="77777777" w:rsidR="00552491" w:rsidRDefault="00552491" w:rsidP="002C2F99">
      <w:pPr>
        <w:pStyle w:val="Notedebasdepage"/>
        <w:jc w:val="both"/>
      </w:pPr>
      <w:r>
        <w:rPr>
          <w:rStyle w:val="Appelnotedebasdep"/>
        </w:rPr>
        <w:footnoteRef/>
      </w:r>
      <w:r>
        <w:t xml:space="preserve"> </w:t>
      </w:r>
      <w:r w:rsidRPr="00AA1922">
        <w:rPr>
          <w:rFonts w:cs="Times New Roman"/>
        </w:rPr>
        <w:t xml:space="preserve">Amendement n° 1405 </w:t>
      </w:r>
      <w:r>
        <w:rPr>
          <w:rFonts w:cs="Times New Roman"/>
        </w:rPr>
        <w:t xml:space="preserve">(Rect) </w:t>
      </w:r>
      <w:r w:rsidRPr="00AA1922">
        <w:rPr>
          <w:rFonts w:cs="Times New Roman"/>
        </w:rPr>
        <w:t xml:space="preserve">présenté par </w:t>
      </w:r>
      <w:r>
        <w:rPr>
          <w:rFonts w:cs="Times New Roman"/>
        </w:rPr>
        <w:t>D.</w:t>
      </w:r>
      <w:r w:rsidRPr="00AA1922">
        <w:rPr>
          <w:rFonts w:cs="Times New Roman"/>
          <w:iCs/>
          <w:color w:val="000000"/>
          <w:shd w:val="clear" w:color="auto" w:fill="FFFFFF"/>
        </w:rPr>
        <w:t xml:space="preserve"> Potier, </w:t>
      </w:r>
      <w:r>
        <w:rPr>
          <w:rFonts w:cs="Times New Roman"/>
          <w:iCs/>
          <w:color w:val="000000"/>
          <w:shd w:val="clear" w:color="auto" w:fill="FFFFFF"/>
        </w:rPr>
        <w:t>S. Mazetier, S. Denaja, R. Colas, C</w:t>
      </w:r>
      <w:r w:rsidRPr="00AA1922">
        <w:rPr>
          <w:rFonts w:cs="Times New Roman"/>
          <w:iCs/>
          <w:color w:val="000000"/>
          <w:shd w:val="clear" w:color="auto" w:fill="FFFFFF"/>
        </w:rPr>
        <w:t xml:space="preserve">. Castaner, </w:t>
      </w:r>
      <w:r>
        <w:rPr>
          <w:rFonts w:cs="Times New Roman"/>
          <w:iCs/>
          <w:color w:val="000000"/>
          <w:shd w:val="clear" w:color="auto" w:fill="FFFFFF"/>
        </w:rPr>
        <w:t>S. Errante, Y. Galut, P. Cherki, M. Rabin, C. Guittet, J.-R. Marsac, P.</w:t>
      </w:r>
      <w:r w:rsidRPr="00AA1922">
        <w:rPr>
          <w:rFonts w:cs="Times New Roman"/>
          <w:iCs/>
          <w:color w:val="000000"/>
          <w:shd w:val="clear" w:color="auto" w:fill="FFFFFF"/>
        </w:rPr>
        <w:t xml:space="preserve"> </w:t>
      </w:r>
      <w:r>
        <w:rPr>
          <w:rFonts w:cs="Times New Roman"/>
          <w:iCs/>
          <w:color w:val="000000"/>
          <w:shd w:val="clear" w:color="auto" w:fill="FFFFFF"/>
        </w:rPr>
        <w:t>Baumel, J</w:t>
      </w:r>
      <w:r w:rsidRPr="00AA1922">
        <w:rPr>
          <w:rFonts w:cs="Times New Roman"/>
          <w:iCs/>
          <w:color w:val="000000"/>
          <w:shd w:val="clear" w:color="auto" w:fill="FFFFFF"/>
        </w:rPr>
        <w:t>.</w:t>
      </w:r>
      <w:r>
        <w:rPr>
          <w:rFonts w:cs="Times New Roman"/>
          <w:iCs/>
          <w:color w:val="000000"/>
          <w:shd w:val="clear" w:color="auto" w:fill="FFFFFF"/>
        </w:rPr>
        <w:t>-P. Dufau et R</w:t>
      </w:r>
      <w:r w:rsidRPr="00AA1922">
        <w:rPr>
          <w:rFonts w:cs="Times New Roman"/>
          <w:iCs/>
          <w:color w:val="000000"/>
          <w:shd w:val="clear" w:color="auto" w:fill="FFFFFF"/>
        </w:rPr>
        <w:t xml:space="preserve">. Hammadi, </w:t>
      </w:r>
      <w:r>
        <w:rPr>
          <w:rFonts w:cs="Times New Roman"/>
          <w:iCs/>
          <w:color w:val="000000"/>
          <w:shd w:val="clear" w:color="auto" w:fill="FFFFFF"/>
        </w:rPr>
        <w:t>2 juin 2016, p. 4. Ce recours retrouvé est rappelé dans l’</w:t>
      </w:r>
      <w:r>
        <w:t>amendement n° 634 présenté par le Gouvernement.</w:t>
      </w:r>
    </w:p>
  </w:footnote>
  <w:footnote w:id="76">
    <w:p w14:paraId="458E3688" w14:textId="77777777" w:rsidR="00552491" w:rsidRDefault="00552491" w:rsidP="002C2F99">
      <w:pPr>
        <w:pStyle w:val="Notedebasdepage"/>
        <w:jc w:val="both"/>
      </w:pPr>
      <w:r>
        <w:rPr>
          <w:rStyle w:val="Appelnotedebasdep"/>
        </w:rPr>
        <w:footnoteRef/>
      </w:r>
      <w:r>
        <w:t xml:space="preserve"> P. </w:t>
      </w:r>
      <w:r w:rsidRPr="005E3D36">
        <w:rPr>
          <w:smallCaps/>
        </w:rPr>
        <w:t>Giraud</w:t>
      </w:r>
      <w:r>
        <w:t xml:space="preserve">, « La restriction des mesures conservatoires et d’exécution forcée exercées par les fonds dits vautours : le syndrome du </w:t>
      </w:r>
      <w:r>
        <w:rPr>
          <w:szCs w:val="22"/>
        </w:rPr>
        <w:t>“</w:t>
      </w:r>
      <w:r>
        <w:t>milieu du gué</w:t>
      </w:r>
      <w:r>
        <w:rPr>
          <w:szCs w:val="22"/>
        </w:rPr>
        <w:t>”</w:t>
      </w:r>
      <w:r>
        <w:t xml:space="preserve"> », </w:t>
      </w:r>
      <w:r w:rsidRPr="005E3D36">
        <w:rPr>
          <w:i/>
        </w:rPr>
        <w:t>Revue de droit international d’Assas</w:t>
      </w:r>
      <w:r>
        <w:t>, 2018, vol. 1, p. 369.</w:t>
      </w:r>
    </w:p>
  </w:footnote>
  <w:footnote w:id="77">
    <w:p w14:paraId="7BCEE0F6" w14:textId="77777777" w:rsidR="00552491" w:rsidRDefault="00552491" w:rsidP="002C2F99">
      <w:pPr>
        <w:pStyle w:val="Notedebasdepage"/>
        <w:jc w:val="both"/>
      </w:pPr>
      <w:r>
        <w:rPr>
          <w:rStyle w:val="Appelnotedebasdep"/>
        </w:rPr>
        <w:footnoteRef/>
      </w:r>
      <w:r>
        <w:t xml:space="preserve"> S. </w:t>
      </w:r>
      <w:r w:rsidRPr="00D258B7">
        <w:rPr>
          <w:smallCaps/>
        </w:rPr>
        <w:t>Bollée</w:t>
      </w:r>
      <w:r>
        <w:t xml:space="preserve">, « Les dispositions de la loi Sapin 2 relatives à l’immunité d’exécution », </w:t>
      </w:r>
      <w:r w:rsidRPr="00D258B7">
        <w:rPr>
          <w:i/>
        </w:rPr>
        <w:t>Recueil Dalloz</w:t>
      </w:r>
      <w:r>
        <w:t>, 15 décembre 2016, n° 43, p. 2560.</w:t>
      </w:r>
    </w:p>
  </w:footnote>
  <w:footnote w:id="78">
    <w:p w14:paraId="4A992A3D" w14:textId="77777777" w:rsidR="00552491" w:rsidRDefault="00552491" w:rsidP="002C2F99">
      <w:pPr>
        <w:pStyle w:val="Notedebasdepage"/>
        <w:jc w:val="both"/>
      </w:pPr>
      <w:r>
        <w:rPr>
          <w:rStyle w:val="Appelnotedebasdep"/>
        </w:rPr>
        <w:footnoteRef/>
      </w:r>
      <w:r>
        <w:t xml:space="preserve"> P. </w:t>
      </w:r>
      <w:r w:rsidRPr="005E3D36">
        <w:rPr>
          <w:smallCaps/>
        </w:rPr>
        <w:t>Giraud</w:t>
      </w:r>
      <w:r>
        <w:t xml:space="preserve">, « La restriction des mesures conservatoires et d’exécution forcée exercées par les fonds dits vautours : le syndrome du </w:t>
      </w:r>
      <w:r>
        <w:rPr>
          <w:szCs w:val="22"/>
        </w:rPr>
        <w:t>“</w:t>
      </w:r>
      <w:r>
        <w:t>milieu du gué</w:t>
      </w:r>
      <w:r>
        <w:rPr>
          <w:szCs w:val="22"/>
        </w:rPr>
        <w:t>”</w:t>
      </w:r>
      <w:r>
        <w:t xml:space="preserve"> », </w:t>
      </w:r>
      <w:r w:rsidRPr="005E3D36">
        <w:rPr>
          <w:i/>
        </w:rPr>
        <w:t>Revue de droit international d’Assas</w:t>
      </w:r>
      <w:r>
        <w:t>, 2018, vol. 1, p. 369.</w:t>
      </w:r>
    </w:p>
  </w:footnote>
  <w:footnote w:id="79">
    <w:p w14:paraId="70F63D26" w14:textId="77777777" w:rsidR="00552491" w:rsidRDefault="00552491" w:rsidP="002C2F99">
      <w:pPr>
        <w:pStyle w:val="Notedebasdepage"/>
        <w:jc w:val="both"/>
      </w:pPr>
      <w:r>
        <w:rPr>
          <w:rStyle w:val="Appelnotedebasdep"/>
        </w:rPr>
        <w:footnoteRef/>
      </w:r>
      <w:r>
        <w:t xml:space="preserve"> P. </w:t>
      </w:r>
      <w:r w:rsidRPr="005E3D36">
        <w:rPr>
          <w:smallCaps/>
        </w:rPr>
        <w:t>Giraud</w:t>
      </w:r>
      <w:r>
        <w:t xml:space="preserve">, « La restriction des mesures conservatoires et d’exécution forcée exercées par les fonds dits vautours : le syndrome du </w:t>
      </w:r>
      <w:r>
        <w:rPr>
          <w:szCs w:val="22"/>
        </w:rPr>
        <w:t>“</w:t>
      </w:r>
      <w:r>
        <w:t>milieu du gué</w:t>
      </w:r>
      <w:r>
        <w:rPr>
          <w:szCs w:val="22"/>
        </w:rPr>
        <w:t>”</w:t>
      </w:r>
      <w:r>
        <w:t xml:space="preserve"> », </w:t>
      </w:r>
      <w:r w:rsidRPr="005E3D36">
        <w:rPr>
          <w:i/>
        </w:rPr>
        <w:t>Revue de droit international d’Assas</w:t>
      </w:r>
      <w:r>
        <w:t>, 2018, vol. 1, pp. 369-370.</w:t>
      </w:r>
    </w:p>
  </w:footnote>
  <w:footnote w:id="80">
    <w:p w14:paraId="3194D696" w14:textId="5D849723" w:rsidR="00552491" w:rsidRPr="007B09B7" w:rsidRDefault="00552491" w:rsidP="002C2F99">
      <w:pPr>
        <w:pStyle w:val="Sansinterligne"/>
        <w:jc w:val="both"/>
        <w:rPr>
          <w:rFonts w:ascii="Times New Roman" w:hAnsi="Times New Roman" w:cs="Times New Roman"/>
          <w:sz w:val="20"/>
          <w:szCs w:val="20"/>
          <w:shd w:val="clear" w:color="auto" w:fill="FFFFFF"/>
        </w:rPr>
      </w:pPr>
      <w:r w:rsidRPr="0076319E">
        <w:rPr>
          <w:rStyle w:val="Appelnotedebasdep"/>
          <w:rFonts w:ascii="Times New Roman" w:hAnsi="Times New Roman" w:cs="Times New Roman"/>
          <w:sz w:val="20"/>
          <w:szCs w:val="20"/>
        </w:rPr>
        <w:footnoteRef/>
      </w:r>
      <w:r w:rsidR="00924009">
        <w:rPr>
          <w:rFonts w:ascii="Times New Roman" w:hAnsi="Times New Roman" w:cs="Times New Roman"/>
          <w:sz w:val="20"/>
          <w:szCs w:val="20"/>
        </w:rPr>
        <w:t xml:space="preserve"> Voy.</w:t>
      </w:r>
      <w:r w:rsidRPr="0076319E">
        <w:rPr>
          <w:rFonts w:ascii="Times New Roman" w:hAnsi="Times New Roman" w:cs="Times New Roman"/>
          <w:sz w:val="20"/>
          <w:szCs w:val="20"/>
        </w:rPr>
        <w:t xml:space="preserve"> sur le régime immunitaire français des biens apparte</w:t>
      </w:r>
      <w:r>
        <w:rPr>
          <w:rFonts w:ascii="Times New Roman" w:hAnsi="Times New Roman" w:cs="Times New Roman"/>
          <w:sz w:val="20"/>
          <w:szCs w:val="20"/>
        </w:rPr>
        <w:t xml:space="preserve">nant à des </w:t>
      </w:r>
      <w:r w:rsidRPr="00184539">
        <w:rPr>
          <w:rFonts w:ascii="Times New Roman" w:hAnsi="Times New Roman" w:cs="Times New Roman"/>
          <w:sz w:val="20"/>
          <w:szCs w:val="20"/>
          <w:shd w:val="clear" w:color="auto" w:fill="FFFFFF"/>
        </w:rPr>
        <w:t>É</w:t>
      </w:r>
      <w:r w:rsidRPr="0076319E">
        <w:rPr>
          <w:rFonts w:ascii="Times New Roman" w:hAnsi="Times New Roman" w:cs="Times New Roman"/>
          <w:sz w:val="20"/>
          <w:szCs w:val="20"/>
        </w:rPr>
        <w:t>tats étrangers notre contribution « La mise en œuvre de mesures de contrainte</w:t>
      </w:r>
      <w:r>
        <w:rPr>
          <w:rFonts w:ascii="Times New Roman" w:hAnsi="Times New Roman" w:cs="Times New Roman"/>
          <w:sz w:val="20"/>
          <w:szCs w:val="20"/>
        </w:rPr>
        <w:t xml:space="preserve"> sur les biens appartenant aux </w:t>
      </w:r>
      <w:r w:rsidRPr="00184539">
        <w:rPr>
          <w:rFonts w:ascii="Times New Roman" w:hAnsi="Times New Roman" w:cs="Times New Roman"/>
          <w:sz w:val="20"/>
          <w:szCs w:val="20"/>
          <w:shd w:val="clear" w:color="auto" w:fill="FFFFFF"/>
        </w:rPr>
        <w:t>É</w:t>
      </w:r>
      <w:r w:rsidRPr="0076319E">
        <w:rPr>
          <w:rFonts w:ascii="Times New Roman" w:hAnsi="Times New Roman" w:cs="Times New Roman"/>
          <w:sz w:val="20"/>
          <w:szCs w:val="20"/>
        </w:rPr>
        <w:t xml:space="preserve">tats étrangers en France : analyse de l’article 59 de la loi Sapin II ». </w:t>
      </w:r>
      <w:r w:rsidRPr="0076319E">
        <w:rPr>
          <w:rFonts w:ascii="Times New Roman" w:hAnsi="Times New Roman" w:cs="Times New Roman"/>
          <w:sz w:val="20"/>
          <w:szCs w:val="20"/>
          <w:shd w:val="clear" w:color="auto" w:fill="FFFFFF"/>
        </w:rPr>
        <w:t>L’article</w:t>
      </w:r>
      <w:r w:rsidRPr="00D74F78">
        <w:rPr>
          <w:rFonts w:ascii="Times New Roman" w:hAnsi="Times New Roman" w:cs="Times New Roman"/>
          <w:sz w:val="20"/>
          <w:szCs w:val="20"/>
          <w:shd w:val="clear" w:color="auto" w:fill="FFFFFF"/>
        </w:rPr>
        <w:t xml:space="preserve"> L.111-1-2 du </w:t>
      </w:r>
      <w:r w:rsidRPr="00D74F78">
        <w:rPr>
          <w:rFonts w:ascii="Times New Roman" w:hAnsi="Times New Roman" w:cs="Times New Roman"/>
          <w:color w:val="000000"/>
          <w:sz w:val="20"/>
          <w:szCs w:val="20"/>
          <w:shd w:val="clear" w:color="auto" w:fill="FFFFFF"/>
        </w:rPr>
        <w:t>code des procédures civiles d’exécution</w:t>
      </w:r>
      <w:r w:rsidRPr="00D74F78">
        <w:rPr>
          <w:rFonts w:ascii="Times New Roman" w:hAnsi="Times New Roman" w:cs="Times New Roman"/>
          <w:sz w:val="20"/>
          <w:szCs w:val="20"/>
          <w:shd w:val="clear" w:color="auto" w:fill="FFFFFF"/>
        </w:rPr>
        <w:t xml:space="preserve"> dispose</w:t>
      </w:r>
      <w:r w:rsidRPr="007B09B7">
        <w:rPr>
          <w:rFonts w:ascii="Times New Roman" w:hAnsi="Times New Roman" w:cs="Times New Roman"/>
          <w:sz w:val="20"/>
          <w:szCs w:val="20"/>
          <w:shd w:val="clear" w:color="auto" w:fill="FFFFFF"/>
        </w:rPr>
        <w:t xml:space="preserve"> que :</w:t>
      </w:r>
      <w:r>
        <w:rPr>
          <w:rFonts w:ascii="Times New Roman" w:hAnsi="Times New Roman" w:cs="Times New Roman"/>
          <w:sz w:val="20"/>
          <w:szCs w:val="20"/>
          <w:shd w:val="clear" w:color="auto" w:fill="FFFFFF"/>
        </w:rPr>
        <w:t xml:space="preserve"> « (d)</w:t>
      </w:r>
      <w:r w:rsidRPr="007B09B7">
        <w:rPr>
          <w:rFonts w:ascii="Times New Roman" w:hAnsi="Times New Roman" w:cs="Times New Roman"/>
          <w:sz w:val="20"/>
          <w:szCs w:val="20"/>
          <w:shd w:val="clear" w:color="auto" w:fill="FFFFFF"/>
        </w:rPr>
        <w:t>es mesures conservatoires ou des mesures d'exécution forcée v</w:t>
      </w:r>
      <w:r>
        <w:rPr>
          <w:rFonts w:ascii="Times New Roman" w:hAnsi="Times New Roman" w:cs="Times New Roman"/>
          <w:sz w:val="20"/>
          <w:szCs w:val="20"/>
          <w:shd w:val="clear" w:color="auto" w:fill="FFFFFF"/>
        </w:rPr>
        <w:t xml:space="preserve">isant un bien appartenant à un </w:t>
      </w:r>
      <w:r w:rsidRPr="00184539">
        <w:rPr>
          <w:rFonts w:ascii="Times New Roman" w:hAnsi="Times New Roman" w:cs="Times New Roman"/>
          <w:sz w:val="20"/>
          <w:szCs w:val="20"/>
          <w:shd w:val="clear" w:color="auto" w:fill="FFFFFF"/>
        </w:rPr>
        <w:t>É</w:t>
      </w:r>
      <w:r w:rsidRPr="007B09B7">
        <w:rPr>
          <w:rFonts w:ascii="Times New Roman" w:hAnsi="Times New Roman" w:cs="Times New Roman"/>
          <w:sz w:val="20"/>
          <w:szCs w:val="20"/>
          <w:shd w:val="clear" w:color="auto" w:fill="FFFFFF"/>
        </w:rPr>
        <w:t>tat étranger ne peuvent être autorisées par le juge que si l'une des conditions suivantes est remplie :</w:t>
      </w:r>
    </w:p>
    <w:p w14:paraId="35F91508" w14:textId="77777777" w:rsidR="00552491" w:rsidRPr="007B09B7" w:rsidRDefault="00552491" w:rsidP="002C2F99">
      <w:pPr>
        <w:pStyle w:val="Sansinterligne"/>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1° L'</w:t>
      </w:r>
      <w:r w:rsidRPr="00184539">
        <w:rPr>
          <w:rFonts w:ascii="Times New Roman" w:hAnsi="Times New Roman" w:cs="Times New Roman"/>
          <w:sz w:val="20"/>
          <w:szCs w:val="20"/>
          <w:shd w:val="clear" w:color="auto" w:fill="FFFFFF"/>
        </w:rPr>
        <w:t>É</w:t>
      </w:r>
      <w:r w:rsidRPr="007B09B7">
        <w:rPr>
          <w:rFonts w:ascii="Times New Roman" w:hAnsi="Times New Roman" w:cs="Times New Roman"/>
          <w:sz w:val="20"/>
          <w:szCs w:val="20"/>
          <w:shd w:val="clear" w:color="auto" w:fill="FFFFFF"/>
        </w:rPr>
        <w:t>tat concerné a expressément consenti à l'application d'une telle mesure ;</w:t>
      </w:r>
    </w:p>
    <w:p w14:paraId="2FA893E5" w14:textId="77777777" w:rsidR="00552491" w:rsidRPr="007B09B7" w:rsidRDefault="00552491" w:rsidP="002C2F99">
      <w:pPr>
        <w:pStyle w:val="Sansinterligne"/>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2° L'</w:t>
      </w:r>
      <w:r w:rsidRPr="00184539">
        <w:rPr>
          <w:rFonts w:ascii="Times New Roman" w:hAnsi="Times New Roman" w:cs="Times New Roman"/>
          <w:sz w:val="20"/>
          <w:szCs w:val="20"/>
          <w:shd w:val="clear" w:color="auto" w:fill="FFFFFF"/>
        </w:rPr>
        <w:t>É</w:t>
      </w:r>
      <w:r w:rsidRPr="007B09B7">
        <w:rPr>
          <w:rFonts w:ascii="Times New Roman" w:hAnsi="Times New Roman" w:cs="Times New Roman"/>
          <w:sz w:val="20"/>
          <w:szCs w:val="20"/>
          <w:shd w:val="clear" w:color="auto" w:fill="FFFFFF"/>
        </w:rPr>
        <w:t>tat concerné a réservé ou affecté ce bien à la satisfaction de la demande qui fait l'objet de la procédure ; </w:t>
      </w:r>
    </w:p>
    <w:p w14:paraId="713E96AC" w14:textId="77777777" w:rsidR="00552491" w:rsidRPr="007B09B7" w:rsidRDefault="00552491" w:rsidP="002C2F99">
      <w:pPr>
        <w:pStyle w:val="Sansinterligne"/>
        <w:jc w:val="both"/>
        <w:rPr>
          <w:rFonts w:ascii="Times New Roman" w:hAnsi="Times New Roman" w:cs="Times New Roman"/>
          <w:sz w:val="20"/>
          <w:szCs w:val="20"/>
          <w:shd w:val="clear" w:color="auto" w:fill="FFFFFF"/>
        </w:rPr>
      </w:pPr>
      <w:r w:rsidRPr="007B09B7">
        <w:rPr>
          <w:rFonts w:ascii="Times New Roman" w:hAnsi="Times New Roman" w:cs="Times New Roman"/>
          <w:sz w:val="20"/>
          <w:szCs w:val="20"/>
          <w:shd w:val="clear" w:color="auto" w:fill="FFFFFF"/>
        </w:rPr>
        <w:t xml:space="preserve">3° Lorsqu'un jugement ou une sentence </w:t>
      </w:r>
      <w:r>
        <w:rPr>
          <w:rFonts w:ascii="Times New Roman" w:hAnsi="Times New Roman" w:cs="Times New Roman"/>
          <w:sz w:val="20"/>
          <w:szCs w:val="20"/>
          <w:shd w:val="clear" w:color="auto" w:fill="FFFFFF"/>
        </w:rPr>
        <w:t>arbitrale a été rendu contre l'</w:t>
      </w:r>
      <w:r w:rsidRPr="00184539">
        <w:rPr>
          <w:rFonts w:ascii="Times New Roman" w:hAnsi="Times New Roman" w:cs="Times New Roman"/>
          <w:sz w:val="20"/>
          <w:szCs w:val="20"/>
          <w:shd w:val="clear" w:color="auto" w:fill="FFFFFF"/>
        </w:rPr>
        <w:t>É</w:t>
      </w:r>
      <w:r w:rsidRPr="007B09B7">
        <w:rPr>
          <w:rFonts w:ascii="Times New Roman" w:hAnsi="Times New Roman" w:cs="Times New Roman"/>
          <w:sz w:val="20"/>
          <w:szCs w:val="20"/>
          <w:shd w:val="clear" w:color="auto" w:fill="FFFFFF"/>
        </w:rPr>
        <w:t>tat concerné et que le bien en question est spécifiquement utilisé ou de</w:t>
      </w:r>
      <w:r>
        <w:rPr>
          <w:rFonts w:ascii="Times New Roman" w:hAnsi="Times New Roman" w:cs="Times New Roman"/>
          <w:sz w:val="20"/>
          <w:szCs w:val="20"/>
          <w:shd w:val="clear" w:color="auto" w:fill="FFFFFF"/>
        </w:rPr>
        <w:t xml:space="preserve">stiné à être utilisé par ledit </w:t>
      </w:r>
      <w:r w:rsidRPr="00184539">
        <w:rPr>
          <w:rFonts w:ascii="Times New Roman" w:hAnsi="Times New Roman" w:cs="Times New Roman"/>
          <w:sz w:val="20"/>
          <w:szCs w:val="20"/>
          <w:shd w:val="clear" w:color="auto" w:fill="FFFFFF"/>
        </w:rPr>
        <w:t>É</w:t>
      </w:r>
      <w:r w:rsidRPr="007B09B7">
        <w:rPr>
          <w:rFonts w:ascii="Times New Roman" w:hAnsi="Times New Roman" w:cs="Times New Roman"/>
          <w:sz w:val="20"/>
          <w:szCs w:val="20"/>
          <w:shd w:val="clear" w:color="auto" w:fill="FFFFFF"/>
        </w:rPr>
        <w:t>tat autrement qu'à des fins de service public non commerciales et entretient un lien avec l'entité contre laquelle la procédure a été intentée.</w:t>
      </w:r>
    </w:p>
    <w:p w14:paraId="09274690" w14:textId="77777777" w:rsidR="00552491" w:rsidRPr="007B09B7" w:rsidRDefault="00552491" w:rsidP="002C2F99">
      <w:pPr>
        <w:pStyle w:val="Sansinterligne"/>
        <w:jc w:val="both"/>
        <w:rPr>
          <w:rFonts w:ascii="Times New Roman" w:hAnsi="Times New Roman" w:cs="Times New Roman"/>
          <w:sz w:val="20"/>
          <w:szCs w:val="20"/>
          <w:shd w:val="clear" w:color="auto" w:fill="FFFFFF"/>
        </w:rPr>
      </w:pPr>
      <w:r w:rsidRPr="007B09B7">
        <w:rPr>
          <w:rFonts w:ascii="Times New Roman" w:hAnsi="Times New Roman" w:cs="Times New Roman"/>
          <w:sz w:val="20"/>
          <w:szCs w:val="20"/>
          <w:shd w:val="clear" w:color="auto" w:fill="FFFFFF"/>
        </w:rPr>
        <w:t xml:space="preserve">Pour l'application du 3°, sont notamment considérés comme spécifiquement utilisés ou </w:t>
      </w:r>
      <w:r>
        <w:rPr>
          <w:rFonts w:ascii="Times New Roman" w:hAnsi="Times New Roman" w:cs="Times New Roman"/>
          <w:sz w:val="20"/>
          <w:szCs w:val="20"/>
          <w:shd w:val="clear" w:color="auto" w:fill="FFFFFF"/>
        </w:rPr>
        <w:t>destinés à être utilisés par l'</w:t>
      </w:r>
      <w:r w:rsidRPr="00184539">
        <w:rPr>
          <w:rFonts w:ascii="Times New Roman" w:hAnsi="Times New Roman" w:cs="Times New Roman"/>
          <w:sz w:val="20"/>
          <w:szCs w:val="20"/>
          <w:shd w:val="clear" w:color="auto" w:fill="FFFFFF"/>
        </w:rPr>
        <w:t>É</w:t>
      </w:r>
      <w:r w:rsidRPr="007B09B7">
        <w:rPr>
          <w:rFonts w:ascii="Times New Roman" w:hAnsi="Times New Roman" w:cs="Times New Roman"/>
          <w:sz w:val="20"/>
          <w:szCs w:val="20"/>
          <w:shd w:val="clear" w:color="auto" w:fill="FFFFFF"/>
        </w:rPr>
        <w:t>tat à des fins de service public non commerciales, les biens suivants :</w:t>
      </w:r>
    </w:p>
    <w:p w14:paraId="42CAC260" w14:textId="77777777" w:rsidR="00552491" w:rsidRPr="007B09B7" w:rsidRDefault="00552491" w:rsidP="002C2F99">
      <w:pPr>
        <w:pStyle w:val="Sansinterligne"/>
        <w:jc w:val="both"/>
        <w:rPr>
          <w:rFonts w:ascii="Times New Roman" w:hAnsi="Times New Roman" w:cs="Times New Roman"/>
          <w:sz w:val="20"/>
          <w:szCs w:val="20"/>
          <w:shd w:val="clear" w:color="auto" w:fill="FFFFFF"/>
        </w:rPr>
      </w:pPr>
      <w:r w:rsidRPr="007B09B7">
        <w:rPr>
          <w:rFonts w:ascii="Times New Roman" w:hAnsi="Times New Roman" w:cs="Times New Roman"/>
          <w:sz w:val="20"/>
          <w:szCs w:val="20"/>
          <w:shd w:val="clear" w:color="auto" w:fill="FFFFFF"/>
        </w:rPr>
        <w:t>a) Les biens, y compris les comptes bancaires, utilisés ou destinés à être utilisés dans l'exercice des fonctions d</w:t>
      </w:r>
      <w:r>
        <w:rPr>
          <w:rFonts w:ascii="Times New Roman" w:hAnsi="Times New Roman" w:cs="Times New Roman"/>
          <w:sz w:val="20"/>
          <w:szCs w:val="20"/>
          <w:shd w:val="clear" w:color="auto" w:fill="FFFFFF"/>
        </w:rPr>
        <w:t>e la mission diplomatique de l'</w:t>
      </w:r>
      <w:r w:rsidRPr="00184539">
        <w:rPr>
          <w:rFonts w:ascii="Times New Roman" w:hAnsi="Times New Roman" w:cs="Times New Roman"/>
          <w:sz w:val="20"/>
          <w:szCs w:val="20"/>
          <w:shd w:val="clear" w:color="auto" w:fill="FFFFFF"/>
        </w:rPr>
        <w:t>É</w:t>
      </w:r>
      <w:r w:rsidRPr="007B09B7">
        <w:rPr>
          <w:rFonts w:ascii="Times New Roman" w:hAnsi="Times New Roman" w:cs="Times New Roman"/>
          <w:sz w:val="20"/>
          <w:szCs w:val="20"/>
          <w:shd w:val="clear" w:color="auto" w:fill="FFFFFF"/>
        </w:rPr>
        <w:t>tat ou de ses postes consulaires, de ses missions spéciales, de ses missions auprès des organisations internationales, ou de ses délégations dans les organes des organisations internationales ou aux conférences internationales ; </w:t>
      </w:r>
    </w:p>
    <w:p w14:paraId="778FC253" w14:textId="77777777" w:rsidR="00552491" w:rsidRPr="007B09B7" w:rsidRDefault="00552491" w:rsidP="002C2F99">
      <w:pPr>
        <w:pStyle w:val="Sansinterligne"/>
        <w:jc w:val="both"/>
        <w:rPr>
          <w:rFonts w:ascii="Times New Roman" w:hAnsi="Times New Roman" w:cs="Times New Roman"/>
          <w:sz w:val="20"/>
          <w:szCs w:val="20"/>
          <w:shd w:val="clear" w:color="auto" w:fill="FFFFFF"/>
        </w:rPr>
      </w:pPr>
      <w:r w:rsidRPr="007B09B7">
        <w:rPr>
          <w:rFonts w:ascii="Times New Roman" w:hAnsi="Times New Roman" w:cs="Times New Roman"/>
          <w:sz w:val="20"/>
          <w:szCs w:val="20"/>
          <w:shd w:val="clear" w:color="auto" w:fill="FFFFFF"/>
        </w:rPr>
        <w:t>b) Les biens de caractère militaire ou les biens utilisés ou destinés à être utilisés dans l'exercice des fonctions militaires ; </w:t>
      </w:r>
    </w:p>
    <w:p w14:paraId="611EE81B" w14:textId="77777777" w:rsidR="00552491" w:rsidRPr="007B09B7" w:rsidRDefault="00552491" w:rsidP="002C2F99">
      <w:pPr>
        <w:pStyle w:val="Sansinterligne"/>
        <w:jc w:val="both"/>
        <w:rPr>
          <w:rFonts w:ascii="Times New Roman" w:hAnsi="Times New Roman" w:cs="Times New Roman"/>
          <w:sz w:val="20"/>
          <w:szCs w:val="20"/>
          <w:shd w:val="clear" w:color="auto" w:fill="FFFFFF"/>
        </w:rPr>
      </w:pPr>
      <w:r w:rsidRPr="007B09B7">
        <w:rPr>
          <w:rFonts w:ascii="Times New Roman" w:hAnsi="Times New Roman" w:cs="Times New Roman"/>
          <w:sz w:val="20"/>
          <w:szCs w:val="20"/>
          <w:shd w:val="clear" w:color="auto" w:fill="FFFFFF"/>
        </w:rPr>
        <w:t>c) Les biens faisant part</w:t>
      </w:r>
      <w:r>
        <w:rPr>
          <w:rFonts w:ascii="Times New Roman" w:hAnsi="Times New Roman" w:cs="Times New Roman"/>
          <w:sz w:val="20"/>
          <w:szCs w:val="20"/>
          <w:shd w:val="clear" w:color="auto" w:fill="FFFFFF"/>
        </w:rPr>
        <w:t>ie du patrimoine culturel de l'</w:t>
      </w:r>
      <w:r w:rsidRPr="00184539">
        <w:rPr>
          <w:rFonts w:ascii="Times New Roman" w:hAnsi="Times New Roman" w:cs="Times New Roman"/>
          <w:sz w:val="20"/>
          <w:szCs w:val="20"/>
          <w:shd w:val="clear" w:color="auto" w:fill="FFFFFF"/>
        </w:rPr>
        <w:t>É</w:t>
      </w:r>
      <w:r w:rsidRPr="007B09B7">
        <w:rPr>
          <w:rFonts w:ascii="Times New Roman" w:hAnsi="Times New Roman" w:cs="Times New Roman"/>
          <w:sz w:val="20"/>
          <w:szCs w:val="20"/>
          <w:shd w:val="clear" w:color="auto" w:fill="FFFFFF"/>
        </w:rPr>
        <w:t>tat ou de ses archives qui ne sont pas mis ou destinés à être mis en vente ; </w:t>
      </w:r>
    </w:p>
    <w:p w14:paraId="79BB3AAF" w14:textId="77777777" w:rsidR="00552491" w:rsidRPr="007B09B7" w:rsidRDefault="00552491" w:rsidP="002C2F99">
      <w:pPr>
        <w:pStyle w:val="Sansinterligne"/>
        <w:jc w:val="both"/>
        <w:rPr>
          <w:rFonts w:ascii="Times New Roman" w:hAnsi="Times New Roman" w:cs="Times New Roman"/>
          <w:sz w:val="20"/>
          <w:szCs w:val="20"/>
          <w:shd w:val="clear" w:color="auto" w:fill="FFFFFF"/>
        </w:rPr>
      </w:pPr>
      <w:r w:rsidRPr="007B09B7">
        <w:rPr>
          <w:rFonts w:ascii="Times New Roman" w:hAnsi="Times New Roman" w:cs="Times New Roman"/>
          <w:sz w:val="20"/>
          <w:szCs w:val="20"/>
          <w:shd w:val="clear" w:color="auto" w:fill="FFFFFF"/>
        </w:rPr>
        <w:t>d) Les biens faisant partie d'une exposition d'objet d'intérêt scientifique, culturel ou historique qui ne sont pas mis ou destinés à être mis en vente ; </w:t>
      </w:r>
    </w:p>
    <w:p w14:paraId="1EC7347A" w14:textId="77777777" w:rsidR="00552491" w:rsidRPr="00072A5F" w:rsidRDefault="00552491" w:rsidP="002C2F99">
      <w:pPr>
        <w:pStyle w:val="Sansinterligne"/>
        <w:jc w:val="both"/>
        <w:rPr>
          <w:rFonts w:ascii="Times New Roman" w:hAnsi="Times New Roman" w:cs="Times New Roman"/>
          <w:sz w:val="20"/>
          <w:szCs w:val="20"/>
          <w:shd w:val="clear" w:color="auto" w:fill="FFFFFF"/>
        </w:rPr>
      </w:pPr>
      <w:r w:rsidRPr="007B09B7">
        <w:rPr>
          <w:rFonts w:ascii="Times New Roman" w:hAnsi="Times New Roman" w:cs="Times New Roman"/>
          <w:sz w:val="20"/>
          <w:szCs w:val="20"/>
          <w:shd w:val="clear" w:color="auto" w:fill="FFFFFF"/>
        </w:rPr>
        <w:t>e) Les créa</w:t>
      </w:r>
      <w:r>
        <w:rPr>
          <w:rFonts w:ascii="Times New Roman" w:hAnsi="Times New Roman" w:cs="Times New Roman"/>
          <w:sz w:val="20"/>
          <w:szCs w:val="20"/>
          <w:shd w:val="clear" w:color="auto" w:fill="FFFFFF"/>
        </w:rPr>
        <w:t>nces fiscales ou sociales de l'</w:t>
      </w:r>
      <w:r w:rsidRPr="00184539">
        <w:rPr>
          <w:rFonts w:ascii="Times New Roman" w:hAnsi="Times New Roman" w:cs="Times New Roman"/>
          <w:sz w:val="20"/>
          <w:szCs w:val="20"/>
          <w:shd w:val="clear" w:color="auto" w:fill="FFFFFF"/>
        </w:rPr>
        <w:t>É</w:t>
      </w:r>
      <w:r w:rsidRPr="007B09B7">
        <w:rPr>
          <w:rFonts w:ascii="Times New Roman" w:hAnsi="Times New Roman" w:cs="Times New Roman"/>
          <w:sz w:val="20"/>
          <w:szCs w:val="20"/>
          <w:shd w:val="clear" w:color="auto" w:fill="FFFFFF"/>
        </w:rPr>
        <w:t>tat ».</w:t>
      </w:r>
    </w:p>
    <w:p w14:paraId="5B34EB2F" w14:textId="77777777" w:rsidR="00552491" w:rsidRPr="00072A5F" w:rsidRDefault="00552491" w:rsidP="002C2F99">
      <w:pPr>
        <w:pStyle w:val="Sansinterligne"/>
        <w:jc w:val="both"/>
        <w:rPr>
          <w:rFonts w:ascii="Times New Roman" w:hAnsi="Times New Roman" w:cs="Times New Roman"/>
          <w:sz w:val="20"/>
          <w:szCs w:val="20"/>
          <w:shd w:val="clear" w:color="auto" w:fill="FFFFFF"/>
        </w:rPr>
      </w:pPr>
      <w:r w:rsidRPr="007B09B7">
        <w:rPr>
          <w:rFonts w:ascii="Times New Roman" w:hAnsi="Times New Roman" w:cs="Times New Roman"/>
          <w:sz w:val="20"/>
          <w:szCs w:val="20"/>
          <w:shd w:val="clear" w:color="auto" w:fill="FFFFFF"/>
        </w:rPr>
        <w:t>L’article 111-1-3 du code des procédures civiles d’exécution dispose quant à lui que :</w:t>
      </w:r>
      <w:r>
        <w:rPr>
          <w:rFonts w:ascii="Times New Roman" w:hAnsi="Times New Roman" w:cs="Times New Roman"/>
          <w:sz w:val="20"/>
          <w:szCs w:val="20"/>
          <w:shd w:val="clear" w:color="auto" w:fill="FFFFFF"/>
        </w:rPr>
        <w:t xml:space="preserve"> « (d)</w:t>
      </w:r>
      <w:r w:rsidRPr="007B09B7">
        <w:rPr>
          <w:rFonts w:ascii="Times New Roman" w:hAnsi="Times New Roman" w:cs="Times New Roman"/>
          <w:sz w:val="20"/>
          <w:szCs w:val="20"/>
          <w:shd w:val="clear" w:color="auto" w:fill="FFFFFF"/>
        </w:rPr>
        <w:t xml:space="preserve">es mesures conservatoires ou des mesures d'exécution forcée ne peuvent être mises en œuvre sur les biens, y compris les comptes bancaires, utilisés ou destinés à être utilisés dans l'exercice des fonctions </w:t>
      </w:r>
      <w:r>
        <w:rPr>
          <w:rFonts w:ascii="Times New Roman" w:hAnsi="Times New Roman" w:cs="Times New Roman"/>
          <w:sz w:val="20"/>
          <w:szCs w:val="20"/>
          <w:shd w:val="clear" w:color="auto" w:fill="FFFFFF"/>
        </w:rPr>
        <w:t xml:space="preserve">de la mission diplomatique des </w:t>
      </w:r>
      <w:r w:rsidRPr="00184539">
        <w:rPr>
          <w:rFonts w:ascii="Times New Roman" w:hAnsi="Times New Roman" w:cs="Times New Roman"/>
          <w:sz w:val="20"/>
          <w:szCs w:val="20"/>
          <w:shd w:val="clear" w:color="auto" w:fill="FFFFFF"/>
        </w:rPr>
        <w:t>É</w:t>
      </w:r>
      <w:r w:rsidRPr="007B09B7">
        <w:rPr>
          <w:rFonts w:ascii="Times New Roman" w:hAnsi="Times New Roman" w:cs="Times New Roman"/>
          <w:sz w:val="20"/>
          <w:szCs w:val="20"/>
          <w:shd w:val="clear" w:color="auto" w:fill="FFFFFF"/>
        </w:rPr>
        <w:t>tats étrangers ou de leurs postes consulaires, de leurs missions spéciales ou de leurs missions auprès des organisations internationales qu'en cas de renonci</w:t>
      </w:r>
      <w:r>
        <w:rPr>
          <w:rFonts w:ascii="Times New Roman" w:hAnsi="Times New Roman" w:cs="Times New Roman"/>
          <w:sz w:val="20"/>
          <w:szCs w:val="20"/>
          <w:shd w:val="clear" w:color="auto" w:fill="FFFFFF"/>
        </w:rPr>
        <w:t xml:space="preserve">ation expresse et spéciale des </w:t>
      </w:r>
      <w:r w:rsidRPr="00184539">
        <w:rPr>
          <w:rFonts w:ascii="Times New Roman" w:hAnsi="Times New Roman" w:cs="Times New Roman"/>
          <w:sz w:val="20"/>
          <w:szCs w:val="20"/>
          <w:shd w:val="clear" w:color="auto" w:fill="FFFFFF"/>
        </w:rPr>
        <w:t>É</w:t>
      </w:r>
      <w:r w:rsidRPr="007B09B7">
        <w:rPr>
          <w:rFonts w:ascii="Times New Roman" w:hAnsi="Times New Roman" w:cs="Times New Roman"/>
          <w:sz w:val="20"/>
          <w:szCs w:val="20"/>
          <w:shd w:val="clear" w:color="auto" w:fill="FFFFFF"/>
        </w:rPr>
        <w:t>tats concernés ».</w:t>
      </w:r>
    </w:p>
  </w:footnote>
  <w:footnote w:id="81">
    <w:p w14:paraId="182F5320" w14:textId="54197ADE" w:rsidR="00552491" w:rsidRDefault="00552491" w:rsidP="002C2F99">
      <w:pPr>
        <w:pStyle w:val="Notedebasdepage"/>
        <w:jc w:val="both"/>
      </w:pPr>
      <w:r>
        <w:rPr>
          <w:rStyle w:val="Appelnotedebasdep"/>
        </w:rPr>
        <w:footnoteRef/>
      </w:r>
      <w:r w:rsidR="00924009">
        <w:t xml:space="preserve"> Voy.</w:t>
      </w:r>
      <w:r>
        <w:t xml:space="preserve"> </w:t>
      </w:r>
      <w:r w:rsidRPr="00C457A6">
        <w:rPr>
          <w:i/>
        </w:rPr>
        <w:t>infra</w:t>
      </w:r>
      <w:r>
        <w:t xml:space="preserve"> </w:t>
      </w:r>
      <w:r w:rsidRPr="00DE33FF">
        <w:t>point 13.</w:t>
      </w:r>
    </w:p>
  </w:footnote>
  <w:footnote w:id="82">
    <w:p w14:paraId="6A94BF6D" w14:textId="67B116AA" w:rsidR="00552491" w:rsidRPr="00246FE1" w:rsidRDefault="00552491" w:rsidP="002C2F99">
      <w:pPr>
        <w:pStyle w:val="Sansinterligne"/>
        <w:jc w:val="both"/>
        <w:rPr>
          <w:rFonts w:ascii="Times New Roman" w:hAnsi="Times New Roman" w:cs="Times New Roman"/>
          <w:sz w:val="20"/>
          <w:szCs w:val="20"/>
        </w:rPr>
      </w:pPr>
      <w:r w:rsidRPr="003B7F67">
        <w:rPr>
          <w:rStyle w:val="Appelnotedebasdep"/>
          <w:rFonts w:ascii="Times New Roman" w:hAnsi="Times New Roman" w:cs="Times New Roman"/>
          <w:sz w:val="20"/>
          <w:szCs w:val="20"/>
        </w:rPr>
        <w:footnoteRef/>
      </w:r>
      <w:r w:rsidRPr="003B7F67">
        <w:rPr>
          <w:rFonts w:ascii="Times New Roman" w:hAnsi="Times New Roman" w:cs="Times New Roman"/>
          <w:sz w:val="20"/>
          <w:szCs w:val="20"/>
        </w:rPr>
        <w:t xml:space="preserve"> De manière incomplète à notre estim</w:t>
      </w:r>
      <w:r>
        <w:rPr>
          <w:rFonts w:ascii="Times New Roman" w:hAnsi="Times New Roman" w:cs="Times New Roman"/>
          <w:sz w:val="20"/>
          <w:szCs w:val="20"/>
        </w:rPr>
        <w:t>e, comme nous le verrons, Sylvia</w:t>
      </w:r>
      <w:r w:rsidRPr="003B7F67">
        <w:rPr>
          <w:rFonts w:ascii="Times New Roman" w:hAnsi="Times New Roman" w:cs="Times New Roman"/>
          <w:sz w:val="20"/>
          <w:szCs w:val="20"/>
        </w:rPr>
        <w:t xml:space="preserve">n Dorol se limite à indiquer que l’article 60 </w:t>
      </w:r>
      <w:r>
        <w:rPr>
          <w:rFonts w:ascii="Times New Roman" w:hAnsi="Times New Roman" w:cs="Times New Roman"/>
          <w:sz w:val="20"/>
          <w:szCs w:val="20"/>
        </w:rPr>
        <w:t>« </w:t>
      </w:r>
      <w:r w:rsidRPr="003B7F67">
        <w:rPr>
          <w:rFonts w:ascii="Times New Roman" w:hAnsi="Times New Roman" w:cs="Times New Roman"/>
          <w:sz w:val="20"/>
          <w:szCs w:val="20"/>
        </w:rPr>
        <w:t>vise et circonstancie uniqu</w:t>
      </w:r>
      <w:r>
        <w:rPr>
          <w:rFonts w:ascii="Times New Roman" w:hAnsi="Times New Roman" w:cs="Times New Roman"/>
          <w:sz w:val="20"/>
          <w:szCs w:val="20"/>
        </w:rPr>
        <w:t>ement l’immunité d’exécution d’</w:t>
      </w:r>
      <w:r w:rsidRPr="00184539">
        <w:rPr>
          <w:rFonts w:ascii="Times New Roman" w:hAnsi="Times New Roman" w:cs="Times New Roman"/>
          <w:sz w:val="20"/>
          <w:szCs w:val="20"/>
          <w:shd w:val="clear" w:color="auto" w:fill="FFFFFF"/>
        </w:rPr>
        <w:t>É</w:t>
      </w:r>
      <w:r w:rsidRPr="003B7F67">
        <w:rPr>
          <w:rFonts w:ascii="Times New Roman" w:hAnsi="Times New Roman" w:cs="Times New Roman"/>
          <w:sz w:val="20"/>
          <w:szCs w:val="20"/>
        </w:rPr>
        <w:t>tats étrangers opposable à certains créanciers</w:t>
      </w:r>
      <w:r>
        <w:rPr>
          <w:rFonts w:ascii="Times New Roman" w:hAnsi="Times New Roman" w:cs="Times New Roman"/>
          <w:sz w:val="20"/>
          <w:szCs w:val="20"/>
        </w:rPr>
        <w:t> »</w:t>
      </w:r>
      <w:r w:rsidRPr="003B7F67">
        <w:rPr>
          <w:rFonts w:ascii="Times New Roman" w:hAnsi="Times New Roman" w:cs="Times New Roman"/>
          <w:sz w:val="20"/>
          <w:szCs w:val="20"/>
        </w:rPr>
        <w:t xml:space="preserve">, en faisant </w:t>
      </w:r>
      <w:r w:rsidRPr="00A870C8">
        <w:rPr>
          <w:rFonts w:ascii="Times New Roman" w:hAnsi="Times New Roman" w:cs="Times New Roman"/>
          <w:sz w:val="20"/>
          <w:szCs w:val="20"/>
        </w:rPr>
        <w:t>uniquement référence aux créances qu’ils détiennent (S</w:t>
      </w:r>
      <w:r w:rsidRPr="003B7F67">
        <w:rPr>
          <w:rFonts w:ascii="Times New Roman" w:hAnsi="Times New Roman" w:cs="Times New Roman"/>
          <w:sz w:val="20"/>
          <w:szCs w:val="20"/>
        </w:rPr>
        <w:t xml:space="preserve">. </w:t>
      </w:r>
      <w:r w:rsidRPr="003B7F67">
        <w:rPr>
          <w:rFonts w:ascii="Times New Roman" w:hAnsi="Times New Roman" w:cs="Times New Roman"/>
          <w:smallCaps/>
          <w:sz w:val="20"/>
          <w:szCs w:val="20"/>
        </w:rPr>
        <w:t>Dorol</w:t>
      </w:r>
      <w:r>
        <w:rPr>
          <w:rFonts w:ascii="Times New Roman" w:hAnsi="Times New Roman" w:cs="Times New Roman"/>
          <w:sz w:val="20"/>
          <w:szCs w:val="20"/>
        </w:rPr>
        <w:t xml:space="preserve">, « Exécution forcée contre un </w:t>
      </w:r>
      <w:r w:rsidRPr="00184539">
        <w:rPr>
          <w:rFonts w:ascii="Times New Roman" w:hAnsi="Times New Roman" w:cs="Times New Roman"/>
          <w:sz w:val="20"/>
          <w:szCs w:val="20"/>
          <w:shd w:val="clear" w:color="auto" w:fill="FFFFFF"/>
        </w:rPr>
        <w:t>É</w:t>
      </w:r>
      <w:r w:rsidRPr="003B7F67">
        <w:rPr>
          <w:rFonts w:ascii="Times New Roman" w:hAnsi="Times New Roman" w:cs="Times New Roman"/>
          <w:sz w:val="20"/>
          <w:szCs w:val="20"/>
        </w:rPr>
        <w:t xml:space="preserve">tat étranger : oui, mais… », </w:t>
      </w:r>
      <w:r w:rsidRPr="003B7F67">
        <w:rPr>
          <w:rFonts w:ascii="Times New Roman" w:hAnsi="Times New Roman" w:cs="Times New Roman"/>
          <w:i/>
          <w:sz w:val="20"/>
          <w:szCs w:val="20"/>
        </w:rPr>
        <w:t>La Semaine juridique – Edition générale</w:t>
      </w:r>
      <w:r w:rsidRPr="003B7F67">
        <w:rPr>
          <w:rFonts w:ascii="Times New Roman" w:hAnsi="Times New Roman" w:cs="Times New Roman"/>
          <w:sz w:val="20"/>
          <w:szCs w:val="20"/>
        </w:rPr>
        <w:t>, 9 janvier 2017, p. 16).</w:t>
      </w:r>
    </w:p>
  </w:footnote>
  <w:footnote w:id="83">
    <w:p w14:paraId="67809967" w14:textId="77777777" w:rsidR="00552491" w:rsidRDefault="00552491" w:rsidP="002C2F99">
      <w:pPr>
        <w:pStyle w:val="Notedebasdepage"/>
        <w:jc w:val="both"/>
      </w:pPr>
      <w:r>
        <w:rPr>
          <w:rStyle w:val="Appelnotedebasdep"/>
        </w:rPr>
        <w:footnoteRef/>
      </w:r>
      <w:r>
        <w:t xml:space="preserve"> P. </w:t>
      </w:r>
      <w:r w:rsidRPr="005E3D36">
        <w:rPr>
          <w:smallCaps/>
        </w:rPr>
        <w:t>Giraud</w:t>
      </w:r>
      <w:r>
        <w:t xml:space="preserve">, « La restriction des mesures conservatoires et d’exécution forcée exercées par les fonds dits vautours : le syndrome du </w:t>
      </w:r>
      <w:r>
        <w:rPr>
          <w:szCs w:val="22"/>
        </w:rPr>
        <w:t>“</w:t>
      </w:r>
      <w:r>
        <w:t>milieu du gué</w:t>
      </w:r>
      <w:r>
        <w:rPr>
          <w:szCs w:val="22"/>
        </w:rPr>
        <w:t>”</w:t>
      </w:r>
      <w:r>
        <w:t xml:space="preserve"> », </w:t>
      </w:r>
      <w:r w:rsidRPr="005E3D36">
        <w:rPr>
          <w:i/>
        </w:rPr>
        <w:t>Revue de droit international d’Assas</w:t>
      </w:r>
      <w:r>
        <w:t>, 2018, vol. 1, p. 365.</w:t>
      </w:r>
    </w:p>
  </w:footnote>
  <w:footnote w:id="84">
    <w:p w14:paraId="4B89F855" w14:textId="3DE68142" w:rsidR="00552491" w:rsidRDefault="00552491" w:rsidP="002C2F99">
      <w:pPr>
        <w:pStyle w:val="Notedebasdepage"/>
        <w:jc w:val="both"/>
      </w:pPr>
      <w:r>
        <w:rPr>
          <w:rStyle w:val="Appelnotedebasdep"/>
        </w:rPr>
        <w:footnoteRef/>
      </w:r>
      <w:r w:rsidR="00924009">
        <w:t xml:space="preserve"> Voy.</w:t>
      </w:r>
      <w:r>
        <w:t xml:space="preserve"> </w:t>
      </w:r>
      <w:r w:rsidRPr="007A6DE8">
        <w:rPr>
          <w:i/>
        </w:rPr>
        <w:t>infra</w:t>
      </w:r>
      <w:r>
        <w:t xml:space="preserve"> point 13 où est analysée la condition reprise au 1° de la première disposition selon laquelle « </w:t>
      </w:r>
      <w:r>
        <w:rPr>
          <w:rFonts w:cs="Times New Roman"/>
          <w:color w:val="000000"/>
          <w:szCs w:val="24"/>
          <w:shd w:val="clear" w:color="auto" w:fill="FFFFFF"/>
        </w:rPr>
        <w:t>(l)'</w:t>
      </w:r>
      <w:r w:rsidRPr="00184539">
        <w:rPr>
          <w:rFonts w:cs="Times New Roman"/>
          <w:shd w:val="clear" w:color="auto" w:fill="FFFFFF"/>
        </w:rPr>
        <w:t>É</w:t>
      </w:r>
      <w:r w:rsidRPr="001C783A">
        <w:rPr>
          <w:rFonts w:cs="Times New Roman"/>
          <w:color w:val="000000"/>
          <w:szCs w:val="24"/>
          <w:shd w:val="clear" w:color="auto" w:fill="FFFFFF"/>
        </w:rPr>
        <w:t>tat étranger figurait sur la liste des bénéficiaires de l'aide publique au développement établie par le comité de l'aide au développement de l'Organisation de coopération et de développement économiques lorsqu'il a émis le titre de créance ».</w:t>
      </w:r>
    </w:p>
  </w:footnote>
  <w:footnote w:id="85">
    <w:p w14:paraId="0708AEA6" w14:textId="43C2BE40" w:rsidR="00552491" w:rsidRDefault="00552491" w:rsidP="002C2F99">
      <w:pPr>
        <w:pStyle w:val="Notedebasdepage"/>
        <w:jc w:val="both"/>
      </w:pPr>
      <w:r>
        <w:rPr>
          <w:rStyle w:val="Appelnotedebasdep"/>
        </w:rPr>
        <w:footnoteRef/>
      </w:r>
      <w:r>
        <w:t xml:space="preserve"> P. </w:t>
      </w:r>
      <w:r w:rsidRPr="005E3D36">
        <w:rPr>
          <w:smallCaps/>
        </w:rPr>
        <w:t>Giraud</w:t>
      </w:r>
      <w:r>
        <w:t xml:space="preserve">, « La restriction des mesures </w:t>
      </w:r>
      <w:r w:rsidRPr="00A870C8">
        <w:t xml:space="preserve">conservatoires et d’exécution forcée exercées par les fonds dits vautours : le syndrome du </w:t>
      </w:r>
      <w:r w:rsidRPr="00A870C8">
        <w:rPr>
          <w:szCs w:val="22"/>
        </w:rPr>
        <w:t>“</w:t>
      </w:r>
      <w:r w:rsidRPr="00A870C8">
        <w:t>milieu du gué</w:t>
      </w:r>
      <w:r w:rsidRPr="00A870C8">
        <w:rPr>
          <w:szCs w:val="22"/>
        </w:rPr>
        <w:t>”</w:t>
      </w:r>
      <w:r w:rsidRPr="00A870C8">
        <w:t xml:space="preserve"> », </w:t>
      </w:r>
      <w:r w:rsidRPr="00A870C8">
        <w:rPr>
          <w:i/>
        </w:rPr>
        <w:t>Revue de droit international d’Assas</w:t>
      </w:r>
      <w:r w:rsidR="00924009">
        <w:t>, 2018, vol. 1, p. 365. Voy.</w:t>
      </w:r>
      <w:r w:rsidRPr="00A870C8">
        <w:t xml:space="preserve"> encore </w:t>
      </w:r>
      <w:r w:rsidRPr="00A870C8">
        <w:rPr>
          <w:rFonts w:cs="Times New Roman"/>
        </w:rPr>
        <w:t xml:space="preserve">R. </w:t>
      </w:r>
      <w:r w:rsidRPr="00A870C8">
        <w:rPr>
          <w:rFonts w:cs="Times New Roman"/>
          <w:smallCaps/>
        </w:rPr>
        <w:t>Bismuth</w:t>
      </w:r>
      <w:r w:rsidRPr="00A870C8">
        <w:rPr>
          <w:rFonts w:cs="Times New Roman"/>
        </w:rPr>
        <w:t xml:space="preserve">, « L’immunité d’exécution après la loi Sapin 2 », </w:t>
      </w:r>
      <w:r w:rsidRPr="00A870C8">
        <w:rPr>
          <w:rFonts w:cs="Times New Roman"/>
          <w:i/>
        </w:rPr>
        <w:t>Journal du droit international</w:t>
      </w:r>
      <w:r w:rsidRPr="00A870C8">
        <w:rPr>
          <w:rFonts w:cs="Times New Roman"/>
        </w:rPr>
        <w:t>, 2018, p. 460 : « (l)es autres types de subdivisions territoriales (municipalités, régions, etc.) ne sont pas mentionnées et ne peuvent bénéficier de ces dispositions protectrices ».</w:t>
      </w:r>
    </w:p>
  </w:footnote>
  <w:footnote w:id="86">
    <w:p w14:paraId="7320BAA4" w14:textId="77777777" w:rsidR="00552491" w:rsidRDefault="00552491" w:rsidP="002C2F99">
      <w:pPr>
        <w:pStyle w:val="Sansinterligne"/>
        <w:jc w:val="both"/>
        <w:rPr>
          <w:rFonts w:ascii="Times New Roman" w:hAnsi="Times New Roman" w:cs="Times New Roman"/>
          <w:sz w:val="20"/>
          <w:szCs w:val="20"/>
        </w:rPr>
      </w:pPr>
      <w:r w:rsidRPr="00ED66EF">
        <w:rPr>
          <w:rStyle w:val="Appelnotedebasdep"/>
          <w:rFonts w:ascii="Times New Roman" w:hAnsi="Times New Roman" w:cs="Times New Roman"/>
          <w:sz w:val="20"/>
          <w:szCs w:val="20"/>
        </w:rPr>
        <w:footnoteRef/>
      </w:r>
      <w:r w:rsidRPr="00ED66EF">
        <w:rPr>
          <w:rFonts w:ascii="Times New Roman" w:hAnsi="Times New Roman" w:cs="Times New Roman"/>
          <w:sz w:val="20"/>
          <w:szCs w:val="20"/>
        </w:rPr>
        <w:t xml:space="preserve"> « Les titres de créance représentent chacun un droit de créance sur la personne morale ou le fonds commun de titrisation qui les émet.</w:t>
      </w:r>
    </w:p>
    <w:p w14:paraId="49A52974" w14:textId="77777777" w:rsidR="00552491" w:rsidRPr="00ED66EF" w:rsidRDefault="00552491" w:rsidP="002C2F99">
      <w:pPr>
        <w:pStyle w:val="Sansinterligne"/>
        <w:jc w:val="both"/>
        <w:rPr>
          <w:rFonts w:ascii="Times New Roman" w:hAnsi="Times New Roman" w:cs="Times New Roman"/>
          <w:sz w:val="4"/>
          <w:szCs w:val="4"/>
        </w:rPr>
      </w:pPr>
    </w:p>
    <w:p w14:paraId="603414FD" w14:textId="77777777" w:rsidR="00552491" w:rsidRPr="009079E5" w:rsidRDefault="00552491" w:rsidP="002C2F99">
      <w:pPr>
        <w:pStyle w:val="Sansinterligne"/>
        <w:jc w:val="both"/>
        <w:rPr>
          <w:rFonts w:ascii="Times New Roman" w:hAnsi="Times New Roman" w:cs="Times New Roman"/>
          <w:sz w:val="20"/>
          <w:szCs w:val="20"/>
        </w:rPr>
      </w:pPr>
      <w:r w:rsidRPr="00ED66EF">
        <w:rPr>
          <w:rFonts w:ascii="Times New Roman" w:hAnsi="Times New Roman" w:cs="Times New Roman"/>
          <w:sz w:val="20"/>
          <w:szCs w:val="20"/>
        </w:rPr>
        <w:t>Par dérogation à </w:t>
      </w:r>
      <w:hyperlink r:id="rId40" w:history="1">
        <w:r w:rsidRPr="00ED66EF">
          <w:rPr>
            <w:rStyle w:val="Lienhypertexte"/>
            <w:rFonts w:ascii="Times New Roman" w:eastAsiaTheme="majorEastAsia" w:hAnsi="Times New Roman" w:cs="Times New Roman"/>
            <w:color w:val="auto"/>
            <w:sz w:val="20"/>
            <w:szCs w:val="20"/>
            <w:u w:val="none"/>
          </w:rPr>
          <w:t>l'article 1349 du code civil</w:t>
        </w:r>
      </w:hyperlink>
      <w:r w:rsidRPr="00ED66EF">
        <w:rPr>
          <w:rFonts w:ascii="Times New Roman" w:hAnsi="Times New Roman" w:cs="Times New Roman"/>
          <w:sz w:val="20"/>
          <w:szCs w:val="20"/>
        </w:rPr>
        <w:t> et à l'</w:t>
      </w:r>
      <w:hyperlink r:id="rId41" w:history="1">
        <w:r w:rsidRPr="00ED66EF">
          <w:rPr>
            <w:rStyle w:val="Lienhypertexte"/>
            <w:rFonts w:ascii="Times New Roman" w:eastAsiaTheme="majorEastAsia" w:hAnsi="Times New Roman" w:cs="Times New Roman"/>
            <w:color w:val="auto"/>
            <w:sz w:val="20"/>
            <w:szCs w:val="20"/>
            <w:u w:val="none"/>
          </w:rPr>
          <w:t>article L. 228-74 du code de commerce</w:t>
        </w:r>
      </w:hyperlink>
      <w:r w:rsidRPr="00ED66EF">
        <w:rPr>
          <w:rFonts w:ascii="Times New Roman" w:hAnsi="Times New Roman" w:cs="Times New Roman"/>
          <w:sz w:val="20"/>
          <w:szCs w:val="20"/>
        </w:rPr>
        <w:t xml:space="preserve">, peuvent être acquis et </w:t>
      </w:r>
      <w:r w:rsidRPr="009079E5">
        <w:rPr>
          <w:rFonts w:ascii="Times New Roman" w:hAnsi="Times New Roman" w:cs="Times New Roman"/>
          <w:sz w:val="20"/>
          <w:szCs w:val="20"/>
        </w:rPr>
        <w:t>conservés par leurs émetteurs aux fins de favoriser la liquidité desdits titres :</w:t>
      </w:r>
    </w:p>
    <w:p w14:paraId="4916238C" w14:textId="77777777" w:rsidR="00552491" w:rsidRPr="009079E5" w:rsidRDefault="00552491" w:rsidP="002C2F99">
      <w:pPr>
        <w:pStyle w:val="Sansinterligne"/>
        <w:jc w:val="both"/>
        <w:rPr>
          <w:rFonts w:ascii="Times New Roman" w:hAnsi="Times New Roman" w:cs="Times New Roman"/>
          <w:sz w:val="4"/>
          <w:szCs w:val="4"/>
        </w:rPr>
      </w:pPr>
    </w:p>
    <w:p w14:paraId="715E9270" w14:textId="77777777" w:rsidR="00552491" w:rsidRPr="00ED66EF" w:rsidRDefault="00552491" w:rsidP="002C2F99">
      <w:pPr>
        <w:pStyle w:val="Sansinterligne"/>
        <w:jc w:val="both"/>
        <w:rPr>
          <w:rFonts w:ascii="Times New Roman" w:hAnsi="Times New Roman" w:cs="Times New Roman"/>
          <w:sz w:val="20"/>
          <w:szCs w:val="20"/>
        </w:rPr>
      </w:pPr>
      <w:r w:rsidRPr="009079E5">
        <w:rPr>
          <w:rFonts w:ascii="Times New Roman" w:hAnsi="Times New Roman" w:cs="Times New Roman"/>
          <w:sz w:val="20"/>
          <w:szCs w:val="20"/>
        </w:rPr>
        <w:t>1° Les titres de créances</w:t>
      </w:r>
      <w:r w:rsidRPr="00ED66EF">
        <w:rPr>
          <w:rFonts w:ascii="Times New Roman" w:hAnsi="Times New Roman" w:cs="Times New Roman"/>
          <w:sz w:val="20"/>
          <w:szCs w:val="20"/>
        </w:rPr>
        <w:t xml:space="preserve"> négociables ;</w:t>
      </w:r>
    </w:p>
    <w:p w14:paraId="5424D80F" w14:textId="77777777" w:rsidR="00552491" w:rsidRDefault="00552491" w:rsidP="002C2F99">
      <w:pPr>
        <w:pStyle w:val="Sansinterligne"/>
        <w:jc w:val="both"/>
        <w:rPr>
          <w:rFonts w:ascii="Times New Roman" w:hAnsi="Times New Roman" w:cs="Times New Roman"/>
          <w:sz w:val="20"/>
          <w:szCs w:val="20"/>
        </w:rPr>
      </w:pPr>
      <w:r w:rsidRPr="00ED66EF">
        <w:rPr>
          <w:rFonts w:ascii="Times New Roman" w:hAnsi="Times New Roman" w:cs="Times New Roman"/>
          <w:sz w:val="20"/>
          <w:szCs w:val="20"/>
        </w:rPr>
        <w:t>2° Les titres de créance ne donnant pas accès au capital admis aux négociations sur un marché réglementé ou sur un système multilatéral de négociation soumis aux dispositions du II de l'article L. 433-3 du présent code dans les conditions déterminées par le règlement général de l'Autorité des marchés financiers.</w:t>
      </w:r>
    </w:p>
    <w:p w14:paraId="24819D94" w14:textId="77777777" w:rsidR="00552491" w:rsidRPr="00ED66EF" w:rsidRDefault="00552491" w:rsidP="002C2F99">
      <w:pPr>
        <w:pStyle w:val="Sansinterligne"/>
        <w:jc w:val="both"/>
        <w:rPr>
          <w:rFonts w:ascii="Times New Roman" w:hAnsi="Times New Roman" w:cs="Times New Roman"/>
          <w:sz w:val="4"/>
          <w:szCs w:val="4"/>
        </w:rPr>
      </w:pPr>
    </w:p>
    <w:p w14:paraId="1B870059" w14:textId="77777777" w:rsidR="00552491" w:rsidRDefault="00552491" w:rsidP="002C2F99">
      <w:pPr>
        <w:pStyle w:val="Sansinterligne"/>
        <w:jc w:val="both"/>
        <w:rPr>
          <w:rFonts w:ascii="Times New Roman" w:hAnsi="Times New Roman" w:cs="Times New Roman"/>
          <w:sz w:val="20"/>
          <w:szCs w:val="20"/>
        </w:rPr>
      </w:pPr>
      <w:r w:rsidRPr="00ED66EF">
        <w:rPr>
          <w:rFonts w:ascii="Times New Roman" w:hAnsi="Times New Roman" w:cs="Times New Roman"/>
          <w:sz w:val="20"/>
          <w:szCs w:val="20"/>
        </w:rPr>
        <w:t>Pendant le temps de leur conservation par l'émetteur, tous les droits attachés aux titres de créance visés au 2° sont suspendus.</w:t>
      </w:r>
    </w:p>
    <w:p w14:paraId="2525180C" w14:textId="77777777" w:rsidR="00552491" w:rsidRPr="00ED66EF" w:rsidRDefault="00552491" w:rsidP="002C2F99">
      <w:pPr>
        <w:pStyle w:val="Sansinterligne"/>
        <w:jc w:val="both"/>
        <w:rPr>
          <w:rFonts w:ascii="Times New Roman" w:hAnsi="Times New Roman" w:cs="Times New Roman"/>
          <w:sz w:val="4"/>
          <w:szCs w:val="4"/>
        </w:rPr>
      </w:pPr>
    </w:p>
    <w:p w14:paraId="1B18434D" w14:textId="77777777" w:rsidR="00552491" w:rsidRDefault="00552491" w:rsidP="002C2F99">
      <w:pPr>
        <w:pStyle w:val="Sansinterligne"/>
        <w:jc w:val="both"/>
        <w:rPr>
          <w:rFonts w:ascii="Times New Roman" w:hAnsi="Times New Roman" w:cs="Times New Roman"/>
          <w:sz w:val="20"/>
          <w:szCs w:val="20"/>
        </w:rPr>
      </w:pPr>
      <w:r w:rsidRPr="00ED66EF">
        <w:rPr>
          <w:rFonts w:ascii="Times New Roman" w:hAnsi="Times New Roman" w:cs="Times New Roman"/>
          <w:sz w:val="20"/>
          <w:szCs w:val="20"/>
        </w:rPr>
        <w:t>Le règlement général de l'Autorité des marchés financiers détermine les conditions dans lesquelles l'émetteur rend public le rachat d'une quantité de titres de créance visés au 2°.</w:t>
      </w:r>
    </w:p>
    <w:p w14:paraId="0CDAAAA1" w14:textId="77777777" w:rsidR="00552491" w:rsidRPr="00ED66EF" w:rsidRDefault="00552491" w:rsidP="002C2F99">
      <w:pPr>
        <w:pStyle w:val="Sansinterligne"/>
        <w:jc w:val="both"/>
        <w:rPr>
          <w:rFonts w:ascii="Times New Roman" w:hAnsi="Times New Roman" w:cs="Times New Roman"/>
          <w:sz w:val="4"/>
          <w:szCs w:val="4"/>
        </w:rPr>
      </w:pPr>
    </w:p>
    <w:p w14:paraId="3BD0AB2B" w14:textId="77777777" w:rsidR="00552491" w:rsidRPr="00ED66EF" w:rsidRDefault="00552491" w:rsidP="002C2F99">
      <w:pPr>
        <w:pStyle w:val="Sansinterligne"/>
        <w:jc w:val="both"/>
        <w:rPr>
          <w:rFonts w:ascii="Times New Roman" w:hAnsi="Times New Roman" w:cs="Times New Roman"/>
          <w:sz w:val="20"/>
          <w:szCs w:val="20"/>
        </w:rPr>
      </w:pPr>
      <w:r w:rsidRPr="00ED66EF">
        <w:rPr>
          <w:rFonts w:ascii="Times New Roman" w:hAnsi="Times New Roman" w:cs="Times New Roman"/>
          <w:sz w:val="20"/>
          <w:szCs w:val="20"/>
        </w:rPr>
        <w:t>Un décret détermine la durée maximale de détention des titres de créance visés au 2° acquis ou conservés par l'émetteur.</w:t>
      </w:r>
    </w:p>
    <w:p w14:paraId="4F4371CD" w14:textId="77777777" w:rsidR="00552491" w:rsidRPr="009079E5" w:rsidRDefault="00552491" w:rsidP="002C2F99">
      <w:pPr>
        <w:pStyle w:val="Sansinterligne"/>
        <w:jc w:val="both"/>
        <w:rPr>
          <w:rFonts w:ascii="Times New Roman" w:hAnsi="Times New Roman" w:cs="Times New Roman"/>
          <w:sz w:val="20"/>
          <w:szCs w:val="20"/>
        </w:rPr>
      </w:pPr>
      <w:r w:rsidRPr="00ED66EF">
        <w:rPr>
          <w:rFonts w:ascii="Times New Roman" w:hAnsi="Times New Roman" w:cs="Times New Roman"/>
          <w:sz w:val="20"/>
          <w:szCs w:val="20"/>
        </w:rPr>
        <w:t xml:space="preserve">Un émetteur ne peut détenir plus de 15 % d'une même émission d'un </w:t>
      </w:r>
      <w:r w:rsidRPr="009079E5">
        <w:rPr>
          <w:rFonts w:ascii="Times New Roman" w:hAnsi="Times New Roman" w:cs="Times New Roman"/>
          <w:sz w:val="20"/>
          <w:szCs w:val="20"/>
        </w:rPr>
        <w:t>titre de créance visé au 2°.</w:t>
      </w:r>
    </w:p>
    <w:p w14:paraId="6971B5DD" w14:textId="77777777" w:rsidR="00552491" w:rsidRPr="009079E5" w:rsidRDefault="00552491" w:rsidP="002C2F99">
      <w:pPr>
        <w:pStyle w:val="Sansinterligne"/>
        <w:jc w:val="both"/>
        <w:rPr>
          <w:rFonts w:ascii="Times New Roman" w:hAnsi="Times New Roman" w:cs="Times New Roman"/>
          <w:sz w:val="4"/>
          <w:szCs w:val="4"/>
        </w:rPr>
      </w:pPr>
    </w:p>
    <w:p w14:paraId="4A5ACACF" w14:textId="77777777" w:rsidR="00552491" w:rsidRPr="0012417F" w:rsidRDefault="00552491" w:rsidP="002C2F99">
      <w:pPr>
        <w:pStyle w:val="Sansinterligne"/>
        <w:jc w:val="both"/>
      </w:pPr>
      <w:r w:rsidRPr="009079E5">
        <w:rPr>
          <w:rFonts w:ascii="Times New Roman" w:hAnsi="Times New Roman" w:cs="Times New Roman"/>
          <w:sz w:val="20"/>
          <w:szCs w:val="20"/>
        </w:rPr>
        <w:t>Un décret détermine les conditions dans lesquelles l'émetteur peut racheter des titres de créances négociables</w:t>
      </w:r>
      <w:r w:rsidRPr="00ED66EF">
        <w:rPr>
          <w:rFonts w:ascii="Times New Roman" w:hAnsi="Times New Roman" w:cs="Times New Roman"/>
          <w:sz w:val="20"/>
          <w:szCs w:val="20"/>
        </w:rPr>
        <w:t xml:space="preserve"> qu'il a émis et doit informer la Banque de France de ces rachats ».</w:t>
      </w:r>
    </w:p>
  </w:footnote>
  <w:footnote w:id="87">
    <w:p w14:paraId="182333C7" w14:textId="77777777" w:rsidR="00552491" w:rsidRPr="00ED66EF" w:rsidRDefault="00552491" w:rsidP="002C2F99">
      <w:pPr>
        <w:pStyle w:val="Notedebasdepage"/>
        <w:jc w:val="both"/>
      </w:pPr>
      <w:r w:rsidRPr="00ED66EF">
        <w:rPr>
          <w:rStyle w:val="Appelnotedebasdep"/>
        </w:rPr>
        <w:footnoteRef/>
      </w:r>
      <w:r w:rsidRPr="00ED66EF">
        <w:t xml:space="preserve"> « S</w:t>
      </w:r>
      <w:r w:rsidRPr="00ED66EF">
        <w:rPr>
          <w:rFonts w:cs="Times New Roman"/>
          <w:color w:val="000000"/>
          <w:szCs w:val="24"/>
          <w:shd w:val="clear" w:color="auto" w:fill="FFFFFF"/>
        </w:rPr>
        <w:t xml:space="preserve">ont assimilés aux titres financiers </w:t>
      </w:r>
      <w:r w:rsidRPr="00ED66EF">
        <w:rPr>
          <w:rFonts w:cs="Times New Roman"/>
          <w:szCs w:val="24"/>
          <w:shd w:val="clear" w:color="auto" w:fill="FFFFFF"/>
        </w:rPr>
        <w:t>mentionnés à </w:t>
      </w:r>
      <w:hyperlink r:id="rId42" w:history="1">
        <w:r w:rsidRPr="00ED66EF">
          <w:rPr>
            <w:rStyle w:val="Lienhypertexte"/>
            <w:rFonts w:cs="Times New Roman"/>
            <w:color w:val="auto"/>
            <w:szCs w:val="24"/>
            <w:u w:val="none"/>
            <w:shd w:val="clear" w:color="auto" w:fill="FFFFFF"/>
          </w:rPr>
          <w:t>l'article L. 211-1</w:t>
        </w:r>
      </w:hyperlink>
      <w:r w:rsidRPr="00ED66EF">
        <w:rPr>
          <w:rFonts w:cs="Times New Roman"/>
          <w:szCs w:val="24"/>
          <w:shd w:val="clear" w:color="auto" w:fill="FFFFFF"/>
        </w:rPr>
        <w:t> </w:t>
      </w:r>
      <w:r w:rsidRPr="00ED66EF">
        <w:rPr>
          <w:rFonts w:cs="Times New Roman"/>
          <w:color w:val="000000"/>
          <w:szCs w:val="24"/>
          <w:shd w:val="clear" w:color="auto" w:fill="FFFFFF"/>
        </w:rPr>
        <w:t>tous les instruments équivalents ou droits représentatifs d'un placement financier dans une entité émis sur le fondement de droits étrangers »</w:t>
      </w:r>
      <w:r>
        <w:rPr>
          <w:rFonts w:cs="Times New Roman"/>
          <w:color w:val="000000"/>
          <w:szCs w:val="24"/>
          <w:shd w:val="clear" w:color="auto" w:fill="FFFFFF"/>
        </w:rPr>
        <w:t>.</w:t>
      </w:r>
    </w:p>
  </w:footnote>
  <w:footnote w:id="88">
    <w:p w14:paraId="19862533" w14:textId="77777777" w:rsidR="00552491" w:rsidRDefault="00552491" w:rsidP="002C2F99">
      <w:pPr>
        <w:pStyle w:val="Notedebasdepage"/>
        <w:jc w:val="both"/>
      </w:pPr>
      <w:r>
        <w:rPr>
          <w:rStyle w:val="Appelnotedebasdep"/>
        </w:rPr>
        <w:footnoteRef/>
      </w:r>
      <w:r>
        <w:t xml:space="preserve"> P. </w:t>
      </w:r>
      <w:r w:rsidRPr="005E3D36">
        <w:rPr>
          <w:smallCaps/>
        </w:rPr>
        <w:t>Giraud</w:t>
      </w:r>
      <w:r>
        <w:t xml:space="preserve">, « La restriction des mesures conservatoires et d’exécution forcée exercées par les fonds dits vautours : le syndrome du </w:t>
      </w:r>
      <w:r>
        <w:rPr>
          <w:szCs w:val="22"/>
        </w:rPr>
        <w:t>“</w:t>
      </w:r>
      <w:r>
        <w:t>milieu du gué</w:t>
      </w:r>
      <w:r>
        <w:rPr>
          <w:szCs w:val="22"/>
        </w:rPr>
        <w:t>”</w:t>
      </w:r>
      <w:r>
        <w:t xml:space="preserve"> », </w:t>
      </w:r>
      <w:r w:rsidRPr="005E3D36">
        <w:rPr>
          <w:i/>
        </w:rPr>
        <w:t>Revue de droit international d’Assas</w:t>
      </w:r>
      <w:r>
        <w:t>, 2018, vol. 1, pp. 362-363.</w:t>
      </w:r>
    </w:p>
  </w:footnote>
  <w:footnote w:id="89">
    <w:p w14:paraId="4A4DC914" w14:textId="77777777" w:rsidR="00552491" w:rsidRDefault="00552491" w:rsidP="002C2F99">
      <w:pPr>
        <w:pStyle w:val="Notedebasdepage"/>
        <w:jc w:val="both"/>
      </w:pPr>
      <w:r>
        <w:rPr>
          <w:rStyle w:val="Appelnotedebasdep"/>
        </w:rPr>
        <w:footnoteRef/>
      </w:r>
      <w:r>
        <w:t xml:space="preserve"> P. </w:t>
      </w:r>
      <w:r w:rsidRPr="005E3D36">
        <w:rPr>
          <w:smallCaps/>
        </w:rPr>
        <w:t>Giraud</w:t>
      </w:r>
      <w:r>
        <w:rPr>
          <w:smallCaps/>
        </w:rPr>
        <w:t xml:space="preserve">, </w:t>
      </w:r>
      <w:r>
        <w:t xml:space="preserve">« La restriction des mesures conservatoires et d’exécution forcée exercées par les fonds dits vautours : le syndrome du </w:t>
      </w:r>
      <w:r>
        <w:rPr>
          <w:szCs w:val="22"/>
        </w:rPr>
        <w:t>“</w:t>
      </w:r>
      <w:r>
        <w:t>milieu du gué</w:t>
      </w:r>
      <w:r>
        <w:rPr>
          <w:szCs w:val="22"/>
        </w:rPr>
        <w:t>”</w:t>
      </w:r>
      <w:r>
        <w:t xml:space="preserve"> », </w:t>
      </w:r>
      <w:r w:rsidRPr="005E3D36">
        <w:rPr>
          <w:i/>
        </w:rPr>
        <w:t>Revue de droit international d’Assas</w:t>
      </w:r>
      <w:r>
        <w:t>, 2018, vol. 1, p. 363.</w:t>
      </w:r>
    </w:p>
  </w:footnote>
  <w:footnote w:id="90">
    <w:p w14:paraId="2527DCE8" w14:textId="77777777" w:rsidR="00552491" w:rsidRPr="00F87A13" w:rsidRDefault="00552491" w:rsidP="002C2F99">
      <w:pPr>
        <w:pStyle w:val="Sansinterligne"/>
        <w:jc w:val="both"/>
        <w:rPr>
          <w:rFonts w:ascii="Times New Roman" w:hAnsi="Times New Roman" w:cs="Times New Roman"/>
          <w:b/>
          <w:sz w:val="20"/>
          <w:szCs w:val="20"/>
          <w:shd w:val="clear" w:color="auto" w:fill="FFFFFF"/>
        </w:rPr>
      </w:pPr>
      <w:r w:rsidRPr="00F87A13">
        <w:rPr>
          <w:rStyle w:val="Appelnotedebasdep"/>
          <w:rFonts w:ascii="Times New Roman" w:hAnsi="Times New Roman" w:cs="Times New Roman"/>
          <w:sz w:val="20"/>
          <w:szCs w:val="20"/>
        </w:rPr>
        <w:footnoteRef/>
      </w:r>
      <w:r w:rsidRPr="00F87A13">
        <w:rPr>
          <w:rFonts w:ascii="Times New Roman" w:hAnsi="Times New Roman" w:cs="Times New Roman"/>
          <w:sz w:val="20"/>
          <w:szCs w:val="20"/>
        </w:rPr>
        <w:t xml:space="preserve"> </w:t>
      </w:r>
      <w:r w:rsidRPr="00F87A13">
        <w:rPr>
          <w:rFonts w:ascii="Times New Roman" w:hAnsi="Times New Roman" w:cs="Times New Roman"/>
          <w:sz w:val="20"/>
          <w:szCs w:val="20"/>
          <w:shd w:val="clear" w:color="auto" w:fill="FFFFFF"/>
        </w:rPr>
        <w:t>Quoique le critère du siège du créancier ne fut pas repris parmi les conditions donnant lieu à l’application du mécanisme anti-fonds vautours prévu à l’article 60 de la loi Sapin II, relevons que les parlementaires ayant présenté l’amendement à l’origine de l’adoption de cet article indiquèrent que « (c)ette mesure s’inscrit de façon globale dans la lutte contre les juridictions non coopératives, dans l</w:t>
      </w:r>
      <w:r>
        <w:rPr>
          <w:rFonts w:ascii="Times New Roman" w:hAnsi="Times New Roman" w:cs="Times New Roman"/>
          <w:sz w:val="20"/>
          <w:szCs w:val="20"/>
          <w:shd w:val="clear" w:color="auto" w:fill="FFFFFF"/>
        </w:rPr>
        <w:t xml:space="preserve">a mesure où de nombreux </w:t>
      </w:r>
      <w:r w:rsidRPr="007B117D">
        <w:rPr>
          <w:rFonts w:ascii="Times New Roman" w:hAnsi="Times New Roman" w:cs="Times New Roman"/>
          <w:sz w:val="20"/>
          <w:szCs w:val="20"/>
          <w:shd w:val="clear" w:color="auto" w:fill="FFFFFF"/>
        </w:rPr>
        <w:t xml:space="preserve">fonds </w:t>
      </w:r>
      <w:r w:rsidRPr="007B117D">
        <w:rPr>
          <w:rFonts w:ascii="Times New Roman" w:hAnsi="Times New Roman" w:cs="Times New Roman"/>
          <w:sz w:val="20"/>
          <w:szCs w:val="20"/>
        </w:rPr>
        <w:t>“</w:t>
      </w:r>
      <w:r w:rsidRPr="007B117D">
        <w:rPr>
          <w:rFonts w:ascii="Times New Roman" w:hAnsi="Times New Roman" w:cs="Times New Roman"/>
          <w:sz w:val="20"/>
          <w:szCs w:val="20"/>
          <w:shd w:val="clear" w:color="auto" w:fill="FFFFFF"/>
        </w:rPr>
        <w:t>procéduriers</w:t>
      </w:r>
      <w:r w:rsidRPr="007B117D">
        <w:rPr>
          <w:rFonts w:ascii="Times New Roman" w:hAnsi="Times New Roman" w:cs="Times New Roman"/>
          <w:sz w:val="20"/>
          <w:szCs w:val="20"/>
        </w:rPr>
        <w:t>”</w:t>
      </w:r>
      <w:r w:rsidRPr="007B117D">
        <w:rPr>
          <w:rFonts w:ascii="Times New Roman" w:hAnsi="Times New Roman" w:cs="Times New Roman"/>
          <w:sz w:val="20"/>
          <w:szCs w:val="20"/>
          <w:shd w:val="clear" w:color="auto" w:fill="FFFFFF"/>
        </w:rPr>
        <w:t xml:space="preserve"> y basent</w:t>
      </w:r>
      <w:r w:rsidRPr="00F87A13">
        <w:rPr>
          <w:rFonts w:ascii="Times New Roman" w:hAnsi="Times New Roman" w:cs="Times New Roman"/>
          <w:sz w:val="20"/>
          <w:szCs w:val="20"/>
          <w:shd w:val="clear" w:color="auto" w:fill="FFFFFF"/>
        </w:rPr>
        <w:t xml:space="preserve"> leur siège social pour faciliter leurs activités » et qu’ « (i)l s’agit donc d’un outil supplémentaire permettant de limiter l’avantage comparatif des juridictions non coopératives ». Et ces parlementaires de justifier de ne pas avoir retenu le critère du siège en indiquant que « (t)outefois, la localisa</w:t>
      </w:r>
      <w:r>
        <w:rPr>
          <w:rFonts w:ascii="Times New Roman" w:hAnsi="Times New Roman" w:cs="Times New Roman"/>
          <w:sz w:val="20"/>
          <w:szCs w:val="20"/>
          <w:shd w:val="clear" w:color="auto" w:fill="FFFFFF"/>
        </w:rPr>
        <w:t xml:space="preserve">tion du siège social du </w:t>
      </w:r>
      <w:r w:rsidRPr="007B117D">
        <w:rPr>
          <w:rFonts w:ascii="Times New Roman" w:hAnsi="Times New Roman" w:cs="Times New Roman"/>
          <w:sz w:val="20"/>
          <w:szCs w:val="20"/>
          <w:shd w:val="clear" w:color="auto" w:fill="FFFFFF"/>
        </w:rPr>
        <w:t xml:space="preserve">fonds </w:t>
      </w:r>
      <w:r w:rsidRPr="007B117D">
        <w:rPr>
          <w:rFonts w:ascii="Times New Roman" w:hAnsi="Times New Roman" w:cs="Times New Roman"/>
          <w:sz w:val="20"/>
          <w:szCs w:val="20"/>
        </w:rPr>
        <w:t>“</w:t>
      </w:r>
      <w:r w:rsidRPr="007B117D">
        <w:rPr>
          <w:rFonts w:ascii="Times New Roman" w:hAnsi="Times New Roman" w:cs="Times New Roman"/>
          <w:sz w:val="20"/>
          <w:szCs w:val="20"/>
          <w:shd w:val="clear" w:color="auto" w:fill="FFFFFF"/>
        </w:rPr>
        <w:t>procédurier</w:t>
      </w:r>
      <w:r w:rsidRPr="007B117D">
        <w:rPr>
          <w:rFonts w:ascii="Times New Roman" w:hAnsi="Times New Roman" w:cs="Times New Roman"/>
          <w:sz w:val="20"/>
          <w:szCs w:val="20"/>
        </w:rPr>
        <w:t>”</w:t>
      </w:r>
      <w:r w:rsidRPr="007B117D">
        <w:rPr>
          <w:rFonts w:ascii="Times New Roman" w:hAnsi="Times New Roman" w:cs="Times New Roman"/>
          <w:sz w:val="20"/>
          <w:szCs w:val="20"/>
          <w:shd w:val="clear" w:color="auto" w:fill="FFFFFF"/>
        </w:rPr>
        <w:t xml:space="preserve"> dans</w:t>
      </w:r>
      <w:r w:rsidRPr="00F87A13">
        <w:rPr>
          <w:rFonts w:ascii="Times New Roman" w:hAnsi="Times New Roman" w:cs="Times New Roman"/>
          <w:sz w:val="20"/>
          <w:szCs w:val="20"/>
          <w:shd w:val="clear" w:color="auto" w:fill="FFFFFF"/>
        </w:rPr>
        <w:t xml:space="preserve"> une juridiction coopérative n’est pas systématique, et constitue en outre un critère trop aisément contournable pour être inscrit dans le texte de la mesure ». Finalement, il est encore précisé qu’ « (i)l doit toutefois constituer un élément supplémentaire d’attention pour le juge amené à statuer sur une demande d’ordonnance sur requête » (</w:t>
      </w:r>
      <w:r w:rsidRPr="00F87A13">
        <w:rPr>
          <w:rFonts w:ascii="Times New Roman" w:hAnsi="Times New Roman" w:cs="Times New Roman"/>
          <w:sz w:val="20"/>
          <w:szCs w:val="20"/>
        </w:rPr>
        <w:t>amendement n° 1405 (Rect) présenté par D.</w:t>
      </w:r>
      <w:r w:rsidRPr="00F87A13">
        <w:rPr>
          <w:rFonts w:ascii="Times New Roman" w:hAnsi="Times New Roman" w:cs="Times New Roman"/>
          <w:iCs/>
          <w:sz w:val="20"/>
          <w:szCs w:val="20"/>
          <w:shd w:val="clear" w:color="auto" w:fill="FFFFFF"/>
        </w:rPr>
        <w:t xml:space="preserve"> Potier, S. Mazetier, S. Denaja, R. Colas, C. Castaner, S. Errante, Y. Galut, P. Cherki, M. Rabin, C. Guittet, J.-R. Marsac, P. Baumel, J.-P. Dufau et R. Hammadi, </w:t>
      </w:r>
      <w:r>
        <w:rPr>
          <w:rFonts w:ascii="Times New Roman" w:hAnsi="Times New Roman" w:cs="Times New Roman"/>
          <w:iCs/>
          <w:sz w:val="20"/>
          <w:szCs w:val="20"/>
          <w:shd w:val="clear" w:color="auto" w:fill="FFFFFF"/>
        </w:rPr>
        <w:t>2 juin 2016,</w:t>
      </w:r>
      <w:r w:rsidRPr="00F87A13">
        <w:rPr>
          <w:rFonts w:ascii="Times New Roman" w:hAnsi="Times New Roman" w:cs="Times New Roman"/>
          <w:iCs/>
          <w:sz w:val="20"/>
          <w:szCs w:val="20"/>
          <w:shd w:val="clear" w:color="auto" w:fill="FFFFFF"/>
        </w:rPr>
        <w:t xml:space="preserve"> p. 4)</w:t>
      </w:r>
      <w:r w:rsidRPr="00F87A13">
        <w:rPr>
          <w:rFonts w:ascii="Times New Roman" w:hAnsi="Times New Roman" w:cs="Times New Roman"/>
          <w:sz w:val="20"/>
          <w:szCs w:val="20"/>
          <w:shd w:val="clear" w:color="auto" w:fill="FFFFFF"/>
        </w:rPr>
        <w:t xml:space="preserve">. La prise en compte de cet élément par le juge </w:t>
      </w:r>
      <w:r>
        <w:rPr>
          <w:rFonts w:ascii="Times New Roman" w:hAnsi="Times New Roman" w:cs="Times New Roman"/>
          <w:sz w:val="20"/>
          <w:szCs w:val="20"/>
          <w:shd w:val="clear" w:color="auto" w:fill="FFFFFF"/>
        </w:rPr>
        <w:t xml:space="preserve">auprès de qui sont sollicitées des mesures conservatoires ou des mesures d’exécution forcée visant un bien appartenant à un </w:t>
      </w:r>
      <w:r w:rsidRPr="00184539">
        <w:rPr>
          <w:rFonts w:ascii="Times New Roman" w:hAnsi="Times New Roman" w:cs="Times New Roman"/>
          <w:sz w:val="20"/>
          <w:szCs w:val="20"/>
          <w:shd w:val="clear" w:color="auto" w:fill="FFFFFF"/>
        </w:rPr>
        <w:t>É</w:t>
      </w:r>
      <w:r>
        <w:rPr>
          <w:rFonts w:ascii="Times New Roman" w:hAnsi="Times New Roman" w:cs="Times New Roman"/>
          <w:sz w:val="20"/>
          <w:szCs w:val="20"/>
          <w:shd w:val="clear" w:color="auto" w:fill="FFFFFF"/>
        </w:rPr>
        <w:t xml:space="preserve">tat étranger </w:t>
      </w:r>
      <w:r w:rsidRPr="00F87A13">
        <w:rPr>
          <w:rFonts w:ascii="Times New Roman" w:hAnsi="Times New Roman" w:cs="Times New Roman"/>
          <w:sz w:val="20"/>
          <w:szCs w:val="20"/>
          <w:shd w:val="clear" w:color="auto" w:fill="FFFFFF"/>
        </w:rPr>
        <w:t>nous échappe.</w:t>
      </w:r>
    </w:p>
  </w:footnote>
  <w:footnote w:id="91">
    <w:p w14:paraId="0552858E" w14:textId="77777777" w:rsidR="00552491" w:rsidRDefault="00552491" w:rsidP="002C2F99">
      <w:pPr>
        <w:pStyle w:val="Notedebasdepage"/>
        <w:jc w:val="both"/>
      </w:pPr>
      <w:r>
        <w:rPr>
          <w:rStyle w:val="Appelnotedebasdep"/>
        </w:rPr>
        <w:footnoteRef/>
      </w:r>
      <w:r>
        <w:t xml:space="preserve"> Cette liste est disponible à l’adresse </w:t>
      </w:r>
      <w:hyperlink r:id="rId43" w:history="1">
        <w:r w:rsidRPr="00674042">
          <w:rPr>
            <w:rStyle w:val="Lienhypertexte"/>
          </w:rPr>
          <w:t>www.oecd.org/fr/cad/financementpourledeveloppementdurable/normes-financement-developpement/DAC_List_ODA_Recipients2018to2020_flows_Fr.pdf</w:t>
        </w:r>
      </w:hyperlink>
      <w:r>
        <w:t xml:space="preserve"> (liste des bénéficiaires de l'APD établie par le CAD - Effective pour la notification des apports de 2018, 2019 et 2020). Ainsi, par exemple, au vu de cette condition à l’application du mécanisme de l’article 60, la Grèce ne pourrait en bénéficier.</w:t>
      </w:r>
    </w:p>
  </w:footnote>
  <w:footnote w:id="92">
    <w:p w14:paraId="49DA40D2" w14:textId="77777777" w:rsidR="00552491" w:rsidRPr="007F5FDD" w:rsidRDefault="00552491" w:rsidP="002C2F99">
      <w:pPr>
        <w:pStyle w:val="Sansinterligne"/>
        <w:jc w:val="both"/>
        <w:rPr>
          <w:rFonts w:ascii="Times New Roman" w:hAnsi="Times New Roman" w:cs="Times New Roman"/>
          <w:sz w:val="20"/>
          <w:szCs w:val="20"/>
          <w:shd w:val="clear" w:color="auto" w:fill="FFFFFF"/>
        </w:rPr>
      </w:pPr>
      <w:r w:rsidRPr="007F5FDD">
        <w:rPr>
          <w:rStyle w:val="Appelnotedebasdep"/>
          <w:rFonts w:ascii="Times New Roman" w:hAnsi="Times New Roman" w:cs="Times New Roman"/>
          <w:sz w:val="20"/>
          <w:szCs w:val="20"/>
        </w:rPr>
        <w:footnoteRef/>
      </w:r>
      <w:r w:rsidRPr="007F5FDD">
        <w:rPr>
          <w:rFonts w:ascii="Times New Roman" w:hAnsi="Times New Roman" w:cs="Times New Roman"/>
          <w:sz w:val="20"/>
          <w:szCs w:val="20"/>
        </w:rPr>
        <w:t xml:space="preserve"> </w:t>
      </w:r>
      <w:r w:rsidRPr="007F5FDD">
        <w:rPr>
          <w:rFonts w:ascii="Times New Roman" w:hAnsi="Times New Roman" w:cs="Times New Roman"/>
          <w:sz w:val="20"/>
          <w:szCs w:val="20"/>
          <w:shd w:val="clear" w:color="auto" w:fill="FFFFFF"/>
        </w:rPr>
        <w:t>Paul Giraud souligne que ce critère temporel peut s’avérer inapproprié dès lors qu</w:t>
      </w:r>
      <w:r>
        <w:rPr>
          <w:rFonts w:ascii="Times New Roman" w:hAnsi="Times New Roman" w:cs="Times New Roman"/>
          <w:sz w:val="20"/>
          <w:szCs w:val="20"/>
          <w:shd w:val="clear" w:color="auto" w:fill="FFFFFF"/>
        </w:rPr>
        <w:t>e la situation financière de l’</w:t>
      </w:r>
      <w:r w:rsidRPr="00184539">
        <w:rPr>
          <w:rFonts w:ascii="Times New Roman" w:hAnsi="Times New Roman" w:cs="Times New Roman"/>
          <w:sz w:val="20"/>
          <w:szCs w:val="20"/>
          <w:shd w:val="clear" w:color="auto" w:fill="FFFFFF"/>
        </w:rPr>
        <w:t>É</w:t>
      </w:r>
      <w:r w:rsidRPr="007F5FDD">
        <w:rPr>
          <w:rFonts w:ascii="Times New Roman" w:hAnsi="Times New Roman" w:cs="Times New Roman"/>
          <w:sz w:val="20"/>
          <w:szCs w:val="20"/>
          <w:shd w:val="clear" w:color="auto" w:fill="FFFFFF"/>
        </w:rPr>
        <w:t xml:space="preserve">tat peut évoluer. </w:t>
      </w:r>
      <w:r>
        <w:rPr>
          <w:rFonts w:ascii="Times New Roman" w:hAnsi="Times New Roman" w:cs="Times New Roman"/>
          <w:sz w:val="20"/>
          <w:szCs w:val="20"/>
          <w:shd w:val="clear" w:color="auto" w:fill="FFFFFF"/>
        </w:rPr>
        <w:t>Il</w:t>
      </w:r>
      <w:r w:rsidRPr="007F5FDD">
        <w:rPr>
          <w:rFonts w:ascii="Times New Roman" w:hAnsi="Times New Roman" w:cs="Times New Roman"/>
          <w:sz w:val="20"/>
          <w:szCs w:val="20"/>
          <w:shd w:val="clear" w:color="auto" w:fill="FFFFFF"/>
        </w:rPr>
        <w:t xml:space="preserve"> relève </w:t>
      </w:r>
      <w:r>
        <w:rPr>
          <w:rFonts w:ascii="Times New Roman" w:hAnsi="Times New Roman" w:cs="Times New Roman"/>
          <w:sz w:val="20"/>
          <w:szCs w:val="20"/>
          <w:shd w:val="clear" w:color="auto" w:fill="FFFFFF"/>
        </w:rPr>
        <w:t>également</w:t>
      </w:r>
      <w:r w:rsidRPr="007F5FDD">
        <w:rPr>
          <w:rFonts w:ascii="Times New Roman" w:hAnsi="Times New Roman" w:cs="Times New Roman"/>
          <w:sz w:val="20"/>
          <w:szCs w:val="20"/>
          <w:shd w:val="clear" w:color="auto" w:fill="FFFFFF"/>
        </w:rPr>
        <w:t xml:space="preserve"> que si l’objectif de l’article 60 est de protéger les fonds liés au développement alors le moment de la demande</w:t>
      </w:r>
      <w:r>
        <w:rPr>
          <w:rFonts w:ascii="Times New Roman" w:hAnsi="Times New Roman" w:cs="Times New Roman"/>
          <w:sz w:val="20"/>
          <w:szCs w:val="20"/>
          <w:shd w:val="clear" w:color="auto" w:fill="FFFFFF"/>
        </w:rPr>
        <w:t xml:space="preserve"> d’exécution à l’encontre de l’</w:t>
      </w:r>
      <w:r w:rsidRPr="00184539">
        <w:rPr>
          <w:rFonts w:ascii="Times New Roman" w:hAnsi="Times New Roman" w:cs="Times New Roman"/>
          <w:sz w:val="20"/>
          <w:szCs w:val="20"/>
          <w:shd w:val="clear" w:color="auto" w:fill="FFFFFF"/>
        </w:rPr>
        <w:t>É</w:t>
      </w:r>
      <w:r w:rsidRPr="007F5FDD">
        <w:rPr>
          <w:rFonts w:ascii="Times New Roman" w:hAnsi="Times New Roman" w:cs="Times New Roman"/>
          <w:sz w:val="20"/>
          <w:szCs w:val="20"/>
          <w:shd w:val="clear" w:color="auto" w:fill="FFFFFF"/>
        </w:rPr>
        <w:t>tat débiteur pourrait remplacer le moment de l’émission du titre de créance (</w:t>
      </w:r>
      <w:r w:rsidRPr="007F5FDD">
        <w:rPr>
          <w:rFonts w:ascii="Times New Roman" w:hAnsi="Times New Roman" w:cs="Times New Roman"/>
          <w:sz w:val="20"/>
          <w:szCs w:val="20"/>
        </w:rPr>
        <w:t xml:space="preserve">P. </w:t>
      </w:r>
      <w:r w:rsidRPr="007F5FDD">
        <w:rPr>
          <w:rFonts w:ascii="Times New Roman" w:hAnsi="Times New Roman" w:cs="Times New Roman"/>
          <w:smallCaps/>
          <w:sz w:val="20"/>
          <w:szCs w:val="20"/>
        </w:rPr>
        <w:t>Giraud</w:t>
      </w:r>
      <w:r w:rsidRPr="007F5FDD">
        <w:rPr>
          <w:rFonts w:ascii="Times New Roman" w:hAnsi="Times New Roman" w:cs="Times New Roman"/>
          <w:sz w:val="20"/>
          <w:szCs w:val="20"/>
        </w:rPr>
        <w:t xml:space="preserve">, « La restriction des mesures conservatoires et d’exécution forcée exercées par les fonds dits vautours : le </w:t>
      </w:r>
      <w:r w:rsidRPr="009D75D4">
        <w:rPr>
          <w:rFonts w:ascii="Times New Roman" w:hAnsi="Times New Roman" w:cs="Times New Roman"/>
          <w:sz w:val="20"/>
          <w:szCs w:val="20"/>
        </w:rPr>
        <w:t>syndrome du “milieu du gué” »,</w:t>
      </w:r>
      <w:r w:rsidRPr="007F5FDD">
        <w:rPr>
          <w:rFonts w:ascii="Times New Roman" w:hAnsi="Times New Roman" w:cs="Times New Roman"/>
          <w:sz w:val="20"/>
          <w:szCs w:val="20"/>
        </w:rPr>
        <w:t xml:space="preserve"> </w:t>
      </w:r>
      <w:r w:rsidRPr="007F5FDD">
        <w:rPr>
          <w:rFonts w:ascii="Times New Roman" w:hAnsi="Times New Roman" w:cs="Times New Roman"/>
          <w:i/>
          <w:sz w:val="20"/>
          <w:szCs w:val="20"/>
        </w:rPr>
        <w:t>Revue de droit international d’Assas</w:t>
      </w:r>
      <w:r w:rsidRPr="007F5FDD">
        <w:rPr>
          <w:rFonts w:ascii="Times New Roman" w:hAnsi="Times New Roman" w:cs="Times New Roman"/>
          <w:sz w:val="20"/>
          <w:szCs w:val="20"/>
        </w:rPr>
        <w:t>, 2018, vol. 1, p. 365)</w:t>
      </w:r>
      <w:r w:rsidRPr="007F5FDD">
        <w:rPr>
          <w:rFonts w:ascii="Times New Roman" w:hAnsi="Times New Roman" w:cs="Times New Roman"/>
          <w:sz w:val="20"/>
          <w:szCs w:val="20"/>
          <w:shd w:val="clear" w:color="auto" w:fill="FFFFFF"/>
        </w:rPr>
        <w:t>.</w:t>
      </w:r>
    </w:p>
  </w:footnote>
  <w:footnote w:id="93">
    <w:p w14:paraId="54F5A6E2" w14:textId="6C82F058" w:rsidR="00552491" w:rsidRDefault="00552491" w:rsidP="002C2F99">
      <w:pPr>
        <w:pStyle w:val="Notedebasdepage"/>
        <w:jc w:val="both"/>
      </w:pPr>
      <w:r w:rsidRPr="008B707E">
        <w:rPr>
          <w:rStyle w:val="Appelnotedebasdep"/>
        </w:rPr>
        <w:footnoteRef/>
      </w:r>
      <w:r w:rsidR="00924009">
        <w:t xml:space="preserve"> Voy.</w:t>
      </w:r>
      <w:r w:rsidRPr="008B707E">
        <w:t xml:space="preserve"> l’amendement n° 193 rectifié </w:t>
      </w:r>
      <w:r w:rsidRPr="008B707E">
        <w:rPr>
          <w:i/>
        </w:rPr>
        <w:t>bis</w:t>
      </w:r>
      <w:r w:rsidRPr="008B707E">
        <w:t xml:space="preserve"> de M.-N. Lienemann et de J. Durain</w:t>
      </w:r>
      <w:r>
        <w:t>. Les auteurs de l’amendement relevaient que « (l)a Grèce, qui ne figurait pas sur la liste des pays bénéficiaires de l’APD, a ainsi été victime en 2012 de plusieurs fonds vautours »</w:t>
      </w:r>
      <w:r w:rsidRPr="008B707E">
        <w:t>.</w:t>
      </w:r>
      <w:r>
        <w:t xml:space="preserve"> M.-N. Lienemann et </w:t>
      </w:r>
      <w:r w:rsidRPr="008B707E">
        <w:t>J. Durain</w:t>
      </w:r>
      <w:r>
        <w:t xml:space="preserve"> indiquaient encore que la limitation de l’article anti-fonds vautours aux créances sur les dettes de pays bénéficiaires de l’APD pourrait aboutir à inciter les fonds vautours à développer leurs activités spéculatives sur les pays qui n’en seraient pas bénéficiaires.</w:t>
      </w:r>
      <w:r w:rsidRPr="008B707E">
        <w:t xml:space="preserve"> </w:t>
      </w:r>
      <w:r w:rsidR="00924009">
        <w:t xml:space="preserve">Voy. </w:t>
      </w:r>
      <w:r>
        <w:t>également</w:t>
      </w:r>
      <w:r w:rsidRPr="00E865B8">
        <w:t>, dans le sens</w:t>
      </w:r>
      <w:r>
        <w:t xml:space="preserve"> de la suppression de la limitation</w:t>
      </w:r>
      <w:r w:rsidRPr="00E865B8">
        <w:t xml:space="preserve">, le </w:t>
      </w:r>
      <w:r w:rsidRPr="00E865B8">
        <w:rPr>
          <w:rFonts w:cs="Times New Roman"/>
        </w:rPr>
        <w:t>sous-amendement n° 677 à l’amendement n° 634 du Gouvernement présenté par J. Labbé et A. Gattolin.</w:t>
      </w:r>
    </w:p>
  </w:footnote>
  <w:footnote w:id="94">
    <w:p w14:paraId="6F1009D6" w14:textId="77777777" w:rsidR="00552491" w:rsidRDefault="00552491" w:rsidP="002C2F99">
      <w:pPr>
        <w:pStyle w:val="Notedebasdepage"/>
        <w:jc w:val="both"/>
      </w:pPr>
      <w:r>
        <w:rPr>
          <w:rStyle w:val="Appelnotedebasdep"/>
        </w:rPr>
        <w:footnoteRef/>
      </w:r>
      <w:r>
        <w:t xml:space="preserve"> P. </w:t>
      </w:r>
      <w:r w:rsidRPr="005E3D36">
        <w:rPr>
          <w:smallCaps/>
        </w:rPr>
        <w:t>Giraud</w:t>
      </w:r>
      <w:r>
        <w:t xml:space="preserve">, « La restriction des mesures conservatoires et d’exécution forcée exercées par les fonds dits vautours : le syndrome du </w:t>
      </w:r>
      <w:r>
        <w:rPr>
          <w:szCs w:val="22"/>
        </w:rPr>
        <w:t>“</w:t>
      </w:r>
      <w:r>
        <w:t>milieu du gué</w:t>
      </w:r>
      <w:r>
        <w:rPr>
          <w:szCs w:val="22"/>
        </w:rPr>
        <w:t>”</w:t>
      </w:r>
      <w:r>
        <w:t xml:space="preserve"> », </w:t>
      </w:r>
      <w:r w:rsidRPr="005E3D36">
        <w:rPr>
          <w:i/>
        </w:rPr>
        <w:t>Revue de droit international d’Assas</w:t>
      </w:r>
      <w:r>
        <w:t xml:space="preserve">, 2018, vol. 1, pp. 364 et 365. L’auteur ajoute que </w:t>
      </w:r>
      <w:r w:rsidRPr="007F5FDD">
        <w:t>« (l)e contraire donne le sentiment d’une indignation limitée aux seuls cas où l’argent versé aux fonds provient originairement de l’aide occidentale ».</w:t>
      </w:r>
    </w:p>
  </w:footnote>
  <w:footnote w:id="95">
    <w:p w14:paraId="5556397F" w14:textId="77777777" w:rsidR="00552491" w:rsidRDefault="00552491" w:rsidP="002C2F99">
      <w:pPr>
        <w:pStyle w:val="Notedebasdepage"/>
        <w:jc w:val="both"/>
      </w:pPr>
      <w:r>
        <w:rPr>
          <w:rStyle w:val="Appelnotedebasdep"/>
        </w:rPr>
        <w:footnoteRef/>
      </w:r>
      <w:r>
        <w:t xml:space="preserve"> Nous mettons en italique.</w:t>
      </w:r>
    </w:p>
  </w:footnote>
  <w:footnote w:id="96">
    <w:p w14:paraId="67E8A68F" w14:textId="77777777" w:rsidR="00552491" w:rsidRDefault="00552491" w:rsidP="002C2F99">
      <w:pPr>
        <w:pStyle w:val="Notedebasdepage"/>
        <w:jc w:val="both"/>
      </w:pPr>
      <w:r>
        <w:rPr>
          <w:rStyle w:val="Appelnotedebasdep"/>
        </w:rPr>
        <w:footnoteRef/>
      </w:r>
      <w:r>
        <w:t xml:space="preserve"> P. </w:t>
      </w:r>
      <w:r w:rsidRPr="005E3D36">
        <w:rPr>
          <w:smallCaps/>
        </w:rPr>
        <w:t>Giraud</w:t>
      </w:r>
      <w:r>
        <w:t xml:space="preserve">, « La restriction des mesures conservatoires et d’exécution forcée exercées par les fonds dits vautours : le syndrome du </w:t>
      </w:r>
      <w:r>
        <w:rPr>
          <w:szCs w:val="22"/>
        </w:rPr>
        <w:t>“</w:t>
      </w:r>
      <w:r>
        <w:t>milieu du gué</w:t>
      </w:r>
      <w:r>
        <w:rPr>
          <w:szCs w:val="22"/>
        </w:rPr>
        <w:t>”</w:t>
      </w:r>
      <w:r>
        <w:t xml:space="preserve"> », </w:t>
      </w:r>
      <w:r w:rsidRPr="005E3D36">
        <w:rPr>
          <w:i/>
        </w:rPr>
        <w:t>Revue de droit international d’Assas</w:t>
      </w:r>
      <w:r>
        <w:t>, 2018, vol. 1, p. 366.</w:t>
      </w:r>
    </w:p>
  </w:footnote>
  <w:footnote w:id="97">
    <w:p w14:paraId="634AAB97" w14:textId="77777777" w:rsidR="00552491" w:rsidRDefault="00552491" w:rsidP="002C2F99">
      <w:pPr>
        <w:pStyle w:val="Notedebasdepage"/>
        <w:jc w:val="both"/>
      </w:pPr>
      <w:r>
        <w:rPr>
          <w:rStyle w:val="Appelnotedebasdep"/>
        </w:rPr>
        <w:footnoteRef/>
      </w:r>
      <w:r>
        <w:t xml:space="preserve"> S’agissant de la situation où une proposition de modification des termes du titre de créance a été faite, le Conseil constitutionnel ne semble pas retenir qu’il faille qu’il s’agisse d’une première proposition, le Conseil se limitant à viser « la proposition de modification des termes du titre de créance » sans autre indication (</w:t>
      </w:r>
      <w:r w:rsidRPr="00120B76">
        <w:t>Conseil</w:t>
      </w:r>
      <w:r>
        <w:t xml:space="preserve"> constitutionnel, décision n° 2016-741 DC du 8 décembre 2016, point 63).</w:t>
      </w:r>
    </w:p>
  </w:footnote>
  <w:footnote w:id="98">
    <w:p w14:paraId="42A5B26C" w14:textId="64B611E4" w:rsidR="00552491" w:rsidRDefault="00552491" w:rsidP="002C2F99">
      <w:pPr>
        <w:pStyle w:val="Notedebasdepage"/>
        <w:jc w:val="both"/>
      </w:pPr>
      <w:r>
        <w:rPr>
          <w:rStyle w:val="Appelnotedebasdep"/>
        </w:rPr>
        <w:footnoteRef/>
      </w:r>
      <w:r>
        <w:t xml:space="preserve"> </w:t>
      </w:r>
      <w:r w:rsidRPr="00AA1922">
        <w:rPr>
          <w:rFonts w:cs="Times New Roman"/>
        </w:rPr>
        <w:t xml:space="preserve">Amendement n° 1405 </w:t>
      </w:r>
      <w:r>
        <w:rPr>
          <w:rFonts w:cs="Times New Roman"/>
        </w:rPr>
        <w:t xml:space="preserve">(Rect) </w:t>
      </w:r>
      <w:r w:rsidRPr="00AA1922">
        <w:rPr>
          <w:rFonts w:cs="Times New Roman"/>
        </w:rPr>
        <w:t xml:space="preserve">présenté par </w:t>
      </w:r>
      <w:r>
        <w:rPr>
          <w:rFonts w:cs="Times New Roman"/>
        </w:rPr>
        <w:t>D.</w:t>
      </w:r>
      <w:r w:rsidRPr="00AA1922">
        <w:rPr>
          <w:rFonts w:cs="Times New Roman"/>
          <w:iCs/>
          <w:color w:val="000000"/>
          <w:shd w:val="clear" w:color="auto" w:fill="FFFFFF"/>
        </w:rPr>
        <w:t xml:space="preserve"> Potier, </w:t>
      </w:r>
      <w:r>
        <w:rPr>
          <w:rFonts w:cs="Times New Roman"/>
          <w:iCs/>
          <w:color w:val="000000"/>
          <w:shd w:val="clear" w:color="auto" w:fill="FFFFFF"/>
        </w:rPr>
        <w:t>S. Mazetier, S. Denaja, R. Colas, C</w:t>
      </w:r>
      <w:r w:rsidRPr="00AA1922">
        <w:rPr>
          <w:rFonts w:cs="Times New Roman"/>
          <w:iCs/>
          <w:color w:val="000000"/>
          <w:shd w:val="clear" w:color="auto" w:fill="FFFFFF"/>
        </w:rPr>
        <w:t xml:space="preserve">. Castaner, </w:t>
      </w:r>
      <w:r>
        <w:rPr>
          <w:rFonts w:cs="Times New Roman"/>
          <w:iCs/>
          <w:color w:val="000000"/>
          <w:shd w:val="clear" w:color="auto" w:fill="FFFFFF"/>
        </w:rPr>
        <w:t>S. Errante, Y. Galut, P. Cherki, M. Rabin, C. Guittet, J.-R. Marsac, P.</w:t>
      </w:r>
      <w:r w:rsidRPr="00AA1922">
        <w:rPr>
          <w:rFonts w:cs="Times New Roman"/>
          <w:iCs/>
          <w:color w:val="000000"/>
          <w:shd w:val="clear" w:color="auto" w:fill="FFFFFF"/>
        </w:rPr>
        <w:t xml:space="preserve"> </w:t>
      </w:r>
      <w:r>
        <w:rPr>
          <w:rFonts w:cs="Times New Roman"/>
          <w:iCs/>
          <w:color w:val="000000"/>
          <w:shd w:val="clear" w:color="auto" w:fill="FFFFFF"/>
        </w:rPr>
        <w:t>Baumel, J</w:t>
      </w:r>
      <w:r w:rsidRPr="00AA1922">
        <w:rPr>
          <w:rFonts w:cs="Times New Roman"/>
          <w:iCs/>
          <w:color w:val="000000"/>
          <w:shd w:val="clear" w:color="auto" w:fill="FFFFFF"/>
        </w:rPr>
        <w:t>.</w:t>
      </w:r>
      <w:r>
        <w:rPr>
          <w:rFonts w:cs="Times New Roman"/>
          <w:iCs/>
          <w:color w:val="000000"/>
          <w:shd w:val="clear" w:color="auto" w:fill="FFFFFF"/>
        </w:rPr>
        <w:t>-P. Dufau et R</w:t>
      </w:r>
      <w:r w:rsidRPr="00AA1922">
        <w:rPr>
          <w:rFonts w:cs="Times New Roman"/>
          <w:iCs/>
          <w:color w:val="000000"/>
          <w:shd w:val="clear" w:color="auto" w:fill="FFFFFF"/>
        </w:rPr>
        <w:t xml:space="preserve">. Hammadi, </w:t>
      </w:r>
      <w:r w:rsidR="0005718B">
        <w:rPr>
          <w:rFonts w:cs="Times New Roman"/>
          <w:iCs/>
          <w:color w:val="000000"/>
          <w:shd w:val="clear" w:color="auto" w:fill="FFFFFF"/>
        </w:rPr>
        <w:t>2 juin 2016, p. 4. Voy.</w:t>
      </w:r>
      <w:r>
        <w:rPr>
          <w:rFonts w:cs="Times New Roman"/>
          <w:iCs/>
          <w:color w:val="000000"/>
          <w:shd w:val="clear" w:color="auto" w:fill="FFFFFF"/>
        </w:rPr>
        <w:t xml:space="preserve"> le rappel de ce propos dans l’</w:t>
      </w:r>
      <w:r>
        <w:t>amendement n° 634 présenté par le Gouvernement.</w:t>
      </w:r>
    </w:p>
  </w:footnote>
  <w:footnote w:id="99">
    <w:p w14:paraId="69BAA8A8" w14:textId="05822E5B" w:rsidR="00552491" w:rsidRDefault="00552491" w:rsidP="002C2F99">
      <w:pPr>
        <w:pStyle w:val="Notedebasdepage"/>
        <w:jc w:val="both"/>
      </w:pPr>
      <w:r w:rsidRPr="00BB06BA">
        <w:rPr>
          <w:rStyle w:val="Appelnotedebasdep"/>
        </w:rPr>
        <w:footnoteRef/>
      </w:r>
      <w:r w:rsidR="00924009">
        <w:t xml:space="preserve"> Voy.</w:t>
      </w:r>
      <w:r w:rsidRPr="008B707E">
        <w:t xml:space="preserve"> l’amendement n° 193 rectifié </w:t>
      </w:r>
      <w:r w:rsidRPr="008B707E">
        <w:rPr>
          <w:i/>
        </w:rPr>
        <w:t>bis</w:t>
      </w:r>
      <w:r w:rsidRPr="008B707E">
        <w:t xml:space="preserve"> de M.-N. Lienemann et de J. Durain</w:t>
      </w:r>
      <w:r w:rsidR="0005718B">
        <w:t>. Voy.</w:t>
      </w:r>
      <w:r>
        <w:t xml:space="preserve"> encore, pour l’extension de l’application, le </w:t>
      </w:r>
      <w:r>
        <w:rPr>
          <w:rFonts w:cs="Times New Roman"/>
        </w:rPr>
        <w:t xml:space="preserve">sous-amendement n° 677 à l’amendement n° 634 du Gouvernement présenté par </w:t>
      </w:r>
      <w:r w:rsidRPr="00E865B8">
        <w:rPr>
          <w:rFonts w:cs="Times New Roman"/>
        </w:rPr>
        <w:t>J. Labbé et A. Gattolin</w:t>
      </w:r>
      <w:r>
        <w:rPr>
          <w:rFonts w:cs="Times New Roman"/>
        </w:rPr>
        <w:t>.</w:t>
      </w:r>
    </w:p>
  </w:footnote>
  <w:footnote w:id="100">
    <w:p w14:paraId="38E5238D" w14:textId="77777777" w:rsidR="00552491" w:rsidRDefault="00552491" w:rsidP="002C2F99">
      <w:pPr>
        <w:pStyle w:val="Notedebasdepage"/>
        <w:jc w:val="both"/>
      </w:pPr>
      <w:r>
        <w:rPr>
          <w:rStyle w:val="Appelnotedebasdep"/>
        </w:rPr>
        <w:footnoteRef/>
      </w:r>
      <w:r>
        <w:t xml:space="preserve"> P. </w:t>
      </w:r>
      <w:r w:rsidRPr="005E3D36">
        <w:rPr>
          <w:smallCaps/>
        </w:rPr>
        <w:t>Giraud</w:t>
      </w:r>
      <w:r>
        <w:t xml:space="preserve">, « La restriction des mesures conservatoires et d’exécution forcée exercées par les fonds dits vautours : le syndrome du </w:t>
      </w:r>
      <w:r>
        <w:rPr>
          <w:szCs w:val="22"/>
        </w:rPr>
        <w:t>“</w:t>
      </w:r>
      <w:r>
        <w:t>milieu du gué</w:t>
      </w:r>
      <w:r>
        <w:rPr>
          <w:szCs w:val="22"/>
        </w:rPr>
        <w:t>”</w:t>
      </w:r>
      <w:r>
        <w:t xml:space="preserve"> », </w:t>
      </w:r>
      <w:r w:rsidRPr="005E3D36">
        <w:rPr>
          <w:i/>
        </w:rPr>
        <w:t>Revue de droit international d’Assas</w:t>
      </w:r>
      <w:r>
        <w:t xml:space="preserve">, 2018, vol. 1, p. 366. </w:t>
      </w:r>
      <w:r>
        <w:rPr>
          <w:rFonts w:cs="Times New Roman"/>
          <w:color w:val="000000"/>
          <w:szCs w:val="24"/>
          <w:shd w:val="clear" w:color="auto" w:fill="FFFFFF"/>
        </w:rPr>
        <w:t>L’auteur se demande ainsi si le refus d’un fonds d’accepter une offre étatique de renégociation ou d’échelonnement pourrait équivaloir à un tel comportement.</w:t>
      </w:r>
    </w:p>
  </w:footnote>
  <w:footnote w:id="101">
    <w:p w14:paraId="4991AEFD" w14:textId="4EFF894C" w:rsidR="00552491" w:rsidRDefault="00552491" w:rsidP="002C2F99">
      <w:pPr>
        <w:pStyle w:val="Notedebasdepage"/>
        <w:jc w:val="both"/>
      </w:pPr>
      <w:r>
        <w:rPr>
          <w:rStyle w:val="Appelnotedebasdep"/>
        </w:rPr>
        <w:footnoteRef/>
      </w:r>
      <w:r>
        <w:t xml:space="preserve"> Notons qu’à l’Assemblée nationale, Dominique Potier parla de « mauvaise foi manifeste » (Assemblée nationale, compte rendu intégral, session ordinaire de 2015-2016, 3</w:t>
      </w:r>
      <w:r w:rsidRPr="00AA0772">
        <w:rPr>
          <w:vertAlign w:val="superscript"/>
        </w:rPr>
        <w:t>e</w:t>
      </w:r>
      <w:r>
        <w:t xml:space="preserve"> séance du jeudi 9 juin 2016, </w:t>
      </w:r>
      <w:r w:rsidRPr="00B41D0F">
        <w:rPr>
          <w:i/>
        </w:rPr>
        <w:t>Journal officiel de la République française</w:t>
      </w:r>
      <w:r>
        <w:t>, p. 4236).</w:t>
      </w:r>
    </w:p>
  </w:footnote>
  <w:footnote w:id="102">
    <w:p w14:paraId="74F306C9" w14:textId="77777777" w:rsidR="00552491" w:rsidRDefault="00552491" w:rsidP="002C2F99">
      <w:pPr>
        <w:pStyle w:val="Notedebasdepage"/>
        <w:jc w:val="both"/>
      </w:pPr>
      <w:r>
        <w:rPr>
          <w:rStyle w:val="Appelnotedebasdep"/>
        </w:rPr>
        <w:footnoteRef/>
      </w:r>
      <w:r>
        <w:t xml:space="preserve"> P. </w:t>
      </w:r>
      <w:r w:rsidRPr="005E3D36">
        <w:rPr>
          <w:smallCaps/>
        </w:rPr>
        <w:t>Giraud</w:t>
      </w:r>
      <w:r>
        <w:t xml:space="preserve">, « La restriction des mesures conservatoires et d’exécution forcée exercées par les fonds dits vautours : le syndrome du </w:t>
      </w:r>
      <w:r>
        <w:rPr>
          <w:szCs w:val="22"/>
        </w:rPr>
        <w:t>“</w:t>
      </w:r>
      <w:r>
        <w:t>milieu du gué</w:t>
      </w:r>
      <w:r>
        <w:rPr>
          <w:szCs w:val="22"/>
        </w:rPr>
        <w:t>”</w:t>
      </w:r>
      <w:r>
        <w:t xml:space="preserve"> », </w:t>
      </w:r>
      <w:r w:rsidRPr="005E3D36">
        <w:rPr>
          <w:i/>
        </w:rPr>
        <w:t>Revue de droit international d’Assas</w:t>
      </w:r>
      <w:r>
        <w:t>, 2018, vol. 1, pp. 367 et 369.</w:t>
      </w:r>
    </w:p>
  </w:footnote>
  <w:footnote w:id="103">
    <w:p w14:paraId="2A5835EC" w14:textId="77777777" w:rsidR="00552491" w:rsidRPr="000371F7" w:rsidRDefault="00552491" w:rsidP="002C2F99">
      <w:pPr>
        <w:pStyle w:val="Sansinterligne"/>
        <w:jc w:val="both"/>
        <w:rPr>
          <w:rFonts w:ascii="Times New Roman" w:hAnsi="Times New Roman" w:cs="Times New Roman"/>
          <w:color w:val="000000"/>
          <w:sz w:val="20"/>
          <w:szCs w:val="20"/>
          <w:shd w:val="clear" w:color="auto" w:fill="FFFFFF"/>
        </w:rPr>
      </w:pPr>
      <w:r w:rsidRPr="000371F7">
        <w:rPr>
          <w:rStyle w:val="Appelnotedebasdep"/>
          <w:rFonts w:ascii="Times New Roman" w:hAnsi="Times New Roman" w:cs="Times New Roman"/>
          <w:sz w:val="20"/>
          <w:szCs w:val="20"/>
        </w:rPr>
        <w:footnoteRef/>
      </w:r>
      <w:r w:rsidRPr="000371F7">
        <w:rPr>
          <w:rFonts w:ascii="Times New Roman" w:hAnsi="Times New Roman" w:cs="Times New Roman"/>
          <w:sz w:val="20"/>
          <w:szCs w:val="20"/>
        </w:rPr>
        <w:t xml:space="preserve"> L’amendement n° 1405 dont découle l’adoption de cette disposition visait l’acceptation de la proposition de modification, peu importe que « </w:t>
      </w:r>
      <w:r w:rsidRPr="000371F7">
        <w:rPr>
          <w:rFonts w:ascii="Times New Roman" w:hAnsi="Times New Roman" w:cs="Times New Roman"/>
          <w:color w:val="000000"/>
          <w:sz w:val="20"/>
          <w:szCs w:val="20"/>
          <w:shd w:val="clear" w:color="auto" w:fill="FFFFFF"/>
        </w:rPr>
        <w:t xml:space="preserve">cette modification ait pu ou non entrer en vigueur ». Un sous-amendement n° 1567 visant à préciser la situation dans les cas où le seuil d’entrée en </w:t>
      </w:r>
      <w:r w:rsidRPr="0068237F">
        <w:rPr>
          <w:rFonts w:ascii="Times New Roman" w:hAnsi="Times New Roman" w:cs="Times New Roman"/>
          <w:color w:val="000000"/>
          <w:sz w:val="20"/>
          <w:szCs w:val="20"/>
          <w:shd w:val="clear" w:color="auto" w:fill="FFFFFF"/>
        </w:rPr>
        <w:t>vigueur contractuel</w:t>
      </w:r>
      <w:r w:rsidRPr="000371F7">
        <w:rPr>
          <w:rFonts w:ascii="Times New Roman" w:hAnsi="Times New Roman" w:cs="Times New Roman"/>
          <w:color w:val="000000"/>
          <w:sz w:val="20"/>
          <w:szCs w:val="20"/>
          <w:shd w:val="clear" w:color="auto" w:fill="FFFFFF"/>
        </w:rPr>
        <w:t xml:space="preserve"> d’une offre de restructuration serait plus élevé que le seuil de 66% fut adopté. L’exposé sommaire du sous-amendement précisait que « (c)oncrètement, la rédaction actuelle augmente le champ d’application aux contrats d’émission de titres qui comportent déjà des CAC (clauses d’action collective) ou autres procédures de décision pour les renégociations, mais avec des seuils de majorité supérieurs à 66% » et que « (l)e dispositif proposé en matière de mesure</w:t>
      </w:r>
      <w:r>
        <w:rPr>
          <w:rFonts w:ascii="Times New Roman" w:hAnsi="Times New Roman" w:cs="Times New Roman"/>
          <w:color w:val="000000"/>
          <w:sz w:val="20"/>
          <w:szCs w:val="20"/>
          <w:shd w:val="clear" w:color="auto" w:fill="FFFFFF"/>
        </w:rPr>
        <w:t>s</w:t>
      </w:r>
      <w:r w:rsidRPr="000371F7">
        <w:rPr>
          <w:rFonts w:ascii="Times New Roman" w:hAnsi="Times New Roman" w:cs="Times New Roman"/>
          <w:color w:val="000000"/>
          <w:sz w:val="20"/>
          <w:szCs w:val="20"/>
          <w:shd w:val="clear" w:color="auto" w:fill="FFFFFF"/>
        </w:rPr>
        <w:t xml:space="preserve"> conservatoires ou de mesures d’exécution jouera donc, s’agissant des créanciers qui relèvent de son champ d’application, dès lors que 66% des créanciers auront voté positivement en faveur d’une renégociation, même si ce seuil est inférieur à ce qui est contractuellement requis » (</w:t>
      </w:r>
      <w:r w:rsidRPr="000371F7">
        <w:rPr>
          <w:rFonts w:ascii="Times New Roman" w:hAnsi="Times New Roman" w:cs="Times New Roman"/>
          <w:sz w:val="20"/>
          <w:szCs w:val="20"/>
        </w:rPr>
        <w:t xml:space="preserve">sous-amendement n° </w:t>
      </w:r>
      <w:r w:rsidRPr="000371F7">
        <w:rPr>
          <w:rFonts w:ascii="Times New Roman" w:hAnsi="Times New Roman" w:cs="Times New Roman"/>
          <w:color w:val="000000"/>
          <w:sz w:val="20"/>
          <w:szCs w:val="20"/>
          <w:shd w:val="clear" w:color="auto" w:fill="FFFFFF"/>
        </w:rPr>
        <w:t xml:space="preserve">1567, </w:t>
      </w:r>
      <w:r w:rsidRPr="000371F7">
        <w:rPr>
          <w:rFonts w:ascii="Times New Roman" w:hAnsi="Times New Roman" w:cs="Times New Roman"/>
          <w:sz w:val="20"/>
          <w:szCs w:val="20"/>
          <w:lang w:eastAsia="fr-BE"/>
        </w:rPr>
        <w:t>présenté par E. Alauzet, à l'amendement n° </w:t>
      </w:r>
      <w:r w:rsidRPr="000371F7">
        <w:rPr>
          <w:rFonts w:ascii="Times New Roman" w:hAnsi="Times New Roman" w:cs="Times New Roman"/>
          <w:bCs/>
          <w:sz w:val="20"/>
          <w:szCs w:val="20"/>
          <w:lang w:eastAsia="fr-BE"/>
        </w:rPr>
        <w:t>1405 (Rect)</w:t>
      </w:r>
      <w:r w:rsidRPr="000371F7">
        <w:rPr>
          <w:rFonts w:ascii="Times New Roman" w:hAnsi="Times New Roman" w:cs="Times New Roman"/>
          <w:sz w:val="20"/>
          <w:szCs w:val="20"/>
          <w:lang w:eastAsia="fr-BE"/>
        </w:rPr>
        <w:t xml:space="preserve">, disponible à l’adresse </w:t>
      </w:r>
      <w:hyperlink r:id="rId44" w:history="1">
        <w:r w:rsidRPr="00674042">
          <w:rPr>
            <w:rStyle w:val="Lienhypertexte"/>
            <w:rFonts w:ascii="Times New Roman" w:hAnsi="Times New Roman" w:cs="Times New Roman"/>
            <w:sz w:val="20"/>
            <w:szCs w:val="20"/>
            <w:lang w:eastAsia="fr-BE"/>
          </w:rPr>
          <w:t>www.assemblee-nationale.fr/14/amendements/3785/AN/1567.pdf</w:t>
        </w:r>
      </w:hyperlink>
      <w:r w:rsidRPr="000371F7">
        <w:rPr>
          <w:rFonts w:ascii="Times New Roman" w:hAnsi="Times New Roman" w:cs="Times New Roman"/>
          <w:sz w:val="20"/>
          <w:szCs w:val="20"/>
          <w:lang w:eastAsia="fr-BE"/>
        </w:rPr>
        <w:t>)</w:t>
      </w:r>
      <w:r w:rsidRPr="000371F7">
        <w:rPr>
          <w:rFonts w:ascii="Times New Roman" w:hAnsi="Times New Roman" w:cs="Times New Roman"/>
          <w:color w:val="000000"/>
          <w:sz w:val="20"/>
          <w:szCs w:val="20"/>
          <w:shd w:val="clear" w:color="auto" w:fill="FFFFFF"/>
        </w:rPr>
        <w:t>. Comme cela fut épinglé à l’Assemblée nationale où fut discuté le sous-amendement</w:t>
      </w:r>
      <w:r>
        <w:rPr>
          <w:rFonts w:ascii="Times New Roman" w:hAnsi="Times New Roman" w:cs="Times New Roman"/>
          <w:color w:val="000000"/>
          <w:sz w:val="20"/>
          <w:szCs w:val="20"/>
          <w:shd w:val="clear" w:color="auto" w:fill="FFFFFF"/>
        </w:rPr>
        <w:t xml:space="preserve"> n° 1567</w:t>
      </w:r>
      <w:r w:rsidRPr="000371F7">
        <w:rPr>
          <w:rFonts w:ascii="Times New Roman" w:hAnsi="Times New Roman" w:cs="Times New Roman"/>
          <w:color w:val="000000"/>
          <w:sz w:val="20"/>
          <w:szCs w:val="20"/>
          <w:shd w:val="clear" w:color="auto" w:fill="FFFFFF"/>
        </w:rPr>
        <w:t>, ce dernier « vise à faciliter l’activation du dispositif de renégociation de la dette (</w:t>
      </w:r>
      <w:r>
        <w:rPr>
          <w:rFonts w:ascii="Times New Roman" w:hAnsi="Times New Roman" w:cs="Times New Roman"/>
          <w:color w:val="000000"/>
          <w:sz w:val="20"/>
          <w:szCs w:val="20"/>
          <w:shd w:val="clear" w:color="auto" w:fill="FFFFFF"/>
        </w:rPr>
        <w:t>…</w:t>
      </w:r>
      <w:r w:rsidRPr="000371F7">
        <w:rPr>
          <w:rFonts w:ascii="Times New Roman" w:hAnsi="Times New Roman" w:cs="Times New Roman"/>
          <w:color w:val="000000"/>
          <w:sz w:val="20"/>
          <w:szCs w:val="20"/>
          <w:shd w:val="clear" w:color="auto" w:fill="FFFFFF"/>
        </w:rPr>
        <w:t>) en abaissant le seuil requis de participation à 66% des créanciers, quel que soit le seuil antérieurement requis par contrat » (</w:t>
      </w:r>
      <w:r w:rsidRPr="000371F7">
        <w:rPr>
          <w:rFonts w:ascii="Times New Roman" w:hAnsi="Times New Roman" w:cs="Times New Roman"/>
          <w:sz w:val="20"/>
          <w:szCs w:val="20"/>
        </w:rPr>
        <w:t>Assemblée nationale, compte rendu intégral, session ordinaire de 2015-2016, 3</w:t>
      </w:r>
      <w:r w:rsidRPr="000371F7">
        <w:rPr>
          <w:rFonts w:ascii="Times New Roman" w:hAnsi="Times New Roman" w:cs="Times New Roman"/>
          <w:sz w:val="20"/>
          <w:szCs w:val="20"/>
          <w:vertAlign w:val="superscript"/>
        </w:rPr>
        <w:t>e</w:t>
      </w:r>
      <w:r w:rsidRPr="000371F7">
        <w:rPr>
          <w:rFonts w:ascii="Times New Roman" w:hAnsi="Times New Roman" w:cs="Times New Roman"/>
          <w:sz w:val="20"/>
          <w:szCs w:val="20"/>
        </w:rPr>
        <w:t xml:space="preserve"> séance du jeudi 9 juin 2016, </w:t>
      </w:r>
      <w:r w:rsidRPr="000371F7">
        <w:rPr>
          <w:rFonts w:ascii="Times New Roman" w:hAnsi="Times New Roman" w:cs="Times New Roman"/>
          <w:i/>
          <w:sz w:val="20"/>
          <w:szCs w:val="20"/>
        </w:rPr>
        <w:t>Journal officiel de la République française</w:t>
      </w:r>
      <w:r w:rsidRPr="000371F7">
        <w:rPr>
          <w:rFonts w:ascii="Times New Roman" w:hAnsi="Times New Roman" w:cs="Times New Roman"/>
          <w:sz w:val="20"/>
          <w:szCs w:val="20"/>
        </w:rPr>
        <w:t xml:space="preserve">, </w:t>
      </w:r>
      <w:r>
        <w:rPr>
          <w:rFonts w:ascii="Times New Roman" w:hAnsi="Times New Roman" w:cs="Times New Roman"/>
          <w:sz w:val="20"/>
          <w:szCs w:val="20"/>
        </w:rPr>
        <w:t>p. 4237</w:t>
      </w:r>
      <w:r w:rsidRPr="000371F7">
        <w:rPr>
          <w:rFonts w:ascii="Times New Roman" w:hAnsi="Times New Roman" w:cs="Times New Roman"/>
          <w:color w:val="000000"/>
          <w:sz w:val="20"/>
          <w:szCs w:val="20"/>
          <w:shd w:val="clear" w:color="auto" w:fill="FFFFFF"/>
        </w:rPr>
        <w:t xml:space="preserve">. </w:t>
      </w:r>
      <w:r>
        <w:rPr>
          <w:rFonts w:ascii="Times New Roman" w:hAnsi="Times New Roman" w:cs="Times New Roman"/>
          <w:color w:val="000000"/>
          <w:sz w:val="20"/>
          <w:szCs w:val="20"/>
          <w:shd w:val="clear" w:color="auto" w:fill="FFFFFF"/>
        </w:rPr>
        <w:t>P</w:t>
      </w:r>
      <w:r w:rsidRPr="000371F7">
        <w:rPr>
          <w:rFonts w:ascii="Times New Roman" w:hAnsi="Times New Roman" w:cs="Times New Roman"/>
          <w:color w:val="000000"/>
          <w:sz w:val="20"/>
          <w:szCs w:val="20"/>
          <w:shd w:val="clear" w:color="auto" w:fill="FFFFFF"/>
        </w:rPr>
        <w:t xml:space="preserve">aul Giraud indique </w:t>
      </w:r>
      <w:r>
        <w:rPr>
          <w:rFonts w:ascii="Times New Roman" w:hAnsi="Times New Roman" w:cs="Times New Roman"/>
          <w:color w:val="000000"/>
          <w:sz w:val="20"/>
          <w:szCs w:val="20"/>
          <w:shd w:val="clear" w:color="auto" w:fill="FFFFFF"/>
        </w:rPr>
        <w:t xml:space="preserve">quant à lui </w:t>
      </w:r>
      <w:r w:rsidRPr="000371F7">
        <w:rPr>
          <w:rFonts w:ascii="Times New Roman" w:hAnsi="Times New Roman" w:cs="Times New Roman"/>
          <w:color w:val="000000"/>
          <w:sz w:val="20"/>
          <w:szCs w:val="20"/>
          <w:shd w:val="clear" w:color="auto" w:fill="FFFFFF"/>
        </w:rPr>
        <w:t xml:space="preserve">qu’ « il semble possible </w:t>
      </w:r>
      <w:r w:rsidRPr="009D75D4">
        <w:rPr>
          <w:rFonts w:ascii="Times New Roman" w:hAnsi="Times New Roman" w:cs="Times New Roman"/>
          <w:color w:val="000000"/>
          <w:sz w:val="20"/>
          <w:szCs w:val="20"/>
          <w:shd w:val="clear" w:color="auto" w:fill="FFFFFF"/>
        </w:rPr>
        <w:t xml:space="preserve">d’appliquer </w:t>
      </w:r>
      <w:r w:rsidRPr="009D75D4">
        <w:rPr>
          <w:rFonts w:ascii="Times New Roman" w:hAnsi="Times New Roman" w:cs="Times New Roman"/>
          <w:sz w:val="20"/>
          <w:szCs w:val="20"/>
        </w:rPr>
        <w:t>[…]</w:t>
      </w:r>
      <w:r w:rsidRPr="009D75D4">
        <w:rPr>
          <w:rFonts w:ascii="Times New Roman" w:hAnsi="Times New Roman" w:cs="Times New Roman"/>
          <w:color w:val="000000"/>
          <w:sz w:val="20"/>
          <w:szCs w:val="20"/>
          <w:shd w:val="clear" w:color="auto" w:fill="FFFFFF"/>
        </w:rPr>
        <w:t xml:space="preserve"> la logique</w:t>
      </w:r>
      <w:r w:rsidRPr="000371F7">
        <w:rPr>
          <w:rFonts w:ascii="Times New Roman" w:hAnsi="Times New Roman" w:cs="Times New Roman"/>
          <w:color w:val="000000"/>
          <w:sz w:val="20"/>
          <w:szCs w:val="20"/>
          <w:shd w:val="clear" w:color="auto" w:fill="FFFFFF"/>
        </w:rPr>
        <w:t xml:space="preserve"> de l’ordre public de protection pour écarter le taux légal au bénéfice d’un éventuel taux conventionnel infér</w:t>
      </w:r>
      <w:r>
        <w:rPr>
          <w:rFonts w:ascii="Times New Roman" w:hAnsi="Times New Roman" w:cs="Times New Roman"/>
          <w:color w:val="000000"/>
          <w:sz w:val="20"/>
          <w:szCs w:val="20"/>
          <w:shd w:val="clear" w:color="auto" w:fill="FFFFFF"/>
        </w:rPr>
        <w:t>ieur à 66%, plus favorable à l’</w:t>
      </w:r>
      <w:r w:rsidRPr="00184539">
        <w:rPr>
          <w:rFonts w:ascii="Times New Roman" w:hAnsi="Times New Roman" w:cs="Times New Roman"/>
          <w:sz w:val="20"/>
          <w:szCs w:val="20"/>
          <w:shd w:val="clear" w:color="auto" w:fill="FFFFFF"/>
        </w:rPr>
        <w:t>É</w:t>
      </w:r>
      <w:r w:rsidRPr="000371F7">
        <w:rPr>
          <w:rFonts w:ascii="Times New Roman" w:hAnsi="Times New Roman" w:cs="Times New Roman"/>
          <w:color w:val="000000"/>
          <w:sz w:val="20"/>
          <w:szCs w:val="20"/>
          <w:shd w:val="clear" w:color="auto" w:fill="FFFFFF"/>
        </w:rPr>
        <w:t>tat » (</w:t>
      </w:r>
      <w:r w:rsidRPr="000371F7">
        <w:rPr>
          <w:rFonts w:ascii="Times New Roman" w:hAnsi="Times New Roman" w:cs="Times New Roman"/>
          <w:sz w:val="20"/>
          <w:szCs w:val="20"/>
        </w:rPr>
        <w:t xml:space="preserve">P. </w:t>
      </w:r>
      <w:r w:rsidRPr="000371F7">
        <w:rPr>
          <w:rFonts w:ascii="Times New Roman" w:hAnsi="Times New Roman" w:cs="Times New Roman"/>
          <w:smallCaps/>
          <w:sz w:val="20"/>
          <w:szCs w:val="20"/>
        </w:rPr>
        <w:t>Giraud</w:t>
      </w:r>
      <w:r w:rsidRPr="000371F7">
        <w:rPr>
          <w:rFonts w:ascii="Times New Roman" w:hAnsi="Times New Roman" w:cs="Times New Roman"/>
          <w:sz w:val="20"/>
          <w:szCs w:val="20"/>
        </w:rPr>
        <w:t xml:space="preserve">, « La restriction des mesures conservatoires et d’exécution forcée exercées par les fonds dits vautours : le </w:t>
      </w:r>
      <w:r w:rsidRPr="009D75D4">
        <w:rPr>
          <w:rFonts w:ascii="Times New Roman" w:hAnsi="Times New Roman" w:cs="Times New Roman"/>
          <w:sz w:val="20"/>
          <w:szCs w:val="20"/>
        </w:rPr>
        <w:t>syndrome du “milieu du gué” »,</w:t>
      </w:r>
      <w:r w:rsidRPr="000371F7">
        <w:rPr>
          <w:rFonts w:ascii="Times New Roman" w:hAnsi="Times New Roman" w:cs="Times New Roman"/>
          <w:sz w:val="20"/>
          <w:szCs w:val="20"/>
        </w:rPr>
        <w:t xml:space="preserve"> </w:t>
      </w:r>
      <w:r w:rsidRPr="000371F7">
        <w:rPr>
          <w:rFonts w:ascii="Times New Roman" w:hAnsi="Times New Roman" w:cs="Times New Roman"/>
          <w:i/>
          <w:sz w:val="20"/>
          <w:szCs w:val="20"/>
        </w:rPr>
        <w:t>Revue de droit international d’Assas</w:t>
      </w:r>
      <w:r w:rsidRPr="000371F7">
        <w:rPr>
          <w:rFonts w:ascii="Times New Roman" w:hAnsi="Times New Roman" w:cs="Times New Roman"/>
          <w:sz w:val="20"/>
          <w:szCs w:val="20"/>
        </w:rPr>
        <w:t>, 2018, vol. 1, p. 367)</w:t>
      </w:r>
      <w:r w:rsidRPr="000371F7">
        <w:rPr>
          <w:rFonts w:ascii="Times New Roman" w:hAnsi="Times New Roman" w:cs="Times New Roman"/>
          <w:color w:val="000000"/>
          <w:sz w:val="20"/>
          <w:szCs w:val="20"/>
          <w:shd w:val="clear" w:color="auto" w:fill="FFFFFF"/>
        </w:rPr>
        <w:t>.</w:t>
      </w:r>
    </w:p>
  </w:footnote>
  <w:footnote w:id="104">
    <w:p w14:paraId="15195D9A" w14:textId="77777777" w:rsidR="00552491" w:rsidRDefault="00552491" w:rsidP="002C2F99">
      <w:pPr>
        <w:pStyle w:val="Notedebasdepage"/>
        <w:jc w:val="both"/>
      </w:pPr>
      <w:r>
        <w:rPr>
          <w:rStyle w:val="Appelnotedebasdep"/>
        </w:rPr>
        <w:footnoteRef/>
      </w:r>
      <w:r>
        <w:t xml:space="preserve"> Assemblée nationale, compte rendu intégral, session ordinaire de 2015-2016, 3</w:t>
      </w:r>
      <w:r w:rsidRPr="00AA0772">
        <w:rPr>
          <w:vertAlign w:val="superscript"/>
        </w:rPr>
        <w:t>e</w:t>
      </w:r>
      <w:r>
        <w:t xml:space="preserve"> séance du jeudi 9 juin 2016, </w:t>
      </w:r>
      <w:r w:rsidRPr="00B41D0F">
        <w:rPr>
          <w:i/>
        </w:rPr>
        <w:t>Journal officiel de la République française</w:t>
      </w:r>
      <w:r>
        <w:t>, pp. 4236 et 4237.</w:t>
      </w:r>
    </w:p>
  </w:footnote>
  <w:footnote w:id="105">
    <w:p w14:paraId="09289FA3" w14:textId="77777777" w:rsidR="00552491" w:rsidRPr="000371F7" w:rsidRDefault="00552491" w:rsidP="002C2F99">
      <w:pPr>
        <w:pStyle w:val="Notedebasdepage"/>
        <w:jc w:val="both"/>
      </w:pPr>
      <w:r w:rsidRPr="00C01E88">
        <w:rPr>
          <w:rStyle w:val="Appelnotedebasdep"/>
        </w:rPr>
        <w:footnoteRef/>
      </w:r>
      <w:r w:rsidRPr="00C01E88">
        <w:t xml:space="preserve"> Rappelons ici la possibilité que l’article 60.IV. de la loi Sapin II offre aux créanciers.</w:t>
      </w:r>
    </w:p>
  </w:footnote>
  <w:footnote w:id="106">
    <w:p w14:paraId="7680D6A6" w14:textId="77777777" w:rsidR="00552491" w:rsidRDefault="00552491" w:rsidP="002C2F99">
      <w:pPr>
        <w:pStyle w:val="Notedebasdepage"/>
        <w:jc w:val="both"/>
      </w:pPr>
      <w:r>
        <w:rPr>
          <w:rStyle w:val="Appelnotedebasdep"/>
        </w:rPr>
        <w:footnoteRef/>
      </w:r>
      <w:r>
        <w:t xml:space="preserve"> Etonnamment, le Conseil constitutionnel français semble retenir que la limite de délai de quarante-huit mois relative à la situation de défaut et à la première proposition de modification des termes du titre de créance s’applique également à la </w:t>
      </w:r>
      <w:r>
        <w:rPr>
          <w:rFonts w:cs="Times New Roman"/>
          <w:color w:val="000000"/>
          <w:szCs w:val="24"/>
          <w:shd w:val="clear" w:color="auto" w:fill="FFFFFF"/>
        </w:rPr>
        <w:t>proposition de modification applicable au titre de créance acceptée par des créanciers représentant au moins deux tiers du montant en principal des créances éligibles (</w:t>
      </w:r>
      <w:r w:rsidRPr="00120B76">
        <w:t>Conseil</w:t>
      </w:r>
      <w:r>
        <w:t xml:space="preserve"> constitutionnel, décision n° 2016-741 DC du 8 décembre 2016, point 63</w:t>
      </w:r>
      <w:r>
        <w:rPr>
          <w:rFonts w:cs="Times New Roman"/>
        </w:rPr>
        <w:t>).</w:t>
      </w:r>
    </w:p>
  </w:footnote>
  <w:footnote w:id="107">
    <w:p w14:paraId="47B7A57A" w14:textId="77777777" w:rsidR="00552491" w:rsidRDefault="00552491" w:rsidP="002C2F99">
      <w:pPr>
        <w:pStyle w:val="Notedebasdepage"/>
        <w:jc w:val="both"/>
      </w:pPr>
      <w:r>
        <w:rPr>
          <w:rStyle w:val="Appelnotedebasdep"/>
        </w:rPr>
        <w:footnoteRef/>
      </w:r>
      <w:r>
        <w:t xml:space="preserve"> </w:t>
      </w:r>
      <w:r w:rsidRPr="00AA1922">
        <w:rPr>
          <w:rFonts w:cs="Times New Roman"/>
        </w:rPr>
        <w:t xml:space="preserve">Amendement n° 1405 </w:t>
      </w:r>
      <w:r>
        <w:rPr>
          <w:rFonts w:cs="Times New Roman"/>
        </w:rPr>
        <w:t xml:space="preserve">(Rect) </w:t>
      </w:r>
      <w:r w:rsidRPr="00AA1922">
        <w:rPr>
          <w:rFonts w:cs="Times New Roman"/>
        </w:rPr>
        <w:t xml:space="preserve">présenté par </w:t>
      </w:r>
      <w:r>
        <w:rPr>
          <w:rFonts w:cs="Times New Roman"/>
        </w:rPr>
        <w:t>D.</w:t>
      </w:r>
      <w:r w:rsidRPr="00AA1922">
        <w:rPr>
          <w:rFonts w:cs="Times New Roman"/>
          <w:iCs/>
          <w:color w:val="000000"/>
          <w:shd w:val="clear" w:color="auto" w:fill="FFFFFF"/>
        </w:rPr>
        <w:t xml:space="preserve"> Potier, </w:t>
      </w:r>
      <w:r>
        <w:rPr>
          <w:rFonts w:cs="Times New Roman"/>
          <w:iCs/>
          <w:color w:val="000000"/>
          <w:shd w:val="clear" w:color="auto" w:fill="FFFFFF"/>
        </w:rPr>
        <w:t>S. Mazetier, S. Denaja, R. Colas, C</w:t>
      </w:r>
      <w:r w:rsidRPr="00AA1922">
        <w:rPr>
          <w:rFonts w:cs="Times New Roman"/>
          <w:iCs/>
          <w:color w:val="000000"/>
          <w:shd w:val="clear" w:color="auto" w:fill="FFFFFF"/>
        </w:rPr>
        <w:t xml:space="preserve">. Castaner, </w:t>
      </w:r>
      <w:r>
        <w:rPr>
          <w:rFonts w:cs="Times New Roman"/>
          <w:iCs/>
          <w:color w:val="000000"/>
          <w:shd w:val="clear" w:color="auto" w:fill="FFFFFF"/>
        </w:rPr>
        <w:t>S. Errante, Y. Galut, P. Cherki, M. Rabin, C. Guittet, J.-R. Marsac, P.</w:t>
      </w:r>
      <w:r w:rsidRPr="00AA1922">
        <w:rPr>
          <w:rFonts w:cs="Times New Roman"/>
          <w:iCs/>
          <w:color w:val="000000"/>
          <w:shd w:val="clear" w:color="auto" w:fill="FFFFFF"/>
        </w:rPr>
        <w:t xml:space="preserve"> </w:t>
      </w:r>
      <w:r>
        <w:rPr>
          <w:rFonts w:cs="Times New Roman"/>
          <w:iCs/>
          <w:color w:val="000000"/>
          <w:shd w:val="clear" w:color="auto" w:fill="FFFFFF"/>
        </w:rPr>
        <w:t>Baumel, J</w:t>
      </w:r>
      <w:r w:rsidRPr="00AA1922">
        <w:rPr>
          <w:rFonts w:cs="Times New Roman"/>
          <w:iCs/>
          <w:color w:val="000000"/>
          <w:shd w:val="clear" w:color="auto" w:fill="FFFFFF"/>
        </w:rPr>
        <w:t>.</w:t>
      </w:r>
      <w:r>
        <w:rPr>
          <w:rFonts w:cs="Times New Roman"/>
          <w:iCs/>
          <w:color w:val="000000"/>
          <w:shd w:val="clear" w:color="auto" w:fill="FFFFFF"/>
        </w:rPr>
        <w:t>-P. Dufau et R</w:t>
      </w:r>
      <w:r w:rsidRPr="00AA1922">
        <w:rPr>
          <w:rFonts w:cs="Times New Roman"/>
          <w:iCs/>
          <w:color w:val="000000"/>
          <w:shd w:val="clear" w:color="auto" w:fill="FFFFFF"/>
        </w:rPr>
        <w:t xml:space="preserve">. Hammadi, </w:t>
      </w:r>
      <w:r>
        <w:rPr>
          <w:rFonts w:cs="Times New Roman"/>
          <w:iCs/>
          <w:color w:val="000000"/>
          <w:shd w:val="clear" w:color="auto" w:fill="FFFFFF"/>
        </w:rPr>
        <w:t>2 juin 2016, p. 4.</w:t>
      </w:r>
    </w:p>
  </w:footnote>
  <w:footnote w:id="108">
    <w:p w14:paraId="6B5406DE" w14:textId="4C8A2517" w:rsidR="00552491" w:rsidRDefault="00552491" w:rsidP="002C2F99">
      <w:pPr>
        <w:pStyle w:val="Notedebasdepage"/>
        <w:jc w:val="both"/>
      </w:pPr>
      <w:r w:rsidRPr="00AA1D2B">
        <w:rPr>
          <w:rStyle w:val="Appelnotedebasdep"/>
          <w:rFonts w:cs="Times New Roman"/>
        </w:rPr>
        <w:footnoteRef/>
      </w:r>
      <w:r w:rsidR="0005718B">
        <w:rPr>
          <w:rFonts w:cs="Times New Roman"/>
        </w:rPr>
        <w:t xml:space="preserve"> Voy.</w:t>
      </w:r>
      <w:r w:rsidRPr="00AA1D2B">
        <w:rPr>
          <w:rFonts w:cs="Times New Roman"/>
        </w:rPr>
        <w:t xml:space="preserve"> l’amendement n° 193 rectifié </w:t>
      </w:r>
      <w:r w:rsidRPr="00AA1D2B">
        <w:rPr>
          <w:rFonts w:cs="Times New Roman"/>
          <w:i/>
        </w:rPr>
        <w:t>bis</w:t>
      </w:r>
      <w:r w:rsidRPr="00AA1D2B">
        <w:rPr>
          <w:rFonts w:cs="Times New Roman"/>
        </w:rPr>
        <w:t xml:space="preserve"> de M.-N. Lienemann et de J. Durain qui souhaitaient que l’article anti-fonds vautours s’applique </w:t>
      </w:r>
      <w:r w:rsidRPr="00AA1D2B">
        <w:rPr>
          <w:rFonts w:cs="Times New Roman"/>
          <w:color w:val="000000"/>
          <w:shd w:val="clear" w:color="auto" w:fill="FFFFFF"/>
        </w:rPr>
        <w:t xml:space="preserve">à toutes les mesures conservatoires et mesures d’exécution demandées à compter de son entrée en vigueur </w:t>
      </w:r>
      <w:r>
        <w:rPr>
          <w:rFonts w:cs="Times New Roman"/>
          <w:color w:val="000000"/>
          <w:shd w:val="clear" w:color="auto" w:fill="FFFFFF"/>
        </w:rPr>
        <w:t>et à tous les titres de créance</w:t>
      </w:r>
      <w:r w:rsidRPr="00AA1D2B">
        <w:rPr>
          <w:rFonts w:cs="Times New Roman"/>
          <w:color w:val="000000"/>
          <w:shd w:val="clear" w:color="auto" w:fill="FFFFFF"/>
        </w:rPr>
        <w:t>, quelle que soit la date à laquelle ils ont été acquis par le créancier formant la demande. Ces sénateurs soulignaient que les créances acquises à compter de l’entrée en vigueur de l’article</w:t>
      </w:r>
      <w:r>
        <w:rPr>
          <w:rFonts w:cs="Times New Roman"/>
          <w:color w:val="000000"/>
          <w:shd w:val="clear" w:color="auto" w:fill="FFFFFF"/>
        </w:rPr>
        <w:t>,</w:t>
      </w:r>
      <w:r w:rsidRPr="00AA1D2B">
        <w:rPr>
          <w:rFonts w:cs="Times New Roman"/>
          <w:color w:val="000000"/>
          <w:shd w:val="clear" w:color="auto" w:fill="FFFFFF"/>
        </w:rPr>
        <w:t xml:space="preserve"> seules visées</w:t>
      </w:r>
      <w:r>
        <w:rPr>
          <w:rFonts w:cs="Times New Roman"/>
          <w:color w:val="000000"/>
          <w:shd w:val="clear" w:color="auto" w:fill="FFFFFF"/>
        </w:rPr>
        <w:t>,</w:t>
      </w:r>
      <w:r w:rsidRPr="00AA1D2B">
        <w:rPr>
          <w:rFonts w:cs="Times New Roman"/>
          <w:color w:val="000000"/>
          <w:shd w:val="clear" w:color="auto" w:fill="FFFFFF"/>
        </w:rPr>
        <w:t xml:space="preserve"> comprenaient pour la plupart des clauses d’action collective les protégeant des actions de blocage des fonds vautours et que les créances les plus exposées étaient les plus anciennes ne comprenant pas lesdites clauses.</w:t>
      </w:r>
      <w:r w:rsidR="0005718B">
        <w:rPr>
          <w:rFonts w:cs="Times New Roman"/>
        </w:rPr>
        <w:t xml:space="preserve"> Voy.</w:t>
      </w:r>
      <w:r w:rsidRPr="00AA1D2B">
        <w:rPr>
          <w:rFonts w:cs="Times New Roman"/>
        </w:rPr>
        <w:t xml:space="preserve"> encore, dans le sens de la suppression de la limitation temporelle, le sous-amendement n° 677 à l’amendement n° 634 du Gouvernement présenté par J. Labbé et A. Gattolin. Tant la paire M.-N. Lienemann et J. Durain que la paire J. Labbé et A. Gattolin souhaitaient l’application de </w:t>
      </w:r>
      <w:r>
        <w:rPr>
          <w:rFonts w:cs="Times New Roman"/>
        </w:rPr>
        <w:t>l’article</w:t>
      </w:r>
      <w:r w:rsidRPr="00AA1D2B">
        <w:rPr>
          <w:rFonts w:cs="Times New Roman"/>
        </w:rPr>
        <w:t xml:space="preserve"> anti-fonds vautours à l’ens</w:t>
      </w:r>
      <w:r w:rsidRPr="006216E5">
        <w:rPr>
          <w:rFonts w:cs="Times New Roman"/>
        </w:rPr>
        <w:t>emble des titres de créance, qu’ils</w:t>
      </w:r>
      <w:r w:rsidRPr="00AA1D2B">
        <w:rPr>
          <w:rFonts w:cs="Times New Roman"/>
        </w:rPr>
        <w:t xml:space="preserve"> aient été acquis avant ou après l’entrée en vigueur de la loi, « </w:t>
      </w:r>
      <w:r w:rsidRPr="00AA1D2B">
        <w:rPr>
          <w:rFonts w:cs="Times New Roman"/>
          <w:color w:val="000000"/>
          <w:shd w:val="clear" w:color="auto" w:fill="FFFFFF"/>
        </w:rPr>
        <w:t xml:space="preserve">la non-rétroactivité devant porter sur le comportement répréhensible du fonds procédurier auquel il s’agit de mettre un terme (et donc aux procédures engagées avant l’entrée en vigueur de la loi) et non à la date d’acquisition du titre de </w:t>
      </w:r>
      <w:r w:rsidRPr="0068237F">
        <w:rPr>
          <w:rFonts w:cs="Times New Roman"/>
          <w:color w:val="000000"/>
          <w:shd w:val="clear" w:color="auto" w:fill="FFFFFF"/>
        </w:rPr>
        <w:t xml:space="preserve">créance ». </w:t>
      </w:r>
      <w:r w:rsidRPr="0068237F">
        <w:rPr>
          <w:rFonts w:cs="Times New Roman"/>
        </w:rPr>
        <w:t>P. Giraud traduisit du propos nébuleux de ces quatre sénateurs que leur idée était de pouvoir combattre « </w:t>
      </w:r>
      <w:r w:rsidRPr="0068237F">
        <w:t>le comportement répréhensible du fonds procédurier indépendamment de la date d’acquisition du titre de créance afin de pouvoir lutter contre des procédures engagées avant l’entrée en vigueur de la loi » (</w:t>
      </w:r>
      <w:r w:rsidRPr="0068237F">
        <w:rPr>
          <w:rFonts w:cs="Times New Roman"/>
        </w:rPr>
        <w:t xml:space="preserve">P. </w:t>
      </w:r>
      <w:r w:rsidRPr="0068237F">
        <w:rPr>
          <w:rFonts w:cs="Times New Roman"/>
          <w:smallCaps/>
        </w:rPr>
        <w:t>Giraud</w:t>
      </w:r>
      <w:r w:rsidRPr="0068237F">
        <w:rPr>
          <w:rFonts w:cs="Times New Roman"/>
        </w:rPr>
        <w:t xml:space="preserve">, « La restriction des mesures conservatoires et d’exécution forcée exercées par les fonds dits vautours : le syndrome du </w:t>
      </w:r>
      <w:r>
        <w:rPr>
          <w:szCs w:val="22"/>
        </w:rPr>
        <w:t>“</w:t>
      </w:r>
      <w:r>
        <w:t>milieu du gué</w:t>
      </w:r>
      <w:r>
        <w:rPr>
          <w:szCs w:val="22"/>
        </w:rPr>
        <w:t>”</w:t>
      </w:r>
      <w:r w:rsidRPr="0068237F">
        <w:rPr>
          <w:rFonts w:cs="Times New Roman"/>
        </w:rPr>
        <w:t xml:space="preserve"> », </w:t>
      </w:r>
      <w:r w:rsidRPr="0068237F">
        <w:rPr>
          <w:rFonts w:cs="Times New Roman"/>
          <w:i/>
        </w:rPr>
        <w:t>Revue de droit international d’Assas</w:t>
      </w:r>
      <w:r w:rsidRPr="0068237F">
        <w:rPr>
          <w:rFonts w:cs="Times New Roman"/>
        </w:rPr>
        <w:t>, 2018, vol. 1, p. 363).</w:t>
      </w:r>
    </w:p>
  </w:footnote>
  <w:footnote w:id="109">
    <w:p w14:paraId="119872C7" w14:textId="77777777" w:rsidR="00552491" w:rsidRDefault="00552491" w:rsidP="002C2F99">
      <w:pPr>
        <w:pStyle w:val="Notedebasdepage"/>
        <w:jc w:val="both"/>
      </w:pPr>
      <w:r w:rsidRPr="00F84634">
        <w:rPr>
          <w:rStyle w:val="Appelnotedebasdep"/>
        </w:rPr>
        <w:footnoteRef/>
      </w:r>
      <w:r>
        <w:t xml:space="preserve"> Le ministre</w:t>
      </w:r>
      <w:r w:rsidRPr="00F84634">
        <w:t xml:space="preserve"> </w:t>
      </w:r>
      <w:r>
        <w:t xml:space="preserve">Michel Sapin craignait, comme nous le verrons </w:t>
      </w:r>
      <w:r w:rsidRPr="00F84634">
        <w:rPr>
          <w:i/>
        </w:rPr>
        <w:t>infra</w:t>
      </w:r>
      <w:r>
        <w:t>, la censure de la mesure (Sénat, c</w:t>
      </w:r>
      <w:r w:rsidRPr="00041E80">
        <w:rPr>
          <w:rFonts w:cs="Times New Roman"/>
        </w:rPr>
        <w:t xml:space="preserve">ompte rendu intégral, session extraordinaire de 2015-2016, séance du jeudi 7 juillet 2016, </w:t>
      </w:r>
      <w:r w:rsidRPr="00B41D0F">
        <w:rPr>
          <w:rFonts w:cs="Times New Roman"/>
          <w:i/>
        </w:rPr>
        <w:t>Journal officiel de la République française</w:t>
      </w:r>
      <w:r>
        <w:rPr>
          <w:rFonts w:cs="Times New Roman"/>
        </w:rPr>
        <w:t>, p. 12546).</w:t>
      </w:r>
    </w:p>
  </w:footnote>
  <w:footnote w:id="110">
    <w:p w14:paraId="20780726" w14:textId="77777777" w:rsidR="00552491" w:rsidRDefault="00552491" w:rsidP="002C2F99">
      <w:pPr>
        <w:pStyle w:val="Notedebasdepage"/>
        <w:jc w:val="both"/>
      </w:pPr>
      <w:r>
        <w:rPr>
          <w:rStyle w:val="Appelnotedebasdep"/>
        </w:rPr>
        <w:footnoteRef/>
      </w:r>
      <w:r>
        <w:t xml:space="preserve"> </w:t>
      </w:r>
      <w:r w:rsidRPr="00AA1922">
        <w:rPr>
          <w:rFonts w:cs="Times New Roman"/>
        </w:rPr>
        <w:t xml:space="preserve">Amendement n° 1405 </w:t>
      </w:r>
      <w:r>
        <w:rPr>
          <w:rFonts w:cs="Times New Roman"/>
        </w:rPr>
        <w:t xml:space="preserve">(Rect) </w:t>
      </w:r>
      <w:r w:rsidRPr="00AA1922">
        <w:rPr>
          <w:rFonts w:cs="Times New Roman"/>
        </w:rPr>
        <w:t xml:space="preserve">présenté par </w:t>
      </w:r>
      <w:r>
        <w:rPr>
          <w:rFonts w:cs="Times New Roman"/>
        </w:rPr>
        <w:t>D.</w:t>
      </w:r>
      <w:r w:rsidRPr="00AA1922">
        <w:rPr>
          <w:rFonts w:cs="Times New Roman"/>
          <w:iCs/>
          <w:color w:val="000000"/>
          <w:shd w:val="clear" w:color="auto" w:fill="FFFFFF"/>
        </w:rPr>
        <w:t xml:space="preserve"> Potier, </w:t>
      </w:r>
      <w:r>
        <w:rPr>
          <w:rFonts w:cs="Times New Roman"/>
          <w:iCs/>
          <w:color w:val="000000"/>
          <w:shd w:val="clear" w:color="auto" w:fill="FFFFFF"/>
        </w:rPr>
        <w:t>S. Mazetier, S. Denaja, R. Colas, C</w:t>
      </w:r>
      <w:r w:rsidRPr="00AA1922">
        <w:rPr>
          <w:rFonts w:cs="Times New Roman"/>
          <w:iCs/>
          <w:color w:val="000000"/>
          <w:shd w:val="clear" w:color="auto" w:fill="FFFFFF"/>
        </w:rPr>
        <w:t xml:space="preserve">. Castaner, </w:t>
      </w:r>
      <w:r>
        <w:rPr>
          <w:rFonts w:cs="Times New Roman"/>
          <w:iCs/>
          <w:color w:val="000000"/>
          <w:shd w:val="clear" w:color="auto" w:fill="FFFFFF"/>
        </w:rPr>
        <w:t>S. Errante, Y. Galut, P. Cherki, M. Rabin, C. Guittet, J.-R. Marsac, P.</w:t>
      </w:r>
      <w:r w:rsidRPr="00AA1922">
        <w:rPr>
          <w:rFonts w:cs="Times New Roman"/>
          <w:iCs/>
          <w:color w:val="000000"/>
          <w:shd w:val="clear" w:color="auto" w:fill="FFFFFF"/>
        </w:rPr>
        <w:t xml:space="preserve"> </w:t>
      </w:r>
      <w:r>
        <w:rPr>
          <w:rFonts w:cs="Times New Roman"/>
          <w:iCs/>
          <w:color w:val="000000"/>
          <w:shd w:val="clear" w:color="auto" w:fill="FFFFFF"/>
        </w:rPr>
        <w:t>Baumel, J</w:t>
      </w:r>
      <w:r w:rsidRPr="00AA1922">
        <w:rPr>
          <w:rFonts w:cs="Times New Roman"/>
          <w:iCs/>
          <w:color w:val="000000"/>
          <w:shd w:val="clear" w:color="auto" w:fill="FFFFFF"/>
        </w:rPr>
        <w:t>.</w:t>
      </w:r>
      <w:r>
        <w:rPr>
          <w:rFonts w:cs="Times New Roman"/>
          <w:iCs/>
          <w:color w:val="000000"/>
          <w:shd w:val="clear" w:color="auto" w:fill="FFFFFF"/>
        </w:rPr>
        <w:t>-P. Dufau et R</w:t>
      </w:r>
      <w:r w:rsidRPr="00AA1922">
        <w:rPr>
          <w:rFonts w:cs="Times New Roman"/>
          <w:iCs/>
          <w:color w:val="000000"/>
          <w:shd w:val="clear" w:color="auto" w:fill="FFFFFF"/>
        </w:rPr>
        <w:t xml:space="preserve">. Hammadi, </w:t>
      </w:r>
      <w:r>
        <w:rPr>
          <w:rFonts w:cs="Times New Roman"/>
          <w:iCs/>
          <w:color w:val="000000"/>
          <w:shd w:val="clear" w:color="auto" w:fill="FFFFFF"/>
        </w:rPr>
        <w:t>2 juin 2016, p. 5.</w:t>
      </w:r>
    </w:p>
  </w:footnote>
  <w:footnote w:id="111">
    <w:p w14:paraId="37B701E4" w14:textId="77777777" w:rsidR="00552491" w:rsidRPr="00002B92" w:rsidRDefault="00552491" w:rsidP="002C2F99">
      <w:pPr>
        <w:pStyle w:val="Sansinterligne"/>
        <w:jc w:val="both"/>
        <w:rPr>
          <w:rFonts w:ascii="Times New Roman" w:hAnsi="Times New Roman" w:cs="Times New Roman"/>
          <w:sz w:val="20"/>
          <w:szCs w:val="20"/>
        </w:rPr>
      </w:pPr>
      <w:r w:rsidRPr="00002B92">
        <w:rPr>
          <w:rStyle w:val="Appelnotedebasdep"/>
          <w:rFonts w:ascii="Times New Roman" w:hAnsi="Times New Roman" w:cs="Times New Roman"/>
          <w:sz w:val="20"/>
          <w:szCs w:val="20"/>
        </w:rPr>
        <w:footnoteRef/>
      </w:r>
      <w:r w:rsidRPr="00002B92">
        <w:rPr>
          <w:rFonts w:ascii="Times New Roman" w:hAnsi="Times New Roman" w:cs="Times New Roman"/>
          <w:sz w:val="20"/>
          <w:szCs w:val="20"/>
        </w:rPr>
        <w:t xml:space="preserve"> </w:t>
      </w:r>
      <w:r>
        <w:rPr>
          <w:rFonts w:ascii="Times New Roman" w:hAnsi="Times New Roman" w:cs="Times New Roman"/>
          <w:sz w:val="20"/>
          <w:szCs w:val="20"/>
        </w:rPr>
        <w:t>Sénat, c</w:t>
      </w:r>
      <w:r w:rsidRPr="00002B92">
        <w:rPr>
          <w:rFonts w:ascii="Times New Roman" w:hAnsi="Times New Roman" w:cs="Times New Roman"/>
          <w:sz w:val="20"/>
          <w:szCs w:val="20"/>
        </w:rPr>
        <w:t xml:space="preserve">ompte rendu intégral, session extraordinaire de 2015-2016, séance du lundi 4 juillet 2016, </w:t>
      </w:r>
      <w:r w:rsidRPr="00B41D0F">
        <w:rPr>
          <w:rFonts w:ascii="Times New Roman" w:hAnsi="Times New Roman" w:cs="Times New Roman"/>
          <w:i/>
          <w:sz w:val="20"/>
          <w:szCs w:val="20"/>
        </w:rPr>
        <w:t>Journal officiel de la République française</w:t>
      </w:r>
      <w:r w:rsidRPr="00002B92">
        <w:rPr>
          <w:rFonts w:ascii="Times New Roman" w:hAnsi="Times New Roman" w:cs="Times New Roman"/>
          <w:sz w:val="20"/>
          <w:szCs w:val="20"/>
        </w:rPr>
        <w:t>, p. 12115.</w:t>
      </w:r>
    </w:p>
  </w:footnote>
  <w:footnote w:id="112">
    <w:p w14:paraId="02D04D71" w14:textId="5D22E053" w:rsidR="00552491" w:rsidRDefault="00552491" w:rsidP="002C2F99">
      <w:pPr>
        <w:pStyle w:val="Notedebasdepage"/>
        <w:jc w:val="both"/>
      </w:pPr>
      <w:r>
        <w:rPr>
          <w:rStyle w:val="Appelnotedebasdep"/>
        </w:rPr>
        <w:footnoteRef/>
      </w:r>
      <w:r>
        <w:t xml:space="preserve"> </w:t>
      </w:r>
      <w:r w:rsidR="0005718B">
        <w:rPr>
          <w:rFonts w:cs="Times New Roman"/>
        </w:rPr>
        <w:t>Voy.</w:t>
      </w:r>
      <w:r w:rsidRPr="00667706">
        <w:rPr>
          <w:rFonts w:cs="Times New Roman"/>
        </w:rPr>
        <w:t xml:space="preserve"> le sous-amendement n° 677 présenté par J. Labbé et A. Gattolin </w:t>
      </w:r>
      <w:r w:rsidRPr="00667706">
        <w:rPr>
          <w:rFonts w:cs="Times New Roman"/>
          <w:color w:val="000000"/>
          <w:shd w:val="clear" w:color="auto" w:fill="FFFFFF"/>
        </w:rPr>
        <w:t>à l'amendement n° 634 du Gouvernement</w:t>
      </w:r>
      <w:r>
        <w:t xml:space="preserve">. Avec cette triple extension, ce sous-amendement faisait ainsi des propositions similaires à certaines faites par </w:t>
      </w:r>
      <w:r w:rsidRPr="008B707E">
        <w:t>M.-N. Lienemann et de J. Durain</w:t>
      </w:r>
      <w:r>
        <w:t xml:space="preserve"> avec leur </w:t>
      </w:r>
      <w:r w:rsidRPr="008B707E">
        <w:t xml:space="preserve">amendement n° 193 rectifié </w:t>
      </w:r>
      <w:r w:rsidRPr="008B707E">
        <w:rPr>
          <w:i/>
        </w:rPr>
        <w:t>bis</w:t>
      </w:r>
      <w:r>
        <w:t>.</w:t>
      </w:r>
    </w:p>
  </w:footnote>
  <w:footnote w:id="113">
    <w:p w14:paraId="0C3791B7" w14:textId="77777777" w:rsidR="00552491" w:rsidRDefault="00552491" w:rsidP="002C2F99">
      <w:pPr>
        <w:pStyle w:val="Notedebasdepage"/>
        <w:jc w:val="both"/>
      </w:pPr>
      <w:r>
        <w:rPr>
          <w:rStyle w:val="Appelnotedebasdep"/>
        </w:rPr>
        <w:footnoteRef/>
      </w:r>
      <w:r>
        <w:t xml:space="preserve"> Sénat, c</w:t>
      </w:r>
      <w:r w:rsidRPr="00041E80">
        <w:rPr>
          <w:rFonts w:cs="Times New Roman"/>
        </w:rPr>
        <w:t xml:space="preserve">ompte rendu intégral, session extraordinaire de 2015-2016, séance du jeudi 7 juillet 2016, </w:t>
      </w:r>
      <w:r w:rsidRPr="00B41D0F">
        <w:rPr>
          <w:rFonts w:cs="Times New Roman"/>
          <w:i/>
        </w:rPr>
        <w:t>Journal officiel de la République française</w:t>
      </w:r>
      <w:r w:rsidRPr="00041E80">
        <w:rPr>
          <w:rFonts w:cs="Times New Roman"/>
        </w:rPr>
        <w:t xml:space="preserve">, </w:t>
      </w:r>
      <w:r>
        <w:rPr>
          <w:rFonts w:cs="Times New Roman"/>
        </w:rPr>
        <w:t xml:space="preserve">p. 12546. Le ministre Michel Sapin, parlant erronément du sous-amendement n° 673 au lieu du sous-amendement n° 677, conclut </w:t>
      </w:r>
      <w:r>
        <w:t>en indiquant qu’il souhaitait que ce sous-amendement soit retiré, ce qu’il sera.</w:t>
      </w:r>
    </w:p>
  </w:footnote>
  <w:footnote w:id="114">
    <w:p w14:paraId="4ADDCCA9" w14:textId="77777777" w:rsidR="00552491" w:rsidRDefault="00552491" w:rsidP="002C2F99">
      <w:pPr>
        <w:pStyle w:val="Notedebasdepage"/>
        <w:jc w:val="both"/>
      </w:pPr>
      <w:r>
        <w:rPr>
          <w:rStyle w:val="Appelnotedebasdep"/>
        </w:rPr>
        <w:footnoteRef/>
      </w:r>
      <w:r>
        <w:t xml:space="preserve"> Conseil d’</w:t>
      </w:r>
      <w:r w:rsidRPr="00184539">
        <w:rPr>
          <w:rFonts w:cs="Times New Roman"/>
          <w:shd w:val="clear" w:color="auto" w:fill="FFFFFF"/>
        </w:rPr>
        <w:t>É</w:t>
      </w:r>
      <w:r>
        <w:t xml:space="preserve">tat, avis n° 391262 sur un projet de loi relatif à la transparence, à la lutte contre la corruption et à la modernisation de la vie économique, 24 mars 2016, disponible à l’adresse </w:t>
      </w:r>
      <w:hyperlink r:id="rId45" w:history="1">
        <w:r w:rsidRPr="00674042">
          <w:rPr>
            <w:rStyle w:val="Lienhypertexte"/>
          </w:rPr>
          <w:t>www.conseil-etat.fr/content/download/58180/518185/version/1/file/Avis_391262.pdf</w:t>
        </w:r>
      </w:hyperlink>
      <w:r>
        <w:t xml:space="preserve">, pp. 19 et 20. </w:t>
      </w:r>
    </w:p>
  </w:footnote>
  <w:footnote w:id="115">
    <w:p w14:paraId="3A013C30" w14:textId="24A687BF" w:rsidR="00552491" w:rsidRDefault="00552491" w:rsidP="002C2F99">
      <w:pPr>
        <w:pStyle w:val="Notedebasdepage"/>
        <w:jc w:val="both"/>
      </w:pPr>
      <w:r>
        <w:rPr>
          <w:rStyle w:val="Appelnotedebasdep"/>
        </w:rPr>
        <w:footnoteRef/>
      </w:r>
      <w:r w:rsidR="0005718B">
        <w:t xml:space="preserve"> Voy.</w:t>
      </w:r>
      <w:r>
        <w:t xml:space="preserve"> leurs reproches repris </w:t>
      </w:r>
      <w:r w:rsidRPr="00D6263E">
        <w:rPr>
          <w:i/>
        </w:rPr>
        <w:t>in</w:t>
      </w:r>
      <w:r>
        <w:t xml:space="preserve"> </w:t>
      </w:r>
      <w:r w:rsidRPr="00120B76">
        <w:t>Conseil</w:t>
      </w:r>
      <w:r>
        <w:t xml:space="preserve"> constitutionnel, décision n° 2016-741 DC du 8 décembre 2016, point 65.</w:t>
      </w:r>
    </w:p>
  </w:footnote>
  <w:footnote w:id="116">
    <w:p w14:paraId="5C6ECEF5" w14:textId="77777777" w:rsidR="00552491" w:rsidRDefault="00552491" w:rsidP="002C2F99">
      <w:pPr>
        <w:pStyle w:val="Notedebasdepage"/>
        <w:jc w:val="both"/>
      </w:pPr>
      <w:r>
        <w:rPr>
          <w:rStyle w:val="Appelnotedebasdep"/>
        </w:rPr>
        <w:footnoteRef/>
      </w:r>
      <w:r>
        <w:t xml:space="preserve"> </w:t>
      </w:r>
      <w:r w:rsidRPr="00120B76">
        <w:t>Conseil</w:t>
      </w:r>
      <w:r>
        <w:t xml:space="preserve"> constitutionnel, décision n° 2016-741 DC du 8 décembre 2016, points 66 à 74.</w:t>
      </w:r>
    </w:p>
  </w:footnote>
  <w:footnote w:id="117">
    <w:p w14:paraId="22067ED2" w14:textId="3693AB0F" w:rsidR="00552491" w:rsidRPr="00E44DC2" w:rsidRDefault="00552491" w:rsidP="002C2F99">
      <w:pPr>
        <w:pStyle w:val="Sansinterligne"/>
        <w:jc w:val="both"/>
        <w:rPr>
          <w:rFonts w:ascii="Times New Roman" w:hAnsi="Times New Roman" w:cs="Times New Roman"/>
          <w:sz w:val="20"/>
          <w:szCs w:val="20"/>
        </w:rPr>
      </w:pPr>
      <w:r w:rsidRPr="00E44DC2">
        <w:rPr>
          <w:rStyle w:val="Appelnotedebasdep"/>
          <w:rFonts w:ascii="Times New Roman" w:hAnsi="Times New Roman" w:cs="Times New Roman"/>
          <w:sz w:val="20"/>
          <w:szCs w:val="20"/>
        </w:rPr>
        <w:footnoteRef/>
      </w:r>
      <w:r w:rsidRPr="00E44DC2">
        <w:rPr>
          <w:rFonts w:ascii="Times New Roman" w:hAnsi="Times New Roman" w:cs="Times New Roman"/>
          <w:sz w:val="20"/>
          <w:szCs w:val="20"/>
        </w:rPr>
        <w:t xml:space="preserve"> Quoiqu’</w:t>
      </w:r>
      <w:r>
        <w:rPr>
          <w:rFonts w:ascii="Times New Roman" w:hAnsi="Times New Roman" w:cs="Times New Roman"/>
          <w:sz w:val="20"/>
          <w:szCs w:val="20"/>
        </w:rPr>
        <w:t>à</w:t>
      </w:r>
      <w:r w:rsidR="0005718B">
        <w:rPr>
          <w:rFonts w:ascii="Times New Roman" w:hAnsi="Times New Roman" w:cs="Times New Roman"/>
          <w:sz w:val="20"/>
          <w:szCs w:val="20"/>
        </w:rPr>
        <w:t xml:space="preserve"> l’entame de sa réflexion (voy.</w:t>
      </w:r>
      <w:r w:rsidRPr="00E44DC2">
        <w:rPr>
          <w:rFonts w:ascii="Times New Roman" w:hAnsi="Times New Roman" w:cs="Times New Roman"/>
          <w:sz w:val="20"/>
          <w:szCs w:val="20"/>
        </w:rPr>
        <w:t xml:space="preserve"> le point 66), le Conseil constitutionnel rappelle l’importance que les droits patrimoniaux des créanciers et des débiteurs soient conciliés, Paul Giraud regrette qu’aucun élément concret n’étaye l’équilibre auquel parvient, selon le Conseil, la loi (P. </w:t>
      </w:r>
      <w:r w:rsidRPr="00E44DC2">
        <w:rPr>
          <w:rFonts w:ascii="Times New Roman" w:hAnsi="Times New Roman" w:cs="Times New Roman"/>
          <w:smallCaps/>
          <w:sz w:val="20"/>
          <w:szCs w:val="20"/>
        </w:rPr>
        <w:t>Giraud</w:t>
      </w:r>
      <w:r w:rsidRPr="00E44DC2">
        <w:rPr>
          <w:rFonts w:ascii="Times New Roman" w:hAnsi="Times New Roman" w:cs="Times New Roman"/>
          <w:sz w:val="20"/>
          <w:szCs w:val="20"/>
        </w:rPr>
        <w:t xml:space="preserve">, « La restriction des mesures conservatoires et d’exécution forcée exercées par les fonds dits vautours : le syndrome du </w:t>
      </w:r>
      <w:r w:rsidRPr="009D75D4">
        <w:rPr>
          <w:rFonts w:ascii="Times New Roman" w:hAnsi="Times New Roman" w:cs="Times New Roman"/>
          <w:sz w:val="20"/>
          <w:szCs w:val="20"/>
        </w:rPr>
        <w:t>“milieu du gué” »,</w:t>
      </w:r>
      <w:r w:rsidRPr="00E44DC2">
        <w:rPr>
          <w:rFonts w:ascii="Times New Roman" w:hAnsi="Times New Roman" w:cs="Times New Roman"/>
          <w:sz w:val="20"/>
          <w:szCs w:val="20"/>
        </w:rPr>
        <w:t xml:space="preserve"> </w:t>
      </w:r>
      <w:r w:rsidRPr="00E44DC2">
        <w:rPr>
          <w:rFonts w:ascii="Times New Roman" w:hAnsi="Times New Roman" w:cs="Times New Roman"/>
          <w:i/>
          <w:sz w:val="20"/>
          <w:szCs w:val="20"/>
        </w:rPr>
        <w:t>Revue de droit international d’Assas</w:t>
      </w:r>
      <w:r w:rsidRPr="00E44DC2">
        <w:rPr>
          <w:rFonts w:ascii="Times New Roman" w:hAnsi="Times New Roman" w:cs="Times New Roman"/>
          <w:sz w:val="20"/>
          <w:szCs w:val="20"/>
        </w:rPr>
        <w:t>, 2018, vol. 1, p. 371).</w:t>
      </w:r>
    </w:p>
  </w:footnote>
  <w:footnote w:id="118">
    <w:p w14:paraId="6E3C14C1" w14:textId="31833925" w:rsidR="00552491" w:rsidRPr="00865D0B" w:rsidRDefault="00552491" w:rsidP="002C2F99">
      <w:pPr>
        <w:pStyle w:val="Sansinterligne"/>
        <w:jc w:val="both"/>
        <w:rPr>
          <w:rFonts w:ascii="Times New Roman" w:hAnsi="Times New Roman" w:cs="Times New Roman"/>
          <w:sz w:val="20"/>
          <w:szCs w:val="20"/>
        </w:rPr>
      </w:pPr>
      <w:r w:rsidRPr="00865D0B">
        <w:rPr>
          <w:rStyle w:val="Appelnotedebasdep"/>
          <w:rFonts w:ascii="Times New Roman" w:hAnsi="Times New Roman" w:cs="Times New Roman"/>
          <w:sz w:val="20"/>
          <w:szCs w:val="20"/>
        </w:rPr>
        <w:footnoteRef/>
      </w:r>
      <w:r w:rsidRPr="00865D0B">
        <w:rPr>
          <w:rFonts w:ascii="Times New Roman" w:hAnsi="Times New Roman" w:cs="Times New Roman"/>
          <w:sz w:val="20"/>
          <w:szCs w:val="20"/>
        </w:rPr>
        <w:t xml:space="preserve"> Paul Giraud critique les références faites, dans la décision du Conseil, d’une part, au « contrôle judiciaire renforcé » sur les mesures de contrainte à l’encon</w:t>
      </w:r>
      <w:r>
        <w:rPr>
          <w:rFonts w:ascii="Times New Roman" w:hAnsi="Times New Roman" w:cs="Times New Roman"/>
          <w:sz w:val="20"/>
          <w:szCs w:val="20"/>
        </w:rPr>
        <w:t xml:space="preserve">tre de biens appartenant à des </w:t>
      </w:r>
      <w:r w:rsidRPr="00184539">
        <w:rPr>
          <w:rFonts w:ascii="Times New Roman" w:hAnsi="Times New Roman" w:cs="Times New Roman"/>
          <w:sz w:val="20"/>
          <w:szCs w:val="20"/>
          <w:shd w:val="clear" w:color="auto" w:fill="FFFFFF"/>
        </w:rPr>
        <w:t>É</w:t>
      </w:r>
      <w:r w:rsidRPr="00865D0B">
        <w:rPr>
          <w:rFonts w:ascii="Times New Roman" w:hAnsi="Times New Roman" w:cs="Times New Roman"/>
          <w:sz w:val="20"/>
          <w:szCs w:val="20"/>
        </w:rPr>
        <w:t>tats étrangers, d’autre part, aux « conditions strictement définies » dan</w:t>
      </w:r>
      <w:r>
        <w:rPr>
          <w:rFonts w:ascii="Times New Roman" w:hAnsi="Times New Roman" w:cs="Times New Roman"/>
          <w:sz w:val="20"/>
          <w:szCs w:val="20"/>
        </w:rPr>
        <w:t xml:space="preserve">s lesquelles le créancier d’un </w:t>
      </w:r>
      <w:r w:rsidRPr="00184539">
        <w:rPr>
          <w:rFonts w:ascii="Times New Roman" w:hAnsi="Times New Roman" w:cs="Times New Roman"/>
          <w:sz w:val="20"/>
          <w:szCs w:val="20"/>
          <w:shd w:val="clear" w:color="auto" w:fill="FFFFFF"/>
        </w:rPr>
        <w:t>É</w:t>
      </w:r>
      <w:r w:rsidRPr="00865D0B">
        <w:rPr>
          <w:rFonts w:ascii="Times New Roman" w:hAnsi="Times New Roman" w:cs="Times New Roman"/>
          <w:sz w:val="20"/>
          <w:szCs w:val="20"/>
        </w:rPr>
        <w:t xml:space="preserve">tat est privé de la possibilité d’obtenir la mise en œuvre de telles mesures. Tout d’abord, il se demande si la procédure sur requête peut véritablement être estampillée « contrôle renforcé » pour ensuite déplorer le fait que le Conseil n’ait ni détaillé, ni précisé les « conditions strictement définies » auxquelles il fait référence. Il en </w:t>
      </w:r>
      <w:r>
        <w:rPr>
          <w:rFonts w:ascii="Times New Roman" w:hAnsi="Times New Roman" w:cs="Times New Roman"/>
          <w:sz w:val="20"/>
          <w:szCs w:val="20"/>
        </w:rPr>
        <w:t>retient</w:t>
      </w:r>
      <w:r w:rsidRPr="00865D0B">
        <w:rPr>
          <w:rFonts w:ascii="Times New Roman" w:hAnsi="Times New Roman" w:cs="Times New Roman"/>
          <w:sz w:val="20"/>
          <w:szCs w:val="20"/>
        </w:rPr>
        <w:t xml:space="preserve"> une fragilité de la conclusion du Conseil constitutionnel (P. </w:t>
      </w:r>
      <w:r w:rsidRPr="00865D0B">
        <w:rPr>
          <w:rFonts w:ascii="Times New Roman" w:hAnsi="Times New Roman" w:cs="Times New Roman"/>
          <w:smallCaps/>
          <w:sz w:val="20"/>
          <w:szCs w:val="20"/>
        </w:rPr>
        <w:t>Giraud</w:t>
      </w:r>
      <w:r w:rsidRPr="00865D0B">
        <w:rPr>
          <w:rFonts w:ascii="Times New Roman" w:hAnsi="Times New Roman" w:cs="Times New Roman"/>
          <w:sz w:val="20"/>
          <w:szCs w:val="20"/>
        </w:rPr>
        <w:t xml:space="preserve">, « La restriction des mesures conservatoires et d’exécution forcée exercées par les fonds dits vautours : </w:t>
      </w:r>
      <w:r w:rsidRPr="009D75D4">
        <w:rPr>
          <w:rFonts w:ascii="Times New Roman" w:hAnsi="Times New Roman" w:cs="Times New Roman"/>
          <w:sz w:val="20"/>
          <w:szCs w:val="20"/>
        </w:rPr>
        <w:t>le syndrome du “milieu du gué” »,</w:t>
      </w:r>
      <w:r w:rsidRPr="00865D0B">
        <w:rPr>
          <w:rFonts w:ascii="Times New Roman" w:hAnsi="Times New Roman" w:cs="Times New Roman"/>
          <w:sz w:val="20"/>
          <w:szCs w:val="20"/>
        </w:rPr>
        <w:t xml:space="preserve"> </w:t>
      </w:r>
      <w:r w:rsidRPr="00865D0B">
        <w:rPr>
          <w:rFonts w:ascii="Times New Roman" w:hAnsi="Times New Roman" w:cs="Times New Roman"/>
          <w:i/>
          <w:sz w:val="20"/>
          <w:szCs w:val="20"/>
        </w:rPr>
        <w:t>Revue de droit international d’Assas</w:t>
      </w:r>
      <w:r w:rsidRPr="00865D0B">
        <w:rPr>
          <w:rFonts w:ascii="Times New Roman" w:hAnsi="Times New Roman" w:cs="Times New Roman"/>
          <w:sz w:val="20"/>
          <w:szCs w:val="20"/>
        </w:rPr>
        <w:t>, 2018, vol. 1, p. 371).</w:t>
      </w:r>
      <w:r>
        <w:rPr>
          <w:rFonts w:ascii="Times New Roman" w:hAnsi="Times New Roman" w:cs="Times New Roman"/>
          <w:sz w:val="20"/>
          <w:szCs w:val="20"/>
        </w:rPr>
        <w:t xml:space="preserve"> Et il n’est pas seul à avoir un regard critique sur le c</w:t>
      </w:r>
      <w:r w:rsidRPr="00A870C8">
        <w:rPr>
          <w:rFonts w:ascii="Times New Roman" w:hAnsi="Times New Roman" w:cs="Times New Roman"/>
          <w:sz w:val="20"/>
          <w:szCs w:val="20"/>
        </w:rPr>
        <w:t>ontrôl</w:t>
      </w:r>
      <w:r w:rsidR="0005718B">
        <w:rPr>
          <w:rFonts w:ascii="Times New Roman" w:hAnsi="Times New Roman" w:cs="Times New Roman"/>
          <w:sz w:val="20"/>
          <w:szCs w:val="20"/>
        </w:rPr>
        <w:t>e pratiqué par le Conseil (voy.</w:t>
      </w:r>
      <w:r w:rsidRPr="00A870C8">
        <w:rPr>
          <w:rFonts w:ascii="Times New Roman" w:hAnsi="Times New Roman" w:cs="Times New Roman"/>
          <w:sz w:val="20"/>
          <w:szCs w:val="20"/>
        </w:rPr>
        <w:t xml:space="preserve"> notamment B. </w:t>
      </w:r>
      <w:r w:rsidRPr="00A870C8">
        <w:rPr>
          <w:rFonts w:ascii="Times New Roman" w:hAnsi="Times New Roman" w:cs="Times New Roman"/>
          <w:smallCaps/>
          <w:sz w:val="20"/>
          <w:szCs w:val="20"/>
        </w:rPr>
        <w:t>Tranchant</w:t>
      </w:r>
      <w:r w:rsidRPr="00A870C8">
        <w:rPr>
          <w:rFonts w:ascii="Times New Roman" w:hAnsi="Times New Roman" w:cs="Times New Roman"/>
          <w:sz w:val="20"/>
          <w:szCs w:val="20"/>
        </w:rPr>
        <w:t xml:space="preserve">, « L’immunité étatique et l’exécution en France des sentences arbitrales internationale », </w:t>
      </w:r>
      <w:r w:rsidRPr="00A870C8">
        <w:rPr>
          <w:rFonts w:ascii="Times New Roman" w:hAnsi="Times New Roman" w:cs="Times New Roman"/>
          <w:i/>
          <w:sz w:val="20"/>
          <w:szCs w:val="20"/>
        </w:rPr>
        <w:t>Revue générale de droit international public</w:t>
      </w:r>
      <w:r w:rsidRPr="00A870C8">
        <w:rPr>
          <w:rFonts w:ascii="Times New Roman" w:hAnsi="Times New Roman" w:cs="Times New Roman"/>
          <w:sz w:val="20"/>
          <w:szCs w:val="20"/>
        </w:rPr>
        <w:t>, 2017, p. 843).</w:t>
      </w:r>
    </w:p>
  </w:footnote>
  <w:footnote w:id="119">
    <w:p w14:paraId="11F5217C" w14:textId="77777777" w:rsidR="00552491" w:rsidRDefault="00552491" w:rsidP="0072526D">
      <w:pPr>
        <w:pStyle w:val="Notedebasdepage"/>
        <w:jc w:val="both"/>
      </w:pPr>
      <w:r w:rsidRPr="005E5966">
        <w:rPr>
          <w:rStyle w:val="Appelnotedebasdep"/>
        </w:rPr>
        <w:footnoteRef/>
      </w:r>
      <w:r w:rsidRPr="005E5966">
        <w:t xml:space="preserve"> J. </w:t>
      </w:r>
      <w:r w:rsidRPr="005E5966">
        <w:rPr>
          <w:smallCaps/>
        </w:rPr>
        <w:t>Heymann</w:t>
      </w:r>
      <w:r w:rsidRPr="005E5966">
        <w:t xml:space="preserve">, </w:t>
      </w:r>
      <w:r w:rsidRPr="005E5966">
        <w:rPr>
          <w:rFonts w:cs="Times New Roman"/>
        </w:rPr>
        <w:t xml:space="preserve">« La loi Sapin 2 et les immunités d’exécution – </w:t>
      </w:r>
      <w:r w:rsidRPr="005E5966">
        <w:rPr>
          <w:rFonts w:cs="Times New Roman"/>
          <w:lang w:eastAsia="fr-BE"/>
        </w:rPr>
        <w:t>À</w:t>
      </w:r>
      <w:r w:rsidRPr="005E5966">
        <w:rPr>
          <w:rFonts w:cs="Times New Roman"/>
        </w:rPr>
        <w:t xml:space="preserve"> propos de la loi n°2016-1691 du 9 décembre 2016 », </w:t>
      </w:r>
      <w:r w:rsidRPr="005E5966">
        <w:rPr>
          <w:rFonts w:cs="Times New Roman"/>
          <w:i/>
        </w:rPr>
        <w:t>La semaine juridique – Edition générale</w:t>
      </w:r>
      <w:r w:rsidRPr="005E5966">
        <w:rPr>
          <w:rFonts w:cs="Times New Roman"/>
        </w:rPr>
        <w:t>, 30 janvier 2017, p. 179.</w:t>
      </w:r>
    </w:p>
  </w:footnote>
  <w:footnote w:id="120">
    <w:p w14:paraId="04123EC8" w14:textId="04D56102" w:rsidR="00552491" w:rsidRDefault="00552491" w:rsidP="002C2F99">
      <w:pPr>
        <w:pStyle w:val="Notedebasdepage"/>
        <w:jc w:val="both"/>
      </w:pPr>
      <w:r w:rsidRPr="00A144F3">
        <w:rPr>
          <w:rStyle w:val="Appelnotedebasdep"/>
        </w:rPr>
        <w:footnoteRef/>
      </w:r>
      <w:r w:rsidR="0005718B">
        <w:t xml:space="preserve"> Voy.</w:t>
      </w:r>
      <w:r w:rsidRPr="00A144F3">
        <w:t xml:space="preserve"> </w:t>
      </w:r>
      <w:r w:rsidRPr="00A144F3">
        <w:rPr>
          <w:i/>
        </w:rPr>
        <w:t>supra</w:t>
      </w:r>
      <w:r w:rsidRPr="00A144F3">
        <w:t xml:space="preserve"> </w:t>
      </w:r>
      <w:r>
        <w:t>point 8</w:t>
      </w:r>
      <w:r w:rsidRPr="00A144F3">
        <w:t>.</w:t>
      </w:r>
    </w:p>
  </w:footnote>
  <w:footnote w:id="121">
    <w:p w14:paraId="4AFF42FE" w14:textId="0D02022B" w:rsidR="00552491" w:rsidRDefault="00552491" w:rsidP="00C35508">
      <w:pPr>
        <w:pStyle w:val="Notedebasdepage"/>
        <w:jc w:val="both"/>
      </w:pPr>
      <w:r w:rsidRPr="005E5966">
        <w:rPr>
          <w:rStyle w:val="Appelnotedebasdep"/>
        </w:rPr>
        <w:footnoteRef/>
      </w:r>
      <w:r w:rsidRPr="005E5966">
        <w:t xml:space="preserve"> </w:t>
      </w:r>
      <w:r w:rsidRPr="005E5966">
        <w:rPr>
          <w:rFonts w:cs="Times New Roman"/>
        </w:rPr>
        <w:t xml:space="preserve">R. </w:t>
      </w:r>
      <w:r w:rsidRPr="005E5966">
        <w:rPr>
          <w:rFonts w:cs="Times New Roman"/>
          <w:smallCaps/>
        </w:rPr>
        <w:t>Bismuth</w:t>
      </w:r>
      <w:r w:rsidRPr="005E5966">
        <w:rPr>
          <w:rFonts w:cs="Times New Roman"/>
        </w:rPr>
        <w:t xml:space="preserve">, « L’immunité d’exécution après la loi Sapin 2 », </w:t>
      </w:r>
      <w:r w:rsidRPr="005E5966">
        <w:rPr>
          <w:rFonts w:cs="Times New Roman"/>
          <w:i/>
        </w:rPr>
        <w:t>Journal du droit international</w:t>
      </w:r>
      <w:r w:rsidR="0005718B">
        <w:rPr>
          <w:rFonts w:cs="Times New Roman"/>
        </w:rPr>
        <w:t>, 2018, pp. 456-457. Voy.</w:t>
      </w:r>
      <w:r w:rsidRPr="005E5966">
        <w:rPr>
          <w:rFonts w:cs="Times New Roman"/>
        </w:rPr>
        <w:t xml:space="preserve"> encore </w:t>
      </w:r>
      <w:r w:rsidRPr="005E5966">
        <w:t xml:space="preserve">J. </w:t>
      </w:r>
      <w:r w:rsidRPr="005E5966">
        <w:rPr>
          <w:smallCaps/>
        </w:rPr>
        <w:t>Heymann</w:t>
      </w:r>
      <w:r w:rsidRPr="005E5966">
        <w:t xml:space="preserve">, </w:t>
      </w:r>
      <w:r w:rsidRPr="005E5966">
        <w:rPr>
          <w:rFonts w:cs="Times New Roman"/>
        </w:rPr>
        <w:t xml:space="preserve">« La loi Sapin 2 et les immunités d’exécution – </w:t>
      </w:r>
      <w:r w:rsidRPr="005E5966">
        <w:rPr>
          <w:rFonts w:cs="Times New Roman"/>
          <w:lang w:eastAsia="fr-BE"/>
        </w:rPr>
        <w:t>À</w:t>
      </w:r>
      <w:r w:rsidRPr="005E5966">
        <w:rPr>
          <w:rFonts w:cs="Times New Roman"/>
        </w:rPr>
        <w:t xml:space="preserve"> propos de la loi n°2016-1691 du 9 décembre 2016 », </w:t>
      </w:r>
      <w:r w:rsidRPr="005E5966">
        <w:rPr>
          <w:rFonts w:cs="Times New Roman"/>
          <w:i/>
        </w:rPr>
        <w:t>La semaine juridique – Edition générale</w:t>
      </w:r>
      <w:r w:rsidRPr="005E5966">
        <w:rPr>
          <w:rFonts w:cs="Times New Roman"/>
        </w:rPr>
        <w:t>, 30 janvier 2017, p. 180.</w:t>
      </w:r>
    </w:p>
  </w:footnote>
  <w:footnote w:id="122">
    <w:p w14:paraId="3DB9D6ED" w14:textId="77777777" w:rsidR="00552491" w:rsidRDefault="00552491" w:rsidP="002C2F99">
      <w:pPr>
        <w:pStyle w:val="Notedebasdepage"/>
        <w:jc w:val="both"/>
      </w:pPr>
      <w:r w:rsidRPr="0055449D">
        <w:rPr>
          <w:rStyle w:val="Appelnotedebasdep"/>
        </w:rPr>
        <w:footnoteRef/>
      </w:r>
      <w:r w:rsidRPr="0055449D">
        <w:t xml:space="preserve"> S. </w:t>
      </w:r>
      <w:r w:rsidRPr="0055449D">
        <w:rPr>
          <w:smallCaps/>
        </w:rPr>
        <w:t>Bollée</w:t>
      </w:r>
      <w:r w:rsidRPr="0055449D">
        <w:t xml:space="preserve">, « Les dispositions de la loi Sapin 2 relatives à l’immunité d’exécution », </w:t>
      </w:r>
      <w:r w:rsidRPr="0055449D">
        <w:rPr>
          <w:i/>
        </w:rPr>
        <w:t>Recueil Dalloz</w:t>
      </w:r>
      <w:r w:rsidRPr="0055449D">
        <w:t xml:space="preserve">, 15 décembre 2016, n° 43, p. 2560 et P. </w:t>
      </w:r>
      <w:r w:rsidRPr="0055449D">
        <w:rPr>
          <w:smallCaps/>
        </w:rPr>
        <w:t>Giraud</w:t>
      </w:r>
      <w:r w:rsidRPr="0055449D">
        <w:t>, « La restriction des mesures conservatoires et d’exécution forcée exercées par les fonds dits vautours</w:t>
      </w:r>
      <w:r>
        <w:t xml:space="preserve"> : le syndrome du </w:t>
      </w:r>
      <w:r>
        <w:rPr>
          <w:szCs w:val="22"/>
        </w:rPr>
        <w:t>“</w:t>
      </w:r>
      <w:r>
        <w:t>milieu du gué</w:t>
      </w:r>
      <w:r>
        <w:rPr>
          <w:szCs w:val="22"/>
        </w:rPr>
        <w:t>”</w:t>
      </w:r>
      <w:r>
        <w:t xml:space="preserve"> », </w:t>
      </w:r>
      <w:r w:rsidRPr="005E3D36">
        <w:rPr>
          <w:i/>
        </w:rPr>
        <w:t>Revue de droit international d’Assas</w:t>
      </w:r>
      <w:r>
        <w:t>, 2018, vol. 1, p. 372.</w:t>
      </w:r>
    </w:p>
  </w:footnote>
  <w:footnote w:id="123">
    <w:p w14:paraId="1D7714F9" w14:textId="1D010BF3" w:rsidR="00552491" w:rsidRDefault="00552491" w:rsidP="002C2F99">
      <w:pPr>
        <w:pStyle w:val="Notedebasdepage"/>
        <w:jc w:val="both"/>
      </w:pPr>
      <w:r>
        <w:rPr>
          <w:rStyle w:val="Appelnotedebasdep"/>
        </w:rPr>
        <w:footnoteRef/>
      </w:r>
      <w:r>
        <w:t xml:space="preserve"> </w:t>
      </w:r>
      <w:r w:rsidR="0005718B">
        <w:rPr>
          <w:rFonts w:cs="Times New Roman"/>
        </w:rPr>
        <w:t>Voy.</w:t>
      </w:r>
      <w:r w:rsidRPr="00764E2B">
        <w:rPr>
          <w:rFonts w:cs="Times New Roman"/>
        </w:rPr>
        <w:t xml:space="preserve"> notamment </w:t>
      </w:r>
      <w:r w:rsidRPr="0055449D">
        <w:t>Cour eur. D. H., arrêt du</w:t>
      </w:r>
      <w:r>
        <w:t xml:space="preserve"> </w:t>
      </w:r>
      <w:r w:rsidRPr="00764E2B">
        <w:rPr>
          <w:rFonts w:cs="Times New Roman"/>
        </w:rPr>
        <w:t>19 mars 1997</w:t>
      </w:r>
      <w:r>
        <w:t xml:space="preserve">, </w:t>
      </w:r>
      <w:r w:rsidRPr="00764E2B">
        <w:rPr>
          <w:rFonts w:cs="Times New Roman"/>
          <w:i/>
        </w:rPr>
        <w:t>Hornsby c. Grèce</w:t>
      </w:r>
      <w:r w:rsidRPr="00764E2B">
        <w:rPr>
          <w:rFonts w:cs="Times New Roman"/>
        </w:rPr>
        <w:t xml:space="preserve">, </w:t>
      </w:r>
      <w:r w:rsidRPr="00764E2B">
        <w:rPr>
          <w:rStyle w:val="s6b621b36"/>
          <w:rFonts w:cs="Times New Roman"/>
        </w:rPr>
        <w:t>r</w:t>
      </w:r>
      <w:r w:rsidRPr="00764E2B">
        <w:rPr>
          <w:rFonts w:cs="Times New Roman"/>
        </w:rPr>
        <w:t>equête n</w:t>
      </w:r>
      <w:r w:rsidRPr="00764E2B">
        <w:rPr>
          <w:rStyle w:val="sf1c7242d"/>
          <w:rFonts w:cs="Times New Roman"/>
        </w:rPr>
        <w:t xml:space="preserve">° </w:t>
      </w:r>
      <w:hyperlink r:id="rId46" w:anchor="{%22appno%22:[%2218357/91%22]}" w:tgtFrame="_blank" w:history="1">
        <w:r w:rsidRPr="00764E2B">
          <w:rPr>
            <w:rStyle w:val="Lienhypertexte"/>
            <w:rFonts w:cs="Times New Roman"/>
            <w:color w:val="auto"/>
            <w:u w:val="none"/>
          </w:rPr>
          <w:t>18357/91</w:t>
        </w:r>
      </w:hyperlink>
      <w:r w:rsidRPr="00764E2B">
        <w:rPr>
          <w:rFonts w:cs="Times New Roman"/>
        </w:rPr>
        <w:t xml:space="preserve">, </w:t>
      </w:r>
      <w:r>
        <w:rPr>
          <w:rFonts w:cs="Times New Roman"/>
        </w:rPr>
        <w:t>§ 40 : « (…) (l)</w:t>
      </w:r>
      <w:r w:rsidRPr="00764E2B">
        <w:rPr>
          <w:rFonts w:cs="Times New Roman"/>
        </w:rPr>
        <w:t>’exécution d’un jugement ou arrêt, de quelque juridiction que ce soit, doit donc être considérée comme faisant partie intégrante du "procès" au sens de l’article 6 </w:t>
      </w:r>
      <w:r>
        <w:rPr>
          <w:szCs w:val="22"/>
        </w:rPr>
        <w:t>[…]</w:t>
      </w:r>
      <w:r w:rsidRPr="00764E2B">
        <w:rPr>
          <w:rFonts w:cs="Times New Roman"/>
        </w:rPr>
        <w:t> ».</w:t>
      </w:r>
    </w:p>
  </w:footnote>
  <w:footnote w:id="124">
    <w:p w14:paraId="7C6C43E2" w14:textId="128CF45B" w:rsidR="00552491" w:rsidRPr="00764E2B" w:rsidRDefault="00552491" w:rsidP="002C2F99">
      <w:pPr>
        <w:pStyle w:val="Sansinterligne"/>
        <w:jc w:val="both"/>
        <w:rPr>
          <w:rFonts w:ascii="Times New Roman" w:hAnsi="Times New Roman" w:cs="Times New Roman"/>
          <w:sz w:val="20"/>
          <w:szCs w:val="20"/>
        </w:rPr>
      </w:pPr>
      <w:r w:rsidRPr="00764E2B">
        <w:rPr>
          <w:rStyle w:val="Appelnotedebasdep"/>
          <w:rFonts w:ascii="Times New Roman" w:hAnsi="Times New Roman" w:cs="Times New Roman"/>
          <w:sz w:val="20"/>
          <w:szCs w:val="20"/>
        </w:rPr>
        <w:footnoteRef/>
      </w:r>
      <w:r w:rsidR="0005718B">
        <w:rPr>
          <w:rFonts w:ascii="Times New Roman" w:hAnsi="Times New Roman" w:cs="Times New Roman"/>
          <w:sz w:val="20"/>
          <w:szCs w:val="20"/>
        </w:rPr>
        <w:t xml:space="preserve"> Voy.</w:t>
      </w:r>
      <w:r w:rsidRPr="00764E2B">
        <w:rPr>
          <w:rFonts w:ascii="Times New Roman" w:hAnsi="Times New Roman" w:cs="Times New Roman"/>
          <w:sz w:val="20"/>
          <w:szCs w:val="20"/>
        </w:rPr>
        <w:t xml:space="preserve"> l’exposé des motifs du projet de loi n° 3623 relatif à la transparence, à la lutte contre la corruption et à la modernisation de la vie économique (Assemblée</w:t>
      </w:r>
      <w:r>
        <w:rPr>
          <w:rFonts w:ascii="Times New Roman" w:hAnsi="Times New Roman" w:cs="Times New Roman"/>
          <w:sz w:val="20"/>
          <w:szCs w:val="20"/>
        </w:rPr>
        <w:t xml:space="preserve"> nationale, 30 mars 2016, p. 17</w:t>
      </w:r>
      <w:r w:rsidRPr="00764E2B">
        <w:rPr>
          <w:rStyle w:val="Lienhypertexte"/>
          <w:rFonts w:ascii="Times New Roman" w:hAnsi="Times New Roman" w:cs="Times New Roman"/>
          <w:color w:val="auto"/>
          <w:sz w:val="20"/>
          <w:szCs w:val="20"/>
          <w:u w:val="none"/>
        </w:rPr>
        <w:t>) où est relevée l’importance du respect de « </w:t>
      </w:r>
      <w:r w:rsidRPr="00764E2B">
        <w:rPr>
          <w:rFonts w:ascii="Times New Roman" w:hAnsi="Times New Roman" w:cs="Times New Roman"/>
          <w:sz w:val="20"/>
          <w:szCs w:val="20"/>
        </w:rPr>
        <w:t>l’équilibre résultant de la Convention européenne des droits de l’homme, qui voit dans l’exécution des décisions de justice une composante du procès équitable, dont les restrictions doivent rester légitimes et proportionnées à l’objectif poursuivi de respect du droit international ».</w:t>
      </w:r>
    </w:p>
  </w:footnote>
  <w:footnote w:id="125">
    <w:p w14:paraId="6075347A" w14:textId="77777777" w:rsidR="00552491" w:rsidRPr="005E5966" w:rsidRDefault="00552491" w:rsidP="002C2F99">
      <w:pPr>
        <w:pStyle w:val="Notedebasdepage"/>
        <w:jc w:val="both"/>
      </w:pPr>
      <w:r w:rsidRPr="0055449D">
        <w:rPr>
          <w:rStyle w:val="Appelnotedebasdep"/>
        </w:rPr>
        <w:footnoteRef/>
      </w:r>
      <w:r w:rsidRPr="0055449D">
        <w:t xml:space="preserve"> P. </w:t>
      </w:r>
      <w:r w:rsidRPr="0055449D">
        <w:rPr>
          <w:smallCaps/>
        </w:rPr>
        <w:t>Giraud</w:t>
      </w:r>
      <w:r w:rsidRPr="0055449D">
        <w:t xml:space="preserve">, « La restriction des mesures conservatoires et d’exécution forcée exercées par les fonds dits vautours : le syndrome du </w:t>
      </w:r>
      <w:r>
        <w:rPr>
          <w:szCs w:val="22"/>
        </w:rPr>
        <w:t>“</w:t>
      </w:r>
      <w:r>
        <w:t>milieu du gué</w:t>
      </w:r>
      <w:r>
        <w:rPr>
          <w:szCs w:val="22"/>
        </w:rPr>
        <w:t>”</w:t>
      </w:r>
      <w:r w:rsidRPr="0055449D">
        <w:t xml:space="preserve"> », </w:t>
      </w:r>
      <w:r w:rsidRPr="0055449D">
        <w:rPr>
          <w:i/>
        </w:rPr>
        <w:t>Revue de droit international d’Assas</w:t>
      </w:r>
      <w:r w:rsidRPr="0055449D">
        <w:t xml:space="preserve">, 2018, vol. 1, pp. 373-374 qui vise Cour eur. D. H., arrêt du 23 mars 2010, </w:t>
      </w:r>
      <w:r w:rsidRPr="0055449D">
        <w:rPr>
          <w:i/>
        </w:rPr>
        <w:t>Cudak c. Lituanie</w:t>
      </w:r>
      <w:r w:rsidRPr="0055449D">
        <w:t xml:space="preserve">, requête n° 15869/02, § 60 et Cour eur. D. H., arrêt </w:t>
      </w:r>
      <w:r w:rsidRPr="005E5966">
        <w:t xml:space="preserve">du 29 juin 2011, </w:t>
      </w:r>
      <w:r w:rsidRPr="005E5966">
        <w:rPr>
          <w:i/>
        </w:rPr>
        <w:t>Sabeh El Leil c. France</w:t>
      </w:r>
      <w:r w:rsidRPr="005E5966">
        <w:t>, requête n° 34869/05, § 52.</w:t>
      </w:r>
    </w:p>
  </w:footnote>
  <w:footnote w:id="126">
    <w:p w14:paraId="0B6B246F" w14:textId="77777777" w:rsidR="00552491" w:rsidRDefault="00552491" w:rsidP="0081209D">
      <w:pPr>
        <w:pStyle w:val="Notedebasdepage"/>
        <w:jc w:val="both"/>
      </w:pPr>
      <w:r w:rsidRPr="005E5966">
        <w:rPr>
          <w:rStyle w:val="Appelnotedebasdep"/>
        </w:rPr>
        <w:footnoteRef/>
      </w:r>
      <w:r w:rsidRPr="005E5966">
        <w:t xml:space="preserve"> J. </w:t>
      </w:r>
      <w:r w:rsidRPr="005E5966">
        <w:rPr>
          <w:smallCaps/>
        </w:rPr>
        <w:t>Heymann</w:t>
      </w:r>
      <w:r w:rsidRPr="005E5966">
        <w:t xml:space="preserve">, </w:t>
      </w:r>
      <w:r w:rsidRPr="005E5966">
        <w:rPr>
          <w:rFonts w:cs="Times New Roman"/>
        </w:rPr>
        <w:t xml:space="preserve">« La loi Sapin 2 et les immunités d’exécution – </w:t>
      </w:r>
      <w:r w:rsidRPr="005E5966">
        <w:rPr>
          <w:rFonts w:cs="Times New Roman"/>
          <w:lang w:eastAsia="fr-BE"/>
        </w:rPr>
        <w:t>À</w:t>
      </w:r>
      <w:r w:rsidRPr="005E5966">
        <w:rPr>
          <w:rFonts w:cs="Times New Roman"/>
        </w:rPr>
        <w:t xml:space="preserve"> propos de la loi n°2016-1691 du 9 décembre 2016 », </w:t>
      </w:r>
      <w:r w:rsidRPr="005E5966">
        <w:rPr>
          <w:rFonts w:cs="Times New Roman"/>
          <w:i/>
        </w:rPr>
        <w:t>La semaine juridique – Edition générale</w:t>
      </w:r>
      <w:r w:rsidRPr="005E5966">
        <w:rPr>
          <w:rFonts w:cs="Times New Roman"/>
        </w:rPr>
        <w:t xml:space="preserve">, 30 janvier 2017, p. 180 qui vise Cour eur. D. H., arrêt du 21 novembre 2001, </w:t>
      </w:r>
      <w:r w:rsidRPr="005E5966">
        <w:rPr>
          <w:rFonts w:cs="Times New Roman"/>
          <w:i/>
        </w:rPr>
        <w:t>Al-Adsani c. Royaume-Uni</w:t>
      </w:r>
      <w:r w:rsidRPr="005E5966">
        <w:rPr>
          <w:rFonts w:cs="Times New Roman"/>
        </w:rPr>
        <w:t>, requête n° 35763/97. Ce problème est également soulevé par Baptiste Tranchant qui répond directement qu’ « (e)n même temps, il pourrait aussi être relevé que les règles internationales codifiées dans la Convention des Nations Unies de 2004 imposent à l’</w:t>
      </w:r>
      <w:r w:rsidRPr="005E5966">
        <w:rPr>
          <w:rFonts w:cs="Times New Roman"/>
          <w:szCs w:val="24"/>
          <w:shd w:val="clear" w:color="auto" w:fill="FFFFFF"/>
        </w:rPr>
        <w:t>É</w:t>
      </w:r>
      <w:r w:rsidRPr="005E5966">
        <w:rPr>
          <w:rFonts w:cs="Times New Roman"/>
        </w:rPr>
        <w:t xml:space="preserve">tat français un résultat à atteindre, qui est de préserver certains biens étatiques étrangers de toute mesure de contrainte » et qu’ « il pourrait être allégué que la procédure d’autorisation judiciaire préalable </w:t>
      </w:r>
      <w:r w:rsidRPr="005E5966">
        <w:rPr>
          <w:szCs w:val="22"/>
        </w:rPr>
        <w:t>[…]</w:t>
      </w:r>
      <w:r w:rsidRPr="005E5966">
        <w:rPr>
          <w:rFonts w:cs="Times New Roman"/>
        </w:rPr>
        <w:t xml:space="preserve"> est plus à même d’atteindre ce résultat précisément imposé par les règles internationales généralement reconnues en matière d’immunités des </w:t>
      </w:r>
      <w:r w:rsidRPr="005E5966">
        <w:rPr>
          <w:rFonts w:cs="Times New Roman"/>
          <w:szCs w:val="24"/>
          <w:shd w:val="clear" w:color="auto" w:fill="FFFFFF"/>
        </w:rPr>
        <w:t>É</w:t>
      </w:r>
      <w:r w:rsidRPr="005E5966">
        <w:rPr>
          <w:rFonts w:cs="Times New Roman"/>
        </w:rPr>
        <w:t xml:space="preserve">tats, que le régime antérieurement appliqué en droit français » (« L’immunité étatique et l’exécution en France des sentences arbitrales internationale », </w:t>
      </w:r>
      <w:r w:rsidRPr="005E5966">
        <w:rPr>
          <w:rFonts w:cs="Times New Roman"/>
          <w:i/>
        </w:rPr>
        <w:t>Revue générale de droit international public</w:t>
      </w:r>
      <w:r w:rsidRPr="005E5966">
        <w:rPr>
          <w:rFonts w:cs="Times New Roman"/>
        </w:rPr>
        <w:t>, 2017, pp. 844-845).</w:t>
      </w:r>
    </w:p>
  </w:footnote>
  <w:footnote w:id="127">
    <w:p w14:paraId="28617052" w14:textId="77777777" w:rsidR="00552491" w:rsidRPr="004351F5" w:rsidRDefault="00552491" w:rsidP="002C2F99">
      <w:pPr>
        <w:pStyle w:val="Notedebasdepage"/>
        <w:jc w:val="both"/>
      </w:pPr>
      <w:r w:rsidRPr="004351F5">
        <w:rPr>
          <w:rStyle w:val="Appelnotedebasdep"/>
        </w:rPr>
        <w:footnoteRef/>
      </w:r>
      <w:r w:rsidRPr="004351F5">
        <w:t xml:space="preserve"> Le souci du respect du droit de propriété avait été formulé lors des travaux préparatoires de la loi, François Pillet indiquant son souhait d’une réécriture globale du texte de l’article 24</w:t>
      </w:r>
      <w:r w:rsidRPr="004351F5">
        <w:rPr>
          <w:i/>
        </w:rPr>
        <w:t>bis</w:t>
      </w:r>
      <w:r w:rsidRPr="004351F5">
        <w:t xml:space="preserve"> afin de l’y rendre conforme et visant alors les articles 2 et 17 </w:t>
      </w:r>
      <w:r w:rsidRPr="004351F5">
        <w:rPr>
          <w:rFonts w:cs="Times New Roman"/>
          <w:iCs/>
        </w:rPr>
        <w:t>de la Déclaration des droits de l’homme et du citoyen (</w:t>
      </w:r>
      <w:r w:rsidRPr="004351F5">
        <w:rPr>
          <w:rFonts w:cs="Times New Roman"/>
        </w:rPr>
        <w:t xml:space="preserve">rapport n° 79 fait au nom de </w:t>
      </w:r>
      <w:r w:rsidRPr="004351F5">
        <w:rPr>
          <w:rFonts w:cs="Times New Roman"/>
          <w:iCs/>
        </w:rPr>
        <w:t>la commission des lois constitutionnelles, de législation, du suffrage</w:t>
      </w:r>
      <w:r w:rsidRPr="004351F5">
        <w:rPr>
          <w:rFonts w:cs="Times New Roman"/>
        </w:rPr>
        <w:t xml:space="preserve"> </w:t>
      </w:r>
      <w:r w:rsidRPr="004351F5">
        <w:rPr>
          <w:rFonts w:cs="Times New Roman"/>
          <w:iCs/>
        </w:rPr>
        <w:t xml:space="preserve">universel, du Règlement et d’administration générale </w:t>
      </w:r>
      <w:r>
        <w:rPr>
          <w:szCs w:val="22"/>
        </w:rPr>
        <w:t>[…] </w:t>
      </w:r>
      <w:r w:rsidRPr="004351F5">
        <w:rPr>
          <w:rFonts w:cs="Times New Roman"/>
          <w:iCs/>
        </w:rPr>
        <w:t>sur le projet de loi</w:t>
      </w:r>
      <w:r w:rsidRPr="004351F5">
        <w:rPr>
          <w:rFonts w:cs="Times New Roman"/>
        </w:rPr>
        <w:t>, adopté par l’Assemblée nationale en nouvelle lecture</w:t>
      </w:r>
      <w:r w:rsidRPr="004351F5">
        <w:rPr>
          <w:rFonts w:cs="Times New Roman"/>
          <w:iCs/>
        </w:rPr>
        <w:t xml:space="preserve">, relatif à la </w:t>
      </w:r>
      <w:r w:rsidRPr="004351F5">
        <w:rPr>
          <w:rFonts w:cs="Times New Roman"/>
          <w:bCs/>
        </w:rPr>
        <w:t>transparence</w:t>
      </w:r>
      <w:r w:rsidRPr="004351F5">
        <w:rPr>
          <w:rFonts w:cs="Times New Roman"/>
          <w:iCs/>
        </w:rPr>
        <w:t>, à la</w:t>
      </w:r>
      <w:r w:rsidRPr="004351F5">
        <w:rPr>
          <w:rFonts w:cs="Times New Roman"/>
        </w:rPr>
        <w:t xml:space="preserve"> </w:t>
      </w:r>
      <w:r w:rsidRPr="004351F5">
        <w:rPr>
          <w:rFonts w:cs="Times New Roman"/>
          <w:bCs/>
        </w:rPr>
        <w:t xml:space="preserve">lutte contre </w:t>
      </w:r>
      <w:r w:rsidRPr="004351F5">
        <w:rPr>
          <w:rFonts w:cs="Times New Roman"/>
          <w:iCs/>
        </w:rPr>
        <w:t xml:space="preserve">la </w:t>
      </w:r>
      <w:r w:rsidRPr="004351F5">
        <w:rPr>
          <w:rFonts w:cs="Times New Roman"/>
          <w:bCs/>
        </w:rPr>
        <w:t xml:space="preserve">corruption </w:t>
      </w:r>
      <w:r w:rsidRPr="004351F5">
        <w:rPr>
          <w:rFonts w:cs="Times New Roman"/>
          <w:iCs/>
        </w:rPr>
        <w:t xml:space="preserve">et à la </w:t>
      </w:r>
      <w:r w:rsidRPr="004351F5">
        <w:rPr>
          <w:rFonts w:cs="Times New Roman"/>
          <w:bCs/>
        </w:rPr>
        <w:t xml:space="preserve">modernisation </w:t>
      </w:r>
      <w:r w:rsidRPr="004351F5">
        <w:rPr>
          <w:rFonts w:cs="Times New Roman"/>
          <w:iCs/>
        </w:rPr>
        <w:t xml:space="preserve">de la </w:t>
      </w:r>
      <w:r w:rsidRPr="004351F5">
        <w:rPr>
          <w:rFonts w:cs="Times New Roman"/>
          <w:bCs/>
        </w:rPr>
        <w:t>vie économique</w:t>
      </w:r>
      <w:r w:rsidRPr="004351F5">
        <w:rPr>
          <w:rFonts w:cs="Times New Roman"/>
          <w:iCs/>
        </w:rPr>
        <w:t xml:space="preserve"> </w:t>
      </w:r>
      <w:r>
        <w:rPr>
          <w:szCs w:val="22"/>
        </w:rPr>
        <w:t>[…]</w:t>
      </w:r>
      <w:r w:rsidRPr="004351F5">
        <w:rPr>
          <w:rFonts w:cs="Times New Roman"/>
          <w:iCs/>
        </w:rPr>
        <w:t xml:space="preserve">, </w:t>
      </w:r>
      <w:r>
        <w:rPr>
          <w:rFonts w:cs="Times New Roman"/>
          <w:iCs/>
        </w:rPr>
        <w:t>par F. Pillet, 26 octobre 2016</w:t>
      </w:r>
      <w:r w:rsidRPr="004351F5">
        <w:rPr>
          <w:rFonts w:cs="Times New Roman"/>
          <w:iCs/>
        </w:rPr>
        <w:t>, p. 75).</w:t>
      </w:r>
    </w:p>
  </w:footnote>
  <w:footnote w:id="128">
    <w:p w14:paraId="3D1EC3E5" w14:textId="77777777" w:rsidR="00552491" w:rsidRDefault="00552491" w:rsidP="002C2F99">
      <w:pPr>
        <w:pStyle w:val="Notedebasdepage"/>
        <w:jc w:val="both"/>
      </w:pPr>
      <w:r w:rsidRPr="00005899">
        <w:rPr>
          <w:rStyle w:val="Appelnotedebasdep"/>
        </w:rPr>
        <w:footnoteRef/>
      </w:r>
      <w:r w:rsidRPr="00005899">
        <w:t xml:space="preserve"> </w:t>
      </w:r>
      <w:r w:rsidRPr="00005899">
        <w:rPr>
          <w:rFonts w:cs="Times New Roman"/>
        </w:rPr>
        <w:t>Notons que la Cour européenne des droits de l’homme décida, d’une part, que la notion de « biens » au sens de l’article 1</w:t>
      </w:r>
      <w:r w:rsidRPr="00005899">
        <w:rPr>
          <w:rFonts w:cs="Times New Roman"/>
          <w:vertAlign w:val="superscript"/>
        </w:rPr>
        <w:t>er</w:t>
      </w:r>
      <w:r w:rsidRPr="00005899">
        <w:rPr>
          <w:rFonts w:cs="Times New Roman"/>
        </w:rPr>
        <w:t xml:space="preserve"> du Premier Protocole additionnel à la Convention européenne des droits de l’homme peut recouvrir des valeurs patrimoniales que sont des créances si leur titulaire démontre que celles-ci ont une base suffisante en droit interne, par exemple qu’elles sont confirmées par une jurisprudence bien établie des tribunaux (Cour eur. D. H., arrêt du 4 février 2014, </w:t>
      </w:r>
      <w:r w:rsidRPr="00005899">
        <w:rPr>
          <w:rFonts w:cs="Times New Roman"/>
          <w:i/>
        </w:rPr>
        <w:t>Staibano et autres c. Italie</w:t>
      </w:r>
      <w:r w:rsidRPr="00005899">
        <w:rPr>
          <w:rFonts w:cs="Times New Roman"/>
        </w:rPr>
        <w:t xml:space="preserve">, requête n° 29907/07, § 40), d’autre part, qu’un titre de créance à rembourser à échéance est un « bien » au sens de ce même article (Cour eur. D. H., arrêt du 21 juillet 2016, </w:t>
      </w:r>
      <w:r w:rsidRPr="00005899">
        <w:rPr>
          <w:rFonts w:cs="Times New Roman"/>
          <w:i/>
        </w:rPr>
        <w:t>Mamatas et autres c. Grèce</w:t>
      </w:r>
      <w:r w:rsidRPr="00005899">
        <w:rPr>
          <w:rFonts w:cs="Times New Roman"/>
        </w:rPr>
        <w:t>, requêtes n° 63066/14, 64297/14 et 66106/14, §§ 90-91). Toutefois, la Cour décida que la notion de « biens » peut recouvrir « des valeurs patrimoniales, y compris des créances, en vertu desquelles le requérant peut prétendre avoir a</w:t>
      </w:r>
      <w:r>
        <w:rPr>
          <w:rFonts w:cs="Times New Roman"/>
        </w:rPr>
        <w:t xml:space="preserve">u moins une </w:t>
      </w:r>
      <w:r>
        <w:rPr>
          <w:szCs w:val="22"/>
        </w:rPr>
        <w:t>“</w:t>
      </w:r>
      <w:r w:rsidRPr="00005899">
        <w:rPr>
          <w:rFonts w:cs="Times New Roman"/>
        </w:rPr>
        <w:t>espérance légitime</w:t>
      </w:r>
      <w:r>
        <w:rPr>
          <w:szCs w:val="22"/>
        </w:rPr>
        <w:t>”</w:t>
      </w:r>
      <w:r w:rsidRPr="00005899">
        <w:rPr>
          <w:rFonts w:cs="Times New Roman"/>
        </w:rPr>
        <w:t xml:space="preserve"> d’obtenir la jouissance effective d’un droit de propriété » mais que « (p)ar contre, l’espoir de voir reconnaître un droit de propriété que l’on est dans l’impossibilité d’exercer effectivement n</w:t>
      </w:r>
      <w:r>
        <w:rPr>
          <w:rFonts w:cs="Times New Roman"/>
        </w:rPr>
        <w:t xml:space="preserve">e peut être considéré comme un </w:t>
      </w:r>
      <w:r>
        <w:rPr>
          <w:szCs w:val="22"/>
        </w:rPr>
        <w:t>“</w:t>
      </w:r>
      <w:r>
        <w:rPr>
          <w:rFonts w:cs="Times New Roman"/>
        </w:rPr>
        <w:t>bien</w:t>
      </w:r>
      <w:r>
        <w:rPr>
          <w:szCs w:val="22"/>
        </w:rPr>
        <w:t>”</w:t>
      </w:r>
      <w:r w:rsidRPr="00005899">
        <w:rPr>
          <w:rFonts w:cs="Times New Roman"/>
        </w:rPr>
        <w:t xml:space="preserve"> au sens de l’article 1 du Protocole no 1 » (Cour eur. D. H., arrêt du 28 septembre 2004, </w:t>
      </w:r>
      <w:r w:rsidRPr="00005899">
        <w:rPr>
          <w:rFonts w:cs="Times New Roman"/>
          <w:i/>
        </w:rPr>
        <w:t>Kopecky c. Slovaquie</w:t>
      </w:r>
      <w:r w:rsidRPr="00005899">
        <w:rPr>
          <w:rFonts w:cs="Times New Roman"/>
        </w:rPr>
        <w:t xml:space="preserve">, requête n° 44912/98, § 35). Cette dernière considération a son importance si le créancier s’est porté acquéreur d’une dette très ancienne dont il a longtemps été admis qu’elle ne pourrait pas faire l’objet d’un paiement (P. </w:t>
      </w:r>
      <w:r w:rsidRPr="00005899">
        <w:rPr>
          <w:rFonts w:cs="Times New Roman"/>
          <w:smallCaps/>
        </w:rPr>
        <w:t>Wautelet</w:t>
      </w:r>
      <w:r>
        <w:rPr>
          <w:rFonts w:cs="Times New Roman"/>
        </w:rPr>
        <w:t xml:space="preserve">, « La chasse aux </w:t>
      </w:r>
      <w:r>
        <w:rPr>
          <w:szCs w:val="22"/>
        </w:rPr>
        <w:t>“</w:t>
      </w:r>
      <w:r>
        <w:rPr>
          <w:rFonts w:cs="Times New Roman"/>
        </w:rPr>
        <w:t>vautours</w:t>
      </w:r>
      <w:r>
        <w:rPr>
          <w:szCs w:val="22"/>
        </w:rPr>
        <w:t>”</w:t>
      </w:r>
      <w:r w:rsidRPr="00005899">
        <w:rPr>
          <w:rFonts w:cs="Times New Roman"/>
        </w:rPr>
        <w:t xml:space="preserve"> est ouverte - Du bon usage de la loi du 12 juillet 2015 », </w:t>
      </w:r>
      <w:r w:rsidRPr="009C76CD">
        <w:rPr>
          <w:rFonts w:cs="Times New Roman"/>
          <w:i/>
        </w:rPr>
        <w:t>in</w:t>
      </w:r>
      <w:r w:rsidRPr="00005899">
        <w:rPr>
          <w:rFonts w:cs="Times New Roman"/>
        </w:rPr>
        <w:t xml:space="preserve"> </w:t>
      </w:r>
      <w:r w:rsidRPr="00005899">
        <w:rPr>
          <w:rFonts w:cs="Times New Roman"/>
          <w:i/>
        </w:rPr>
        <w:t>Liber amicorum Nadine Watté</w:t>
      </w:r>
      <w:r w:rsidRPr="00005899">
        <w:rPr>
          <w:rFonts w:cs="Times New Roman"/>
        </w:rPr>
        <w:t>, Bruxelles, Bruylant, 2017, p. 580).</w:t>
      </w:r>
    </w:p>
  </w:footnote>
  <w:footnote w:id="129">
    <w:p w14:paraId="604DF451" w14:textId="77777777" w:rsidR="00552491" w:rsidRDefault="00552491" w:rsidP="002C2F99">
      <w:pPr>
        <w:pStyle w:val="Notedebasdepage"/>
        <w:jc w:val="both"/>
      </w:pPr>
      <w:r>
        <w:rPr>
          <w:rStyle w:val="Appelnotedebasdep"/>
        </w:rPr>
        <w:footnoteRef/>
      </w:r>
      <w:r>
        <w:t xml:space="preserve"> </w:t>
      </w:r>
      <w:r w:rsidRPr="00AA1922">
        <w:rPr>
          <w:rFonts w:cs="Times New Roman"/>
        </w:rPr>
        <w:t xml:space="preserve">Amendement n° 1405 </w:t>
      </w:r>
      <w:r>
        <w:rPr>
          <w:rFonts w:cs="Times New Roman"/>
        </w:rPr>
        <w:t xml:space="preserve">(Rect) </w:t>
      </w:r>
      <w:r w:rsidRPr="00AA1922">
        <w:rPr>
          <w:rFonts w:cs="Times New Roman"/>
        </w:rPr>
        <w:t xml:space="preserve">présenté par </w:t>
      </w:r>
      <w:r>
        <w:rPr>
          <w:rFonts w:cs="Times New Roman"/>
        </w:rPr>
        <w:t>D.</w:t>
      </w:r>
      <w:r w:rsidRPr="00AA1922">
        <w:rPr>
          <w:rFonts w:cs="Times New Roman"/>
          <w:iCs/>
          <w:color w:val="000000"/>
          <w:shd w:val="clear" w:color="auto" w:fill="FFFFFF"/>
        </w:rPr>
        <w:t xml:space="preserve"> Potier, </w:t>
      </w:r>
      <w:r>
        <w:rPr>
          <w:rFonts w:cs="Times New Roman"/>
          <w:iCs/>
          <w:color w:val="000000"/>
          <w:shd w:val="clear" w:color="auto" w:fill="FFFFFF"/>
        </w:rPr>
        <w:t>S. Mazetier, S. Denaja, R. Colas, C</w:t>
      </w:r>
      <w:r w:rsidRPr="00AA1922">
        <w:rPr>
          <w:rFonts w:cs="Times New Roman"/>
          <w:iCs/>
          <w:color w:val="000000"/>
          <w:shd w:val="clear" w:color="auto" w:fill="FFFFFF"/>
        </w:rPr>
        <w:t xml:space="preserve">. Castaner, </w:t>
      </w:r>
      <w:r>
        <w:rPr>
          <w:rFonts w:cs="Times New Roman"/>
          <w:iCs/>
          <w:color w:val="000000"/>
          <w:shd w:val="clear" w:color="auto" w:fill="FFFFFF"/>
        </w:rPr>
        <w:t>S. Errante, Y. Galut, P. Cherki, M. Rabin, C. Guittet, J.-R. Marsac, P.</w:t>
      </w:r>
      <w:r w:rsidRPr="00AA1922">
        <w:rPr>
          <w:rFonts w:cs="Times New Roman"/>
          <w:iCs/>
          <w:color w:val="000000"/>
          <w:shd w:val="clear" w:color="auto" w:fill="FFFFFF"/>
        </w:rPr>
        <w:t xml:space="preserve"> </w:t>
      </w:r>
      <w:r>
        <w:rPr>
          <w:rFonts w:cs="Times New Roman"/>
          <w:iCs/>
          <w:color w:val="000000"/>
          <w:shd w:val="clear" w:color="auto" w:fill="FFFFFF"/>
        </w:rPr>
        <w:t>Baumel, J</w:t>
      </w:r>
      <w:r w:rsidRPr="00AA1922">
        <w:rPr>
          <w:rFonts w:cs="Times New Roman"/>
          <w:iCs/>
          <w:color w:val="000000"/>
          <w:shd w:val="clear" w:color="auto" w:fill="FFFFFF"/>
        </w:rPr>
        <w:t>.</w:t>
      </w:r>
      <w:r>
        <w:rPr>
          <w:rFonts w:cs="Times New Roman"/>
          <w:iCs/>
          <w:color w:val="000000"/>
          <w:shd w:val="clear" w:color="auto" w:fill="FFFFFF"/>
        </w:rPr>
        <w:t>-P. Dufau et R</w:t>
      </w:r>
      <w:r w:rsidRPr="00AA1922">
        <w:rPr>
          <w:rFonts w:cs="Times New Roman"/>
          <w:iCs/>
          <w:color w:val="000000"/>
          <w:shd w:val="clear" w:color="auto" w:fill="FFFFFF"/>
        </w:rPr>
        <w:t xml:space="preserve">. Hammadi, </w:t>
      </w:r>
      <w:r>
        <w:rPr>
          <w:rFonts w:cs="Times New Roman"/>
          <w:iCs/>
          <w:color w:val="000000"/>
          <w:shd w:val="clear" w:color="auto" w:fill="FFFFFF"/>
        </w:rPr>
        <w:t>2 juin 2016, p. 5.</w:t>
      </w:r>
    </w:p>
  </w:footnote>
  <w:footnote w:id="130">
    <w:p w14:paraId="29A2B63F" w14:textId="3546905B" w:rsidR="00552491" w:rsidRPr="005E5966" w:rsidRDefault="00552491" w:rsidP="004D4095">
      <w:pPr>
        <w:pStyle w:val="Notedebasdepage"/>
        <w:jc w:val="both"/>
      </w:pPr>
      <w:r>
        <w:rPr>
          <w:rStyle w:val="Appelnotedebasdep"/>
        </w:rPr>
        <w:footnoteRef/>
      </w:r>
      <w:r>
        <w:t xml:space="preserve"> P. </w:t>
      </w:r>
      <w:r w:rsidRPr="005E3D36">
        <w:rPr>
          <w:smallCaps/>
        </w:rPr>
        <w:t>Giraud</w:t>
      </w:r>
      <w:r>
        <w:t xml:space="preserve">, « La restriction des mesures conservatoires et d’exécution forcée exercées par les fonds dits vautours : le syndrome du </w:t>
      </w:r>
      <w:r>
        <w:rPr>
          <w:szCs w:val="22"/>
        </w:rPr>
        <w:t>“</w:t>
      </w:r>
      <w:r>
        <w:t>milieu du gué</w:t>
      </w:r>
      <w:r>
        <w:rPr>
          <w:szCs w:val="22"/>
        </w:rPr>
        <w:t>”</w:t>
      </w:r>
      <w:r>
        <w:t xml:space="preserve"> », </w:t>
      </w:r>
      <w:r w:rsidRPr="005E3D36">
        <w:rPr>
          <w:i/>
        </w:rPr>
        <w:t>Revue de droit international d’Assa</w:t>
      </w:r>
      <w:r w:rsidRPr="005E5966">
        <w:rPr>
          <w:i/>
        </w:rPr>
        <w:t>s</w:t>
      </w:r>
      <w:r w:rsidRPr="005E5966">
        <w:t xml:space="preserve">, 2018, vol. 1, p. 374. De l’avis du Gouvernement français, « (l)e dispositif retenu est strictement proportionné à cet objectif </w:t>
      </w:r>
      <w:r w:rsidRPr="005E5966">
        <w:rPr>
          <w:szCs w:val="22"/>
        </w:rPr>
        <w:t>[</w:t>
      </w:r>
      <w:r w:rsidRPr="005E5966">
        <w:t>de lutte contre les pratiques spéculatives de certains fonds</w:t>
      </w:r>
      <w:r w:rsidRPr="005E5966">
        <w:rPr>
          <w:szCs w:val="22"/>
        </w:rPr>
        <w:t>]</w:t>
      </w:r>
      <w:r w:rsidRPr="005E5966">
        <w:t xml:space="preserve"> et ne porte aucune atteinte aux droits des créanciers de bonne foi » (</w:t>
      </w:r>
      <w:r w:rsidR="0005718B">
        <w:rPr>
          <w:rFonts w:cs="Times New Roman"/>
        </w:rPr>
        <w:t>voy.</w:t>
      </w:r>
      <w:r w:rsidRPr="005E5966">
        <w:rPr>
          <w:rFonts w:cs="Times New Roman"/>
        </w:rPr>
        <w:t xml:space="preserve"> les observations du Gouvernement français sur les recours dirigés contre la loi relative à la transparence, à la lutte contre la corruption et à la modernisation de la vie économique).</w:t>
      </w:r>
    </w:p>
  </w:footnote>
  <w:footnote w:id="131">
    <w:p w14:paraId="62365B29" w14:textId="7BCEEE9F" w:rsidR="00552491" w:rsidRDefault="00552491" w:rsidP="004D4095">
      <w:pPr>
        <w:pStyle w:val="Notedebasdepage"/>
        <w:jc w:val="both"/>
      </w:pPr>
      <w:r w:rsidRPr="005E5966">
        <w:rPr>
          <w:rStyle w:val="Appelnotedebasdep"/>
        </w:rPr>
        <w:footnoteRef/>
      </w:r>
      <w:r w:rsidRPr="005E5966">
        <w:t xml:space="preserve"> </w:t>
      </w:r>
      <w:r w:rsidR="0005718B">
        <w:rPr>
          <w:rFonts w:cs="Times New Roman"/>
        </w:rPr>
        <w:t>Voy.</w:t>
      </w:r>
      <w:r w:rsidRPr="005E5966">
        <w:rPr>
          <w:rFonts w:cs="Times New Roman"/>
        </w:rPr>
        <w:t xml:space="preserve"> les observations du Gouvernement français sur les recours dirigés contre la loi relative à la transparence, à la lutte contre la corruption et à la modernisation de la vie économique.</w:t>
      </w:r>
    </w:p>
  </w:footnote>
  <w:footnote w:id="132">
    <w:p w14:paraId="5A5430A6" w14:textId="77777777" w:rsidR="00552491" w:rsidRDefault="00552491" w:rsidP="002C2F99">
      <w:pPr>
        <w:pStyle w:val="Notedebasdepage"/>
        <w:jc w:val="both"/>
      </w:pPr>
      <w:r>
        <w:rPr>
          <w:rStyle w:val="Appelnotedebasdep"/>
        </w:rPr>
        <w:footnoteRef/>
      </w:r>
      <w:r>
        <w:t xml:space="preserve"> P. </w:t>
      </w:r>
      <w:r w:rsidRPr="005E3D36">
        <w:rPr>
          <w:smallCaps/>
        </w:rPr>
        <w:t>Giraud</w:t>
      </w:r>
      <w:r>
        <w:t xml:space="preserve">, « La restriction des mesures conservatoires et d’exécution forcée exercées par les fonds dits vautours : le syndrome du </w:t>
      </w:r>
      <w:r>
        <w:rPr>
          <w:szCs w:val="22"/>
        </w:rPr>
        <w:t>“</w:t>
      </w:r>
      <w:r>
        <w:t>milieu du gué</w:t>
      </w:r>
      <w:r>
        <w:rPr>
          <w:szCs w:val="22"/>
        </w:rPr>
        <w:t>”</w:t>
      </w:r>
      <w:r>
        <w:t xml:space="preserve"> », </w:t>
      </w:r>
      <w:r w:rsidRPr="005E3D36">
        <w:rPr>
          <w:i/>
        </w:rPr>
        <w:t>Revue de droit international d’Assas</w:t>
      </w:r>
      <w:r>
        <w:t xml:space="preserve">, 2018, vol. 1, p. 359. L’auteur relève encore que la réponse de la France aux actions des fonds spéculatifs est limitée et que sans doute ces fonds ne les arrêteront pas, eux qui sans doute sauront </w:t>
      </w:r>
      <w:r w:rsidRPr="0055449D">
        <w:t xml:space="preserve">profiter des insuffisances </w:t>
      </w:r>
      <w:r>
        <w:t xml:space="preserve">et </w:t>
      </w:r>
      <w:r w:rsidRPr="0055449D">
        <w:t>incoh</w:t>
      </w:r>
      <w:r>
        <w:t xml:space="preserve">érences </w:t>
      </w:r>
      <w:r w:rsidRPr="0055449D">
        <w:t>de</w:t>
      </w:r>
      <w:r>
        <w:t xml:space="preserve"> la loi ou useront d’autres mécanismes (p. 374).</w:t>
      </w:r>
    </w:p>
  </w:footnote>
  <w:footnote w:id="133">
    <w:p w14:paraId="6ADB3AB3" w14:textId="77777777" w:rsidR="00552491" w:rsidRDefault="00552491" w:rsidP="002C2F99">
      <w:pPr>
        <w:pStyle w:val="Notedebasdepage"/>
        <w:jc w:val="both"/>
      </w:pPr>
      <w:r>
        <w:rPr>
          <w:rStyle w:val="Appelnotedebasdep"/>
        </w:rPr>
        <w:footnoteRef/>
      </w:r>
      <w:r>
        <w:t xml:space="preserve"> P. </w:t>
      </w:r>
      <w:r w:rsidRPr="005E3D36">
        <w:rPr>
          <w:smallCaps/>
        </w:rPr>
        <w:t>Giraud</w:t>
      </w:r>
      <w:r>
        <w:t xml:space="preserve">, « La restriction des mesures conservatoires et d’exécution forcée exercées par les fonds dits vautours : le syndrome du </w:t>
      </w:r>
      <w:r w:rsidRPr="005E3D36">
        <w:t>"</w:t>
      </w:r>
      <w:r>
        <w:t>milieu du gué</w:t>
      </w:r>
      <w:r w:rsidRPr="005E3D36">
        <w:t>"</w:t>
      </w:r>
      <w:r>
        <w:t xml:space="preserve"> », </w:t>
      </w:r>
      <w:r w:rsidRPr="005E3D36">
        <w:rPr>
          <w:i/>
        </w:rPr>
        <w:t>Revue de droit international d’Assas</w:t>
      </w:r>
      <w:r>
        <w:t>, 2018, vol. 1, p. 362.</w:t>
      </w:r>
    </w:p>
  </w:footnote>
  <w:footnote w:id="134">
    <w:p w14:paraId="7767E287" w14:textId="5986BC5A" w:rsidR="00552491" w:rsidRDefault="00552491" w:rsidP="002C2F99">
      <w:pPr>
        <w:pStyle w:val="Notedebasdepage"/>
        <w:jc w:val="both"/>
      </w:pPr>
      <w:r>
        <w:rPr>
          <w:rStyle w:val="Appelnotedebasdep"/>
        </w:rPr>
        <w:footnoteRef/>
      </w:r>
      <w:r w:rsidR="0005718B">
        <w:t xml:space="preserve"> Voy.</w:t>
      </w:r>
      <w:r>
        <w:t xml:space="preserve"> J. </w:t>
      </w:r>
      <w:r w:rsidRPr="0089149A">
        <w:rPr>
          <w:smallCaps/>
        </w:rPr>
        <w:t>Vanderschuren</w:t>
      </w:r>
      <w:r>
        <w:t xml:space="preserve">, </w:t>
      </w:r>
      <w:r w:rsidRPr="001B7FBB">
        <w:t xml:space="preserve">« La lutte contre les activités des fonds vautours en Belgique » publiées à la </w:t>
      </w:r>
      <w:r w:rsidRPr="001B7FBB">
        <w:rPr>
          <w:i/>
        </w:rPr>
        <w:t>Revue de droit international d’Assas</w:t>
      </w:r>
      <w:r>
        <w:t xml:space="preserve">, </w:t>
      </w:r>
      <w:r w:rsidRPr="001B7FBB">
        <w:t xml:space="preserve">2018, pp. </w:t>
      </w:r>
      <w:r>
        <w:t xml:space="preserve">406 et 407 ainsi que les références qui y sont faites et notamment Proposition de loi relative à la lutte contre les activités des fonds vautours - Développements, Ch. Repr., </w:t>
      </w:r>
      <w:r w:rsidRPr="0089149A">
        <w:rPr>
          <w:i/>
        </w:rPr>
        <w:t>Doc. parl.</w:t>
      </w:r>
      <w:r>
        <w:t xml:space="preserve">, 2014-2015, doc. 54 1057/001, disponible à l’adresse </w:t>
      </w:r>
      <w:hyperlink r:id="rId47" w:history="1">
        <w:r w:rsidRPr="00674042">
          <w:rPr>
            <w:rStyle w:val="Lienhypertexte"/>
          </w:rPr>
          <w:t>www.lachambre.be/FLWB/PDF/54/1057/54K1057001.pdf</w:t>
        </w:r>
      </w:hyperlink>
      <w:r>
        <w:t>, p. 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B3091"/>
    <w:multiLevelType w:val="hybridMultilevel"/>
    <w:tmpl w:val="94F8854A"/>
    <w:lvl w:ilvl="0" w:tplc="E58A731C">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00535FC"/>
    <w:multiLevelType w:val="hybridMultilevel"/>
    <w:tmpl w:val="F06E611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13AC4E78"/>
    <w:multiLevelType w:val="hybridMultilevel"/>
    <w:tmpl w:val="A326843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141D4A6C"/>
    <w:multiLevelType w:val="hybridMultilevel"/>
    <w:tmpl w:val="EB026D9A"/>
    <w:lvl w:ilvl="0" w:tplc="67D0021A">
      <w:start w:val="3"/>
      <w:numFmt w:val="bullet"/>
      <w:lvlText w:val="-"/>
      <w:lvlJc w:val="left"/>
      <w:pPr>
        <w:ind w:left="1770" w:hanging="360"/>
      </w:pPr>
      <w:rPr>
        <w:rFonts w:ascii="Calibri" w:eastAsiaTheme="minorHAnsi" w:hAnsi="Calibri" w:cstheme="minorBidi" w:hint="default"/>
      </w:rPr>
    </w:lvl>
    <w:lvl w:ilvl="1" w:tplc="080C0003" w:tentative="1">
      <w:start w:val="1"/>
      <w:numFmt w:val="bullet"/>
      <w:lvlText w:val="o"/>
      <w:lvlJc w:val="left"/>
      <w:pPr>
        <w:ind w:left="2490" w:hanging="360"/>
      </w:pPr>
      <w:rPr>
        <w:rFonts w:ascii="Courier New" w:hAnsi="Courier New" w:cs="Courier New" w:hint="default"/>
      </w:rPr>
    </w:lvl>
    <w:lvl w:ilvl="2" w:tplc="080C0005" w:tentative="1">
      <w:start w:val="1"/>
      <w:numFmt w:val="bullet"/>
      <w:lvlText w:val=""/>
      <w:lvlJc w:val="left"/>
      <w:pPr>
        <w:ind w:left="3210" w:hanging="360"/>
      </w:pPr>
      <w:rPr>
        <w:rFonts w:ascii="Wingdings" w:hAnsi="Wingdings" w:hint="default"/>
      </w:rPr>
    </w:lvl>
    <w:lvl w:ilvl="3" w:tplc="080C0001" w:tentative="1">
      <w:start w:val="1"/>
      <w:numFmt w:val="bullet"/>
      <w:lvlText w:val=""/>
      <w:lvlJc w:val="left"/>
      <w:pPr>
        <w:ind w:left="3930" w:hanging="360"/>
      </w:pPr>
      <w:rPr>
        <w:rFonts w:ascii="Symbol" w:hAnsi="Symbol" w:hint="default"/>
      </w:rPr>
    </w:lvl>
    <w:lvl w:ilvl="4" w:tplc="080C0003" w:tentative="1">
      <w:start w:val="1"/>
      <w:numFmt w:val="bullet"/>
      <w:lvlText w:val="o"/>
      <w:lvlJc w:val="left"/>
      <w:pPr>
        <w:ind w:left="4650" w:hanging="360"/>
      </w:pPr>
      <w:rPr>
        <w:rFonts w:ascii="Courier New" w:hAnsi="Courier New" w:cs="Courier New" w:hint="default"/>
      </w:rPr>
    </w:lvl>
    <w:lvl w:ilvl="5" w:tplc="080C0005" w:tentative="1">
      <w:start w:val="1"/>
      <w:numFmt w:val="bullet"/>
      <w:lvlText w:val=""/>
      <w:lvlJc w:val="left"/>
      <w:pPr>
        <w:ind w:left="5370" w:hanging="360"/>
      </w:pPr>
      <w:rPr>
        <w:rFonts w:ascii="Wingdings" w:hAnsi="Wingdings" w:hint="default"/>
      </w:rPr>
    </w:lvl>
    <w:lvl w:ilvl="6" w:tplc="080C0001" w:tentative="1">
      <w:start w:val="1"/>
      <w:numFmt w:val="bullet"/>
      <w:lvlText w:val=""/>
      <w:lvlJc w:val="left"/>
      <w:pPr>
        <w:ind w:left="6090" w:hanging="360"/>
      </w:pPr>
      <w:rPr>
        <w:rFonts w:ascii="Symbol" w:hAnsi="Symbol" w:hint="default"/>
      </w:rPr>
    </w:lvl>
    <w:lvl w:ilvl="7" w:tplc="080C0003" w:tentative="1">
      <w:start w:val="1"/>
      <w:numFmt w:val="bullet"/>
      <w:lvlText w:val="o"/>
      <w:lvlJc w:val="left"/>
      <w:pPr>
        <w:ind w:left="6810" w:hanging="360"/>
      </w:pPr>
      <w:rPr>
        <w:rFonts w:ascii="Courier New" w:hAnsi="Courier New" w:cs="Courier New" w:hint="default"/>
      </w:rPr>
    </w:lvl>
    <w:lvl w:ilvl="8" w:tplc="080C0005" w:tentative="1">
      <w:start w:val="1"/>
      <w:numFmt w:val="bullet"/>
      <w:lvlText w:val=""/>
      <w:lvlJc w:val="left"/>
      <w:pPr>
        <w:ind w:left="7530" w:hanging="360"/>
      </w:pPr>
      <w:rPr>
        <w:rFonts w:ascii="Wingdings" w:hAnsi="Wingdings" w:hint="default"/>
      </w:rPr>
    </w:lvl>
  </w:abstractNum>
  <w:abstractNum w:abstractNumId="4" w15:restartNumberingAfterBreak="0">
    <w:nsid w:val="1AAF5E79"/>
    <w:multiLevelType w:val="hybridMultilevel"/>
    <w:tmpl w:val="C0AAC05C"/>
    <w:lvl w:ilvl="0" w:tplc="14845838">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2D55579F"/>
    <w:multiLevelType w:val="hybridMultilevel"/>
    <w:tmpl w:val="730AEBD0"/>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363B3731"/>
    <w:multiLevelType w:val="hybridMultilevel"/>
    <w:tmpl w:val="0D3AD400"/>
    <w:lvl w:ilvl="0" w:tplc="C20AA770">
      <w:start w:val="10"/>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3AEA527A"/>
    <w:multiLevelType w:val="hybridMultilevel"/>
    <w:tmpl w:val="AE1853E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3F753E3D"/>
    <w:multiLevelType w:val="hybridMultilevel"/>
    <w:tmpl w:val="B9DCC40E"/>
    <w:lvl w:ilvl="0" w:tplc="280CBB0E">
      <w:start w:val="10"/>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5AA11454"/>
    <w:multiLevelType w:val="hybridMultilevel"/>
    <w:tmpl w:val="672ED78E"/>
    <w:lvl w:ilvl="0" w:tplc="2F206B4A">
      <w:start w:val="10"/>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5F352D61"/>
    <w:multiLevelType w:val="hybridMultilevel"/>
    <w:tmpl w:val="DE2A916E"/>
    <w:lvl w:ilvl="0" w:tplc="7CBEF878">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63CD6B7A"/>
    <w:multiLevelType w:val="hybridMultilevel"/>
    <w:tmpl w:val="98A6BCC8"/>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66CB3A23"/>
    <w:multiLevelType w:val="hybridMultilevel"/>
    <w:tmpl w:val="6C30DBA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68361B31"/>
    <w:multiLevelType w:val="hybridMultilevel"/>
    <w:tmpl w:val="68B08506"/>
    <w:lvl w:ilvl="0" w:tplc="05560942">
      <w:start w:val="1"/>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6B946A85"/>
    <w:multiLevelType w:val="hybridMultilevel"/>
    <w:tmpl w:val="7D8CFBC2"/>
    <w:lvl w:ilvl="0" w:tplc="E800E9CA">
      <w:start w:val="10"/>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6EC24C50"/>
    <w:multiLevelType w:val="hybridMultilevel"/>
    <w:tmpl w:val="AF8ABF3C"/>
    <w:lvl w:ilvl="0" w:tplc="A62C5678">
      <w:start w:val="10"/>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72E91D89"/>
    <w:multiLevelType w:val="multilevel"/>
    <w:tmpl w:val="74020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CD53FD"/>
    <w:multiLevelType w:val="hybridMultilevel"/>
    <w:tmpl w:val="B56462F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75895B89"/>
    <w:multiLevelType w:val="hybridMultilevel"/>
    <w:tmpl w:val="2196FF26"/>
    <w:lvl w:ilvl="0" w:tplc="C3485520">
      <w:start w:val="1"/>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2"/>
  </w:num>
  <w:num w:numId="2">
    <w:abstractNumId w:val="3"/>
  </w:num>
  <w:num w:numId="3">
    <w:abstractNumId w:val="1"/>
  </w:num>
  <w:num w:numId="4">
    <w:abstractNumId w:val="17"/>
  </w:num>
  <w:num w:numId="5">
    <w:abstractNumId w:val="18"/>
  </w:num>
  <w:num w:numId="6">
    <w:abstractNumId w:val="13"/>
  </w:num>
  <w:num w:numId="7">
    <w:abstractNumId w:val="10"/>
  </w:num>
  <w:num w:numId="8">
    <w:abstractNumId w:val="11"/>
  </w:num>
  <w:num w:numId="9">
    <w:abstractNumId w:val="14"/>
  </w:num>
  <w:num w:numId="10">
    <w:abstractNumId w:val="9"/>
  </w:num>
  <w:num w:numId="11">
    <w:abstractNumId w:val="8"/>
  </w:num>
  <w:num w:numId="12">
    <w:abstractNumId w:val="6"/>
  </w:num>
  <w:num w:numId="13">
    <w:abstractNumId w:val="15"/>
  </w:num>
  <w:num w:numId="14">
    <w:abstractNumId w:val="0"/>
  </w:num>
  <w:num w:numId="15">
    <w:abstractNumId w:val="4"/>
  </w:num>
  <w:num w:numId="16">
    <w:abstractNumId w:val="7"/>
  </w:num>
  <w:num w:numId="17">
    <w:abstractNumId w:val="5"/>
  </w:num>
  <w:num w:numId="18">
    <w:abstractNumId w:val="2"/>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DBF"/>
    <w:rsid w:val="000020BE"/>
    <w:rsid w:val="00002B92"/>
    <w:rsid w:val="00002F63"/>
    <w:rsid w:val="00005899"/>
    <w:rsid w:val="00016920"/>
    <w:rsid w:val="000211E5"/>
    <w:rsid w:val="000226BF"/>
    <w:rsid w:val="00024A86"/>
    <w:rsid w:val="00030F47"/>
    <w:rsid w:val="000327D1"/>
    <w:rsid w:val="00036F8A"/>
    <w:rsid w:val="000371F7"/>
    <w:rsid w:val="00041E80"/>
    <w:rsid w:val="0004228F"/>
    <w:rsid w:val="000502A8"/>
    <w:rsid w:val="0005718B"/>
    <w:rsid w:val="000631F0"/>
    <w:rsid w:val="00070130"/>
    <w:rsid w:val="000709A6"/>
    <w:rsid w:val="00072A5F"/>
    <w:rsid w:val="0007415C"/>
    <w:rsid w:val="000843EE"/>
    <w:rsid w:val="00091F6A"/>
    <w:rsid w:val="000A0232"/>
    <w:rsid w:val="000A5172"/>
    <w:rsid w:val="000A6815"/>
    <w:rsid w:val="000B4D28"/>
    <w:rsid w:val="000B5B44"/>
    <w:rsid w:val="000C206B"/>
    <w:rsid w:val="000C3BCD"/>
    <w:rsid w:val="000C422C"/>
    <w:rsid w:val="000C6FFA"/>
    <w:rsid w:val="000D31EF"/>
    <w:rsid w:val="000D3B96"/>
    <w:rsid w:val="000E047E"/>
    <w:rsid w:val="000E0B1F"/>
    <w:rsid w:val="000E10E7"/>
    <w:rsid w:val="000E4E14"/>
    <w:rsid w:val="000F12F4"/>
    <w:rsid w:val="00101594"/>
    <w:rsid w:val="001038D6"/>
    <w:rsid w:val="00106D7A"/>
    <w:rsid w:val="001070F4"/>
    <w:rsid w:val="00111983"/>
    <w:rsid w:val="0011280D"/>
    <w:rsid w:val="00117D01"/>
    <w:rsid w:val="00120B76"/>
    <w:rsid w:val="00122BF6"/>
    <w:rsid w:val="0012417F"/>
    <w:rsid w:val="00131080"/>
    <w:rsid w:val="001328FD"/>
    <w:rsid w:val="00133166"/>
    <w:rsid w:val="00133394"/>
    <w:rsid w:val="00133935"/>
    <w:rsid w:val="001356E0"/>
    <w:rsid w:val="00142338"/>
    <w:rsid w:val="00143C83"/>
    <w:rsid w:val="00145819"/>
    <w:rsid w:val="00147E13"/>
    <w:rsid w:val="00157652"/>
    <w:rsid w:val="00160D02"/>
    <w:rsid w:val="00163525"/>
    <w:rsid w:val="00163981"/>
    <w:rsid w:val="001721B0"/>
    <w:rsid w:val="001725E4"/>
    <w:rsid w:val="00172CDF"/>
    <w:rsid w:val="00173331"/>
    <w:rsid w:val="00174804"/>
    <w:rsid w:val="0018437C"/>
    <w:rsid w:val="00184539"/>
    <w:rsid w:val="00184E9D"/>
    <w:rsid w:val="00185A45"/>
    <w:rsid w:val="001B13C9"/>
    <w:rsid w:val="001B1E9D"/>
    <w:rsid w:val="001B57AD"/>
    <w:rsid w:val="001B58B4"/>
    <w:rsid w:val="001B5D06"/>
    <w:rsid w:val="001B6ED8"/>
    <w:rsid w:val="001B7FBB"/>
    <w:rsid w:val="001C4DB1"/>
    <w:rsid w:val="001C4FEE"/>
    <w:rsid w:val="001C7520"/>
    <w:rsid w:val="001C783A"/>
    <w:rsid w:val="001D0B59"/>
    <w:rsid w:val="001D1902"/>
    <w:rsid w:val="001D4C7F"/>
    <w:rsid w:val="001D78BE"/>
    <w:rsid w:val="001E20CB"/>
    <w:rsid w:val="001E6075"/>
    <w:rsid w:val="001F3724"/>
    <w:rsid w:val="001F3841"/>
    <w:rsid w:val="00201489"/>
    <w:rsid w:val="0021055C"/>
    <w:rsid w:val="00210CE1"/>
    <w:rsid w:val="00223845"/>
    <w:rsid w:val="00231C3C"/>
    <w:rsid w:val="00233181"/>
    <w:rsid w:val="00234AC5"/>
    <w:rsid w:val="00234BAE"/>
    <w:rsid w:val="00236AD3"/>
    <w:rsid w:val="00242BEA"/>
    <w:rsid w:val="00246D72"/>
    <w:rsid w:val="00246FE1"/>
    <w:rsid w:val="002548FA"/>
    <w:rsid w:val="00257A52"/>
    <w:rsid w:val="00263FBE"/>
    <w:rsid w:val="00270748"/>
    <w:rsid w:val="0027181C"/>
    <w:rsid w:val="00272435"/>
    <w:rsid w:val="0027417B"/>
    <w:rsid w:val="00275C56"/>
    <w:rsid w:val="002817AA"/>
    <w:rsid w:val="00281E29"/>
    <w:rsid w:val="00286A10"/>
    <w:rsid w:val="00286E82"/>
    <w:rsid w:val="00287671"/>
    <w:rsid w:val="0029276F"/>
    <w:rsid w:val="002B3557"/>
    <w:rsid w:val="002B3856"/>
    <w:rsid w:val="002B7BF9"/>
    <w:rsid w:val="002B7E83"/>
    <w:rsid w:val="002C2F99"/>
    <w:rsid w:val="002C5233"/>
    <w:rsid w:val="002C6745"/>
    <w:rsid w:val="002D7C06"/>
    <w:rsid w:val="002E03C1"/>
    <w:rsid w:val="002E19CB"/>
    <w:rsid w:val="002E4F9B"/>
    <w:rsid w:val="002F029F"/>
    <w:rsid w:val="002F6524"/>
    <w:rsid w:val="002F67F9"/>
    <w:rsid w:val="002F699D"/>
    <w:rsid w:val="0030196C"/>
    <w:rsid w:val="003040AF"/>
    <w:rsid w:val="00304134"/>
    <w:rsid w:val="00305D89"/>
    <w:rsid w:val="00307679"/>
    <w:rsid w:val="00313508"/>
    <w:rsid w:val="00331AC3"/>
    <w:rsid w:val="00333487"/>
    <w:rsid w:val="003363D9"/>
    <w:rsid w:val="00340E53"/>
    <w:rsid w:val="00343CEB"/>
    <w:rsid w:val="00345606"/>
    <w:rsid w:val="00351B37"/>
    <w:rsid w:val="00351C7E"/>
    <w:rsid w:val="00362209"/>
    <w:rsid w:val="00362846"/>
    <w:rsid w:val="0036679B"/>
    <w:rsid w:val="003679BA"/>
    <w:rsid w:val="003702A1"/>
    <w:rsid w:val="003710C7"/>
    <w:rsid w:val="00373DD5"/>
    <w:rsid w:val="00383CA0"/>
    <w:rsid w:val="00394D98"/>
    <w:rsid w:val="003A016E"/>
    <w:rsid w:val="003A2726"/>
    <w:rsid w:val="003B1290"/>
    <w:rsid w:val="003B2B2A"/>
    <w:rsid w:val="003B5737"/>
    <w:rsid w:val="003B5826"/>
    <w:rsid w:val="003B5907"/>
    <w:rsid w:val="003B7F67"/>
    <w:rsid w:val="003C4161"/>
    <w:rsid w:val="003C762B"/>
    <w:rsid w:val="003D1462"/>
    <w:rsid w:val="003D74E0"/>
    <w:rsid w:val="003E006B"/>
    <w:rsid w:val="00400ACE"/>
    <w:rsid w:val="00402480"/>
    <w:rsid w:val="0040555C"/>
    <w:rsid w:val="00413497"/>
    <w:rsid w:val="0041528B"/>
    <w:rsid w:val="00416902"/>
    <w:rsid w:val="00423E4E"/>
    <w:rsid w:val="0042694A"/>
    <w:rsid w:val="00431C83"/>
    <w:rsid w:val="004346B5"/>
    <w:rsid w:val="004351F5"/>
    <w:rsid w:val="004375F4"/>
    <w:rsid w:val="00437DB0"/>
    <w:rsid w:val="00441B10"/>
    <w:rsid w:val="004465FB"/>
    <w:rsid w:val="004467F3"/>
    <w:rsid w:val="00452101"/>
    <w:rsid w:val="00454CEE"/>
    <w:rsid w:val="0045789A"/>
    <w:rsid w:val="004601A1"/>
    <w:rsid w:val="004622A7"/>
    <w:rsid w:val="00462BA2"/>
    <w:rsid w:val="0046757E"/>
    <w:rsid w:val="00474A23"/>
    <w:rsid w:val="00481EC8"/>
    <w:rsid w:val="0048406F"/>
    <w:rsid w:val="00490634"/>
    <w:rsid w:val="004925D2"/>
    <w:rsid w:val="0049650C"/>
    <w:rsid w:val="00496CEE"/>
    <w:rsid w:val="004A1E02"/>
    <w:rsid w:val="004A2C5B"/>
    <w:rsid w:val="004A52B9"/>
    <w:rsid w:val="004B1730"/>
    <w:rsid w:val="004B2163"/>
    <w:rsid w:val="004B4703"/>
    <w:rsid w:val="004C4A92"/>
    <w:rsid w:val="004D0921"/>
    <w:rsid w:val="004D0B6C"/>
    <w:rsid w:val="004D0C6B"/>
    <w:rsid w:val="004D0E09"/>
    <w:rsid w:val="004D3E6A"/>
    <w:rsid w:val="004D4095"/>
    <w:rsid w:val="004D77AF"/>
    <w:rsid w:val="004E62F0"/>
    <w:rsid w:val="005029EB"/>
    <w:rsid w:val="005063B8"/>
    <w:rsid w:val="00507B9E"/>
    <w:rsid w:val="005103D5"/>
    <w:rsid w:val="00517B9E"/>
    <w:rsid w:val="00521A65"/>
    <w:rsid w:val="00540BBB"/>
    <w:rsid w:val="00541644"/>
    <w:rsid w:val="00544A48"/>
    <w:rsid w:val="005456E3"/>
    <w:rsid w:val="00552491"/>
    <w:rsid w:val="0055449D"/>
    <w:rsid w:val="005558FC"/>
    <w:rsid w:val="00556234"/>
    <w:rsid w:val="005638D4"/>
    <w:rsid w:val="00572448"/>
    <w:rsid w:val="005754A1"/>
    <w:rsid w:val="00575BB8"/>
    <w:rsid w:val="00584358"/>
    <w:rsid w:val="00585DFB"/>
    <w:rsid w:val="0058640A"/>
    <w:rsid w:val="005872A5"/>
    <w:rsid w:val="005878EE"/>
    <w:rsid w:val="005955A1"/>
    <w:rsid w:val="00597C09"/>
    <w:rsid w:val="005A4456"/>
    <w:rsid w:val="005B2B0D"/>
    <w:rsid w:val="005B37A6"/>
    <w:rsid w:val="005B38AA"/>
    <w:rsid w:val="005B469D"/>
    <w:rsid w:val="005B67F1"/>
    <w:rsid w:val="005D6D0F"/>
    <w:rsid w:val="005E3C31"/>
    <w:rsid w:val="005E3D36"/>
    <w:rsid w:val="005E5966"/>
    <w:rsid w:val="005F6CD7"/>
    <w:rsid w:val="00600429"/>
    <w:rsid w:val="00600A9B"/>
    <w:rsid w:val="00603089"/>
    <w:rsid w:val="00603B33"/>
    <w:rsid w:val="00611D30"/>
    <w:rsid w:val="006178F6"/>
    <w:rsid w:val="006216E5"/>
    <w:rsid w:val="006221D5"/>
    <w:rsid w:val="00631FBD"/>
    <w:rsid w:val="00633953"/>
    <w:rsid w:val="006341A7"/>
    <w:rsid w:val="00643476"/>
    <w:rsid w:val="00645A70"/>
    <w:rsid w:val="006515F9"/>
    <w:rsid w:val="006524B1"/>
    <w:rsid w:val="006542ED"/>
    <w:rsid w:val="00654883"/>
    <w:rsid w:val="00660430"/>
    <w:rsid w:val="0066225F"/>
    <w:rsid w:val="00667706"/>
    <w:rsid w:val="0066799F"/>
    <w:rsid w:val="00682029"/>
    <w:rsid w:val="0068237F"/>
    <w:rsid w:val="00696076"/>
    <w:rsid w:val="0069655D"/>
    <w:rsid w:val="006A01B3"/>
    <w:rsid w:val="006A0A38"/>
    <w:rsid w:val="006A224B"/>
    <w:rsid w:val="006A4BD5"/>
    <w:rsid w:val="006B1C3F"/>
    <w:rsid w:val="006B2195"/>
    <w:rsid w:val="006B300B"/>
    <w:rsid w:val="006B62BE"/>
    <w:rsid w:val="006B6DEC"/>
    <w:rsid w:val="006C1412"/>
    <w:rsid w:val="006C468E"/>
    <w:rsid w:val="006C7227"/>
    <w:rsid w:val="006D109D"/>
    <w:rsid w:val="006D19FB"/>
    <w:rsid w:val="006D25A8"/>
    <w:rsid w:val="006E1923"/>
    <w:rsid w:val="006E459A"/>
    <w:rsid w:val="006E5C7B"/>
    <w:rsid w:val="006E7B84"/>
    <w:rsid w:val="006E7C7D"/>
    <w:rsid w:val="006F0968"/>
    <w:rsid w:val="006F416D"/>
    <w:rsid w:val="006F431E"/>
    <w:rsid w:val="006F60A6"/>
    <w:rsid w:val="006F7432"/>
    <w:rsid w:val="00701823"/>
    <w:rsid w:val="00702365"/>
    <w:rsid w:val="007031CF"/>
    <w:rsid w:val="00704FCC"/>
    <w:rsid w:val="00711C04"/>
    <w:rsid w:val="007203C8"/>
    <w:rsid w:val="00723C10"/>
    <w:rsid w:val="0072447F"/>
    <w:rsid w:val="00724ECE"/>
    <w:rsid w:val="0072526D"/>
    <w:rsid w:val="00725A39"/>
    <w:rsid w:val="0072627E"/>
    <w:rsid w:val="00727D08"/>
    <w:rsid w:val="00732B99"/>
    <w:rsid w:val="00733263"/>
    <w:rsid w:val="00733373"/>
    <w:rsid w:val="00747BAB"/>
    <w:rsid w:val="00747DC7"/>
    <w:rsid w:val="007503DA"/>
    <w:rsid w:val="00750CFA"/>
    <w:rsid w:val="007541F6"/>
    <w:rsid w:val="007567A1"/>
    <w:rsid w:val="00762257"/>
    <w:rsid w:val="00763003"/>
    <w:rsid w:val="0076319E"/>
    <w:rsid w:val="00764E2B"/>
    <w:rsid w:val="00765D7E"/>
    <w:rsid w:val="00771188"/>
    <w:rsid w:val="00771AC5"/>
    <w:rsid w:val="0077751F"/>
    <w:rsid w:val="007813CC"/>
    <w:rsid w:val="00783596"/>
    <w:rsid w:val="0078748E"/>
    <w:rsid w:val="00796BB5"/>
    <w:rsid w:val="00797C7E"/>
    <w:rsid w:val="007A0AFA"/>
    <w:rsid w:val="007A6DE8"/>
    <w:rsid w:val="007A7575"/>
    <w:rsid w:val="007A7D7F"/>
    <w:rsid w:val="007A7F4D"/>
    <w:rsid w:val="007B0561"/>
    <w:rsid w:val="007B09B7"/>
    <w:rsid w:val="007B117D"/>
    <w:rsid w:val="007B2FF9"/>
    <w:rsid w:val="007C217C"/>
    <w:rsid w:val="007C4EE4"/>
    <w:rsid w:val="007C65EF"/>
    <w:rsid w:val="007D1C68"/>
    <w:rsid w:val="007D2C6A"/>
    <w:rsid w:val="007D3470"/>
    <w:rsid w:val="007D4BF1"/>
    <w:rsid w:val="007E01C5"/>
    <w:rsid w:val="007E6947"/>
    <w:rsid w:val="007E6E96"/>
    <w:rsid w:val="007E74F5"/>
    <w:rsid w:val="007F024F"/>
    <w:rsid w:val="007F1C7F"/>
    <w:rsid w:val="007F2201"/>
    <w:rsid w:val="007F2E44"/>
    <w:rsid w:val="007F59BE"/>
    <w:rsid w:val="007F5BA2"/>
    <w:rsid w:val="007F5FDD"/>
    <w:rsid w:val="00806965"/>
    <w:rsid w:val="0081209D"/>
    <w:rsid w:val="00823AFE"/>
    <w:rsid w:val="00824FD7"/>
    <w:rsid w:val="00826351"/>
    <w:rsid w:val="00832F08"/>
    <w:rsid w:val="0083410A"/>
    <w:rsid w:val="00834579"/>
    <w:rsid w:val="00837BB3"/>
    <w:rsid w:val="0084135B"/>
    <w:rsid w:val="00842A79"/>
    <w:rsid w:val="0084534B"/>
    <w:rsid w:val="00851FDE"/>
    <w:rsid w:val="0085257C"/>
    <w:rsid w:val="00854FF7"/>
    <w:rsid w:val="00857289"/>
    <w:rsid w:val="0085779B"/>
    <w:rsid w:val="00861FFA"/>
    <w:rsid w:val="0086238E"/>
    <w:rsid w:val="00865D0B"/>
    <w:rsid w:val="00872233"/>
    <w:rsid w:val="00873539"/>
    <w:rsid w:val="008749C4"/>
    <w:rsid w:val="00876864"/>
    <w:rsid w:val="00885F45"/>
    <w:rsid w:val="00887111"/>
    <w:rsid w:val="0089149A"/>
    <w:rsid w:val="00892AA1"/>
    <w:rsid w:val="008953DE"/>
    <w:rsid w:val="008A5A48"/>
    <w:rsid w:val="008A5D7B"/>
    <w:rsid w:val="008A6AF4"/>
    <w:rsid w:val="008B180F"/>
    <w:rsid w:val="008B2DD2"/>
    <w:rsid w:val="008B707E"/>
    <w:rsid w:val="008C28B1"/>
    <w:rsid w:val="008C335B"/>
    <w:rsid w:val="008C383C"/>
    <w:rsid w:val="008C4BCC"/>
    <w:rsid w:val="008D19A9"/>
    <w:rsid w:val="008D5359"/>
    <w:rsid w:val="008D53E0"/>
    <w:rsid w:val="008E6DDD"/>
    <w:rsid w:val="009012AA"/>
    <w:rsid w:val="00903344"/>
    <w:rsid w:val="009054E6"/>
    <w:rsid w:val="009079E5"/>
    <w:rsid w:val="009133B2"/>
    <w:rsid w:val="00921242"/>
    <w:rsid w:val="00924009"/>
    <w:rsid w:val="009251EC"/>
    <w:rsid w:val="00953433"/>
    <w:rsid w:val="00962DEB"/>
    <w:rsid w:val="00966A57"/>
    <w:rsid w:val="00966F7E"/>
    <w:rsid w:val="00967B35"/>
    <w:rsid w:val="00971ABB"/>
    <w:rsid w:val="00973F13"/>
    <w:rsid w:val="00974495"/>
    <w:rsid w:val="00974E55"/>
    <w:rsid w:val="00980D24"/>
    <w:rsid w:val="0098387B"/>
    <w:rsid w:val="009929C4"/>
    <w:rsid w:val="0099314A"/>
    <w:rsid w:val="00994355"/>
    <w:rsid w:val="00997144"/>
    <w:rsid w:val="009A6DDB"/>
    <w:rsid w:val="009A7F7A"/>
    <w:rsid w:val="009C19AA"/>
    <w:rsid w:val="009C1B9D"/>
    <w:rsid w:val="009C3099"/>
    <w:rsid w:val="009C6521"/>
    <w:rsid w:val="009C76CD"/>
    <w:rsid w:val="009C7CDC"/>
    <w:rsid w:val="009D1690"/>
    <w:rsid w:val="009D5D0D"/>
    <w:rsid w:val="009D75D4"/>
    <w:rsid w:val="009D7860"/>
    <w:rsid w:val="009E4FEF"/>
    <w:rsid w:val="009E5FBE"/>
    <w:rsid w:val="009F1054"/>
    <w:rsid w:val="009F2063"/>
    <w:rsid w:val="009F310D"/>
    <w:rsid w:val="009F42C1"/>
    <w:rsid w:val="00A1207A"/>
    <w:rsid w:val="00A12838"/>
    <w:rsid w:val="00A144F3"/>
    <w:rsid w:val="00A16266"/>
    <w:rsid w:val="00A2101B"/>
    <w:rsid w:val="00A22797"/>
    <w:rsid w:val="00A22BE1"/>
    <w:rsid w:val="00A23453"/>
    <w:rsid w:val="00A2428C"/>
    <w:rsid w:val="00A316C3"/>
    <w:rsid w:val="00A344BD"/>
    <w:rsid w:val="00A34DFE"/>
    <w:rsid w:val="00A35E3D"/>
    <w:rsid w:val="00A37643"/>
    <w:rsid w:val="00A41A8E"/>
    <w:rsid w:val="00A45CAA"/>
    <w:rsid w:val="00A63605"/>
    <w:rsid w:val="00A655EB"/>
    <w:rsid w:val="00A65860"/>
    <w:rsid w:val="00A665E2"/>
    <w:rsid w:val="00A70970"/>
    <w:rsid w:val="00A71417"/>
    <w:rsid w:val="00A761C6"/>
    <w:rsid w:val="00A8389E"/>
    <w:rsid w:val="00A83BF4"/>
    <w:rsid w:val="00A870C8"/>
    <w:rsid w:val="00A8765E"/>
    <w:rsid w:val="00A93730"/>
    <w:rsid w:val="00A97DF0"/>
    <w:rsid w:val="00AA0772"/>
    <w:rsid w:val="00AA1922"/>
    <w:rsid w:val="00AA1D2B"/>
    <w:rsid w:val="00AA2986"/>
    <w:rsid w:val="00AA34BC"/>
    <w:rsid w:val="00AA3A2A"/>
    <w:rsid w:val="00AA467E"/>
    <w:rsid w:val="00AA7B18"/>
    <w:rsid w:val="00AB123E"/>
    <w:rsid w:val="00AB4119"/>
    <w:rsid w:val="00AC0E17"/>
    <w:rsid w:val="00AC1195"/>
    <w:rsid w:val="00AD113A"/>
    <w:rsid w:val="00AD18D6"/>
    <w:rsid w:val="00AE1274"/>
    <w:rsid w:val="00AE3B8A"/>
    <w:rsid w:val="00AE4343"/>
    <w:rsid w:val="00AE5EB6"/>
    <w:rsid w:val="00AF1325"/>
    <w:rsid w:val="00AF6AD2"/>
    <w:rsid w:val="00AF6F09"/>
    <w:rsid w:val="00AF7176"/>
    <w:rsid w:val="00B0366C"/>
    <w:rsid w:val="00B06D22"/>
    <w:rsid w:val="00B11156"/>
    <w:rsid w:val="00B119C6"/>
    <w:rsid w:val="00B11B87"/>
    <w:rsid w:val="00B12EE8"/>
    <w:rsid w:val="00B16665"/>
    <w:rsid w:val="00B20E23"/>
    <w:rsid w:val="00B23141"/>
    <w:rsid w:val="00B231ED"/>
    <w:rsid w:val="00B24E37"/>
    <w:rsid w:val="00B30D9D"/>
    <w:rsid w:val="00B31C28"/>
    <w:rsid w:val="00B33E62"/>
    <w:rsid w:val="00B364AE"/>
    <w:rsid w:val="00B3777C"/>
    <w:rsid w:val="00B4071D"/>
    <w:rsid w:val="00B41D0F"/>
    <w:rsid w:val="00B45D9A"/>
    <w:rsid w:val="00B46169"/>
    <w:rsid w:val="00B46239"/>
    <w:rsid w:val="00B52234"/>
    <w:rsid w:val="00B56CBC"/>
    <w:rsid w:val="00B64910"/>
    <w:rsid w:val="00B65579"/>
    <w:rsid w:val="00B65EA8"/>
    <w:rsid w:val="00B71B05"/>
    <w:rsid w:val="00B72C05"/>
    <w:rsid w:val="00B745EC"/>
    <w:rsid w:val="00B75954"/>
    <w:rsid w:val="00BA0A23"/>
    <w:rsid w:val="00BA163E"/>
    <w:rsid w:val="00BA2361"/>
    <w:rsid w:val="00BA31EE"/>
    <w:rsid w:val="00BA5E9D"/>
    <w:rsid w:val="00BB06BA"/>
    <w:rsid w:val="00BB0FCF"/>
    <w:rsid w:val="00BB14C6"/>
    <w:rsid w:val="00BC1799"/>
    <w:rsid w:val="00BC1814"/>
    <w:rsid w:val="00BC261B"/>
    <w:rsid w:val="00BD31C0"/>
    <w:rsid w:val="00BD747E"/>
    <w:rsid w:val="00BE48CF"/>
    <w:rsid w:val="00BE5DFA"/>
    <w:rsid w:val="00BE6671"/>
    <w:rsid w:val="00BE6EA1"/>
    <w:rsid w:val="00BF2BF7"/>
    <w:rsid w:val="00BF5049"/>
    <w:rsid w:val="00BF7AA4"/>
    <w:rsid w:val="00C01E88"/>
    <w:rsid w:val="00C06DA5"/>
    <w:rsid w:val="00C078EE"/>
    <w:rsid w:val="00C13162"/>
    <w:rsid w:val="00C134BF"/>
    <w:rsid w:val="00C20801"/>
    <w:rsid w:val="00C20E1C"/>
    <w:rsid w:val="00C214DB"/>
    <w:rsid w:val="00C23825"/>
    <w:rsid w:val="00C23A49"/>
    <w:rsid w:val="00C27D0F"/>
    <w:rsid w:val="00C30F42"/>
    <w:rsid w:val="00C34A0E"/>
    <w:rsid w:val="00C3536D"/>
    <w:rsid w:val="00C35508"/>
    <w:rsid w:val="00C43D92"/>
    <w:rsid w:val="00C45075"/>
    <w:rsid w:val="00C457A6"/>
    <w:rsid w:val="00C4602B"/>
    <w:rsid w:val="00C50655"/>
    <w:rsid w:val="00C50AE0"/>
    <w:rsid w:val="00C520B5"/>
    <w:rsid w:val="00C521FF"/>
    <w:rsid w:val="00C54207"/>
    <w:rsid w:val="00C554C9"/>
    <w:rsid w:val="00C57C27"/>
    <w:rsid w:val="00C6479C"/>
    <w:rsid w:val="00C72E34"/>
    <w:rsid w:val="00C749BA"/>
    <w:rsid w:val="00C8261E"/>
    <w:rsid w:val="00C87FCE"/>
    <w:rsid w:val="00C9312D"/>
    <w:rsid w:val="00C94E8D"/>
    <w:rsid w:val="00C96372"/>
    <w:rsid w:val="00CA05CB"/>
    <w:rsid w:val="00CA27CB"/>
    <w:rsid w:val="00CA3C94"/>
    <w:rsid w:val="00CA50CC"/>
    <w:rsid w:val="00CB7DBC"/>
    <w:rsid w:val="00CC23B2"/>
    <w:rsid w:val="00CD06B9"/>
    <w:rsid w:val="00CD25A5"/>
    <w:rsid w:val="00CD3C05"/>
    <w:rsid w:val="00CE46DE"/>
    <w:rsid w:val="00CF12AA"/>
    <w:rsid w:val="00CF2E75"/>
    <w:rsid w:val="00CF55A8"/>
    <w:rsid w:val="00CF5F91"/>
    <w:rsid w:val="00CF6F5D"/>
    <w:rsid w:val="00CF7FD0"/>
    <w:rsid w:val="00D018C7"/>
    <w:rsid w:val="00D0240B"/>
    <w:rsid w:val="00D11C18"/>
    <w:rsid w:val="00D11CBE"/>
    <w:rsid w:val="00D16039"/>
    <w:rsid w:val="00D224C6"/>
    <w:rsid w:val="00D23488"/>
    <w:rsid w:val="00D2434C"/>
    <w:rsid w:val="00D24B16"/>
    <w:rsid w:val="00D258B7"/>
    <w:rsid w:val="00D31140"/>
    <w:rsid w:val="00D33B0B"/>
    <w:rsid w:val="00D42366"/>
    <w:rsid w:val="00D43ACB"/>
    <w:rsid w:val="00D46609"/>
    <w:rsid w:val="00D50301"/>
    <w:rsid w:val="00D60536"/>
    <w:rsid w:val="00D60742"/>
    <w:rsid w:val="00D614CD"/>
    <w:rsid w:val="00D6263E"/>
    <w:rsid w:val="00D73FBB"/>
    <w:rsid w:val="00D743E5"/>
    <w:rsid w:val="00D74E9D"/>
    <w:rsid w:val="00D74F78"/>
    <w:rsid w:val="00D7542C"/>
    <w:rsid w:val="00D75447"/>
    <w:rsid w:val="00D7562B"/>
    <w:rsid w:val="00D82DF1"/>
    <w:rsid w:val="00D93590"/>
    <w:rsid w:val="00D94957"/>
    <w:rsid w:val="00DA7789"/>
    <w:rsid w:val="00DB3E17"/>
    <w:rsid w:val="00DC0719"/>
    <w:rsid w:val="00DC2C48"/>
    <w:rsid w:val="00DC4D50"/>
    <w:rsid w:val="00DC5751"/>
    <w:rsid w:val="00DD079E"/>
    <w:rsid w:val="00DD5D50"/>
    <w:rsid w:val="00DD5FC2"/>
    <w:rsid w:val="00DD79B8"/>
    <w:rsid w:val="00DD7E0F"/>
    <w:rsid w:val="00DD7E9D"/>
    <w:rsid w:val="00DE1F9F"/>
    <w:rsid w:val="00DE33FF"/>
    <w:rsid w:val="00DE4F66"/>
    <w:rsid w:val="00DE7BAE"/>
    <w:rsid w:val="00DF0BDB"/>
    <w:rsid w:val="00DF71E9"/>
    <w:rsid w:val="00DF75F2"/>
    <w:rsid w:val="00E03086"/>
    <w:rsid w:val="00E04B48"/>
    <w:rsid w:val="00E115EE"/>
    <w:rsid w:val="00E1216B"/>
    <w:rsid w:val="00E146E0"/>
    <w:rsid w:val="00E21179"/>
    <w:rsid w:val="00E21D70"/>
    <w:rsid w:val="00E22C31"/>
    <w:rsid w:val="00E27F83"/>
    <w:rsid w:val="00E318E9"/>
    <w:rsid w:val="00E32816"/>
    <w:rsid w:val="00E34DBF"/>
    <w:rsid w:val="00E44DC2"/>
    <w:rsid w:val="00E467BD"/>
    <w:rsid w:val="00E46BD4"/>
    <w:rsid w:val="00E47CE7"/>
    <w:rsid w:val="00E53B7C"/>
    <w:rsid w:val="00E5577E"/>
    <w:rsid w:val="00E605F4"/>
    <w:rsid w:val="00E65461"/>
    <w:rsid w:val="00E73819"/>
    <w:rsid w:val="00E865B8"/>
    <w:rsid w:val="00E95781"/>
    <w:rsid w:val="00EB0EF7"/>
    <w:rsid w:val="00EB2014"/>
    <w:rsid w:val="00EB587D"/>
    <w:rsid w:val="00EC0566"/>
    <w:rsid w:val="00EC0BF7"/>
    <w:rsid w:val="00EC4417"/>
    <w:rsid w:val="00EC4811"/>
    <w:rsid w:val="00EC6506"/>
    <w:rsid w:val="00ED301F"/>
    <w:rsid w:val="00ED4F8A"/>
    <w:rsid w:val="00ED66EF"/>
    <w:rsid w:val="00EE3EC2"/>
    <w:rsid w:val="00EE5011"/>
    <w:rsid w:val="00EF0561"/>
    <w:rsid w:val="00EF0FD9"/>
    <w:rsid w:val="00EF32C4"/>
    <w:rsid w:val="00EF3A2D"/>
    <w:rsid w:val="00EF4D68"/>
    <w:rsid w:val="00EF4E41"/>
    <w:rsid w:val="00F01839"/>
    <w:rsid w:val="00F05301"/>
    <w:rsid w:val="00F15B4E"/>
    <w:rsid w:val="00F17DB7"/>
    <w:rsid w:val="00F220DF"/>
    <w:rsid w:val="00F2380C"/>
    <w:rsid w:val="00F3430D"/>
    <w:rsid w:val="00F52078"/>
    <w:rsid w:val="00F628BA"/>
    <w:rsid w:val="00F631BE"/>
    <w:rsid w:val="00F63513"/>
    <w:rsid w:val="00F6613C"/>
    <w:rsid w:val="00F71BD7"/>
    <w:rsid w:val="00F82E05"/>
    <w:rsid w:val="00F84634"/>
    <w:rsid w:val="00F84CF0"/>
    <w:rsid w:val="00F86318"/>
    <w:rsid w:val="00F87A13"/>
    <w:rsid w:val="00F90AFE"/>
    <w:rsid w:val="00F93957"/>
    <w:rsid w:val="00FA01EE"/>
    <w:rsid w:val="00FA020B"/>
    <w:rsid w:val="00FA176A"/>
    <w:rsid w:val="00FA540F"/>
    <w:rsid w:val="00FA68EA"/>
    <w:rsid w:val="00FB05EE"/>
    <w:rsid w:val="00FC0165"/>
    <w:rsid w:val="00FC665E"/>
    <w:rsid w:val="00FC7DFD"/>
    <w:rsid w:val="00FD3FF9"/>
    <w:rsid w:val="00FE437B"/>
    <w:rsid w:val="00FE44E5"/>
    <w:rsid w:val="00FF5AF0"/>
    <w:rsid w:val="00FF796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DF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1A8E"/>
    <w:rPr>
      <w:rFonts w:ascii="Times New Roman" w:hAnsi="Times New Roman"/>
      <w:sz w:val="24"/>
    </w:rPr>
  </w:style>
  <w:style w:type="paragraph" w:styleId="Titre1">
    <w:name w:val="heading 1"/>
    <w:basedOn w:val="Normal"/>
    <w:next w:val="Normal"/>
    <w:link w:val="Titre1Car"/>
    <w:uiPriority w:val="9"/>
    <w:qFormat/>
    <w:rsid w:val="001B7FBB"/>
    <w:pPr>
      <w:keepNext/>
      <w:keepLines/>
      <w:pBdr>
        <w:top w:val="single" w:sz="4" w:space="1" w:color="auto"/>
        <w:left w:val="single" w:sz="4" w:space="4" w:color="auto"/>
        <w:bottom w:val="single" w:sz="4" w:space="1" w:color="auto"/>
        <w:right w:val="single" w:sz="4" w:space="4" w:color="auto"/>
      </w:pBdr>
      <w:spacing w:before="240" w:after="0"/>
      <w:jc w:val="center"/>
      <w:outlineLvl w:val="0"/>
    </w:pPr>
    <w:rPr>
      <w:rFonts w:eastAsiaTheme="majorEastAsia" w:cstheme="majorBidi"/>
      <w:b/>
      <w:smallCaps/>
      <w:sz w:val="28"/>
      <w:szCs w:val="32"/>
    </w:rPr>
  </w:style>
  <w:style w:type="paragraph" w:styleId="Titre2">
    <w:name w:val="heading 2"/>
    <w:basedOn w:val="Normal"/>
    <w:next w:val="Normal"/>
    <w:link w:val="Titre2Car"/>
    <w:uiPriority w:val="9"/>
    <w:unhideWhenUsed/>
    <w:qFormat/>
    <w:rsid w:val="001B7FBB"/>
    <w:pPr>
      <w:keepNext/>
      <w:keepLines/>
      <w:spacing w:before="40" w:after="0"/>
      <w:jc w:val="both"/>
      <w:outlineLvl w:val="1"/>
    </w:pPr>
    <w:rPr>
      <w:rFonts w:eastAsiaTheme="majorEastAsia" w:cstheme="majorBidi"/>
      <w:b/>
      <w:smallCaps/>
      <w:sz w:val="26"/>
      <w:szCs w:val="26"/>
      <w:u w:val="single"/>
    </w:rPr>
  </w:style>
  <w:style w:type="paragraph" w:styleId="Titre3">
    <w:name w:val="heading 3"/>
    <w:basedOn w:val="Normal"/>
    <w:next w:val="Normal"/>
    <w:link w:val="Titre3Car"/>
    <w:uiPriority w:val="9"/>
    <w:unhideWhenUsed/>
    <w:qFormat/>
    <w:rsid w:val="00F71BD7"/>
    <w:pPr>
      <w:keepNext/>
      <w:keepLines/>
      <w:spacing w:before="40" w:after="0"/>
      <w:outlineLvl w:val="2"/>
    </w:pPr>
    <w:rPr>
      <w:rFonts w:eastAsiaTheme="majorEastAsia" w:cstheme="majorBidi"/>
      <w:szCs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34DBF"/>
    <w:pPr>
      <w:ind w:left="720"/>
      <w:contextualSpacing/>
    </w:pPr>
  </w:style>
  <w:style w:type="character" w:customStyle="1" w:styleId="Titre1Car">
    <w:name w:val="Titre 1 Car"/>
    <w:basedOn w:val="Policepardfaut"/>
    <w:link w:val="Titre1"/>
    <w:uiPriority w:val="9"/>
    <w:rsid w:val="001B7FBB"/>
    <w:rPr>
      <w:rFonts w:ascii="Times New Roman" w:eastAsiaTheme="majorEastAsia" w:hAnsi="Times New Roman" w:cstheme="majorBidi"/>
      <w:b/>
      <w:smallCaps/>
      <w:sz w:val="28"/>
      <w:szCs w:val="32"/>
    </w:rPr>
  </w:style>
  <w:style w:type="character" w:styleId="Lienhypertexte">
    <w:name w:val="Hyperlink"/>
    <w:basedOn w:val="Policepardfaut"/>
    <w:uiPriority w:val="99"/>
    <w:unhideWhenUsed/>
    <w:rsid w:val="00A41A8E"/>
    <w:rPr>
      <w:color w:val="0000FF"/>
      <w:u w:val="single"/>
    </w:rPr>
  </w:style>
  <w:style w:type="character" w:customStyle="1" w:styleId="Titre2Car">
    <w:name w:val="Titre 2 Car"/>
    <w:basedOn w:val="Policepardfaut"/>
    <w:link w:val="Titre2"/>
    <w:uiPriority w:val="9"/>
    <w:rsid w:val="001B7FBB"/>
    <w:rPr>
      <w:rFonts w:ascii="Times New Roman" w:eastAsiaTheme="majorEastAsia" w:hAnsi="Times New Roman" w:cstheme="majorBidi"/>
      <w:b/>
      <w:smallCaps/>
      <w:sz w:val="26"/>
      <w:szCs w:val="26"/>
      <w:u w:val="single"/>
    </w:rPr>
  </w:style>
  <w:style w:type="paragraph" w:styleId="Notedebasdepage">
    <w:name w:val="footnote text"/>
    <w:basedOn w:val="Normal"/>
    <w:link w:val="NotedebasdepageCar"/>
    <w:uiPriority w:val="99"/>
    <w:unhideWhenUsed/>
    <w:rsid w:val="005E3D36"/>
    <w:pPr>
      <w:spacing w:after="0" w:line="240" w:lineRule="auto"/>
    </w:pPr>
    <w:rPr>
      <w:sz w:val="20"/>
      <w:szCs w:val="20"/>
    </w:rPr>
  </w:style>
  <w:style w:type="character" w:customStyle="1" w:styleId="NotedebasdepageCar">
    <w:name w:val="Note de bas de page Car"/>
    <w:basedOn w:val="Policepardfaut"/>
    <w:link w:val="Notedebasdepage"/>
    <w:uiPriority w:val="99"/>
    <w:rsid w:val="005E3D36"/>
    <w:rPr>
      <w:rFonts w:ascii="Times New Roman" w:hAnsi="Times New Roman"/>
      <w:sz w:val="20"/>
      <w:szCs w:val="20"/>
    </w:rPr>
  </w:style>
  <w:style w:type="character" w:styleId="Appelnotedebasdep">
    <w:name w:val="footnote reference"/>
    <w:basedOn w:val="Policepardfaut"/>
    <w:uiPriority w:val="99"/>
    <w:semiHidden/>
    <w:unhideWhenUsed/>
    <w:rsid w:val="005E3D36"/>
    <w:rPr>
      <w:vertAlign w:val="superscript"/>
    </w:rPr>
  </w:style>
  <w:style w:type="paragraph" w:styleId="En-tte">
    <w:name w:val="header"/>
    <w:basedOn w:val="Normal"/>
    <w:link w:val="En-tteCar"/>
    <w:uiPriority w:val="99"/>
    <w:unhideWhenUsed/>
    <w:rsid w:val="00BC1799"/>
    <w:pPr>
      <w:tabs>
        <w:tab w:val="center" w:pos="4536"/>
        <w:tab w:val="right" w:pos="9072"/>
      </w:tabs>
      <w:spacing w:after="0" w:line="240" w:lineRule="auto"/>
    </w:pPr>
  </w:style>
  <w:style w:type="character" w:customStyle="1" w:styleId="En-tteCar">
    <w:name w:val="En-tête Car"/>
    <w:basedOn w:val="Policepardfaut"/>
    <w:link w:val="En-tte"/>
    <w:uiPriority w:val="99"/>
    <w:rsid w:val="00BC1799"/>
    <w:rPr>
      <w:rFonts w:ascii="Times New Roman" w:hAnsi="Times New Roman"/>
      <w:sz w:val="24"/>
    </w:rPr>
  </w:style>
  <w:style w:type="paragraph" w:styleId="Pieddepage">
    <w:name w:val="footer"/>
    <w:basedOn w:val="Normal"/>
    <w:link w:val="PieddepageCar"/>
    <w:uiPriority w:val="99"/>
    <w:unhideWhenUsed/>
    <w:rsid w:val="00BC179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C1799"/>
    <w:rPr>
      <w:rFonts w:ascii="Times New Roman" w:hAnsi="Times New Roman"/>
      <w:sz w:val="24"/>
    </w:rPr>
  </w:style>
  <w:style w:type="paragraph" w:styleId="NormalWeb">
    <w:name w:val="Normal (Web)"/>
    <w:basedOn w:val="Normal"/>
    <w:uiPriority w:val="99"/>
    <w:unhideWhenUsed/>
    <w:rsid w:val="00B71B05"/>
    <w:pPr>
      <w:spacing w:before="100" w:beforeAutospacing="1" w:after="100" w:afterAutospacing="1" w:line="240" w:lineRule="auto"/>
    </w:pPr>
    <w:rPr>
      <w:rFonts w:eastAsia="Times New Roman" w:cs="Times New Roman"/>
      <w:szCs w:val="24"/>
      <w:lang w:eastAsia="fr-BE"/>
    </w:rPr>
  </w:style>
  <w:style w:type="character" w:customStyle="1" w:styleId="Titre3Car">
    <w:name w:val="Titre 3 Car"/>
    <w:basedOn w:val="Policepardfaut"/>
    <w:link w:val="Titre3"/>
    <w:uiPriority w:val="9"/>
    <w:rsid w:val="00F71BD7"/>
    <w:rPr>
      <w:rFonts w:ascii="Times New Roman" w:eastAsiaTheme="majorEastAsia" w:hAnsi="Times New Roman" w:cstheme="majorBidi"/>
      <w:sz w:val="24"/>
      <w:szCs w:val="24"/>
      <w:u w:val="single"/>
    </w:rPr>
  </w:style>
  <w:style w:type="paragraph" w:styleId="Sansinterligne">
    <w:name w:val="No Spacing"/>
    <w:uiPriority w:val="1"/>
    <w:qFormat/>
    <w:rsid w:val="00FC7DFD"/>
    <w:pPr>
      <w:spacing w:after="0" w:line="240" w:lineRule="auto"/>
    </w:pPr>
  </w:style>
  <w:style w:type="character" w:styleId="Lienhypertextesuivivisit">
    <w:name w:val="FollowedHyperlink"/>
    <w:basedOn w:val="Policepardfaut"/>
    <w:uiPriority w:val="99"/>
    <w:semiHidden/>
    <w:unhideWhenUsed/>
    <w:rsid w:val="00733373"/>
    <w:rPr>
      <w:color w:val="954F72" w:themeColor="followedHyperlink"/>
      <w:u w:val="single"/>
    </w:rPr>
  </w:style>
  <w:style w:type="paragraph" w:customStyle="1" w:styleId="Default">
    <w:name w:val="Default"/>
    <w:rsid w:val="00E146E0"/>
    <w:pPr>
      <w:autoSpaceDE w:val="0"/>
      <w:autoSpaceDN w:val="0"/>
      <w:adjustRightInd w:val="0"/>
      <w:spacing w:after="0" w:line="240" w:lineRule="auto"/>
    </w:pPr>
    <w:rPr>
      <w:rFonts w:ascii="Times New Roman" w:hAnsi="Times New Roman" w:cs="Times New Roman"/>
      <w:color w:val="000000"/>
      <w:sz w:val="24"/>
      <w:szCs w:val="24"/>
    </w:rPr>
  </w:style>
  <w:style w:type="character" w:styleId="lev">
    <w:name w:val="Strong"/>
    <w:basedOn w:val="Policepardfaut"/>
    <w:uiPriority w:val="22"/>
    <w:qFormat/>
    <w:rsid w:val="00DF0BDB"/>
    <w:rPr>
      <w:b/>
      <w:bCs/>
    </w:rPr>
  </w:style>
  <w:style w:type="character" w:customStyle="1" w:styleId="s6b621b36">
    <w:name w:val="s6b621b36"/>
    <w:basedOn w:val="Policepardfaut"/>
    <w:rsid w:val="00764E2B"/>
  </w:style>
  <w:style w:type="character" w:customStyle="1" w:styleId="sf1c7242d">
    <w:name w:val="sf1c7242d"/>
    <w:basedOn w:val="Policepardfaut"/>
    <w:rsid w:val="00764E2B"/>
  </w:style>
  <w:style w:type="character" w:customStyle="1" w:styleId="apple-converted-space">
    <w:name w:val="apple-converted-space"/>
    <w:basedOn w:val="Policepardfaut"/>
    <w:rsid w:val="00D224C6"/>
  </w:style>
  <w:style w:type="character" w:styleId="Marquedecommentaire">
    <w:name w:val="annotation reference"/>
    <w:basedOn w:val="Policepardfaut"/>
    <w:uiPriority w:val="99"/>
    <w:semiHidden/>
    <w:unhideWhenUsed/>
    <w:rsid w:val="000D31EF"/>
    <w:rPr>
      <w:sz w:val="16"/>
      <w:szCs w:val="16"/>
    </w:rPr>
  </w:style>
  <w:style w:type="paragraph" w:styleId="Commentaire">
    <w:name w:val="annotation text"/>
    <w:basedOn w:val="Normal"/>
    <w:link w:val="CommentaireCar"/>
    <w:uiPriority w:val="99"/>
    <w:semiHidden/>
    <w:unhideWhenUsed/>
    <w:rsid w:val="000D31EF"/>
    <w:pPr>
      <w:spacing w:line="240" w:lineRule="auto"/>
    </w:pPr>
    <w:rPr>
      <w:sz w:val="20"/>
      <w:szCs w:val="20"/>
    </w:rPr>
  </w:style>
  <w:style w:type="character" w:customStyle="1" w:styleId="CommentaireCar">
    <w:name w:val="Commentaire Car"/>
    <w:basedOn w:val="Policepardfaut"/>
    <w:link w:val="Commentaire"/>
    <w:uiPriority w:val="99"/>
    <w:semiHidden/>
    <w:rsid w:val="000D31EF"/>
    <w:rPr>
      <w:rFonts w:ascii="Times New Roman" w:hAnsi="Times New Roman"/>
      <w:sz w:val="20"/>
      <w:szCs w:val="20"/>
    </w:rPr>
  </w:style>
  <w:style w:type="paragraph" w:styleId="Objetducommentaire">
    <w:name w:val="annotation subject"/>
    <w:basedOn w:val="Commentaire"/>
    <w:next w:val="Commentaire"/>
    <w:link w:val="ObjetducommentaireCar"/>
    <w:uiPriority w:val="99"/>
    <w:semiHidden/>
    <w:unhideWhenUsed/>
    <w:rsid w:val="000D31EF"/>
    <w:rPr>
      <w:b/>
      <w:bCs/>
    </w:rPr>
  </w:style>
  <w:style w:type="character" w:customStyle="1" w:styleId="ObjetducommentaireCar">
    <w:name w:val="Objet du commentaire Car"/>
    <w:basedOn w:val="CommentaireCar"/>
    <w:link w:val="Objetducommentaire"/>
    <w:uiPriority w:val="99"/>
    <w:semiHidden/>
    <w:rsid w:val="000D31EF"/>
    <w:rPr>
      <w:rFonts w:ascii="Times New Roman" w:hAnsi="Times New Roman"/>
      <w:b/>
      <w:bCs/>
      <w:sz w:val="20"/>
      <w:szCs w:val="20"/>
    </w:rPr>
  </w:style>
  <w:style w:type="paragraph" w:styleId="Textedebulles">
    <w:name w:val="Balloon Text"/>
    <w:basedOn w:val="Normal"/>
    <w:link w:val="TextedebullesCar"/>
    <w:uiPriority w:val="99"/>
    <w:semiHidden/>
    <w:unhideWhenUsed/>
    <w:rsid w:val="000D31E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D31EF"/>
    <w:rPr>
      <w:rFonts w:ascii="Segoe UI" w:hAnsi="Segoe UI" w:cs="Segoe UI"/>
      <w:sz w:val="18"/>
      <w:szCs w:val="18"/>
    </w:rPr>
  </w:style>
  <w:style w:type="paragraph" w:styleId="Rvision">
    <w:name w:val="Revision"/>
    <w:hidden/>
    <w:uiPriority w:val="99"/>
    <w:semiHidden/>
    <w:rsid w:val="00701823"/>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1910">
      <w:bodyDiv w:val="1"/>
      <w:marLeft w:val="0"/>
      <w:marRight w:val="0"/>
      <w:marTop w:val="0"/>
      <w:marBottom w:val="0"/>
      <w:divBdr>
        <w:top w:val="none" w:sz="0" w:space="0" w:color="auto"/>
        <w:left w:val="none" w:sz="0" w:space="0" w:color="auto"/>
        <w:bottom w:val="none" w:sz="0" w:space="0" w:color="auto"/>
        <w:right w:val="none" w:sz="0" w:space="0" w:color="auto"/>
      </w:divBdr>
    </w:div>
    <w:div w:id="73163996">
      <w:bodyDiv w:val="1"/>
      <w:marLeft w:val="0"/>
      <w:marRight w:val="0"/>
      <w:marTop w:val="0"/>
      <w:marBottom w:val="0"/>
      <w:divBdr>
        <w:top w:val="none" w:sz="0" w:space="0" w:color="auto"/>
        <w:left w:val="none" w:sz="0" w:space="0" w:color="auto"/>
        <w:bottom w:val="none" w:sz="0" w:space="0" w:color="auto"/>
        <w:right w:val="none" w:sz="0" w:space="0" w:color="auto"/>
      </w:divBdr>
    </w:div>
    <w:div w:id="163980764">
      <w:bodyDiv w:val="1"/>
      <w:marLeft w:val="0"/>
      <w:marRight w:val="0"/>
      <w:marTop w:val="0"/>
      <w:marBottom w:val="0"/>
      <w:divBdr>
        <w:top w:val="none" w:sz="0" w:space="0" w:color="auto"/>
        <w:left w:val="none" w:sz="0" w:space="0" w:color="auto"/>
        <w:bottom w:val="none" w:sz="0" w:space="0" w:color="auto"/>
        <w:right w:val="none" w:sz="0" w:space="0" w:color="auto"/>
      </w:divBdr>
    </w:div>
    <w:div w:id="205072542">
      <w:bodyDiv w:val="1"/>
      <w:marLeft w:val="0"/>
      <w:marRight w:val="0"/>
      <w:marTop w:val="0"/>
      <w:marBottom w:val="0"/>
      <w:divBdr>
        <w:top w:val="none" w:sz="0" w:space="0" w:color="auto"/>
        <w:left w:val="none" w:sz="0" w:space="0" w:color="auto"/>
        <w:bottom w:val="none" w:sz="0" w:space="0" w:color="auto"/>
        <w:right w:val="none" w:sz="0" w:space="0" w:color="auto"/>
      </w:divBdr>
    </w:div>
    <w:div w:id="351614970">
      <w:bodyDiv w:val="1"/>
      <w:marLeft w:val="0"/>
      <w:marRight w:val="0"/>
      <w:marTop w:val="0"/>
      <w:marBottom w:val="0"/>
      <w:divBdr>
        <w:top w:val="none" w:sz="0" w:space="0" w:color="auto"/>
        <w:left w:val="none" w:sz="0" w:space="0" w:color="auto"/>
        <w:bottom w:val="none" w:sz="0" w:space="0" w:color="auto"/>
        <w:right w:val="none" w:sz="0" w:space="0" w:color="auto"/>
      </w:divBdr>
    </w:div>
    <w:div w:id="436943664">
      <w:bodyDiv w:val="1"/>
      <w:marLeft w:val="0"/>
      <w:marRight w:val="0"/>
      <w:marTop w:val="0"/>
      <w:marBottom w:val="0"/>
      <w:divBdr>
        <w:top w:val="none" w:sz="0" w:space="0" w:color="auto"/>
        <w:left w:val="none" w:sz="0" w:space="0" w:color="auto"/>
        <w:bottom w:val="none" w:sz="0" w:space="0" w:color="auto"/>
        <w:right w:val="none" w:sz="0" w:space="0" w:color="auto"/>
      </w:divBdr>
    </w:div>
    <w:div w:id="598802720">
      <w:bodyDiv w:val="1"/>
      <w:marLeft w:val="0"/>
      <w:marRight w:val="0"/>
      <w:marTop w:val="0"/>
      <w:marBottom w:val="0"/>
      <w:divBdr>
        <w:top w:val="none" w:sz="0" w:space="0" w:color="auto"/>
        <w:left w:val="none" w:sz="0" w:space="0" w:color="auto"/>
        <w:bottom w:val="none" w:sz="0" w:space="0" w:color="auto"/>
        <w:right w:val="none" w:sz="0" w:space="0" w:color="auto"/>
      </w:divBdr>
    </w:div>
    <w:div w:id="637153737">
      <w:bodyDiv w:val="1"/>
      <w:marLeft w:val="0"/>
      <w:marRight w:val="0"/>
      <w:marTop w:val="0"/>
      <w:marBottom w:val="0"/>
      <w:divBdr>
        <w:top w:val="none" w:sz="0" w:space="0" w:color="auto"/>
        <w:left w:val="none" w:sz="0" w:space="0" w:color="auto"/>
        <w:bottom w:val="none" w:sz="0" w:space="0" w:color="auto"/>
        <w:right w:val="none" w:sz="0" w:space="0" w:color="auto"/>
      </w:divBdr>
    </w:div>
    <w:div w:id="830683658">
      <w:bodyDiv w:val="1"/>
      <w:marLeft w:val="0"/>
      <w:marRight w:val="0"/>
      <w:marTop w:val="0"/>
      <w:marBottom w:val="0"/>
      <w:divBdr>
        <w:top w:val="none" w:sz="0" w:space="0" w:color="auto"/>
        <w:left w:val="none" w:sz="0" w:space="0" w:color="auto"/>
        <w:bottom w:val="none" w:sz="0" w:space="0" w:color="auto"/>
        <w:right w:val="none" w:sz="0" w:space="0" w:color="auto"/>
      </w:divBdr>
    </w:div>
    <w:div w:id="980814078">
      <w:bodyDiv w:val="1"/>
      <w:marLeft w:val="0"/>
      <w:marRight w:val="0"/>
      <w:marTop w:val="0"/>
      <w:marBottom w:val="0"/>
      <w:divBdr>
        <w:top w:val="none" w:sz="0" w:space="0" w:color="auto"/>
        <w:left w:val="none" w:sz="0" w:space="0" w:color="auto"/>
        <w:bottom w:val="none" w:sz="0" w:space="0" w:color="auto"/>
        <w:right w:val="none" w:sz="0" w:space="0" w:color="auto"/>
      </w:divBdr>
    </w:div>
    <w:div w:id="1112357631">
      <w:bodyDiv w:val="1"/>
      <w:marLeft w:val="0"/>
      <w:marRight w:val="0"/>
      <w:marTop w:val="0"/>
      <w:marBottom w:val="0"/>
      <w:divBdr>
        <w:top w:val="none" w:sz="0" w:space="0" w:color="auto"/>
        <w:left w:val="none" w:sz="0" w:space="0" w:color="auto"/>
        <w:bottom w:val="none" w:sz="0" w:space="0" w:color="auto"/>
        <w:right w:val="none" w:sz="0" w:space="0" w:color="auto"/>
      </w:divBdr>
    </w:div>
    <w:div w:id="1268196588">
      <w:bodyDiv w:val="1"/>
      <w:marLeft w:val="0"/>
      <w:marRight w:val="0"/>
      <w:marTop w:val="0"/>
      <w:marBottom w:val="0"/>
      <w:divBdr>
        <w:top w:val="none" w:sz="0" w:space="0" w:color="auto"/>
        <w:left w:val="none" w:sz="0" w:space="0" w:color="auto"/>
        <w:bottom w:val="none" w:sz="0" w:space="0" w:color="auto"/>
        <w:right w:val="none" w:sz="0" w:space="0" w:color="auto"/>
      </w:divBdr>
    </w:div>
    <w:div w:id="1380007949">
      <w:bodyDiv w:val="1"/>
      <w:marLeft w:val="0"/>
      <w:marRight w:val="0"/>
      <w:marTop w:val="0"/>
      <w:marBottom w:val="0"/>
      <w:divBdr>
        <w:top w:val="none" w:sz="0" w:space="0" w:color="auto"/>
        <w:left w:val="none" w:sz="0" w:space="0" w:color="auto"/>
        <w:bottom w:val="none" w:sz="0" w:space="0" w:color="auto"/>
        <w:right w:val="none" w:sz="0" w:space="0" w:color="auto"/>
      </w:divBdr>
    </w:div>
    <w:div w:id="1854373849">
      <w:bodyDiv w:val="1"/>
      <w:marLeft w:val="0"/>
      <w:marRight w:val="0"/>
      <w:marTop w:val="0"/>
      <w:marBottom w:val="0"/>
      <w:divBdr>
        <w:top w:val="none" w:sz="0" w:space="0" w:color="auto"/>
        <w:left w:val="none" w:sz="0" w:space="0" w:color="auto"/>
        <w:bottom w:val="none" w:sz="0" w:space="0" w:color="auto"/>
        <w:right w:val="none" w:sz="0" w:space="0" w:color="auto"/>
      </w:divBdr>
      <w:divsChild>
        <w:div w:id="1657758253">
          <w:marLeft w:val="0"/>
          <w:marRight w:val="0"/>
          <w:marTop w:val="0"/>
          <w:marBottom w:val="450"/>
          <w:divBdr>
            <w:top w:val="none" w:sz="0" w:space="0" w:color="auto"/>
            <w:left w:val="none" w:sz="0" w:space="0" w:color="auto"/>
            <w:bottom w:val="none" w:sz="0" w:space="0" w:color="auto"/>
            <w:right w:val="none" w:sz="0" w:space="0" w:color="auto"/>
          </w:divBdr>
        </w:div>
        <w:div w:id="1011222311">
          <w:marLeft w:val="0"/>
          <w:marRight w:val="0"/>
          <w:marTop w:val="525"/>
          <w:marBottom w:val="525"/>
          <w:divBdr>
            <w:top w:val="none" w:sz="0" w:space="0" w:color="auto"/>
            <w:left w:val="none" w:sz="0" w:space="0" w:color="auto"/>
            <w:bottom w:val="none" w:sz="0" w:space="0" w:color="auto"/>
            <w:right w:val="none" w:sz="0" w:space="0" w:color="auto"/>
          </w:divBdr>
          <w:divsChild>
            <w:div w:id="2046639807">
              <w:marLeft w:val="0"/>
              <w:marRight w:val="0"/>
              <w:marTop w:val="0"/>
              <w:marBottom w:val="150"/>
              <w:divBdr>
                <w:top w:val="none" w:sz="0" w:space="0" w:color="auto"/>
                <w:left w:val="none" w:sz="0" w:space="0" w:color="auto"/>
                <w:bottom w:val="none" w:sz="0" w:space="0" w:color="auto"/>
                <w:right w:val="none" w:sz="0" w:space="0" w:color="auto"/>
              </w:divBdr>
            </w:div>
            <w:div w:id="92923566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99446355">
      <w:bodyDiv w:val="1"/>
      <w:marLeft w:val="0"/>
      <w:marRight w:val="0"/>
      <w:marTop w:val="0"/>
      <w:marBottom w:val="0"/>
      <w:divBdr>
        <w:top w:val="none" w:sz="0" w:space="0" w:color="auto"/>
        <w:left w:val="none" w:sz="0" w:space="0" w:color="auto"/>
        <w:bottom w:val="none" w:sz="0" w:space="0" w:color="auto"/>
        <w:right w:val="none" w:sz="0" w:space="0" w:color="auto"/>
      </w:divBdr>
    </w:div>
    <w:div w:id="2134903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senat.fr/rap/l15-712-1/l15-712-11.pdf" TargetMode="External"/><Relationship Id="rId13" Type="http://schemas.openxmlformats.org/officeDocument/2006/relationships/hyperlink" Target="http://www.assemblee-nationale.fr/14/pdf/cri/2015-2016-extra2/20162003.pdf" TargetMode="External"/><Relationship Id="rId18" Type="http://schemas.openxmlformats.org/officeDocument/2006/relationships/hyperlink" Target="http://www.europarl.europa.eu/oeil/popups/ficheprocedure.do?lang=fr&amp;reference=2016/2241(INI)" TargetMode="External"/><Relationship Id="rId26" Type="http://schemas.openxmlformats.org/officeDocument/2006/relationships/hyperlink" Target="http://www.conseil-constitutionnel.fr/decision/2016/2016741DC.htm" TargetMode="External"/><Relationship Id="rId39" Type="http://schemas.openxmlformats.org/officeDocument/2006/relationships/hyperlink" Target="http://www.assemblee-nationale.fr/14/amendements/3785/AN/1568.pdf" TargetMode="External"/><Relationship Id="rId3" Type="http://schemas.openxmlformats.org/officeDocument/2006/relationships/hyperlink" Target="http://www.assemblee-nationale.fr/14/amendements/3785/AN/1405.pdf" TargetMode="External"/><Relationship Id="rId21" Type="http://schemas.openxmlformats.org/officeDocument/2006/relationships/hyperlink" Target="http://www.assemblee-nationale.fr/14/pdf/ta/ta0755.pdf" TargetMode="External"/><Relationship Id="rId34" Type="http://schemas.openxmlformats.org/officeDocument/2006/relationships/hyperlink" Target="http://www.legifrance.gouv.fr/affichTexte.do?cidTexte=JORFTEXT000033558796" TargetMode="External"/><Relationship Id="rId42" Type="http://schemas.openxmlformats.org/officeDocument/2006/relationships/hyperlink" Target="https://www.legifrance.gouv.fr/affichCodeArticle.do?cidTexte=LEGITEXT000006072026&amp;idArticle=LEGIARTI000006646457&amp;dateTexte=&amp;categorieLien=cid" TargetMode="External"/><Relationship Id="rId47" Type="http://schemas.openxmlformats.org/officeDocument/2006/relationships/hyperlink" Target="http://www.lachambre.be/FLWB/PDF/54/1057/54K1057001.pdf" TargetMode="External"/><Relationship Id="rId7" Type="http://schemas.openxmlformats.org/officeDocument/2006/relationships/hyperlink" Target="http://www.conseil-constitutionnel.fr/les-decisions/decision-n-2016-741-dc-du-8-decembre-2016-observations-du-gouvernement" TargetMode="External"/><Relationship Id="rId12" Type="http://schemas.openxmlformats.org/officeDocument/2006/relationships/hyperlink" Target="http://www.assemblee-nationale.fr/14/pdf/cri/2015-2016/20160214.pdf" TargetMode="External"/><Relationship Id="rId17" Type="http://schemas.openxmlformats.org/officeDocument/2006/relationships/hyperlink" Target="https://documents-dds-ny.un.org/doc/UNDOC/GEN/G16/160/66/PDF/G1616066.pdf?OpenElement" TargetMode="External"/><Relationship Id="rId25" Type="http://schemas.openxmlformats.org/officeDocument/2006/relationships/hyperlink" Target="http://www.senat.fr/amendements/2015-2016/713/Amdt_677.html" TargetMode="External"/><Relationship Id="rId33" Type="http://schemas.openxmlformats.org/officeDocument/2006/relationships/hyperlink" Target="http://www.assemblee-nationale.fr/14/pdf/cr-cloi/15-16/c1516087.pdf" TargetMode="External"/><Relationship Id="rId38" Type="http://schemas.openxmlformats.org/officeDocument/2006/relationships/hyperlink" Target="http://www.assemblee-nationale.fr/14/pdf/projets/pl3623.pdf" TargetMode="External"/><Relationship Id="rId46" Type="http://schemas.openxmlformats.org/officeDocument/2006/relationships/hyperlink" Target="https://hudoc.echr.coe.int/eng" TargetMode="External"/><Relationship Id="rId2" Type="http://schemas.openxmlformats.org/officeDocument/2006/relationships/hyperlink" Target="https://www.u-paris2.fr/fr/revue-de-droit-international-dassas-rdia" TargetMode="External"/><Relationship Id="rId16" Type="http://schemas.openxmlformats.org/officeDocument/2006/relationships/hyperlink" Target="http://www.undocs.org/fr/A/HRC/RES/27/30" TargetMode="External"/><Relationship Id="rId20" Type="http://schemas.openxmlformats.org/officeDocument/2006/relationships/hyperlink" Target="http://www.assemblee-nationale.fr/14/pdf/ta-commission/r3785-a0.pdf" TargetMode="External"/><Relationship Id="rId29" Type="http://schemas.openxmlformats.org/officeDocument/2006/relationships/hyperlink" Target="http://www.assemblee-nationale.fr/14/pdf/rapports/r4045.pdf" TargetMode="External"/><Relationship Id="rId41" Type="http://schemas.openxmlformats.org/officeDocument/2006/relationships/hyperlink" Target="https://www.legifrance.gouv.fr/affichCodeArticle.do?cidTexte=LEGITEXT000005634379&amp;idArticle=LEGIARTI000006228397&amp;dateTexte=&amp;categorieLien=cid" TargetMode="External"/><Relationship Id="rId1" Type="http://schemas.openxmlformats.org/officeDocument/2006/relationships/hyperlink" Target="http://www.assemblee-nationale.fr/14/pdf/rapports/r4045.pdf" TargetMode="External"/><Relationship Id="rId6" Type="http://schemas.openxmlformats.org/officeDocument/2006/relationships/hyperlink" Target="http://www.senat.fr/seances/s201607/s20160707/s20160707.pdf" TargetMode="External"/><Relationship Id="rId11" Type="http://schemas.openxmlformats.org/officeDocument/2006/relationships/hyperlink" Target="http://www.assemblee-nationale.fr/14/pdf/rapports/r4032.pdf" TargetMode="External"/><Relationship Id="rId24" Type="http://schemas.openxmlformats.org/officeDocument/2006/relationships/hyperlink" Target="http://www.senat.fr/rap/l16-079-1/l16-079-11.pdf" TargetMode="External"/><Relationship Id="rId32" Type="http://schemas.openxmlformats.org/officeDocument/2006/relationships/hyperlink" Target="http://www.senat.fr/amendements/commissions/2015-2016/691/Amdt_COM-231.html" TargetMode="External"/><Relationship Id="rId37" Type="http://schemas.openxmlformats.org/officeDocument/2006/relationships/hyperlink" Target="http://www.senat.fr/amendements/2015-2016/713/Amdt_632.html" TargetMode="External"/><Relationship Id="rId40" Type="http://schemas.openxmlformats.org/officeDocument/2006/relationships/hyperlink" Target="https://www.legifrance.gouv.fr/affichCodeArticle.do?cidTexte=LEGITEXT000006070721&amp;idArticle=LEGIARTI000006438352&amp;dateTexte=&amp;categorieLien=cid" TargetMode="External"/><Relationship Id="rId45" Type="http://schemas.openxmlformats.org/officeDocument/2006/relationships/hyperlink" Target="http://www.conseil-etat.fr/content/download/58180/518185/version/1/file/Avis_391262.pdf" TargetMode="External"/><Relationship Id="rId5" Type="http://schemas.openxmlformats.org/officeDocument/2006/relationships/hyperlink" Target="http://www.lachambre.be/FLWB/PDF/54/1057/54K1057003.pdf" TargetMode="External"/><Relationship Id="rId15" Type="http://schemas.openxmlformats.org/officeDocument/2006/relationships/hyperlink" Target="http://www.senat.fr/seances/s201607/s20160704/s20160704.pdf" TargetMode="External"/><Relationship Id="rId23" Type="http://schemas.openxmlformats.org/officeDocument/2006/relationships/hyperlink" Target="http://www.senat.fr/amendements/commissions/2015-2016/691/Amdt_COM-232.html" TargetMode="External"/><Relationship Id="rId28" Type="http://schemas.openxmlformats.org/officeDocument/2006/relationships/hyperlink" Target="http://www.assemblee-nationale.fr/14/pdf/rapports/r3785-tI.pdf" TargetMode="External"/><Relationship Id="rId36" Type="http://schemas.openxmlformats.org/officeDocument/2006/relationships/hyperlink" Target="http://www.senat.fr/amendements/commissions/2015-2016/866/Amdt_COM-57.html" TargetMode="External"/><Relationship Id="rId10" Type="http://schemas.openxmlformats.org/officeDocument/2006/relationships/hyperlink" Target="http://www.assemblee-nationale.fr/14/pdf/cri/2015-2016/20160203.pdf" TargetMode="External"/><Relationship Id="rId19" Type="http://schemas.openxmlformats.org/officeDocument/2006/relationships/hyperlink" Target="http://www.europarl.europa.eu/sides/getDoc.do?pubRef=-//EP//NONSGML+TA+P8-TA-2018-0104+0+DOC+PDF+V0//FR" TargetMode="External"/><Relationship Id="rId31" Type="http://schemas.openxmlformats.org/officeDocument/2006/relationships/hyperlink" Target="http://www.assemblee-nationale.fr/14/amendements/3785/AN/1499.pdf" TargetMode="External"/><Relationship Id="rId44" Type="http://schemas.openxmlformats.org/officeDocument/2006/relationships/hyperlink" Target="http://www.assemblee-nationale.fr/14/amendements/3785/AN/1567.pdf" TargetMode="External"/><Relationship Id="rId4" Type="http://schemas.openxmlformats.org/officeDocument/2006/relationships/hyperlink" Target="http://www.senat.fr/amendements/2015-2016/713/Amdt_634.html" TargetMode="External"/><Relationship Id="rId9" Type="http://schemas.openxmlformats.org/officeDocument/2006/relationships/hyperlink" Target="http://www.assemblee-nationale.fr/14/pdf/cr-cloi/15-16/c1516083.pdf" TargetMode="External"/><Relationship Id="rId14" Type="http://schemas.openxmlformats.org/officeDocument/2006/relationships/hyperlink" Target="http://www.assemblee-nationale.fr/14/pdf/cri/2015-2016/20160211.pdf" TargetMode="External"/><Relationship Id="rId22" Type="http://schemas.openxmlformats.org/officeDocument/2006/relationships/hyperlink" Target="http://www.senat.fr/leg/pjl15-713.pdf" TargetMode="External"/><Relationship Id="rId27" Type="http://schemas.openxmlformats.org/officeDocument/2006/relationships/hyperlink" Target="http://www.assemblee-nationale.fr/14/pdf/projets/pl3623-ei.pdf" TargetMode="External"/><Relationship Id="rId30" Type="http://schemas.openxmlformats.org/officeDocument/2006/relationships/hyperlink" Target="http://www.assemblee-nationale.fr/14/amendements/3785/AN/1566.pdf" TargetMode="External"/><Relationship Id="rId35" Type="http://schemas.openxmlformats.org/officeDocument/2006/relationships/hyperlink" Target="http://www.senat.fr/amendements/commissions/2015-2016/866/Amdt_COM-56.html" TargetMode="External"/><Relationship Id="rId43" Type="http://schemas.openxmlformats.org/officeDocument/2006/relationships/hyperlink" Target="http://www.oecd.org/fr/cad/financementpourledeveloppementdurable/normes-financement-developpement/DAC_List_ODA_Recipients2018to2020_flows_F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63138-3277-4CB2-B0FB-ED03F241F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10111</Words>
  <Characters>55615</Characters>
  <Application>Microsoft Office Word</Application>
  <DocSecurity>0</DocSecurity>
  <Lines>463</Lines>
  <Paragraphs>131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LinksUpToDate>false</LinksUpToDate>
  <CharactersWithSpaces>65595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2018-12-27T11:25:00Z</dcterms:created>
  <dcterms:modified xsi:type="dcterms:W3CDTF">2018-12-27T17:52:00Z</dcterms:modified>
</cp:coreProperties>
</file>