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4CB1CF" w14:textId="1005CB5D" w:rsidR="00F956D1" w:rsidRPr="00F956D1" w:rsidRDefault="00F956D1" w:rsidP="00F956D1">
      <w:pPr>
        <w:jc w:val="center"/>
        <w:rPr>
          <w:rFonts w:eastAsia="Times New Roman" w:cs="Times New Roman"/>
          <w:b/>
          <w:bCs/>
          <w:sz w:val="26"/>
          <w:szCs w:val="26"/>
        </w:rPr>
      </w:pPr>
      <w:r w:rsidRPr="00F956D1">
        <w:rPr>
          <w:rFonts w:eastAsia="Times New Roman" w:cs="Times New Roman"/>
          <w:b/>
          <w:bCs/>
          <w:sz w:val="26"/>
          <w:szCs w:val="26"/>
        </w:rPr>
        <w:t>La durée du bail commercial : droit impératif et législations récentes</w:t>
      </w:r>
    </w:p>
    <w:p w14:paraId="04B5759A" w14:textId="67882B7D" w:rsidR="00F956D1" w:rsidRPr="00F956D1" w:rsidRDefault="00F956D1" w:rsidP="00F956D1">
      <w:pPr>
        <w:rPr>
          <w:rFonts w:eastAsia="Times New Roman" w:cs="Times New Roman"/>
        </w:rPr>
      </w:pPr>
    </w:p>
    <w:p w14:paraId="6DF94375" w14:textId="16177CE7" w:rsidR="00F956D1" w:rsidRPr="00F956D1" w:rsidRDefault="00F956D1" w:rsidP="00F956D1">
      <w:pPr>
        <w:spacing w:after="0"/>
        <w:rPr>
          <w:rFonts w:eastAsia="Times New Roman" w:cs="Times New Roman"/>
        </w:rPr>
      </w:pPr>
      <w:r w:rsidRPr="00F956D1">
        <w:rPr>
          <w:rFonts w:eastAsia="Times New Roman" w:cs="Times New Roman"/>
        </w:rPr>
        <w:t>Michel Vlies, avocat et ancie</w:t>
      </w:r>
      <w:r>
        <w:rPr>
          <w:rFonts w:eastAsia="Times New Roman" w:cs="Times New Roman"/>
        </w:rPr>
        <w:t>n</w:t>
      </w:r>
      <w:r w:rsidRPr="00F956D1">
        <w:rPr>
          <w:rFonts w:eastAsia="Times New Roman" w:cs="Times New Roman"/>
        </w:rPr>
        <w:t xml:space="preserve"> bâtonnier de l’Ordre français du barreau de Bruxelles</w:t>
      </w:r>
    </w:p>
    <w:p w14:paraId="60B357BD" w14:textId="42FDF02B" w:rsidR="00F956D1" w:rsidRPr="00F956D1" w:rsidRDefault="00F956D1" w:rsidP="00F956D1">
      <w:pPr>
        <w:spacing w:after="0"/>
        <w:rPr>
          <w:rFonts w:eastAsia="Times New Roman" w:cs="Times New Roman"/>
        </w:rPr>
      </w:pPr>
      <w:r w:rsidRPr="00F956D1">
        <w:rPr>
          <w:rFonts w:eastAsia="Times New Roman" w:cs="Times New Roman"/>
        </w:rPr>
        <w:t>Yannick Ninane, maître de conférence</w:t>
      </w:r>
      <w:r>
        <w:rPr>
          <w:rFonts w:eastAsia="Times New Roman" w:cs="Times New Roman"/>
        </w:rPr>
        <w:t>s</w:t>
      </w:r>
      <w:r w:rsidRPr="00F956D1">
        <w:rPr>
          <w:rFonts w:eastAsia="Times New Roman" w:cs="Times New Roman"/>
        </w:rPr>
        <w:t xml:space="preserve"> invité à l’Université Saint-Louis – Bruxelles et avocat</w:t>
      </w:r>
    </w:p>
    <w:p w14:paraId="3BB6C673" w14:textId="2FEBD636" w:rsidR="00F956D1" w:rsidRDefault="00F956D1" w:rsidP="00F956D1">
      <w:pPr>
        <w:rPr>
          <w:rFonts w:eastAsia="Times New Roman" w:cs="Times New Roman"/>
          <w:u w:val="single"/>
        </w:rPr>
      </w:pPr>
    </w:p>
    <w:p w14:paraId="23780FA4" w14:textId="77777777" w:rsidR="0038145C" w:rsidRDefault="00F956D1" w:rsidP="00F956D1">
      <w:pPr>
        <w:pStyle w:val="Paragraphedeliste"/>
        <w:numPr>
          <w:ilvl w:val="0"/>
          <w:numId w:val="13"/>
        </w:numPr>
        <w:ind w:left="426" w:hanging="426"/>
        <w:jc w:val="both"/>
        <w:rPr>
          <w:rFonts w:eastAsia="Times New Roman" w:cs="Times New Roman"/>
        </w:rPr>
      </w:pPr>
      <w:r w:rsidRPr="0038145C">
        <w:rPr>
          <w:rFonts w:eastAsia="Times New Roman" w:cs="Times New Roman"/>
        </w:rPr>
        <w:t xml:space="preserve">La loi sur les baux commerciaux du 30 avril 1951 n’a </w:t>
      </w:r>
      <w:r w:rsidR="002E701C" w:rsidRPr="0038145C">
        <w:rPr>
          <w:rFonts w:eastAsia="Times New Roman" w:cs="Times New Roman"/>
        </w:rPr>
        <w:t>pas connu de modification depuis la loi du 29 juin 1955 jusqu’à la régionalisation de la matière par la sixième réforme de l’Etat</w:t>
      </w:r>
      <w:r w:rsidR="002E701C">
        <w:rPr>
          <w:rStyle w:val="Appelnotedebasdep"/>
          <w:rFonts w:eastAsia="Times New Roman" w:cs="Times New Roman"/>
        </w:rPr>
        <w:footnoteReference w:id="1"/>
      </w:r>
      <w:r w:rsidR="002E701C" w:rsidRPr="0038145C">
        <w:rPr>
          <w:rFonts w:eastAsia="Times New Roman" w:cs="Times New Roman"/>
        </w:rPr>
        <w:t xml:space="preserve">. </w:t>
      </w:r>
      <w:r w:rsidR="00663D87" w:rsidRPr="0038145C">
        <w:rPr>
          <w:rFonts w:eastAsia="Times New Roman" w:cs="Times New Roman"/>
        </w:rPr>
        <w:t xml:space="preserve">Depuis lors, deux modifications importantes, influant toutes deux sur la durée des conventions pouvant être conclues entre un propriétaire immobilier et un exploitant commercial, sont intervenues. </w:t>
      </w:r>
    </w:p>
    <w:p w14:paraId="30155EC1" w14:textId="77777777" w:rsidR="0038145C" w:rsidRDefault="0038145C" w:rsidP="0038145C">
      <w:pPr>
        <w:pStyle w:val="Paragraphedeliste"/>
        <w:ind w:left="426"/>
        <w:jc w:val="both"/>
        <w:rPr>
          <w:rFonts w:eastAsia="Times New Roman" w:cs="Times New Roman"/>
        </w:rPr>
      </w:pPr>
    </w:p>
    <w:p w14:paraId="2BB74A4F" w14:textId="77777777" w:rsidR="0038145C" w:rsidRDefault="002E701C" w:rsidP="00F956D1">
      <w:pPr>
        <w:pStyle w:val="Paragraphedeliste"/>
        <w:numPr>
          <w:ilvl w:val="0"/>
          <w:numId w:val="13"/>
        </w:numPr>
        <w:ind w:left="426" w:hanging="426"/>
        <w:jc w:val="both"/>
        <w:rPr>
          <w:rFonts w:eastAsia="Times New Roman" w:cs="Times New Roman"/>
        </w:rPr>
      </w:pPr>
      <w:r w:rsidRPr="0038145C">
        <w:rPr>
          <w:rFonts w:eastAsia="Times New Roman" w:cs="Times New Roman"/>
        </w:rPr>
        <w:t xml:space="preserve">Se saisissant de </w:t>
      </w:r>
      <w:r w:rsidR="00663D87" w:rsidRPr="0038145C">
        <w:rPr>
          <w:rFonts w:eastAsia="Times New Roman" w:cs="Times New Roman"/>
        </w:rPr>
        <w:t>leur</w:t>
      </w:r>
      <w:r w:rsidRPr="0038145C">
        <w:rPr>
          <w:rFonts w:eastAsia="Times New Roman" w:cs="Times New Roman"/>
        </w:rPr>
        <w:t xml:space="preserve"> nouvelle compétence</w:t>
      </w:r>
      <w:r w:rsidR="00663D87" w:rsidRPr="0038145C">
        <w:rPr>
          <w:rFonts w:eastAsia="Times New Roman" w:cs="Times New Roman"/>
        </w:rPr>
        <w:t xml:space="preserve"> relative aux « règles spécifiques concernant le bail commercial »</w:t>
      </w:r>
      <w:r w:rsidR="00663D87">
        <w:rPr>
          <w:rStyle w:val="Appelnotedebasdep"/>
          <w:rFonts w:eastAsia="Times New Roman" w:cs="Times New Roman"/>
        </w:rPr>
        <w:footnoteReference w:id="2"/>
      </w:r>
      <w:r w:rsidRPr="0038145C">
        <w:rPr>
          <w:rFonts w:eastAsia="Times New Roman" w:cs="Times New Roman"/>
        </w:rPr>
        <w:t xml:space="preserve">, les trois législateurs régionaux ont établi un nouveau régime applicable aux baux </w:t>
      </w:r>
      <w:r w:rsidR="00663D87" w:rsidRPr="0038145C">
        <w:rPr>
          <w:rFonts w:eastAsia="Times New Roman" w:cs="Times New Roman"/>
        </w:rPr>
        <w:t xml:space="preserve">commerciaux </w:t>
      </w:r>
      <w:r w:rsidRPr="0038145C">
        <w:rPr>
          <w:rFonts w:eastAsia="Times New Roman" w:cs="Times New Roman"/>
        </w:rPr>
        <w:t xml:space="preserve">de courte durée. </w:t>
      </w:r>
      <w:r w:rsidR="00663D87" w:rsidRPr="0038145C">
        <w:rPr>
          <w:rFonts w:eastAsia="Times New Roman" w:cs="Times New Roman"/>
        </w:rPr>
        <w:t>Nous effectuerons une analyse comparative des trois règlementations régionales en la matière dans la première section de la présente contribution.</w:t>
      </w:r>
    </w:p>
    <w:p w14:paraId="31AA8F2B" w14:textId="77777777" w:rsidR="0038145C" w:rsidRPr="0038145C" w:rsidRDefault="0038145C" w:rsidP="0038145C">
      <w:pPr>
        <w:pStyle w:val="Paragraphedeliste"/>
        <w:rPr>
          <w:rFonts w:eastAsia="Times New Roman" w:cs="Times New Roman"/>
        </w:rPr>
      </w:pPr>
    </w:p>
    <w:p w14:paraId="579E456F" w14:textId="22297697" w:rsidR="00663D87" w:rsidRPr="0038145C" w:rsidRDefault="00663D87" w:rsidP="00F956D1">
      <w:pPr>
        <w:pStyle w:val="Paragraphedeliste"/>
        <w:numPr>
          <w:ilvl w:val="0"/>
          <w:numId w:val="13"/>
        </w:numPr>
        <w:ind w:left="426" w:hanging="426"/>
        <w:jc w:val="both"/>
        <w:rPr>
          <w:rFonts w:eastAsia="Times New Roman" w:cs="Times New Roman"/>
        </w:rPr>
      </w:pPr>
      <w:r w:rsidRPr="0038145C">
        <w:rPr>
          <w:rFonts w:eastAsia="Times New Roman" w:cs="Times New Roman"/>
        </w:rPr>
        <w:t>Plus récemment encore, le législateur fédéral a adopté un nouveau Code civil</w:t>
      </w:r>
      <w:r w:rsidR="0038145C">
        <w:rPr>
          <w:rStyle w:val="Appelnotedebasdep"/>
          <w:rFonts w:eastAsia="Times New Roman" w:cs="Times New Roman"/>
        </w:rPr>
        <w:footnoteReference w:id="3"/>
      </w:r>
      <w:r w:rsidRPr="0038145C">
        <w:rPr>
          <w:rFonts w:eastAsia="Times New Roman" w:cs="Times New Roman"/>
        </w:rPr>
        <w:t>, dans lequel il a inséré un livre 3 réformant la matière du droit des biens</w:t>
      </w:r>
      <w:r w:rsidR="0038145C">
        <w:rPr>
          <w:rStyle w:val="Appelnotedebasdep"/>
          <w:rFonts w:eastAsia="Times New Roman" w:cs="Times New Roman"/>
        </w:rPr>
        <w:footnoteReference w:id="4"/>
      </w:r>
      <w:r w:rsidRPr="0038145C">
        <w:rPr>
          <w:rFonts w:eastAsia="Times New Roman" w:cs="Times New Roman"/>
        </w:rPr>
        <w:t xml:space="preserve">. Nous verrons, dans une seconde section, en quoi cette réforme, et plus particulièrement la modernisation du régime du droit d’emphytéose qu’elle contient, peut offrir une alternative au bail commercial lorsque le propriétaire et l’occupant des lieux affectés à une activité commerciale souhaitent </w:t>
      </w:r>
      <w:r w:rsidR="0038145C" w:rsidRPr="0038145C">
        <w:rPr>
          <w:rFonts w:eastAsia="Times New Roman" w:cs="Times New Roman"/>
        </w:rPr>
        <w:t>garantir une durée d’occupation supérieure à 3 ans.</w:t>
      </w:r>
    </w:p>
    <w:p w14:paraId="79F02096" w14:textId="77777777" w:rsidR="0038145C" w:rsidRDefault="0038145C" w:rsidP="00F956D1">
      <w:pPr>
        <w:rPr>
          <w:rFonts w:eastAsia="Times New Roman" w:cs="Times New Roman"/>
          <w:u w:val="single"/>
        </w:rPr>
      </w:pPr>
    </w:p>
    <w:p w14:paraId="7C974953" w14:textId="7057F72D" w:rsidR="00F956D1" w:rsidRPr="00F73EF8" w:rsidRDefault="0038145C" w:rsidP="00F956D1">
      <w:pPr>
        <w:rPr>
          <w:rFonts w:eastAsia="Times New Roman" w:cs="Times New Roman"/>
          <w:b/>
          <w:bCs/>
          <w:i/>
          <w:iCs/>
        </w:rPr>
      </w:pPr>
      <w:r w:rsidRPr="00F73EF8">
        <w:rPr>
          <w:rFonts w:eastAsia="Times New Roman" w:cs="Times New Roman"/>
          <w:b/>
          <w:bCs/>
          <w:i/>
          <w:iCs/>
        </w:rPr>
        <w:t xml:space="preserve">Section 1 : </w:t>
      </w:r>
      <w:r w:rsidR="00F956D1" w:rsidRPr="00F73EF8">
        <w:rPr>
          <w:rFonts w:eastAsia="Times New Roman" w:cs="Times New Roman"/>
          <w:b/>
          <w:bCs/>
          <w:i/>
          <w:iCs/>
        </w:rPr>
        <w:t>La voie des baux commerciaux de courte durée … un essai d’analyse de droit régional comparé</w:t>
      </w:r>
    </w:p>
    <w:p w14:paraId="5534E0AA" w14:textId="77777777" w:rsidR="0038145C" w:rsidRPr="00F956D1" w:rsidRDefault="0038145C" w:rsidP="00F956D1">
      <w:pPr>
        <w:rPr>
          <w:rFonts w:eastAsia="Times New Roman" w:cs="Times New Roman"/>
        </w:rPr>
      </w:pPr>
    </w:p>
    <w:p w14:paraId="3218F317" w14:textId="1A5E2132" w:rsidR="00F956D1" w:rsidRPr="0038145C" w:rsidRDefault="00F956D1" w:rsidP="0038145C">
      <w:pPr>
        <w:pStyle w:val="Paragraphedeliste"/>
        <w:numPr>
          <w:ilvl w:val="0"/>
          <w:numId w:val="13"/>
        </w:numPr>
        <w:ind w:left="426" w:hanging="426"/>
        <w:jc w:val="both"/>
        <w:rPr>
          <w:rFonts w:eastAsia="Times New Roman" w:cs="Times New Roman"/>
        </w:rPr>
      </w:pPr>
      <w:r w:rsidRPr="0038145C">
        <w:rPr>
          <w:rFonts w:eastAsia="Times New Roman" w:cs="Times New Roman"/>
        </w:rPr>
        <w:t>Qui aurait pu croire, il y a trente, voire vingt ou dix ans, qu’il serait possible et utile, si pas nécessaire, d’analyser et de comparer diverses législations régionales en matière de bail, commercial a fortiori.</w:t>
      </w:r>
    </w:p>
    <w:p w14:paraId="33981368" w14:textId="77777777" w:rsidR="0038145C" w:rsidRDefault="00F956D1" w:rsidP="0038145C">
      <w:pPr>
        <w:ind w:left="426"/>
        <w:rPr>
          <w:rFonts w:eastAsia="Times New Roman" w:cs="Times New Roman"/>
        </w:rPr>
      </w:pPr>
      <w:r w:rsidRPr="00F956D1">
        <w:rPr>
          <w:rFonts w:eastAsia="Times New Roman" w:cs="Times New Roman"/>
        </w:rPr>
        <w:t>Et pourtant, en un peu moins de trois ans, les législateurs flamand, wallon et bruxellois, pour les citer par ordre chronologique, ont adopté et défini les contours d’un nouveau concept de bail commercial, échappant aux règles adoptées en 1951 par le législateur, que l’on ne dénommait même pas « belge » puisque cela allait de soi, ni « fédéral », personne ne soupçonnant qu’il aurait pu le devenir un jour.</w:t>
      </w:r>
    </w:p>
    <w:p w14:paraId="65AB0059" w14:textId="5D2D72C0" w:rsidR="00F956D1" w:rsidRPr="00F956D1" w:rsidRDefault="00F956D1" w:rsidP="0038145C">
      <w:pPr>
        <w:ind w:left="426"/>
        <w:rPr>
          <w:rFonts w:eastAsia="Times New Roman" w:cs="Times New Roman"/>
        </w:rPr>
      </w:pPr>
      <w:r w:rsidRPr="00F956D1">
        <w:rPr>
          <w:rFonts w:eastAsia="Times New Roman" w:cs="Times New Roman"/>
        </w:rPr>
        <w:t xml:space="preserve">Si ce nouveau concept, portant sur un bail commercial de courte durée, est né de soucis largement partagés en Flandre, en Wallonie ou à Bruxelles, comme celui de permettre la location de « Pop-Up stores », ces magasins éphémères exploités le temps d’un événement particulier, ou de conclure des baux à l’essai et d’offrir tant aux bailleurs qu’aux preneurs une </w:t>
      </w:r>
      <w:r w:rsidRPr="00F956D1">
        <w:rPr>
          <w:rFonts w:eastAsia="Times New Roman" w:cs="Times New Roman"/>
        </w:rPr>
        <w:lastRenderedPageBreak/>
        <w:t xml:space="preserve">sécurité juridique de bon aloi, si nombre des dispositions, en Wallonie et à Bruxelles, s’inspirent de celles qui avaient déjà été adoptées en Flandre, les nouvelles législations ne sont pas identiques. </w:t>
      </w:r>
    </w:p>
    <w:p w14:paraId="6C39423B" w14:textId="77777777" w:rsidR="00F956D1" w:rsidRPr="00F956D1" w:rsidRDefault="00F956D1" w:rsidP="0038145C">
      <w:pPr>
        <w:pStyle w:val="Paragraphedeliste"/>
        <w:numPr>
          <w:ilvl w:val="0"/>
          <w:numId w:val="13"/>
        </w:numPr>
        <w:ind w:left="426" w:hanging="426"/>
        <w:jc w:val="both"/>
        <w:rPr>
          <w:rFonts w:eastAsia="Times New Roman" w:cs="Times New Roman"/>
        </w:rPr>
      </w:pPr>
      <w:r w:rsidRPr="00F956D1">
        <w:rPr>
          <w:rFonts w:eastAsia="Times New Roman" w:cs="Times New Roman"/>
        </w:rPr>
        <w:t>De manière à distinguer les simples différences de forme de celles qui portent sur le fond de la réglementation elle-même, nous nous sommes permis d’innover en dressant un tableau « à l’état brut » reprenant, selon leur objet, toutes et chacune des dispositions des trois législations régionales. Les questions ou observations qui nous sont venues à l’esprit font quant à elles l’objet de divers renvois numérotés de 1° à 18°.</w:t>
      </w:r>
    </w:p>
    <w:p w14:paraId="6BAEB17D" w14:textId="77777777" w:rsidR="00F956D1" w:rsidRPr="00F956D1" w:rsidRDefault="00F956D1" w:rsidP="00F956D1">
      <w:pPr>
        <w:rPr>
          <w:rFonts w:eastAsia="Times New Roman" w:cs="Times New Roman"/>
        </w:rPr>
      </w:pPr>
    </w:p>
    <w:p w14:paraId="27DC0385" w14:textId="77777777" w:rsidR="00F956D1" w:rsidRPr="00F956D1" w:rsidRDefault="00F956D1" w:rsidP="00F956D1">
      <w:pPr>
        <w:rPr>
          <w:rFonts w:eastAsia="Times New Roman" w:cs="Times New Roman"/>
          <w:b/>
        </w:rPr>
      </w:pPr>
      <w:r w:rsidRPr="00F956D1">
        <w:rPr>
          <w:rFonts w:eastAsia="Times New Roman" w:cs="Times New Roman"/>
          <w:b/>
        </w:rPr>
        <w:t>Imprimer ici le fichier excel « Le bail commercial de courte durée – tableau comparatif »</w:t>
      </w:r>
    </w:p>
    <w:p w14:paraId="4764F873" w14:textId="77777777" w:rsidR="00F956D1" w:rsidRPr="00F956D1" w:rsidRDefault="00F956D1" w:rsidP="00F956D1">
      <w:pPr>
        <w:rPr>
          <w:rFonts w:eastAsia="Times New Roman" w:cs="Times New Roman"/>
          <w:b/>
        </w:rPr>
      </w:pPr>
      <w:r w:rsidRPr="00F956D1">
        <w:rPr>
          <w:rFonts w:eastAsia="Times New Roman" w:cs="Times New Roman"/>
          <w:b/>
        </w:rPr>
        <w:t>A publier en dessous du tableau excel</w:t>
      </w:r>
    </w:p>
    <w:p w14:paraId="079C2AC6" w14:textId="77777777" w:rsidR="00F956D1" w:rsidRPr="00F956D1" w:rsidRDefault="00F956D1" w:rsidP="00F956D1">
      <w:pPr>
        <w:rPr>
          <w:rFonts w:eastAsia="Times New Roman" w:cs="Times New Roman"/>
          <w:u w:val="single"/>
        </w:rPr>
      </w:pPr>
      <w:r w:rsidRPr="00F956D1">
        <w:rPr>
          <w:rFonts w:eastAsia="Times New Roman" w:cs="Times New Roman"/>
          <w:u w:val="single"/>
        </w:rPr>
        <w:t xml:space="preserve">Observations </w:t>
      </w:r>
    </w:p>
    <w:p w14:paraId="0D219CFD" w14:textId="77777777" w:rsidR="00F956D1" w:rsidRPr="00F956D1" w:rsidRDefault="00F956D1" w:rsidP="00F956D1">
      <w:pPr>
        <w:rPr>
          <w:rFonts w:eastAsia="Times New Roman" w:cs="Times New Roman"/>
        </w:rPr>
      </w:pPr>
    </w:p>
    <w:p w14:paraId="5D904C15" w14:textId="08FFA81E" w:rsidR="00F956D1" w:rsidRPr="00F956D1" w:rsidRDefault="0038145C" w:rsidP="0038145C">
      <w:pPr>
        <w:rPr>
          <w:rFonts w:eastAsia="Times New Roman" w:cs="Times New Roman"/>
        </w:rPr>
      </w:pPr>
      <w:r>
        <w:rPr>
          <w:rFonts w:eastAsia="Times New Roman" w:cs="Times New Roman"/>
        </w:rPr>
        <w:t>1</w:t>
      </w:r>
      <w:r w:rsidRPr="00F956D1">
        <w:rPr>
          <w:rFonts w:eastAsia="Times New Roman" w:cs="Times New Roman"/>
        </w:rPr>
        <w:t>°</w:t>
      </w:r>
      <w:r w:rsidRPr="00F956D1">
        <w:rPr>
          <w:rFonts w:eastAsia="Times New Roman" w:cs="Times New Roman"/>
        </w:rPr>
        <w:tab/>
      </w:r>
      <w:r w:rsidR="00F956D1" w:rsidRPr="00F956D1">
        <w:rPr>
          <w:rFonts w:eastAsia="Times New Roman" w:cs="Times New Roman"/>
        </w:rPr>
        <w:t xml:space="preserve">La traduction française du décret flamand, laquelle correspond d’ailleurs au texte français de l’ordonnance bruxelloise, ne rend pas compte du fait que le décret se réfère à l’utilisation du bien loué en vue de l’exercice d’un commerce de détail ou de l’activité d’un artisan en vertu d’« een uitdrukkelijke overeenkomst van de partijen in de loop van de huur », imposant ainsi, littéralement, que la destination du bien loué soit fixée par les parties en cours de bail et non à sa conclusion. Comme l’indiquent </w:t>
      </w:r>
      <w:r w:rsidR="00870DBF" w:rsidRPr="00F956D1">
        <w:rPr>
          <w:rFonts w:eastAsia="Times New Roman" w:cs="Times New Roman"/>
        </w:rPr>
        <w:t xml:space="preserve">J. Swennen, K. Troch </w:t>
      </w:r>
      <w:r w:rsidR="00870DBF">
        <w:rPr>
          <w:rFonts w:eastAsia="Times New Roman" w:cs="Times New Roman"/>
        </w:rPr>
        <w:t>e</w:t>
      </w:r>
      <w:r w:rsidR="00870DBF" w:rsidRPr="00F956D1">
        <w:rPr>
          <w:rFonts w:eastAsia="Times New Roman" w:cs="Times New Roman"/>
        </w:rPr>
        <w:t>t N. Van Damme</w:t>
      </w:r>
      <w:r w:rsidR="00870DBF">
        <w:rPr>
          <w:rStyle w:val="Appelnotedebasdep"/>
          <w:rFonts w:eastAsia="Times New Roman" w:cs="Times New Roman"/>
        </w:rPr>
        <w:footnoteReference w:id="5"/>
      </w:r>
      <w:r w:rsidR="00F956D1" w:rsidRPr="00F956D1">
        <w:rPr>
          <w:rFonts w:eastAsia="Times New Roman" w:cs="Times New Roman"/>
        </w:rPr>
        <w:t>, rappelant que, dans le cas d’un bail commercial régi par le Code civil, l’affectation peut résulter tant d’un accord tacite ou exprès lors de l’entrée en jouissance que d’un accord exprès en cours de bail, l’on voit mal pour quelle raison, en présence d’un bail commercial de courte durée, l’accord sur la destination ne pourrait s’exprimer lors de l’entrée en jouissance. A bien y réfléchir, en prenant le cours de la période de location comme période de référence en vue de l’exercice d’un commerce de détail ou d’un artisanat et non comme période de référence en vue de l’accord sur l’affectation, les traducteurs, quand bien même auraient-ils trahi l’intention du législateur flamand, en ont adéquatement corrigé l’imperfection !</w:t>
      </w:r>
    </w:p>
    <w:p w14:paraId="03C3A7FC" w14:textId="77777777" w:rsidR="00F956D1" w:rsidRPr="00F956D1" w:rsidRDefault="00F956D1" w:rsidP="00F956D1">
      <w:pPr>
        <w:rPr>
          <w:rFonts w:eastAsia="Times New Roman" w:cs="Times New Roman"/>
        </w:rPr>
      </w:pPr>
    </w:p>
    <w:p w14:paraId="041026AC" w14:textId="475B6817" w:rsidR="00F956D1" w:rsidRPr="00F956D1" w:rsidRDefault="00F956D1" w:rsidP="00F956D1">
      <w:pPr>
        <w:rPr>
          <w:rFonts w:eastAsia="Times New Roman" w:cs="Times New Roman"/>
        </w:rPr>
      </w:pPr>
      <w:r w:rsidRPr="00F956D1">
        <w:rPr>
          <w:rFonts w:eastAsia="Times New Roman" w:cs="Times New Roman"/>
        </w:rPr>
        <w:t>2°</w:t>
      </w:r>
      <w:r w:rsidRPr="00F956D1">
        <w:rPr>
          <w:rFonts w:eastAsia="Times New Roman" w:cs="Times New Roman"/>
        </w:rPr>
        <w:tab/>
        <w:t>Ni le décret wallon, ni l’ordonnance bruxelloise, ne contiennent la précision apportée par le décret flamand selon laquelle il n’y a pas lieu de tenir compte de la manière dont le contact s’établit entre le locataire et le public ou de la question de savoir si le locataire est propriétaire du commerce. Toutefois, cette précision figure expressis terminis dans les travaux préparatoires tant du décret wallon</w:t>
      </w:r>
      <w:r w:rsidR="00870DBF">
        <w:rPr>
          <w:rStyle w:val="Appelnotedebasdep"/>
          <w:rFonts w:eastAsia="Times New Roman" w:cs="Times New Roman"/>
        </w:rPr>
        <w:footnoteReference w:id="6"/>
      </w:r>
      <w:r w:rsidRPr="00F956D1">
        <w:rPr>
          <w:rFonts w:eastAsia="Times New Roman" w:cs="Times New Roman"/>
        </w:rPr>
        <w:t xml:space="preserve"> que de l’ordonnance bruxelloise</w:t>
      </w:r>
      <w:r w:rsidR="00870DBF">
        <w:rPr>
          <w:rStyle w:val="Appelnotedebasdep"/>
          <w:rFonts w:eastAsia="Times New Roman" w:cs="Times New Roman"/>
        </w:rPr>
        <w:footnoteReference w:id="7"/>
      </w:r>
      <w:r w:rsidRPr="00F956D1">
        <w:rPr>
          <w:rFonts w:eastAsia="Times New Roman" w:cs="Times New Roman"/>
        </w:rPr>
        <w:t>.</w:t>
      </w:r>
    </w:p>
    <w:p w14:paraId="7AA849D4" w14:textId="77777777" w:rsidR="00F956D1" w:rsidRPr="00F956D1" w:rsidRDefault="00F956D1" w:rsidP="00F956D1">
      <w:pPr>
        <w:rPr>
          <w:rFonts w:eastAsia="Times New Roman" w:cs="Times New Roman"/>
        </w:rPr>
      </w:pPr>
    </w:p>
    <w:p w14:paraId="252556CF" w14:textId="5D2D6CB6" w:rsidR="00F956D1" w:rsidRPr="00F956D1" w:rsidRDefault="00F956D1" w:rsidP="00F956D1">
      <w:pPr>
        <w:rPr>
          <w:rFonts w:eastAsia="Times New Roman" w:cs="Times New Roman"/>
        </w:rPr>
      </w:pPr>
      <w:r w:rsidRPr="00F956D1">
        <w:rPr>
          <w:rFonts w:eastAsia="Times New Roman" w:cs="Times New Roman"/>
        </w:rPr>
        <w:t>3°</w:t>
      </w:r>
      <w:r w:rsidRPr="00F956D1">
        <w:rPr>
          <w:rFonts w:eastAsia="Times New Roman" w:cs="Times New Roman"/>
        </w:rPr>
        <w:tab/>
        <w:t>La formule inscrite à l’article 3 du Décret flamand (« De duur van de huur mag de duur van een geheel jaar niet bereiken (atteindre) of overtroffen (dépasser) ») rend perplexe. Elle est objectivement incohérente</w:t>
      </w:r>
      <w:r w:rsidR="00870DBF">
        <w:rPr>
          <w:rStyle w:val="Appelnotedebasdep"/>
          <w:rFonts w:eastAsia="Times New Roman" w:cs="Times New Roman"/>
        </w:rPr>
        <w:footnoteReference w:id="8"/>
      </w:r>
      <w:r w:rsidRPr="00F956D1">
        <w:rPr>
          <w:rFonts w:eastAsia="Times New Roman" w:cs="Times New Roman"/>
        </w:rPr>
        <w:t xml:space="preserve"> en imposant une durée maximale d’un an moins un jour</w:t>
      </w:r>
      <w:r w:rsidR="00870DBF">
        <w:rPr>
          <w:rStyle w:val="Appelnotedebasdep"/>
          <w:rFonts w:eastAsia="Times New Roman" w:cs="Times New Roman"/>
        </w:rPr>
        <w:footnoteReference w:id="9"/>
      </w:r>
      <w:r w:rsidRPr="00F956D1">
        <w:rPr>
          <w:rFonts w:eastAsia="Times New Roman" w:cs="Times New Roman"/>
        </w:rPr>
        <w:t xml:space="preserve">. Le régime </w:t>
      </w:r>
      <w:r w:rsidRPr="00F956D1">
        <w:rPr>
          <w:rFonts w:eastAsia="Times New Roman" w:cs="Times New Roman"/>
        </w:rPr>
        <w:lastRenderedPageBreak/>
        <w:t xml:space="preserve">spécifique des baux commerciaux de courte durée ne s’appliquerait ainsi en Flandre (l’article 3 du décret flamand n’a pas de pendant en Région wallonne et, s’il est repris dans l’ordonnance bruxelloise, il stipule clairement que la durée de la location est égale ou inférieure à un an) qu’aux baux inférieurs à un an. La conséquence immédiate en serait que le bail commercial conclu pour une durée d’un an devrait être considéré comme un bail commercial « de droit commun » d’une durée de 9 ans. </w:t>
      </w:r>
    </w:p>
    <w:p w14:paraId="2480025E" w14:textId="2C70F6A7" w:rsidR="00F956D1" w:rsidRPr="00F956D1" w:rsidRDefault="00F956D1" w:rsidP="00F956D1">
      <w:pPr>
        <w:rPr>
          <w:rFonts w:eastAsia="Times New Roman" w:cs="Times New Roman"/>
        </w:rPr>
      </w:pPr>
      <w:r w:rsidRPr="00F956D1">
        <w:rPr>
          <w:rFonts w:eastAsia="Times New Roman" w:cs="Times New Roman"/>
        </w:rPr>
        <w:t>Toutefois, tant le caractère clair et contraire de l’article 2 du décret flamand (qui fait entrer dans le champ d’application du décret les baux expressément conclus pour une durée (une échéance - « termijn ») égale ou inférieure à un an), que les travaux préparatoires (l’exposé des motifs des auteurs de la proposition de décret se réfère, dans la présentation de l’article 3, dont le texte fut adopté ne varietur, au fait que le champ d’application du bail commercial de courte durée porte sur une « </w:t>
      </w:r>
      <w:r w:rsidRPr="00F956D1">
        <w:rPr>
          <w:rFonts w:eastAsia="Times New Roman" w:cs="Times New Roman"/>
          <w:i/>
        </w:rPr>
        <w:t>période locative qui se limite à un an ou moins</w:t>
      </w:r>
      <w:r w:rsidRPr="00F956D1">
        <w:rPr>
          <w:rFonts w:eastAsia="Times New Roman" w:cs="Times New Roman"/>
        </w:rPr>
        <w:t> »</w:t>
      </w:r>
      <w:r w:rsidR="00870DBF">
        <w:rPr>
          <w:rStyle w:val="Appelnotedebasdep"/>
          <w:rFonts w:eastAsia="Times New Roman" w:cs="Times New Roman"/>
        </w:rPr>
        <w:footnoteReference w:id="10"/>
      </w:r>
      <w:r w:rsidRPr="00F956D1">
        <w:rPr>
          <w:rFonts w:eastAsia="Times New Roman" w:cs="Times New Roman"/>
        </w:rPr>
        <w:t>, permettent de n’avoir aucun doute : quelle que soit la rédaction malencontreuse de l’article 3 du décret flamand, en Flandre comme ailleurs, le bail commercial de courte durée est un bail d’un an ou moins.</w:t>
      </w:r>
    </w:p>
    <w:p w14:paraId="5DE78858" w14:textId="77777777" w:rsidR="00F956D1" w:rsidRPr="00F956D1" w:rsidRDefault="00F956D1" w:rsidP="00F956D1">
      <w:pPr>
        <w:rPr>
          <w:rFonts w:eastAsia="Times New Roman" w:cs="Times New Roman"/>
        </w:rPr>
      </w:pPr>
    </w:p>
    <w:p w14:paraId="16667AA7" w14:textId="4AAC051A" w:rsidR="00F956D1" w:rsidRPr="00F956D1" w:rsidRDefault="00F956D1" w:rsidP="00F956D1">
      <w:pPr>
        <w:rPr>
          <w:rFonts w:eastAsia="Times New Roman" w:cs="Times New Roman"/>
        </w:rPr>
      </w:pPr>
      <w:r w:rsidRPr="00F956D1">
        <w:rPr>
          <w:rFonts w:eastAsia="Times New Roman" w:cs="Times New Roman"/>
        </w:rPr>
        <w:t>4°</w:t>
      </w:r>
      <w:r w:rsidRPr="00F956D1">
        <w:rPr>
          <w:rFonts w:eastAsia="Times New Roman" w:cs="Times New Roman"/>
        </w:rPr>
        <w:tab/>
        <w:t>Il ne faut pas s’y tromper. Quelles que soient les formules auxquelles les législateurs régionaux respectifs ont eu recours (là où l’ordonnance bruxelloise indique clairement que le locataire n’a pas droit à une reconduction tacite du bail, le décret flamand parle de reconduction du bail sans plus et le décret wallon ne dit rien), c’est le régime de la reconduction tacite du bail qui est seul inapplicable. L’article 4 du décret flamand et l’article 2 du décret wallon permettent en effet expressément (sous réserve du fait que la durée globale cumulée de la location ne peut excéder un an) la reconduction exprimée dans un écrit, une exigence également posée, non dans le texte, mais dans les travaux préparatoires de l’ordonnance bruxelloise</w:t>
      </w:r>
      <w:r w:rsidR="00870DBF">
        <w:rPr>
          <w:rStyle w:val="Appelnotedebasdep"/>
          <w:rFonts w:eastAsia="Times New Roman" w:cs="Times New Roman"/>
        </w:rPr>
        <w:footnoteReference w:id="11"/>
      </w:r>
      <w:r w:rsidRPr="00F956D1">
        <w:rPr>
          <w:rFonts w:eastAsia="Times New Roman" w:cs="Times New Roman"/>
        </w:rPr>
        <w:t>.</w:t>
      </w:r>
    </w:p>
    <w:p w14:paraId="747C149C" w14:textId="77777777" w:rsidR="00F956D1" w:rsidRPr="00F956D1" w:rsidRDefault="00F956D1" w:rsidP="00F956D1">
      <w:pPr>
        <w:rPr>
          <w:rFonts w:eastAsia="Times New Roman" w:cs="Times New Roman"/>
        </w:rPr>
      </w:pPr>
    </w:p>
    <w:p w14:paraId="572F8A80" w14:textId="46E4A156" w:rsidR="00F956D1" w:rsidRPr="00F956D1" w:rsidRDefault="00F956D1" w:rsidP="00F956D1">
      <w:pPr>
        <w:rPr>
          <w:rFonts w:eastAsia="Times New Roman" w:cs="Times New Roman"/>
        </w:rPr>
      </w:pPr>
      <w:r w:rsidRPr="00F956D1">
        <w:rPr>
          <w:rFonts w:eastAsia="Times New Roman" w:cs="Times New Roman"/>
        </w:rPr>
        <w:t>5°</w:t>
      </w:r>
      <w:r w:rsidRPr="00F956D1">
        <w:rPr>
          <w:rFonts w:eastAsia="Times New Roman" w:cs="Times New Roman"/>
        </w:rPr>
        <w:tab/>
        <w:t>Au contraire du texte des décrets flamand et wallon, l’ordonnance bruxelloise ne pose pas expressément comme exigence que la reconduction fasse l’objet d’un écrit. Toutefois, non seulement cette exigence est mentionnée dans ses travaux préparatoires</w:t>
      </w:r>
      <w:r w:rsidR="00870DBF">
        <w:rPr>
          <w:rStyle w:val="Appelnotedebasdep"/>
          <w:rFonts w:eastAsia="Times New Roman" w:cs="Times New Roman"/>
        </w:rPr>
        <w:footnoteReference w:id="12"/>
      </w:r>
      <w:r w:rsidRPr="00F956D1">
        <w:rPr>
          <w:rFonts w:eastAsia="Times New Roman" w:cs="Times New Roman"/>
        </w:rPr>
        <w:t>, mais en outre l’ordonnance interdit expressément la reconduction tacite</w:t>
      </w:r>
      <w:r w:rsidR="00870DBF">
        <w:rPr>
          <w:rStyle w:val="Appelnotedebasdep"/>
          <w:rFonts w:eastAsia="Times New Roman" w:cs="Times New Roman"/>
        </w:rPr>
        <w:footnoteReference w:id="13"/>
      </w:r>
      <w:r w:rsidRPr="00F956D1">
        <w:rPr>
          <w:rFonts w:eastAsia="Times New Roman" w:cs="Times New Roman"/>
        </w:rPr>
        <w:t>.</w:t>
      </w:r>
    </w:p>
    <w:p w14:paraId="55E124A5" w14:textId="77777777" w:rsidR="00F956D1" w:rsidRPr="00F956D1" w:rsidRDefault="00F956D1" w:rsidP="00F956D1">
      <w:pPr>
        <w:rPr>
          <w:rFonts w:eastAsia="Times New Roman" w:cs="Times New Roman"/>
        </w:rPr>
      </w:pPr>
    </w:p>
    <w:p w14:paraId="3947A71B" w14:textId="77777777" w:rsidR="00F956D1" w:rsidRPr="00F956D1" w:rsidRDefault="00F956D1" w:rsidP="00F956D1">
      <w:pPr>
        <w:rPr>
          <w:rFonts w:eastAsia="Times New Roman" w:cs="Times New Roman"/>
        </w:rPr>
      </w:pPr>
      <w:r w:rsidRPr="00F956D1">
        <w:rPr>
          <w:rFonts w:eastAsia="Times New Roman" w:cs="Times New Roman"/>
        </w:rPr>
        <w:t>6°</w:t>
      </w:r>
      <w:r w:rsidRPr="00F956D1">
        <w:rPr>
          <w:rFonts w:eastAsia="Times New Roman" w:cs="Times New Roman"/>
        </w:rPr>
        <w:tab/>
        <w:t xml:space="preserve">L’on remarquera que le régime de la transformation du bail de courte durée en bail de 9 ans se distingue à Bruxelles tant du régime applicable dans les deux autres régions en présence d’un bail commercial de courte durée que du régime de transformation du bail de résidence principale de courte durée tel qu’il est prévu dans le Code bruxellois du logement. Un écrit est en effet exigé pour que la transformation s’opère. </w:t>
      </w:r>
    </w:p>
    <w:p w14:paraId="0CE2967F" w14:textId="77777777" w:rsidR="00F956D1" w:rsidRPr="00F956D1" w:rsidRDefault="00F956D1" w:rsidP="00F956D1">
      <w:pPr>
        <w:ind w:right="510"/>
        <w:jc w:val="both"/>
        <w:rPr>
          <w:rFonts w:eastAsia="Times New Roman" w:cs="Times New Roman"/>
        </w:rPr>
      </w:pPr>
    </w:p>
    <w:p w14:paraId="6BB437E3" w14:textId="7B343529" w:rsidR="00F956D1" w:rsidRPr="00F956D1" w:rsidRDefault="00F956D1" w:rsidP="00F956D1">
      <w:pPr>
        <w:ind w:right="510"/>
        <w:jc w:val="both"/>
        <w:rPr>
          <w:rFonts w:eastAsia="Times New Roman" w:cs="News Gothic MT"/>
          <w:kern w:val="2"/>
          <w:sz w:val="21"/>
          <w:szCs w:val="21"/>
          <w:lang w:val="fr-FR"/>
        </w:rPr>
      </w:pPr>
      <w:r w:rsidRPr="00F956D1">
        <w:rPr>
          <w:rFonts w:eastAsia="Times New Roman" w:cs="Times New Roman"/>
        </w:rPr>
        <w:t>7°</w:t>
      </w:r>
      <w:r w:rsidRPr="00F956D1">
        <w:rPr>
          <w:rFonts w:eastAsia="Times New Roman" w:cs="Times New Roman"/>
        </w:rPr>
        <w:tab/>
        <w:t xml:space="preserve">Aucun des trois textes ne dit quoi que ce soit à propos de la possibilité d’insérer une clause expresse permettant au bailleur de résilier le bail anticipativement. Toutefois, selon les travaux préparatoires du décret flamand, </w:t>
      </w:r>
      <w:r w:rsidRPr="00F956D1">
        <w:rPr>
          <w:rFonts w:eastAsia="Times New Roman" w:cs="Times New Roman"/>
          <w:i/>
        </w:rPr>
        <w:t>« le bailleur ne peut donner congé</w:t>
      </w:r>
      <w:r w:rsidRPr="00F956D1">
        <w:rPr>
          <w:rFonts w:eastAsia="Times New Roman" w:cs="Times New Roman"/>
        </w:rPr>
        <w:t> »</w:t>
      </w:r>
      <w:r w:rsidR="00870DBF">
        <w:rPr>
          <w:rStyle w:val="Appelnotedebasdep"/>
          <w:rFonts w:eastAsia="Times New Roman" w:cs="Times New Roman"/>
        </w:rPr>
        <w:footnoteReference w:id="14"/>
      </w:r>
      <w:r w:rsidRPr="00F956D1">
        <w:rPr>
          <w:rFonts w:eastAsia="Times New Roman" w:cs="Times New Roman"/>
        </w:rPr>
        <w:t xml:space="preserve">. Il en va de même </w:t>
      </w:r>
      <w:r w:rsidRPr="00F956D1">
        <w:rPr>
          <w:rFonts w:eastAsia="Times New Roman" w:cs="Times New Roman"/>
        </w:rPr>
        <w:lastRenderedPageBreak/>
        <w:t>en vertu des travaux préparatoires du décret wallon</w:t>
      </w:r>
      <w:r w:rsidR="00870DBF">
        <w:rPr>
          <w:rStyle w:val="Appelnotedebasdep"/>
          <w:rFonts w:eastAsia="Times New Roman" w:cs="Times New Roman"/>
        </w:rPr>
        <w:footnoteReference w:id="15"/>
      </w:r>
      <w:r w:rsidRPr="00F956D1">
        <w:rPr>
          <w:rFonts w:eastAsia="Times New Roman" w:cs="Times New Roman"/>
        </w:rPr>
        <w:t xml:space="preserve"> et de l’ordonnance bruxelloise</w:t>
      </w:r>
      <w:r w:rsidR="00870DBF">
        <w:rPr>
          <w:rStyle w:val="Appelnotedebasdep"/>
          <w:rFonts w:eastAsia="Times New Roman" w:cs="Times New Roman"/>
        </w:rPr>
        <w:footnoteReference w:id="16"/>
      </w:r>
      <w:r w:rsidRPr="00F956D1">
        <w:rPr>
          <w:rFonts w:eastAsia="Times New Roman" w:cs="Times New Roman"/>
        </w:rPr>
        <w:t xml:space="preserve">. Tout donne donc à penser qu’à l’instar de l’article 3 </w:t>
      </w:r>
      <w:r w:rsidRPr="00F956D1">
        <w:rPr>
          <w:rFonts w:eastAsia="Times New Roman" w:cs="News Gothic MT"/>
          <w:kern w:val="2"/>
          <w:sz w:val="21"/>
          <w:szCs w:val="21"/>
          <w:lang w:val="fr-FR"/>
        </w:rPr>
        <w:t>des dispositions du Code civil relatives aux baux commerciaux, les règles régionales en matière de résiliation anticipée des baux commerciaux de courte durée sont impératives en faveur du preneur et qu’une clause contractuelle autorisant le bailleur à donner congé serait frappée de nullité relative</w:t>
      </w:r>
      <w:r w:rsidR="00870DBF">
        <w:rPr>
          <w:rStyle w:val="Appelnotedebasdep"/>
          <w:rFonts w:eastAsia="Times New Roman" w:cs="News Gothic MT"/>
          <w:kern w:val="2"/>
          <w:sz w:val="21"/>
          <w:szCs w:val="21"/>
          <w:lang w:val="fr-FR"/>
        </w:rPr>
        <w:footnoteReference w:id="17"/>
      </w:r>
      <w:r w:rsidRPr="00F956D1">
        <w:rPr>
          <w:rFonts w:eastAsia="Times New Roman" w:cs="Times New Roman"/>
        </w:rPr>
        <w:t>.</w:t>
      </w:r>
      <w:r w:rsidRPr="00F956D1">
        <w:rPr>
          <w:rFonts w:eastAsia="Times New Roman" w:cs="News Gothic MT"/>
          <w:kern w:val="2"/>
          <w:sz w:val="21"/>
          <w:szCs w:val="21"/>
          <w:lang w:val="fr-FR"/>
        </w:rPr>
        <w:t xml:space="preserve"> </w:t>
      </w:r>
    </w:p>
    <w:p w14:paraId="7BD0F0AE" w14:textId="77777777" w:rsidR="00F956D1" w:rsidRPr="00F956D1" w:rsidRDefault="00F956D1" w:rsidP="00F956D1">
      <w:pPr>
        <w:rPr>
          <w:rFonts w:eastAsia="Times New Roman" w:cs="Times New Roman"/>
        </w:rPr>
      </w:pPr>
    </w:p>
    <w:p w14:paraId="19AE2EBC" w14:textId="271A43E1" w:rsidR="00F956D1" w:rsidRPr="00F956D1" w:rsidRDefault="00F956D1" w:rsidP="00F956D1">
      <w:pPr>
        <w:rPr>
          <w:rFonts w:eastAsia="Times New Roman" w:cs="Times New Roman"/>
        </w:rPr>
      </w:pPr>
      <w:r w:rsidRPr="00F956D1">
        <w:rPr>
          <w:rFonts w:eastAsia="Times New Roman" w:cs="Times New Roman"/>
        </w:rPr>
        <w:t>8°</w:t>
      </w:r>
      <w:r w:rsidRPr="00F956D1">
        <w:rPr>
          <w:rFonts w:eastAsia="Times New Roman" w:cs="Times New Roman"/>
        </w:rPr>
        <w:tab/>
        <w:t>Si tant le décret flamand que l’ordonnance bruxelloise permettent au preneur de de notifier son congé en recourant aux deux voies « classiques » de la législation fédérale, le décret wallon ne vise que le recours au recommandé à l’exclusion de l’exploit d’un huissier de justice. En l’absence de toute autre indication, même si certains supposent que le congé qui serait donné par exploit de justice serait valable</w:t>
      </w:r>
      <w:r w:rsidR="00344520">
        <w:rPr>
          <w:rStyle w:val="Appelnotedebasdep"/>
          <w:rFonts w:eastAsia="Times New Roman" w:cs="Times New Roman"/>
        </w:rPr>
        <w:footnoteReference w:id="18"/>
      </w:r>
      <w:r w:rsidRPr="00F956D1">
        <w:rPr>
          <w:rFonts w:eastAsia="Times New Roman" w:cs="Times New Roman"/>
        </w:rPr>
        <w:t>, la prudence doit conduire le preneur à n’utiliser que l’envoi d’un pli recommandé à la poste.</w:t>
      </w:r>
    </w:p>
    <w:p w14:paraId="4A43AEF3" w14:textId="77777777" w:rsidR="00F956D1" w:rsidRPr="00F956D1" w:rsidRDefault="00F956D1" w:rsidP="00F956D1">
      <w:pPr>
        <w:rPr>
          <w:rFonts w:eastAsia="Times New Roman" w:cs="Times New Roman"/>
        </w:rPr>
      </w:pPr>
    </w:p>
    <w:p w14:paraId="219B7326" w14:textId="32C6C5B4" w:rsidR="00F956D1" w:rsidRPr="00F956D1" w:rsidRDefault="00F956D1" w:rsidP="00F956D1">
      <w:pPr>
        <w:rPr>
          <w:rFonts w:eastAsia="Times New Roman" w:cs="Times New Roman"/>
        </w:rPr>
      </w:pPr>
      <w:r w:rsidRPr="00F956D1">
        <w:rPr>
          <w:rFonts w:eastAsia="Times New Roman" w:cs="Times New Roman"/>
        </w:rPr>
        <w:t>9°</w:t>
      </w:r>
      <w:r w:rsidRPr="00F956D1">
        <w:rPr>
          <w:rFonts w:eastAsia="Times New Roman" w:cs="Times New Roman"/>
        </w:rPr>
        <w:tab/>
        <w:t>L’on remarquera que, tout en recourant à des formulations qui se ressemblent, les trois législations régionales diffèrent. Les « impôts », ce qui vise partout le précompte immobilier et les taxes et redevances notamment communales, mais également, en Flandre uniquement, les droits d’enregistrement du bail</w:t>
      </w:r>
      <w:r w:rsidR="00344520">
        <w:rPr>
          <w:rStyle w:val="Appelnotedebasdep"/>
          <w:rFonts w:eastAsia="Times New Roman" w:cs="Times New Roman"/>
        </w:rPr>
        <w:footnoteReference w:id="19"/>
      </w:r>
      <w:r w:rsidRPr="00F956D1">
        <w:rPr>
          <w:rFonts w:eastAsia="Times New Roman" w:cs="Times New Roman"/>
        </w:rPr>
        <w:t xml:space="preserve">, incombent normalement au bailleur, étant censés compris dans le montant du loyer, mais peuvent être mis à charge du preneur par convention écrite ou même, en Flandre exclusivement, non écrite. Quant aux charges de consommation d’eau, gaz et électricité (visées en Flandre par les termes </w:t>
      </w:r>
      <w:r w:rsidRPr="00F956D1">
        <w:rPr>
          <w:rFonts w:eastAsia="Times New Roman" w:cs="Times New Roman"/>
          <w:i/>
        </w:rPr>
        <w:t>« coût des équipements d’utilité publique</w:t>
      </w:r>
      <w:r w:rsidRPr="00F956D1">
        <w:rPr>
          <w:rFonts w:eastAsia="Times New Roman" w:cs="Times New Roman"/>
        </w:rPr>
        <w:t> »), elles incombent partout au locataire, sauf, en Wallonie, en présence d’une convention contraire écrite, voire en Flandre pour autant que la disposition soit bien supplétive comme le défendent divers auteurs</w:t>
      </w:r>
      <w:r w:rsidR="00344520">
        <w:rPr>
          <w:rStyle w:val="Appelnotedebasdep"/>
          <w:rFonts w:eastAsia="Times New Roman" w:cs="Times New Roman"/>
        </w:rPr>
        <w:footnoteReference w:id="20"/>
      </w:r>
      <w:r w:rsidRPr="00F956D1">
        <w:rPr>
          <w:rFonts w:eastAsia="Times New Roman" w:cs="Times New Roman"/>
        </w:rPr>
        <w:t>.</w:t>
      </w:r>
    </w:p>
    <w:p w14:paraId="639D4E99" w14:textId="77777777" w:rsidR="00F956D1" w:rsidRPr="00F956D1" w:rsidRDefault="00F956D1" w:rsidP="00F956D1">
      <w:pPr>
        <w:rPr>
          <w:rFonts w:eastAsia="Times New Roman" w:cs="Times New Roman"/>
        </w:rPr>
      </w:pPr>
    </w:p>
    <w:p w14:paraId="24DD1C99" w14:textId="77777777" w:rsidR="00F956D1" w:rsidRPr="00F956D1" w:rsidRDefault="00F956D1" w:rsidP="00F956D1">
      <w:pPr>
        <w:rPr>
          <w:rFonts w:eastAsia="Times New Roman" w:cs="Times New Roman"/>
        </w:rPr>
      </w:pPr>
      <w:r w:rsidRPr="00F956D1">
        <w:rPr>
          <w:rFonts w:eastAsia="Times New Roman" w:cs="Times New Roman"/>
        </w:rPr>
        <w:t>10°</w:t>
      </w:r>
      <w:r w:rsidRPr="00F956D1">
        <w:rPr>
          <w:rFonts w:eastAsia="Times New Roman" w:cs="Times New Roman"/>
        </w:rPr>
        <w:tab/>
        <w:t>Cette formule, exclusivement présente dans le texte du décret flamand et qui aurait sans doute été mieux traduite en français par les termes « </w:t>
      </w:r>
      <w:r w:rsidRPr="00F956D1">
        <w:rPr>
          <w:rFonts w:eastAsia="Times New Roman" w:cs="Times New Roman"/>
          <w:i/>
        </w:rPr>
        <w:t>peut être prouvé par toutes voies de droit</w:t>
      </w:r>
      <w:r w:rsidRPr="00F956D1">
        <w:rPr>
          <w:rFonts w:eastAsia="Times New Roman" w:cs="Times New Roman"/>
        </w:rPr>
        <w:t> », se fonde sur la volonté du législateur flamand d’éviter ou limiter toute formalité inutile quant à l’établissement des décomptes.</w:t>
      </w:r>
    </w:p>
    <w:p w14:paraId="519EEB54" w14:textId="77777777" w:rsidR="00F956D1" w:rsidRPr="00F956D1" w:rsidRDefault="00F956D1" w:rsidP="00F956D1">
      <w:pPr>
        <w:rPr>
          <w:rFonts w:eastAsia="Times New Roman" w:cs="Times New Roman"/>
        </w:rPr>
      </w:pPr>
    </w:p>
    <w:p w14:paraId="58B6D5DF" w14:textId="48F3867C" w:rsidR="00F956D1" w:rsidRPr="00F956D1" w:rsidRDefault="00F956D1" w:rsidP="00F956D1">
      <w:pPr>
        <w:rPr>
          <w:rFonts w:eastAsia="Times New Roman" w:cs="Times New Roman"/>
        </w:rPr>
      </w:pPr>
      <w:r w:rsidRPr="00F956D1">
        <w:rPr>
          <w:rFonts w:eastAsia="Times New Roman" w:cs="Times New Roman"/>
        </w:rPr>
        <w:t>11°</w:t>
      </w:r>
      <w:r w:rsidRPr="00F956D1">
        <w:rPr>
          <w:rFonts w:eastAsia="Times New Roman" w:cs="Times New Roman"/>
        </w:rPr>
        <w:tab/>
        <w:t>Il paraît à première vue étonnant que le texte du décret flamand permette au bailleur de faire cesser les travaux sur simple ordonnance rendue sur requête adressée au juge de paix si ceux-ci sont exécutés sans accord, ni autorisation puisque l’article 9 du décret impose au preneur d’informer son bailleur préalablement et par écrit, mais pas d’obtenir son accord. Afin de donner un sens à l’article 10, 1</w:t>
      </w:r>
      <w:r w:rsidRPr="00F956D1">
        <w:rPr>
          <w:rFonts w:eastAsia="Times New Roman" w:cs="Times New Roman"/>
          <w:vertAlign w:val="superscript"/>
        </w:rPr>
        <w:t>er</w:t>
      </w:r>
      <w:r w:rsidRPr="00F956D1">
        <w:rPr>
          <w:rFonts w:eastAsia="Times New Roman" w:cs="Times New Roman"/>
        </w:rPr>
        <w:t xml:space="preserve"> alinéa du décret flamand, il faut considérer que cette possibilité pour le bailleur </w:t>
      </w:r>
      <w:r w:rsidRPr="00F956D1">
        <w:rPr>
          <w:rFonts w:eastAsia="Times New Roman" w:cs="Times New Roman"/>
        </w:rPr>
        <w:lastRenderedPageBreak/>
        <w:t>d’obtenir la cessation des travaux vise le cas où le bail de courte durée contiendrait une clause interdisant au locataire de procéder à des travaux de transformation sans accord du bailleur, ce qui est parfaitement possible puisque le régime de l’article 9 du décret est supplétif</w:t>
      </w:r>
      <w:r w:rsidR="00344520">
        <w:rPr>
          <w:rStyle w:val="Appelnotedebasdep"/>
          <w:rFonts w:eastAsia="Times New Roman" w:cs="Times New Roman"/>
        </w:rPr>
        <w:footnoteReference w:id="21"/>
      </w:r>
      <w:r w:rsidRPr="00F956D1">
        <w:rPr>
          <w:rFonts w:eastAsia="Times New Roman" w:cs="Times New Roman"/>
        </w:rPr>
        <w:t xml:space="preserve">. La question ne se présente pas de la même manière dans le texte de l’ordonnance bruxelloise, qui donne pourtant les mêmes droits au bailleur d’obtenir la cessation des travaux. A Bruxelles, en effet, comme du reste en Wallonie, le bailleur dispose du droit de s’opposer </w:t>
      </w:r>
      <w:r w:rsidR="00344520" w:rsidRPr="00F956D1">
        <w:rPr>
          <w:rFonts w:eastAsia="Times New Roman" w:cs="Times New Roman"/>
        </w:rPr>
        <w:t>aux travaux</w:t>
      </w:r>
      <w:r w:rsidRPr="00F956D1">
        <w:rPr>
          <w:rFonts w:eastAsia="Times New Roman" w:cs="Times New Roman"/>
        </w:rPr>
        <w:t xml:space="preserve"> de transformation et est réputé avoir donné son accord à défaut d’exercer son droit d’opposition dans les 10 jours de la réception de l’information qui doit lui être donnée par le preneur.</w:t>
      </w:r>
    </w:p>
    <w:p w14:paraId="7937BC7A" w14:textId="77777777" w:rsidR="00F956D1" w:rsidRPr="00F956D1" w:rsidRDefault="00F956D1" w:rsidP="00F956D1">
      <w:pPr>
        <w:rPr>
          <w:rFonts w:eastAsia="Times New Roman" w:cs="Times New Roman"/>
        </w:rPr>
      </w:pPr>
    </w:p>
    <w:p w14:paraId="6A4686CF" w14:textId="77777777" w:rsidR="00F956D1" w:rsidRPr="00F956D1" w:rsidRDefault="00F956D1" w:rsidP="00F956D1">
      <w:pPr>
        <w:rPr>
          <w:rFonts w:eastAsia="Times New Roman" w:cs="Times New Roman"/>
        </w:rPr>
      </w:pPr>
      <w:r w:rsidRPr="00F956D1">
        <w:rPr>
          <w:rFonts w:eastAsia="Times New Roman" w:cs="Times New Roman"/>
        </w:rPr>
        <w:t>12°</w:t>
      </w:r>
      <w:r w:rsidRPr="00F956D1">
        <w:rPr>
          <w:rFonts w:eastAsia="Times New Roman" w:cs="Times New Roman"/>
        </w:rPr>
        <w:tab/>
        <w:t>Si le texte wallon reproduit, en tête du 2</w:t>
      </w:r>
      <w:r w:rsidRPr="00F956D1">
        <w:rPr>
          <w:rFonts w:eastAsia="Times New Roman" w:cs="Times New Roman"/>
          <w:vertAlign w:val="superscript"/>
        </w:rPr>
        <w:t>ème</w:t>
      </w:r>
      <w:r w:rsidRPr="00F956D1">
        <w:rPr>
          <w:rFonts w:eastAsia="Times New Roman" w:cs="Times New Roman"/>
        </w:rPr>
        <w:t xml:space="preserve"> alinéa de l’article 8 du décret, les termes « </w:t>
      </w:r>
      <w:r w:rsidRPr="00F956D1">
        <w:rPr>
          <w:rFonts w:eastAsia="Times New Roman" w:cs="Times New Roman"/>
          <w:i/>
        </w:rPr>
        <w:t>sauf convention contraire</w:t>
      </w:r>
      <w:r w:rsidRPr="00F956D1">
        <w:rPr>
          <w:rFonts w:eastAsia="Times New Roman" w:cs="Times New Roman"/>
        </w:rPr>
        <w:t> » déjà utilisés au 1</w:t>
      </w:r>
      <w:r w:rsidRPr="00F956D1">
        <w:rPr>
          <w:rFonts w:eastAsia="Times New Roman" w:cs="Times New Roman"/>
          <w:vertAlign w:val="superscript"/>
        </w:rPr>
        <w:t>er</w:t>
      </w:r>
      <w:r w:rsidRPr="00F956D1">
        <w:rPr>
          <w:rFonts w:eastAsia="Times New Roman" w:cs="Times New Roman"/>
        </w:rPr>
        <w:t xml:space="preserve"> alinéa, ce n’est pas le cas à la 2</w:t>
      </w:r>
      <w:r w:rsidRPr="00F956D1">
        <w:rPr>
          <w:rFonts w:eastAsia="Times New Roman" w:cs="Times New Roman"/>
          <w:vertAlign w:val="superscript"/>
        </w:rPr>
        <w:t>ème</w:t>
      </w:r>
      <w:r w:rsidRPr="00F956D1">
        <w:rPr>
          <w:rFonts w:eastAsia="Times New Roman" w:cs="Times New Roman"/>
        </w:rPr>
        <w:t xml:space="preserve"> phrase tant de l’article 12 du décret flamand que de l’article 14 de l’ordonnance bruxelloise. Est-ce à dire que le régime d’indemnisation (en réalité, de non-indemnisation du preneur par le bailleur, contrairement au droit commun du bail commercial) serait impératif en Flandre et à Bruxelles ? </w:t>
      </w:r>
    </w:p>
    <w:p w14:paraId="2EAEA205" w14:textId="77777777" w:rsidR="00F956D1" w:rsidRPr="00F956D1" w:rsidRDefault="00F956D1" w:rsidP="00F956D1">
      <w:pPr>
        <w:rPr>
          <w:rFonts w:eastAsia="Times New Roman" w:cs="Times New Roman"/>
        </w:rPr>
      </w:pPr>
    </w:p>
    <w:p w14:paraId="7C8A6617" w14:textId="4B5ACC06" w:rsidR="00F956D1" w:rsidRPr="00F956D1" w:rsidRDefault="00F956D1" w:rsidP="00F956D1">
      <w:pPr>
        <w:rPr>
          <w:rFonts w:eastAsia="Times New Roman" w:cs="Times New Roman"/>
        </w:rPr>
      </w:pPr>
      <w:r w:rsidRPr="00F956D1">
        <w:rPr>
          <w:rFonts w:eastAsia="Times New Roman" w:cs="Times New Roman"/>
        </w:rPr>
        <w:t>13°</w:t>
      </w:r>
      <w:r w:rsidRPr="00F956D1">
        <w:rPr>
          <w:rFonts w:eastAsia="Times New Roman" w:cs="Times New Roman"/>
        </w:rPr>
        <w:tab/>
        <w:t>Selon les travaux préparatoires du décret flamand, les parties pourraient toutefois déroger à cette règle en cours de bail</w:t>
      </w:r>
      <w:r w:rsidR="00344520">
        <w:rPr>
          <w:rStyle w:val="Appelnotedebasdep"/>
          <w:rFonts w:eastAsia="Times New Roman" w:cs="Times New Roman"/>
        </w:rPr>
        <w:footnoteReference w:id="22"/>
      </w:r>
      <w:r w:rsidR="00344520">
        <w:rPr>
          <w:rFonts w:eastAsia="Times New Roman" w:cs="Times New Roman"/>
        </w:rPr>
        <w:t>.</w:t>
      </w:r>
    </w:p>
    <w:p w14:paraId="647B7D1C" w14:textId="77777777" w:rsidR="00F956D1" w:rsidRPr="00F956D1" w:rsidRDefault="00F956D1" w:rsidP="00F956D1">
      <w:pPr>
        <w:rPr>
          <w:rFonts w:eastAsia="Times New Roman" w:cs="Times New Roman"/>
        </w:rPr>
      </w:pPr>
    </w:p>
    <w:p w14:paraId="707B85A4" w14:textId="29BC6215" w:rsidR="00F956D1" w:rsidRPr="00F956D1" w:rsidRDefault="00F956D1" w:rsidP="00F956D1">
      <w:pPr>
        <w:rPr>
          <w:rFonts w:eastAsia="Times New Roman" w:cs="Times New Roman"/>
        </w:rPr>
      </w:pPr>
      <w:r w:rsidRPr="00F956D1">
        <w:rPr>
          <w:rFonts w:eastAsia="Times New Roman" w:cs="Times New Roman"/>
        </w:rPr>
        <w:t>14°</w:t>
      </w:r>
      <w:r w:rsidRPr="00F956D1">
        <w:rPr>
          <w:rFonts w:eastAsia="Times New Roman" w:cs="Times New Roman"/>
        </w:rPr>
        <w:tab/>
        <w:t>Si ce n’est à Bruxelles, il n’est fait référence qu’à l’enregistrement du bail et non au concept, plus général, de date certaine. Que ce soit en Flandre</w:t>
      </w:r>
      <w:r w:rsidR="00344520">
        <w:rPr>
          <w:rStyle w:val="Appelnotedebasdep"/>
          <w:rFonts w:eastAsia="Times New Roman" w:cs="Times New Roman"/>
        </w:rPr>
        <w:footnoteReference w:id="23"/>
      </w:r>
      <w:r w:rsidRPr="00F956D1">
        <w:rPr>
          <w:rFonts w:eastAsia="Times New Roman" w:cs="Times New Roman"/>
        </w:rPr>
        <w:t xml:space="preserve"> ou en Wallonie</w:t>
      </w:r>
      <w:r w:rsidR="00344520">
        <w:rPr>
          <w:rStyle w:val="Appelnotedebasdep"/>
          <w:rFonts w:eastAsia="Times New Roman" w:cs="Times New Roman"/>
        </w:rPr>
        <w:footnoteReference w:id="24"/>
      </w:r>
      <w:r w:rsidRPr="00F956D1">
        <w:rPr>
          <w:rFonts w:eastAsia="Times New Roman" w:cs="Times New Roman"/>
        </w:rPr>
        <w:t>, les auteurs semblent toutefois s’accorder sur le fait que, partant du postulat de la cohérence du législateur, il convient de supposer que les législateurs flamand et wallon ont visé l’acquisition par le bail d’une date certaine et non uniquement son enregistrement. Si l’on peut éventuellement douter de la cohérence législative, qui n’est plus celle du législateur, mais bien des législateurs, il n’en reste pas moins qu’il serait pour le moins étonnant que le preneur ne puisse faire valoir l’existence d’un bail authentique qui ne serait pas encore enregistré.</w:t>
      </w:r>
    </w:p>
    <w:p w14:paraId="4DC2E90D" w14:textId="77777777" w:rsidR="00F956D1" w:rsidRPr="00F956D1" w:rsidRDefault="00F956D1" w:rsidP="00F956D1">
      <w:pPr>
        <w:rPr>
          <w:rFonts w:eastAsia="Times New Roman" w:cs="Times New Roman"/>
        </w:rPr>
      </w:pPr>
    </w:p>
    <w:p w14:paraId="497376F5" w14:textId="77777777" w:rsidR="00F956D1" w:rsidRPr="00F956D1" w:rsidRDefault="00F956D1" w:rsidP="00F956D1">
      <w:pPr>
        <w:ind w:right="510"/>
        <w:jc w:val="both"/>
        <w:rPr>
          <w:rFonts w:eastAsia="Times New Roman" w:cs="Times New Roman"/>
        </w:rPr>
      </w:pPr>
      <w:r w:rsidRPr="00F956D1">
        <w:rPr>
          <w:rFonts w:eastAsia="Times New Roman" w:cs="Times New Roman"/>
        </w:rPr>
        <w:t>15°</w:t>
      </w:r>
      <w:r w:rsidRPr="00F956D1">
        <w:rPr>
          <w:rFonts w:eastAsia="Times New Roman" w:cs="Times New Roman"/>
        </w:rPr>
        <w:tab/>
        <w:t>Les trois Régions ont adopté une disposition (qui n’est que la quasi-reproduction de</w:t>
      </w:r>
      <w:r w:rsidRPr="00F956D1">
        <w:rPr>
          <w:rFonts w:eastAsia="Times New Roman" w:cs="News Gothic MT"/>
          <w:kern w:val="2"/>
          <w:sz w:val="21"/>
          <w:szCs w:val="21"/>
          <w:lang w:val="fr-FR"/>
        </w:rPr>
        <w:t>)</w:t>
      </w:r>
      <w:r w:rsidRPr="00F956D1">
        <w:rPr>
          <w:rFonts w:eastAsia="Times New Roman" w:cs="Times New Roman"/>
        </w:rPr>
        <w:t xml:space="preserve"> relative à la compétence judiciaire, une matière qui est en principe de la compétence du législateur fédéral. A cet égard, le Conseil d’Etat a rappelé en ses avis (Voy . Doc. Parl. Vl., session 2015-2016, 598/2, 8, nr 6.1 et Doc. Parl. W., session 2017-2018, 1008/1, p. 12) que l’intervention des communautés et régions suppose qu’elle soit nécessaire à l’exercice des compétences régionales ou communautaires et que la matière pour laquelle le fédéral est compétent se prête à un régime différencié. Sans doute cette nécessité résulte-t-elle de la présence de pareille disposition dans l’article 29 </w:t>
      </w:r>
      <w:r w:rsidRPr="00F956D1">
        <w:rPr>
          <w:rFonts w:eastAsia="Times New Roman" w:cs="News Gothic MT"/>
          <w:kern w:val="2"/>
          <w:sz w:val="21"/>
          <w:szCs w:val="21"/>
          <w:lang w:val="fr-FR"/>
        </w:rPr>
        <w:t>des dispositions du Code civil relatives aux baux commerciaux</w:t>
      </w:r>
      <w:r w:rsidRPr="00F956D1">
        <w:rPr>
          <w:rFonts w:eastAsia="Times New Roman" w:cs="Times New Roman"/>
        </w:rPr>
        <w:t xml:space="preserve"> dont les dispositions régionales ne sont que la quasi-reproduction.</w:t>
      </w:r>
    </w:p>
    <w:p w14:paraId="6DA769AC" w14:textId="77777777" w:rsidR="00F956D1" w:rsidRPr="00F956D1" w:rsidRDefault="00F956D1" w:rsidP="00F956D1">
      <w:pPr>
        <w:rPr>
          <w:rFonts w:eastAsia="Times New Roman" w:cs="Times New Roman"/>
        </w:rPr>
      </w:pPr>
    </w:p>
    <w:p w14:paraId="4A8DCF10" w14:textId="2BB65E83" w:rsidR="00F956D1" w:rsidRPr="00F956D1" w:rsidRDefault="00F956D1" w:rsidP="00F956D1">
      <w:pPr>
        <w:ind w:right="510"/>
        <w:jc w:val="both"/>
        <w:rPr>
          <w:rFonts w:eastAsia="Times New Roman" w:cs="News Gothic MT"/>
          <w:kern w:val="2"/>
          <w:sz w:val="21"/>
          <w:szCs w:val="21"/>
          <w:lang w:val="fr-FR"/>
        </w:rPr>
      </w:pPr>
      <w:r w:rsidRPr="00F956D1">
        <w:rPr>
          <w:rFonts w:eastAsia="Times New Roman" w:cs="Times New Roman"/>
        </w:rPr>
        <w:lastRenderedPageBreak/>
        <w:t>16°</w:t>
      </w:r>
      <w:r w:rsidRPr="00F956D1">
        <w:rPr>
          <w:rFonts w:eastAsia="Times New Roman" w:cs="Times New Roman"/>
        </w:rPr>
        <w:tab/>
        <w:t>Il est permis de se poser la question de la réelle utilité de cette disposition qui ne porte que sur une conciliation purement facultative, faisant double emploi avec la conciliation instituée par l’article 731 du Code judiciaire</w:t>
      </w:r>
      <w:r w:rsidR="00344520">
        <w:rPr>
          <w:rStyle w:val="Appelnotedebasdep"/>
          <w:rFonts w:eastAsia="Times New Roman" w:cs="Times New Roman"/>
        </w:rPr>
        <w:footnoteReference w:id="25"/>
      </w:r>
      <w:r w:rsidRPr="00F956D1">
        <w:rPr>
          <w:rFonts w:eastAsia="Times New Roman" w:cs="Times New Roman"/>
        </w:rPr>
        <w:t>. La loi sur les baux commerciaux prévoit, certes, un tel régime, mais celui-ci a une utilité incontestable en ce qu’il permet de « geler » divers délais</w:t>
      </w:r>
      <w:r w:rsidR="00F73EF8">
        <w:rPr>
          <w:rStyle w:val="Appelnotedebasdep"/>
          <w:rFonts w:eastAsia="Times New Roman" w:cs="Times New Roman"/>
        </w:rPr>
        <w:footnoteReference w:id="26"/>
      </w:r>
      <w:r w:rsidRPr="00F956D1">
        <w:rPr>
          <w:rFonts w:eastAsia="Times New Roman" w:cs="News Gothic MT"/>
          <w:kern w:val="2"/>
          <w:sz w:val="21"/>
          <w:szCs w:val="21"/>
          <w:lang w:val="fr-FR"/>
        </w:rPr>
        <w:t>, ce que ne prévoient ni l’article 16 du décret flamand, ni l’article 11 du décret wallon.</w:t>
      </w:r>
    </w:p>
    <w:p w14:paraId="3D4D8216" w14:textId="77777777" w:rsidR="00F956D1" w:rsidRPr="00F956D1" w:rsidRDefault="00F956D1" w:rsidP="00F956D1">
      <w:pPr>
        <w:rPr>
          <w:rFonts w:eastAsia="Times New Roman" w:cs="Times New Roman"/>
        </w:rPr>
      </w:pPr>
    </w:p>
    <w:p w14:paraId="618467B2" w14:textId="6751071D" w:rsidR="00F956D1" w:rsidRPr="00F956D1" w:rsidRDefault="00F956D1" w:rsidP="00F956D1">
      <w:pPr>
        <w:ind w:right="510"/>
        <w:jc w:val="both"/>
        <w:rPr>
          <w:rFonts w:eastAsia="Times New Roman" w:cs="News Gothic MT"/>
          <w:kern w:val="2"/>
          <w:sz w:val="21"/>
          <w:szCs w:val="21"/>
          <w:lang w:val="fr-FR"/>
        </w:rPr>
      </w:pPr>
      <w:r w:rsidRPr="00F956D1">
        <w:rPr>
          <w:rFonts w:eastAsia="Times New Roman" w:cs="Times New Roman"/>
        </w:rPr>
        <w:t>17°</w:t>
      </w:r>
      <w:r w:rsidRPr="00F956D1">
        <w:rPr>
          <w:rFonts w:eastAsia="Times New Roman" w:cs="Times New Roman"/>
        </w:rPr>
        <w:tab/>
        <w:t xml:space="preserve">Si le remplacement pur et simple de la première des exclusions du champ d’application des </w:t>
      </w:r>
      <w:r w:rsidRPr="00F956D1">
        <w:rPr>
          <w:rFonts w:eastAsia="Times New Roman" w:cs="News Gothic MT"/>
          <w:kern w:val="2"/>
          <w:sz w:val="21"/>
          <w:szCs w:val="21"/>
          <w:lang w:val="fr-FR"/>
        </w:rPr>
        <w:t xml:space="preserve"> dispositions du Code civil relatives aux baux commerciaux (visant les baux qui, en raison de la nature du bien ou de sa destination ou des usages, sont normalement consentis pour une durée inférieure à un an) paraissait tout-à-fait logique compte tenu de la possibilité désormais offerte aux parties de conclure un bail commercial d’un an maximum sans tomber sous le coup du bail commercial traditionnel de 9 ans renouvelables, il est un élément qui n’a cependant pas été pris en considération et qui conduit à un certain effet pervers. Dans les trois régions, à l’exclusion relative aux baux de circonstances s’est substituée une exclusion relative aux seuls baux commerciaux d’une durée égale ou inférieure à un an. Ces notions ne sont toutefois pas identiques</w:t>
      </w:r>
      <w:r w:rsidR="00F73EF8">
        <w:rPr>
          <w:rStyle w:val="Appelnotedebasdep"/>
          <w:rFonts w:eastAsia="Times New Roman" w:cs="News Gothic MT"/>
          <w:kern w:val="2"/>
          <w:sz w:val="21"/>
          <w:szCs w:val="21"/>
          <w:lang w:val="fr-FR"/>
        </w:rPr>
        <w:footnoteReference w:id="27"/>
      </w:r>
      <w:r w:rsidRPr="00F956D1">
        <w:rPr>
          <w:rFonts w:eastAsia="Times New Roman" w:cs="News Gothic MT"/>
          <w:kern w:val="2"/>
          <w:sz w:val="21"/>
          <w:szCs w:val="21"/>
          <w:lang w:val="fr-FR"/>
        </w:rPr>
        <w:t>. En effet, ce n’était pas tant la durée de la location que la nature de bail de circonstances qui s’avérait déterminant en vue de l’application ou non de l’article 2, 1° des dispositions du Code civil relatives aux baux commerciaux</w:t>
      </w:r>
      <w:r w:rsidR="00F73EF8">
        <w:rPr>
          <w:rStyle w:val="Appelnotedebasdep"/>
          <w:rFonts w:eastAsia="Times New Roman" w:cs="News Gothic MT"/>
          <w:kern w:val="2"/>
          <w:sz w:val="21"/>
          <w:szCs w:val="21"/>
          <w:lang w:val="fr-FR"/>
        </w:rPr>
        <w:footnoteReference w:id="28"/>
      </w:r>
      <w:r w:rsidRPr="00F956D1">
        <w:rPr>
          <w:rFonts w:eastAsia="Times New Roman" w:cs="News Gothic MT"/>
          <w:kern w:val="2"/>
          <w:sz w:val="21"/>
          <w:szCs w:val="21"/>
          <w:lang w:val="fr-FR"/>
        </w:rPr>
        <w:t>. Ainsi, l’exclusion du droit commun des baux commerciaux pouvait, dans certaines hypothèses, s’appliquer à des baux d’une durée supérieure à un an</w:t>
      </w:r>
      <w:r w:rsidR="00F73EF8">
        <w:rPr>
          <w:rStyle w:val="Appelnotedebasdep"/>
          <w:rFonts w:eastAsia="Times New Roman" w:cs="News Gothic MT"/>
          <w:kern w:val="2"/>
          <w:sz w:val="21"/>
          <w:szCs w:val="21"/>
          <w:lang w:val="fr-FR"/>
        </w:rPr>
        <w:footnoteReference w:id="29"/>
      </w:r>
      <w:r w:rsidRPr="00F956D1">
        <w:rPr>
          <w:rFonts w:eastAsia="Times New Roman" w:cs="News Gothic MT"/>
          <w:kern w:val="2"/>
          <w:sz w:val="21"/>
          <w:szCs w:val="21"/>
          <w:lang w:val="fr-FR"/>
        </w:rPr>
        <w:t>. Tel n’est plus le cas aujourd’hui. Un bail de circonstances d’une durée supérieure à un an se voit nécessairement appliquer les dispositions de la loi sur les baux commerciaux et constitue dès lors un bail de 9 ans</w:t>
      </w:r>
      <w:r w:rsidR="00F73EF8">
        <w:rPr>
          <w:rStyle w:val="Appelnotedebasdep"/>
          <w:rFonts w:eastAsia="Times New Roman" w:cs="News Gothic MT"/>
          <w:kern w:val="2"/>
          <w:sz w:val="21"/>
          <w:szCs w:val="21"/>
          <w:lang w:val="fr-FR"/>
        </w:rPr>
        <w:footnoteReference w:id="30"/>
      </w:r>
      <w:r w:rsidRPr="00F956D1">
        <w:rPr>
          <w:rFonts w:eastAsia="Times New Roman" w:cs="Times New Roman"/>
        </w:rPr>
        <w:t>. La sécurité juridique en sort certes gagnante, mais au prix de l’effacement de la volonté légitime des parties dans certains cas particuliers.</w:t>
      </w:r>
    </w:p>
    <w:p w14:paraId="2F8B1279" w14:textId="77777777" w:rsidR="00F956D1" w:rsidRPr="00F956D1" w:rsidRDefault="00F956D1" w:rsidP="00F956D1">
      <w:pPr>
        <w:ind w:right="510"/>
        <w:jc w:val="both"/>
        <w:rPr>
          <w:rFonts w:eastAsia="Times New Roman" w:cs="News Gothic MT"/>
          <w:kern w:val="2"/>
          <w:sz w:val="21"/>
          <w:szCs w:val="21"/>
          <w:lang w:val="fr-FR"/>
        </w:rPr>
      </w:pPr>
    </w:p>
    <w:p w14:paraId="05507AA3" w14:textId="253A9751" w:rsidR="00F956D1" w:rsidRPr="00F956D1" w:rsidRDefault="00F956D1" w:rsidP="00F956D1">
      <w:pPr>
        <w:ind w:right="510"/>
        <w:jc w:val="both"/>
        <w:rPr>
          <w:rFonts w:eastAsia="Times New Roman" w:cs="News Gothic MT"/>
          <w:kern w:val="2"/>
          <w:sz w:val="21"/>
          <w:szCs w:val="21"/>
          <w:lang w:val="fr-FR"/>
        </w:rPr>
      </w:pPr>
      <w:r w:rsidRPr="00F956D1">
        <w:rPr>
          <w:rFonts w:eastAsia="Times New Roman" w:cs="News Gothic MT"/>
          <w:kern w:val="2"/>
          <w:sz w:val="21"/>
          <w:szCs w:val="21"/>
          <w:lang w:val="fr-FR"/>
        </w:rPr>
        <w:t>18°</w:t>
      </w:r>
      <w:r w:rsidRPr="00F956D1">
        <w:rPr>
          <w:rFonts w:eastAsia="Times New Roman" w:cs="News Gothic MT"/>
          <w:kern w:val="2"/>
          <w:sz w:val="21"/>
          <w:szCs w:val="21"/>
          <w:lang w:val="fr-FR"/>
        </w:rPr>
        <w:tab/>
        <w:t>L’on reproche souvent à la loi sur les baux commerciaux de se montrer par trop formaliste. Le législateur wallon, seul à l’avoir fait, a incontestablement voulu faire preuve de modernisme en « assouplissant » les règles de forme imposées par la législation fédérale en matière de résiliation amiable bilatérale d’un bail et de conclusion d’un accord de renouvellement pour moins de 9 ans. Si l’intention est assurément bonne, il est toutefois permis de se demander si le législateur wallon a fait le bon choix car, parmi les formalismes émaillant la législation fédérale en matière de baux commerciaux, ceux-ci faisaient sens</w:t>
      </w:r>
      <w:r w:rsidR="00F73EF8">
        <w:rPr>
          <w:rStyle w:val="Appelnotedebasdep"/>
          <w:rFonts w:eastAsia="Times New Roman" w:cs="News Gothic MT"/>
          <w:kern w:val="2"/>
          <w:sz w:val="21"/>
          <w:szCs w:val="21"/>
          <w:lang w:val="fr-FR"/>
        </w:rPr>
        <w:footnoteReference w:id="31"/>
      </w:r>
      <w:r w:rsidRPr="00F956D1">
        <w:rPr>
          <w:rFonts w:eastAsia="Times New Roman" w:cs="Times New Roman"/>
        </w:rPr>
        <w:t>.</w:t>
      </w:r>
    </w:p>
    <w:p w14:paraId="7B7D680C" w14:textId="77777777" w:rsidR="00F956D1" w:rsidRPr="00F956D1" w:rsidRDefault="00F956D1" w:rsidP="00F956D1">
      <w:pPr>
        <w:rPr>
          <w:rFonts w:eastAsia="Times New Roman" w:cs="Times New Roman"/>
          <w:lang w:val="fr-FR"/>
        </w:rPr>
      </w:pPr>
    </w:p>
    <w:p w14:paraId="7D700A6C" w14:textId="77777777" w:rsidR="00F956D1" w:rsidRDefault="00F956D1">
      <w:pPr>
        <w:rPr>
          <w:b/>
          <w:bCs/>
        </w:rPr>
      </w:pPr>
    </w:p>
    <w:p w14:paraId="74986105" w14:textId="77777777" w:rsidR="00F956D1" w:rsidRDefault="00F956D1">
      <w:pPr>
        <w:rPr>
          <w:b/>
          <w:bCs/>
        </w:rPr>
      </w:pPr>
    </w:p>
    <w:p w14:paraId="62382CDF" w14:textId="36B4D363" w:rsidR="00F956D1" w:rsidRDefault="00F956D1">
      <w:pPr>
        <w:rPr>
          <w:b/>
          <w:bCs/>
        </w:rPr>
      </w:pPr>
    </w:p>
    <w:p w14:paraId="521E4F89" w14:textId="77777777" w:rsidR="00F73EF8" w:rsidRDefault="00F73EF8">
      <w:pPr>
        <w:rPr>
          <w:b/>
          <w:bCs/>
        </w:rPr>
      </w:pPr>
    </w:p>
    <w:p w14:paraId="4E31E264" w14:textId="1948349E" w:rsidR="005903A9" w:rsidRPr="00F73EF8" w:rsidRDefault="00F73EF8">
      <w:pPr>
        <w:rPr>
          <w:rFonts w:eastAsia="Times New Roman" w:cs="Times New Roman"/>
          <w:b/>
          <w:bCs/>
          <w:i/>
          <w:iCs/>
        </w:rPr>
      </w:pPr>
      <w:r>
        <w:rPr>
          <w:rFonts w:eastAsia="Times New Roman" w:cs="Times New Roman"/>
          <w:b/>
          <w:bCs/>
          <w:i/>
          <w:iCs/>
        </w:rPr>
        <w:lastRenderedPageBreak/>
        <w:t xml:space="preserve">Section 2 : </w:t>
      </w:r>
      <w:r w:rsidR="00C406A2" w:rsidRPr="00F73EF8">
        <w:rPr>
          <w:rFonts w:eastAsia="Times New Roman" w:cs="Times New Roman"/>
          <w:b/>
          <w:bCs/>
          <w:i/>
          <w:iCs/>
        </w:rPr>
        <w:t>Le nouveau régime de l’emphytéose : une alternative au bail commercial ?</w:t>
      </w:r>
    </w:p>
    <w:p w14:paraId="6B45F928" w14:textId="77777777" w:rsidR="00F21258" w:rsidRPr="001A1C1A" w:rsidRDefault="00F21258">
      <w:pPr>
        <w:rPr>
          <w:b/>
          <w:bCs/>
        </w:rPr>
      </w:pPr>
    </w:p>
    <w:p w14:paraId="49ACFE6C" w14:textId="1A639A90" w:rsidR="00F21258" w:rsidRPr="001A1C1A" w:rsidRDefault="00F21258" w:rsidP="00F21258">
      <w:pPr>
        <w:pStyle w:val="Paragraphedeliste"/>
        <w:numPr>
          <w:ilvl w:val="0"/>
          <w:numId w:val="1"/>
        </w:numPr>
        <w:rPr>
          <w:u w:val="single"/>
        </w:rPr>
      </w:pPr>
      <w:r w:rsidRPr="001A1C1A">
        <w:rPr>
          <w:u w:val="single"/>
        </w:rPr>
        <w:t>Le nouveau Code civil et la réforme du droit de biens</w:t>
      </w:r>
    </w:p>
    <w:p w14:paraId="7A2D56DB" w14:textId="77777777" w:rsidR="00F21258" w:rsidRPr="001A1C1A" w:rsidRDefault="00F21258" w:rsidP="00F21258">
      <w:pPr>
        <w:pStyle w:val="Paragraphedeliste"/>
        <w:rPr>
          <w:u w:val="single"/>
        </w:rPr>
      </w:pPr>
    </w:p>
    <w:p w14:paraId="08C9DBE9" w14:textId="77777777" w:rsidR="00F73EF8" w:rsidRDefault="00C406A2" w:rsidP="00F73EF8">
      <w:pPr>
        <w:pStyle w:val="Paragraphedeliste"/>
        <w:numPr>
          <w:ilvl w:val="0"/>
          <w:numId w:val="13"/>
        </w:numPr>
        <w:ind w:left="426" w:hanging="426"/>
        <w:jc w:val="both"/>
        <w:rPr>
          <w:rFonts w:eastAsia="Times New Roman" w:cs="Times New Roman"/>
        </w:rPr>
      </w:pPr>
      <w:r w:rsidRPr="00F73EF8">
        <w:rPr>
          <w:rFonts w:eastAsia="Times New Roman" w:cs="Times New Roman"/>
        </w:rPr>
        <w:t>La seconde réform</w:t>
      </w:r>
      <w:r w:rsidR="00D03CC3" w:rsidRPr="00F73EF8">
        <w:rPr>
          <w:rFonts w:eastAsia="Times New Roman" w:cs="Times New Roman"/>
        </w:rPr>
        <w:t>e</w:t>
      </w:r>
      <w:r w:rsidRPr="00F73EF8">
        <w:rPr>
          <w:rFonts w:eastAsia="Times New Roman" w:cs="Times New Roman"/>
        </w:rPr>
        <w:t xml:space="preserve"> législative récente ne porte pas, en tant que telle</w:t>
      </w:r>
      <w:r w:rsidR="0086666D" w:rsidRPr="00F73EF8">
        <w:rPr>
          <w:rFonts w:eastAsia="Times New Roman" w:cs="Times New Roman"/>
        </w:rPr>
        <w:t>,</w:t>
      </w:r>
      <w:r w:rsidRPr="00F73EF8">
        <w:rPr>
          <w:rFonts w:eastAsia="Times New Roman" w:cs="Times New Roman"/>
        </w:rPr>
        <w:t xml:space="preserve"> sur la matière du bail commercial. </w:t>
      </w:r>
      <w:r w:rsidR="00D03CC3" w:rsidRPr="00F73EF8">
        <w:rPr>
          <w:rFonts w:eastAsia="Times New Roman" w:cs="Times New Roman"/>
        </w:rPr>
        <w:t>Elle pourrait toutefois offrir une alternative aux acteurs de l’immobilier commercial</w:t>
      </w:r>
      <w:r w:rsidR="008061D7" w:rsidRPr="00F73EF8">
        <w:rPr>
          <w:rFonts w:eastAsia="Times New Roman" w:cs="Times New Roman"/>
        </w:rPr>
        <w:t>.</w:t>
      </w:r>
      <w:r w:rsidR="00F21258" w:rsidRPr="00F73EF8">
        <w:rPr>
          <w:rFonts w:eastAsia="Times New Roman" w:cs="Times New Roman"/>
        </w:rPr>
        <w:t xml:space="preserve"> </w:t>
      </w:r>
      <w:r w:rsidR="008061D7" w:rsidRPr="00F73EF8">
        <w:rPr>
          <w:rFonts w:eastAsia="Times New Roman" w:cs="Times New Roman"/>
        </w:rPr>
        <w:t>Il s’agit de la récente réforme du droit des biens, adoptée par la loi du 4 février 2020</w:t>
      </w:r>
      <w:r w:rsidR="008061D7" w:rsidRPr="00F73EF8">
        <w:rPr>
          <w:rStyle w:val="Appelnotedebasdep"/>
        </w:rPr>
        <w:footnoteReference w:id="32"/>
      </w:r>
      <w:r w:rsidR="008061D7" w:rsidRPr="00F73EF8">
        <w:rPr>
          <w:rFonts w:eastAsia="Times New Roman" w:cs="Times New Roman"/>
        </w:rPr>
        <w:t xml:space="preserve">. </w:t>
      </w:r>
    </w:p>
    <w:p w14:paraId="5F3D2415" w14:textId="77777777" w:rsidR="00F73EF8" w:rsidRDefault="00F73EF8" w:rsidP="00F73EF8">
      <w:pPr>
        <w:pStyle w:val="Paragraphedeliste"/>
        <w:ind w:left="426"/>
        <w:jc w:val="both"/>
        <w:rPr>
          <w:rFonts w:eastAsia="Times New Roman" w:cs="Times New Roman"/>
        </w:rPr>
      </w:pPr>
    </w:p>
    <w:p w14:paraId="06BC866A" w14:textId="77777777" w:rsidR="00F73EF8" w:rsidRDefault="008061D7" w:rsidP="00F73EF8">
      <w:pPr>
        <w:pStyle w:val="Paragraphedeliste"/>
        <w:numPr>
          <w:ilvl w:val="0"/>
          <w:numId w:val="13"/>
        </w:numPr>
        <w:ind w:left="426" w:hanging="426"/>
        <w:jc w:val="both"/>
        <w:rPr>
          <w:rFonts w:eastAsia="Times New Roman" w:cs="Times New Roman"/>
        </w:rPr>
      </w:pPr>
      <w:r w:rsidRPr="001A1C1A">
        <w:t xml:space="preserve">On sait que </w:t>
      </w:r>
      <w:r w:rsidR="000673F8" w:rsidRPr="00F73EF8">
        <w:rPr>
          <w:rFonts w:eastAsia="Times New Roman" w:cs="Times New Roman"/>
        </w:rPr>
        <w:t xml:space="preserve">le ministre de la Justice </w:t>
      </w:r>
      <w:r w:rsidR="000673F8" w:rsidRPr="001A1C1A">
        <w:t xml:space="preserve">Koen Geens a initié </w:t>
      </w:r>
      <w:r w:rsidRPr="00F73EF8">
        <w:rPr>
          <w:rFonts w:eastAsia="Times New Roman" w:cs="Times New Roman"/>
        </w:rPr>
        <w:t xml:space="preserve">un </w:t>
      </w:r>
      <w:r w:rsidR="000673F8" w:rsidRPr="00F73EF8">
        <w:rPr>
          <w:rFonts w:eastAsia="Times New Roman" w:cs="Times New Roman"/>
        </w:rPr>
        <w:t xml:space="preserve">ambitieux </w:t>
      </w:r>
      <w:r w:rsidRPr="00F73EF8">
        <w:rPr>
          <w:rFonts w:eastAsia="Times New Roman" w:cs="Times New Roman"/>
        </w:rPr>
        <w:t xml:space="preserve">projet </w:t>
      </w:r>
      <w:r w:rsidR="000673F8" w:rsidRPr="00F73EF8">
        <w:rPr>
          <w:rFonts w:eastAsia="Times New Roman" w:cs="Times New Roman"/>
        </w:rPr>
        <w:t>« recodification de la législation de base »</w:t>
      </w:r>
      <w:r w:rsidR="000673F8" w:rsidRPr="001A1C1A">
        <w:rPr>
          <w:vertAlign w:val="superscript"/>
        </w:rPr>
        <w:footnoteReference w:id="33"/>
      </w:r>
      <w:r w:rsidR="000673F8" w:rsidRPr="00F73EF8">
        <w:rPr>
          <w:rFonts w:eastAsia="Times New Roman" w:cs="Times New Roman"/>
        </w:rPr>
        <w:t xml:space="preserve"> au sein de laquelle le</w:t>
      </w:r>
      <w:r w:rsidRPr="00F73EF8">
        <w:rPr>
          <w:rFonts w:eastAsia="Times New Roman" w:cs="Times New Roman"/>
        </w:rPr>
        <w:t xml:space="preserve"> Code civil</w:t>
      </w:r>
      <w:r w:rsidR="000673F8" w:rsidRPr="00F73EF8">
        <w:rPr>
          <w:rFonts w:eastAsia="Times New Roman" w:cs="Times New Roman"/>
        </w:rPr>
        <w:t xml:space="preserve"> occupe une place centrale</w:t>
      </w:r>
      <w:r w:rsidRPr="00F73EF8">
        <w:rPr>
          <w:rFonts w:eastAsia="Times New Roman" w:cs="Times New Roman"/>
        </w:rPr>
        <w:t xml:space="preserve">. </w:t>
      </w:r>
      <w:r w:rsidR="000673F8" w:rsidRPr="00F73EF8">
        <w:rPr>
          <w:rFonts w:eastAsia="Times New Roman" w:cs="Times New Roman"/>
        </w:rPr>
        <w:t>C’est ainsi notamment qu’il a créé</w:t>
      </w:r>
      <w:r w:rsidRPr="00F73EF8">
        <w:rPr>
          <w:rFonts w:eastAsia="Times New Roman" w:cs="Times New Roman"/>
        </w:rPr>
        <w:t>, par arrêté du 30 septembre 2017</w:t>
      </w:r>
      <w:r w:rsidR="00F21258" w:rsidRPr="00F73EF8">
        <w:rPr>
          <w:rFonts w:eastAsia="Times New Roman" w:cs="Times New Roman"/>
        </w:rPr>
        <w:t>,</w:t>
      </w:r>
      <w:r w:rsidRPr="00F73EF8">
        <w:rPr>
          <w:rFonts w:eastAsia="Times New Roman" w:cs="Times New Roman"/>
        </w:rPr>
        <w:t xml:space="preserve"> six commissions, respectivement en charge de préparer les projets de réformes du droit des obligations, du droit des biens, du droit de la preuve, du droit de la responsabilité, du contrat de prêt et du droit des suretés personnelles</w:t>
      </w:r>
      <w:r w:rsidRPr="001A1C1A">
        <w:rPr>
          <w:vertAlign w:val="superscript"/>
        </w:rPr>
        <w:footnoteReference w:id="34"/>
      </w:r>
      <w:r w:rsidRPr="00F73EF8">
        <w:rPr>
          <w:rFonts w:eastAsia="Times New Roman" w:cs="Times New Roman"/>
        </w:rPr>
        <w:t xml:space="preserve">. </w:t>
      </w:r>
      <w:r w:rsidR="00C6753B" w:rsidRPr="00F73EF8">
        <w:rPr>
          <w:rFonts w:eastAsia="Times New Roman" w:cs="Times New Roman"/>
        </w:rPr>
        <w:t>A ce jour, s</w:t>
      </w:r>
      <w:r w:rsidRPr="00F73EF8">
        <w:rPr>
          <w:rFonts w:eastAsia="Times New Roman" w:cs="Times New Roman"/>
        </w:rPr>
        <w:t>eul</w:t>
      </w:r>
      <w:r w:rsidR="001329C0" w:rsidRPr="00F73EF8">
        <w:rPr>
          <w:rFonts w:eastAsia="Times New Roman" w:cs="Times New Roman"/>
        </w:rPr>
        <w:t>e</w:t>
      </w:r>
      <w:r w:rsidRPr="00F73EF8">
        <w:rPr>
          <w:rFonts w:eastAsia="Times New Roman" w:cs="Times New Roman"/>
        </w:rPr>
        <w:t>s les réforme</w:t>
      </w:r>
      <w:r w:rsidR="00C6753B" w:rsidRPr="00F73EF8">
        <w:rPr>
          <w:rFonts w:eastAsia="Times New Roman" w:cs="Times New Roman"/>
        </w:rPr>
        <w:t>s</w:t>
      </w:r>
      <w:r w:rsidRPr="00F73EF8">
        <w:rPr>
          <w:rFonts w:eastAsia="Times New Roman" w:cs="Times New Roman"/>
        </w:rPr>
        <w:t xml:space="preserve"> </w:t>
      </w:r>
      <w:r w:rsidR="00C6753B" w:rsidRPr="00F73EF8">
        <w:rPr>
          <w:rFonts w:eastAsia="Times New Roman" w:cs="Times New Roman"/>
        </w:rPr>
        <w:t xml:space="preserve">du droit de la preuve et </w:t>
      </w:r>
      <w:r w:rsidRPr="00F73EF8">
        <w:rPr>
          <w:rFonts w:eastAsia="Times New Roman" w:cs="Times New Roman"/>
        </w:rPr>
        <w:t>du droit des biens</w:t>
      </w:r>
      <w:r w:rsidR="00C6753B" w:rsidRPr="00F73EF8">
        <w:rPr>
          <w:rFonts w:eastAsia="Times New Roman" w:cs="Times New Roman"/>
        </w:rPr>
        <w:t xml:space="preserve"> ont abouti</w:t>
      </w:r>
      <w:r w:rsidRPr="00F73EF8">
        <w:rPr>
          <w:rFonts w:eastAsia="Times New Roman" w:cs="Times New Roman"/>
        </w:rPr>
        <w:t xml:space="preserve">. </w:t>
      </w:r>
      <w:r w:rsidR="00C6753B" w:rsidRPr="00F73EF8">
        <w:rPr>
          <w:rFonts w:eastAsia="Times New Roman" w:cs="Times New Roman"/>
        </w:rPr>
        <w:t>La loi portant création du Code civil et y insérant un livre 8 « La preuve » a en effet été adoptée le 13 avril 2019</w:t>
      </w:r>
      <w:r w:rsidR="00C6753B" w:rsidRPr="001A1C1A">
        <w:rPr>
          <w:rStyle w:val="Appelnotedebasdep"/>
          <w:rFonts w:eastAsia="Times New Roman" w:cs="Times New Roman"/>
        </w:rPr>
        <w:footnoteReference w:id="35"/>
      </w:r>
      <w:r w:rsidR="00C6753B" w:rsidRPr="00F73EF8">
        <w:rPr>
          <w:rFonts w:eastAsia="Times New Roman" w:cs="Times New Roman"/>
        </w:rPr>
        <w:t>. Elle dispose, en son article 2 qu’il « est créé un Code civil, composé [de neuf] livres » et insère, par son article 3, le contenu du livre 8</w:t>
      </w:r>
      <w:r w:rsidR="001329C0" w:rsidRPr="00F73EF8">
        <w:rPr>
          <w:rFonts w:eastAsia="Times New Roman" w:cs="Times New Roman"/>
        </w:rPr>
        <w:t xml:space="preserve"> consacré au droit de la preuve en matière civile</w:t>
      </w:r>
      <w:r w:rsidR="001329C0" w:rsidRPr="001A1C1A">
        <w:rPr>
          <w:rStyle w:val="Appelnotedebasdep"/>
          <w:rFonts w:eastAsia="Times New Roman" w:cs="Times New Roman"/>
        </w:rPr>
        <w:footnoteReference w:id="36"/>
      </w:r>
      <w:r w:rsidR="001329C0" w:rsidRPr="00F73EF8">
        <w:rPr>
          <w:rFonts w:eastAsia="Times New Roman" w:cs="Times New Roman"/>
        </w:rPr>
        <w:t xml:space="preserve">. La loi du 4 février 2020 porte, pour sa part, le livre 3 du Code civil </w:t>
      </w:r>
      <w:r w:rsidR="0086666D" w:rsidRPr="00F73EF8">
        <w:rPr>
          <w:rFonts w:eastAsia="Times New Roman" w:cs="Times New Roman"/>
        </w:rPr>
        <w:t>traitant du</w:t>
      </w:r>
      <w:r w:rsidR="001329C0" w:rsidRPr="00F73EF8">
        <w:rPr>
          <w:rFonts w:eastAsia="Times New Roman" w:cs="Times New Roman"/>
        </w:rPr>
        <w:t xml:space="preserve"> droit des biens. </w:t>
      </w:r>
      <w:r w:rsidR="00C6753B" w:rsidRPr="00F73EF8">
        <w:rPr>
          <w:rFonts w:eastAsia="Times New Roman" w:cs="Times New Roman"/>
        </w:rPr>
        <w:t xml:space="preserve"> </w:t>
      </w:r>
    </w:p>
    <w:p w14:paraId="097D57B1" w14:textId="77777777" w:rsidR="00F73EF8" w:rsidRPr="00F73EF8" w:rsidRDefault="00F73EF8" w:rsidP="00F73EF8">
      <w:pPr>
        <w:pStyle w:val="Paragraphedeliste"/>
        <w:rPr>
          <w:rFonts w:eastAsia="Times New Roman" w:cs="Times New Roman"/>
        </w:rPr>
      </w:pPr>
    </w:p>
    <w:p w14:paraId="615E01E9" w14:textId="525E4CFE" w:rsidR="005903A9" w:rsidRPr="00F73EF8" w:rsidRDefault="00E17D03" w:rsidP="00F73EF8">
      <w:pPr>
        <w:pStyle w:val="Paragraphedeliste"/>
        <w:numPr>
          <w:ilvl w:val="0"/>
          <w:numId w:val="13"/>
        </w:numPr>
        <w:ind w:left="426" w:hanging="426"/>
        <w:jc w:val="both"/>
        <w:rPr>
          <w:rFonts w:eastAsia="Times New Roman" w:cs="Times New Roman"/>
        </w:rPr>
      </w:pPr>
      <w:r w:rsidRPr="00F73EF8">
        <w:rPr>
          <w:rFonts w:eastAsia="Times New Roman" w:cs="Times New Roman"/>
        </w:rPr>
        <w:t>La loi du 13 avril 2019 entrera en vigueur le 1</w:t>
      </w:r>
      <w:r w:rsidRPr="00F73EF8">
        <w:rPr>
          <w:rFonts w:eastAsia="Times New Roman" w:cs="Times New Roman"/>
          <w:vertAlign w:val="superscript"/>
        </w:rPr>
        <w:t>er</w:t>
      </w:r>
      <w:r w:rsidRPr="00F73EF8">
        <w:rPr>
          <w:rFonts w:eastAsia="Times New Roman" w:cs="Times New Roman"/>
        </w:rPr>
        <w:t xml:space="preserve"> novembre 2020</w:t>
      </w:r>
      <w:r w:rsidRPr="001A1C1A">
        <w:rPr>
          <w:rStyle w:val="Appelnotedebasdep"/>
          <w:rFonts w:eastAsia="Times New Roman" w:cs="Times New Roman"/>
        </w:rPr>
        <w:footnoteReference w:id="37"/>
      </w:r>
      <w:r w:rsidRPr="00F73EF8">
        <w:rPr>
          <w:rFonts w:eastAsia="Times New Roman" w:cs="Times New Roman"/>
        </w:rPr>
        <w:t xml:space="preserve">. </w:t>
      </w:r>
      <w:r w:rsidRPr="001A1C1A">
        <w:t xml:space="preserve">A partir de cette date, </w:t>
      </w:r>
      <w:r w:rsidRPr="00F73EF8">
        <w:rPr>
          <w:rFonts w:eastAsia="Times New Roman" w:cs="Times New Roman"/>
        </w:rPr>
        <w:t>le Code Napoléon de 1804 « </w:t>
      </w:r>
      <w:r w:rsidRPr="001A1C1A">
        <w:t>portera l'intitulé "ancien Code civil" »</w:t>
      </w:r>
      <w:r w:rsidR="00F21258" w:rsidRPr="001A1C1A">
        <w:rPr>
          <w:rStyle w:val="Appelnotedebasdep"/>
        </w:rPr>
        <w:footnoteReference w:id="38"/>
      </w:r>
      <w:r w:rsidR="00F21258" w:rsidRPr="001A1C1A">
        <w:t>.</w:t>
      </w:r>
      <w:r w:rsidRPr="001A1C1A">
        <w:t xml:space="preserve"> </w:t>
      </w:r>
    </w:p>
    <w:p w14:paraId="6E7C2980" w14:textId="77777777" w:rsidR="005903A9" w:rsidRPr="001A1C1A" w:rsidRDefault="005903A9" w:rsidP="005903A9">
      <w:pPr>
        <w:pStyle w:val="Paragraphedeliste"/>
      </w:pPr>
    </w:p>
    <w:p w14:paraId="3C825CC3" w14:textId="555BA3AD" w:rsidR="008061D7" w:rsidRPr="001A1C1A" w:rsidRDefault="00F21258" w:rsidP="004C0EF7">
      <w:pPr>
        <w:pStyle w:val="Paragraphedeliste"/>
        <w:ind w:left="426"/>
        <w:rPr>
          <w:rFonts w:ascii="Source Sans Pro" w:hAnsi="Source Sans Pro"/>
          <w:color w:val="000000"/>
          <w:sz w:val="21"/>
          <w:szCs w:val="21"/>
          <w:shd w:val="clear" w:color="auto" w:fill="FFFFFF"/>
        </w:rPr>
      </w:pPr>
      <w:r w:rsidRPr="001A1C1A">
        <w:t>Le livre 3 du (nouveau) Code civil, consacré au droit des biens et qui nous occupe dans le cadre de la présente contribution, sera</w:t>
      </w:r>
      <w:r w:rsidR="005903A9" w:rsidRPr="001A1C1A">
        <w:t>, quant à lui,</w:t>
      </w:r>
      <w:r w:rsidRPr="001A1C1A">
        <w:t xml:space="preserve"> applicable à dater du 1</w:t>
      </w:r>
      <w:r w:rsidRPr="001A1C1A">
        <w:rPr>
          <w:vertAlign w:val="superscript"/>
        </w:rPr>
        <w:t>er</w:t>
      </w:r>
      <w:r w:rsidRPr="001A1C1A">
        <w:t xml:space="preserve"> septembre 2021</w:t>
      </w:r>
      <w:r w:rsidRPr="001A1C1A">
        <w:rPr>
          <w:rStyle w:val="Appelnotedebasdep"/>
        </w:rPr>
        <w:footnoteReference w:id="39"/>
      </w:r>
      <w:r w:rsidRPr="001A1C1A">
        <w:t>.</w:t>
      </w:r>
      <w:r w:rsidR="00F66C32" w:rsidRPr="001A1C1A">
        <w:t xml:space="preserve"> Cette « </w:t>
      </w:r>
      <w:r w:rsidR="00F66C32" w:rsidRPr="001A1C1A">
        <w:rPr>
          <w:rFonts w:ascii="Source Sans Pro" w:hAnsi="Source Sans Pro"/>
          <w:i/>
          <w:iCs/>
          <w:color w:val="000000"/>
          <w:sz w:val="21"/>
          <w:szCs w:val="21"/>
          <w:shd w:val="clear" w:color="auto" w:fill="FFFFFF"/>
        </w:rPr>
        <w:t>entreprise de rénovation s'avérait plus que nécessaire</w:t>
      </w:r>
      <w:r w:rsidR="00F66C32" w:rsidRPr="001A1C1A">
        <w:rPr>
          <w:rFonts w:ascii="Source Sans Pro" w:hAnsi="Source Sans Pro"/>
          <w:color w:val="000000"/>
          <w:sz w:val="21"/>
          <w:szCs w:val="21"/>
          <w:shd w:val="clear" w:color="auto" w:fill="FFFFFF"/>
        </w:rPr>
        <w:t> » aux yeux de ses premiers</w:t>
      </w:r>
      <w:r w:rsidR="004C0EF7">
        <w:rPr>
          <w:rFonts w:ascii="Source Sans Pro" w:hAnsi="Source Sans Pro"/>
          <w:color w:val="000000"/>
          <w:sz w:val="21"/>
          <w:szCs w:val="21"/>
          <w:shd w:val="clear" w:color="auto" w:fill="FFFFFF"/>
        </w:rPr>
        <w:t xml:space="preserve"> </w:t>
      </w:r>
      <w:r w:rsidR="00F66C32" w:rsidRPr="001A1C1A">
        <w:rPr>
          <w:rFonts w:ascii="Source Sans Pro" w:hAnsi="Source Sans Pro"/>
          <w:color w:val="000000"/>
          <w:sz w:val="21"/>
          <w:szCs w:val="21"/>
          <w:shd w:val="clear" w:color="auto" w:fill="FFFFFF"/>
        </w:rPr>
        <w:t>commentateurs</w:t>
      </w:r>
      <w:r w:rsidR="00F66C32" w:rsidRPr="001A1C1A">
        <w:rPr>
          <w:rStyle w:val="Appelnotedebasdep"/>
          <w:rFonts w:ascii="Source Sans Pro" w:hAnsi="Source Sans Pro"/>
          <w:color w:val="000000"/>
          <w:sz w:val="21"/>
          <w:szCs w:val="21"/>
          <w:shd w:val="clear" w:color="auto" w:fill="FFFFFF"/>
        </w:rPr>
        <w:footnoteReference w:id="40"/>
      </w:r>
      <w:r w:rsidR="00F66C32" w:rsidRPr="001A1C1A">
        <w:rPr>
          <w:rFonts w:ascii="Source Sans Pro" w:hAnsi="Source Sans Pro"/>
          <w:color w:val="000000"/>
          <w:sz w:val="21"/>
          <w:szCs w:val="21"/>
          <w:shd w:val="clear" w:color="auto" w:fill="FFFFFF"/>
        </w:rPr>
        <w:t>, « </w:t>
      </w:r>
      <w:r w:rsidR="00F66C32" w:rsidRPr="001A1C1A">
        <w:rPr>
          <w:rFonts w:ascii="Source Sans Pro" w:hAnsi="Source Sans Pro"/>
          <w:i/>
          <w:iCs/>
          <w:color w:val="000000"/>
          <w:sz w:val="21"/>
          <w:szCs w:val="21"/>
          <w:shd w:val="clear" w:color="auto" w:fill="FFFFFF"/>
        </w:rPr>
        <w:t>notamment pour adapter aux réalités de son temps un corps de règles très peu retouché depuis son adoption en 1804</w:t>
      </w:r>
      <w:r w:rsidR="00F66C32" w:rsidRPr="001A1C1A">
        <w:rPr>
          <w:rFonts w:ascii="Source Sans Pro" w:hAnsi="Source Sans Pro"/>
          <w:color w:val="000000"/>
          <w:sz w:val="21"/>
          <w:szCs w:val="21"/>
          <w:shd w:val="clear" w:color="auto" w:fill="FFFFFF"/>
        </w:rPr>
        <w:t> »</w:t>
      </w:r>
      <w:r w:rsidR="00A929F8">
        <w:rPr>
          <w:rStyle w:val="Appelnotedebasdep"/>
          <w:rFonts w:ascii="Source Sans Pro" w:hAnsi="Source Sans Pro"/>
          <w:color w:val="000000"/>
          <w:sz w:val="21"/>
          <w:szCs w:val="21"/>
          <w:shd w:val="clear" w:color="auto" w:fill="FFFFFF"/>
        </w:rPr>
        <w:footnoteReference w:id="41"/>
      </w:r>
      <w:r w:rsidR="00F66C32" w:rsidRPr="001A1C1A">
        <w:rPr>
          <w:rFonts w:ascii="Source Sans Pro" w:hAnsi="Source Sans Pro"/>
          <w:i/>
          <w:iCs/>
          <w:color w:val="000000"/>
          <w:sz w:val="21"/>
          <w:szCs w:val="21"/>
          <w:shd w:val="clear" w:color="auto" w:fill="FFFFFF"/>
        </w:rPr>
        <w:t xml:space="preserve">. </w:t>
      </w:r>
      <w:r w:rsidR="005903A9" w:rsidRPr="001A1C1A">
        <w:rPr>
          <w:rFonts w:ascii="Source Sans Pro" w:hAnsi="Source Sans Pro"/>
          <w:color w:val="000000"/>
          <w:sz w:val="21"/>
          <w:szCs w:val="21"/>
          <w:shd w:val="clear" w:color="auto" w:fill="FFFFFF"/>
        </w:rPr>
        <w:t xml:space="preserve"> Il n’entre évidemment pas dans nos ambitions de </w:t>
      </w:r>
      <w:r w:rsidR="005903A9" w:rsidRPr="001A1C1A">
        <w:rPr>
          <w:rFonts w:ascii="Source Sans Pro" w:hAnsi="Source Sans Pro"/>
          <w:color w:val="000000"/>
          <w:sz w:val="21"/>
          <w:szCs w:val="21"/>
          <w:shd w:val="clear" w:color="auto" w:fill="FFFFFF"/>
        </w:rPr>
        <w:lastRenderedPageBreak/>
        <w:t>présenter et, encore moins, de commenter cette réforme. Un élément de celle-ci retiendra toutefois notre attention : le nouveau régime qu’elle instaure pour le droit d’emphytéose.</w:t>
      </w:r>
      <w:r w:rsidR="006B1C80" w:rsidRPr="001A1C1A">
        <w:rPr>
          <w:rFonts w:ascii="Source Sans Pro" w:hAnsi="Source Sans Pro"/>
          <w:color w:val="000000"/>
          <w:sz w:val="21"/>
          <w:szCs w:val="21"/>
          <w:shd w:val="clear" w:color="auto" w:fill="FFFFFF"/>
        </w:rPr>
        <w:t xml:space="preserve"> Ce droit </w:t>
      </w:r>
      <w:r w:rsidR="004C0EF7">
        <w:rPr>
          <w:rFonts w:ascii="Source Sans Pro" w:hAnsi="Source Sans Pro"/>
          <w:color w:val="000000"/>
          <w:sz w:val="21"/>
          <w:szCs w:val="21"/>
          <w:shd w:val="clear" w:color="auto" w:fill="FFFFFF"/>
        </w:rPr>
        <w:t>peut</w:t>
      </w:r>
      <w:r w:rsidR="006B1C80" w:rsidRPr="001A1C1A">
        <w:rPr>
          <w:rFonts w:ascii="Source Sans Pro" w:hAnsi="Source Sans Pro"/>
          <w:color w:val="000000"/>
          <w:sz w:val="21"/>
          <w:szCs w:val="21"/>
          <w:shd w:val="clear" w:color="auto" w:fill="FFFFFF"/>
        </w:rPr>
        <w:t xml:space="preserve"> en effet constituer une alternative à la conclusion d’un bail commercial, comme l’indiquait déjà le Professeur FORIERS il y a plus de 20 ans</w:t>
      </w:r>
      <w:r w:rsidR="006B1C80" w:rsidRPr="001A1C1A">
        <w:rPr>
          <w:rStyle w:val="Appelnotedebasdep"/>
          <w:rFonts w:ascii="Source Sans Pro" w:hAnsi="Source Sans Pro"/>
          <w:color w:val="000000"/>
          <w:sz w:val="21"/>
          <w:szCs w:val="21"/>
          <w:shd w:val="clear" w:color="auto" w:fill="FFFFFF"/>
        </w:rPr>
        <w:footnoteReference w:id="42"/>
      </w:r>
      <w:r w:rsidR="006B1C80" w:rsidRPr="001A1C1A">
        <w:rPr>
          <w:rFonts w:ascii="Source Sans Pro" w:hAnsi="Source Sans Pro"/>
          <w:color w:val="000000"/>
          <w:sz w:val="21"/>
          <w:szCs w:val="21"/>
          <w:shd w:val="clear" w:color="auto" w:fill="FFFFFF"/>
        </w:rPr>
        <w:t>.</w:t>
      </w:r>
      <w:r w:rsidR="00A67C93" w:rsidRPr="001A1C1A">
        <w:rPr>
          <w:rFonts w:ascii="Source Sans Pro" w:hAnsi="Source Sans Pro"/>
          <w:color w:val="000000"/>
          <w:sz w:val="21"/>
          <w:szCs w:val="21"/>
          <w:shd w:val="clear" w:color="auto" w:fill="FFFFFF"/>
        </w:rPr>
        <w:t xml:space="preserve"> Or, la réforme du droit des biens nous paraît offrir des perspectives nouvelles à cet égard. C’est l’objet de la présente section.</w:t>
      </w:r>
    </w:p>
    <w:p w14:paraId="17328841" w14:textId="08A1DA97" w:rsidR="00A67C93" w:rsidRPr="001A1C1A" w:rsidRDefault="00A67C93" w:rsidP="005903A9">
      <w:pPr>
        <w:pStyle w:val="Paragraphedeliste"/>
        <w:rPr>
          <w:rFonts w:ascii="Source Sans Pro" w:hAnsi="Source Sans Pro"/>
          <w:color w:val="000000"/>
          <w:sz w:val="21"/>
          <w:szCs w:val="21"/>
          <w:shd w:val="clear" w:color="auto" w:fill="FFFFFF"/>
        </w:rPr>
      </w:pPr>
    </w:p>
    <w:p w14:paraId="35EAB7CA" w14:textId="3C6058EE" w:rsidR="00612106" w:rsidRPr="001A1C1A" w:rsidRDefault="00612106" w:rsidP="00612106">
      <w:pPr>
        <w:pStyle w:val="Paragraphedeliste"/>
        <w:numPr>
          <w:ilvl w:val="0"/>
          <w:numId w:val="1"/>
        </w:numPr>
        <w:rPr>
          <w:u w:val="single"/>
        </w:rPr>
      </w:pPr>
      <w:r w:rsidRPr="001A1C1A">
        <w:rPr>
          <w:u w:val="single"/>
        </w:rPr>
        <w:t>De l’impossibilité de déroger à la faculté de résiliation triennale du preneur</w:t>
      </w:r>
    </w:p>
    <w:p w14:paraId="444B9671" w14:textId="574069B7" w:rsidR="00A67C93" w:rsidRPr="001A1C1A" w:rsidRDefault="00A67C93" w:rsidP="005903A9">
      <w:pPr>
        <w:pStyle w:val="Paragraphedeliste"/>
      </w:pPr>
    </w:p>
    <w:p w14:paraId="5D3D718F" w14:textId="193A5A8F" w:rsidR="00A1118C" w:rsidRPr="001A1C1A" w:rsidRDefault="00612106" w:rsidP="004C0EF7">
      <w:pPr>
        <w:pStyle w:val="Paragraphedeliste"/>
        <w:numPr>
          <w:ilvl w:val="0"/>
          <w:numId w:val="13"/>
        </w:numPr>
        <w:ind w:left="426" w:hanging="426"/>
        <w:rPr>
          <w:rFonts w:eastAsia="Times New Roman" w:cs="Times New Roman"/>
        </w:rPr>
      </w:pPr>
      <w:r w:rsidRPr="001A1C1A">
        <w:rPr>
          <w:rFonts w:eastAsia="Times New Roman" w:cs="Times New Roman"/>
        </w:rPr>
        <w:t>La loi du 30 avril 1951 sur les baux commerciaux a été adoptée « en vue de la protection du fonds de commerce »</w:t>
      </w:r>
      <w:r w:rsidRPr="001A1C1A">
        <w:rPr>
          <w:rStyle w:val="Appelnotedebasdep"/>
          <w:rFonts w:eastAsia="Times New Roman" w:cs="Times New Roman"/>
        </w:rPr>
        <w:footnoteReference w:id="43"/>
      </w:r>
      <w:r w:rsidRPr="001A1C1A">
        <w:rPr>
          <w:rFonts w:eastAsia="Times New Roman" w:cs="Times New Roman"/>
        </w:rPr>
        <w:t xml:space="preserve"> du preneur.</w:t>
      </w:r>
      <w:r w:rsidR="00A1118C" w:rsidRPr="001A1C1A">
        <w:rPr>
          <w:rFonts w:eastAsia="Times New Roman" w:cs="Times New Roman"/>
        </w:rPr>
        <w:t xml:space="preserve"> </w:t>
      </w:r>
      <w:r w:rsidR="00A1118C" w:rsidRPr="001A1C1A">
        <w:rPr>
          <w:rFonts w:ascii="Calibri" w:eastAsia="Times New Roman" w:hAnsi="Calibri" w:cs="Times New Roman"/>
        </w:rPr>
        <w:t>Le projet de loi ayant mené à son adoption contenait, à l’origine, un article 42 énonçant que « </w:t>
      </w:r>
      <w:r w:rsidR="00A1118C" w:rsidRPr="001A1C1A">
        <w:rPr>
          <w:rFonts w:ascii="Calibri" w:eastAsia="Times New Roman" w:hAnsi="Calibri" w:cs="Times New Roman"/>
          <w:i/>
        </w:rPr>
        <w:t>sont nulles et de nul effet, quelle qu’en soit la forme, les stipulations contraires aux dispositions de la présente loi, ainsi que toutes conventions conclues en vue d’en éluder l’application</w:t>
      </w:r>
      <w:r w:rsidR="00A1118C" w:rsidRPr="001A1C1A">
        <w:rPr>
          <w:rFonts w:ascii="Calibri" w:eastAsia="Times New Roman" w:hAnsi="Calibri" w:cs="Times New Roman"/>
        </w:rPr>
        <w:t> ». Cet article n’a pas été retenu. La question de la nature des dispositions de la loi s’est dès lors posée : sont-elles supplétives, de sorte qu’il serait possible d’y déroger par convention ou, si une telle dérogation n’est pas possible est-ce compte tenu de leur caractère d’ordre public ou simplement impératif ?</w:t>
      </w:r>
    </w:p>
    <w:p w14:paraId="6EB0F118" w14:textId="77777777" w:rsidR="00A1118C" w:rsidRPr="001A1C1A" w:rsidRDefault="00A1118C" w:rsidP="004C0EF7">
      <w:pPr>
        <w:pStyle w:val="Paragraphedeliste"/>
        <w:ind w:left="426" w:hanging="426"/>
        <w:rPr>
          <w:rFonts w:eastAsia="Times New Roman" w:cs="Times New Roman"/>
        </w:rPr>
      </w:pPr>
    </w:p>
    <w:p w14:paraId="45C16FB1" w14:textId="77777777" w:rsidR="009011CF" w:rsidRPr="001A1C1A" w:rsidRDefault="00A1118C" w:rsidP="004C0EF7">
      <w:pPr>
        <w:pStyle w:val="Paragraphedeliste"/>
        <w:numPr>
          <w:ilvl w:val="0"/>
          <w:numId w:val="13"/>
        </w:numPr>
        <w:ind w:left="426" w:hanging="426"/>
        <w:rPr>
          <w:rFonts w:eastAsia="Times New Roman" w:cs="Times New Roman"/>
        </w:rPr>
      </w:pPr>
      <w:r w:rsidRPr="001A1C1A">
        <w:rPr>
          <w:rFonts w:ascii="Calibri" w:eastAsia="Times New Roman" w:hAnsi="Calibri" w:cs="Times New Roman"/>
        </w:rPr>
        <w:t>Initialement, la volonté était de conférer à la loi le caractère d’ordre public</w:t>
      </w:r>
      <w:r w:rsidRPr="001A1C1A">
        <w:rPr>
          <w:vertAlign w:val="superscript"/>
        </w:rPr>
        <w:footnoteReference w:id="44"/>
      </w:r>
      <w:r w:rsidRPr="001A1C1A">
        <w:rPr>
          <w:rFonts w:ascii="Calibri" w:eastAsia="Times New Roman" w:hAnsi="Calibri" w:cs="Times New Roman"/>
        </w:rPr>
        <w:t>. Il est cependant aujourd’hui certain - et unanimement admis</w:t>
      </w:r>
      <w:r w:rsidRPr="001A1C1A">
        <w:rPr>
          <w:vertAlign w:val="superscript"/>
        </w:rPr>
        <w:footnoteReference w:id="45"/>
      </w:r>
      <w:r w:rsidRPr="001A1C1A">
        <w:rPr>
          <w:rFonts w:ascii="Calibri" w:eastAsia="Times New Roman" w:hAnsi="Calibri" w:cs="Times New Roman"/>
        </w:rPr>
        <w:t xml:space="preserve"> – que ses dispositions n’ont pas ce caractère. En effet, selon la Cour de Cassation, « </w:t>
      </w:r>
      <w:r w:rsidRPr="001A1C1A">
        <w:rPr>
          <w:rFonts w:ascii="Calibri" w:eastAsia="Times New Roman" w:hAnsi="Calibri" w:cs="Times New Roman"/>
          <w:i/>
        </w:rPr>
        <w:t>n’est d’ordre public proprement dit que la loi qui touche aux intérêts essentiels de l’Etat ou de la collectivité, ou qui fixe dans le droit privé les bases juridiques sur lesquelles repose l’ordre économique ou moral de la société</w:t>
      </w:r>
      <w:r w:rsidRPr="001A1C1A">
        <w:rPr>
          <w:rFonts w:ascii="Calibri" w:eastAsia="Times New Roman" w:hAnsi="Calibri" w:cs="Times New Roman"/>
        </w:rPr>
        <w:t> »</w:t>
      </w:r>
      <w:r w:rsidRPr="001A1C1A">
        <w:rPr>
          <w:vertAlign w:val="superscript"/>
        </w:rPr>
        <w:footnoteReference w:id="46"/>
      </w:r>
      <w:r w:rsidRPr="001A1C1A">
        <w:rPr>
          <w:rFonts w:ascii="Calibri" w:eastAsia="Times New Roman" w:hAnsi="Calibri" w:cs="Times New Roman"/>
        </w:rPr>
        <w:t>. Or, « </w:t>
      </w:r>
      <w:r w:rsidRPr="001A1C1A">
        <w:rPr>
          <w:rFonts w:ascii="Calibri" w:eastAsia="Times New Roman" w:hAnsi="Calibri" w:cs="Times New Roman"/>
          <w:i/>
        </w:rPr>
        <w:t xml:space="preserve">nous ne sommes évidemment pas ici en présence d’une loi qui remplit ces conditions, mais plutôt d’une loi qui règle des intérêts privés, importants, c’est incontestable, mais privés quand même. Par conséquent, on peut conclure </w:t>
      </w:r>
      <w:r w:rsidRPr="001A1C1A">
        <w:rPr>
          <w:rFonts w:ascii="Calibri" w:eastAsia="Times New Roman" w:hAnsi="Calibri" w:cs="Times New Roman"/>
        </w:rPr>
        <w:t>[…]</w:t>
      </w:r>
      <w:r w:rsidRPr="001A1C1A">
        <w:rPr>
          <w:rFonts w:ascii="Calibri" w:eastAsia="Times New Roman" w:hAnsi="Calibri" w:cs="Times New Roman"/>
          <w:i/>
        </w:rPr>
        <w:t xml:space="preserve"> que la loi sur les baux commerciaux </w:t>
      </w:r>
      <w:r w:rsidRPr="001A1C1A">
        <w:rPr>
          <w:rFonts w:ascii="Calibri" w:eastAsia="Times New Roman" w:hAnsi="Calibri" w:cs="Times New Roman"/>
        </w:rPr>
        <w:t>[…]</w:t>
      </w:r>
      <w:r w:rsidRPr="001A1C1A">
        <w:rPr>
          <w:rFonts w:ascii="Calibri" w:eastAsia="Times New Roman" w:hAnsi="Calibri" w:cs="Times New Roman"/>
          <w:i/>
        </w:rPr>
        <w:t xml:space="preserve"> ne doit pas être considérée comme une loi d’ordre public</w:t>
      </w:r>
      <w:r w:rsidRPr="001A1C1A">
        <w:rPr>
          <w:rFonts w:ascii="Calibri" w:eastAsia="Times New Roman" w:hAnsi="Calibri" w:cs="Times New Roman"/>
        </w:rPr>
        <w:t xml:space="preserve"> […] »</w:t>
      </w:r>
      <w:r w:rsidRPr="001A1C1A">
        <w:rPr>
          <w:vertAlign w:val="superscript"/>
        </w:rPr>
        <w:footnoteReference w:id="47"/>
      </w:r>
      <w:r w:rsidRPr="001A1C1A">
        <w:rPr>
          <w:rFonts w:ascii="Calibri" w:eastAsia="Times New Roman" w:hAnsi="Calibri" w:cs="Times New Roman"/>
        </w:rPr>
        <w:t>.</w:t>
      </w:r>
    </w:p>
    <w:p w14:paraId="28E6C49A" w14:textId="77777777" w:rsidR="009011CF" w:rsidRPr="001A1C1A" w:rsidRDefault="009011CF" w:rsidP="009011CF">
      <w:pPr>
        <w:pStyle w:val="Paragraphedeliste"/>
        <w:rPr>
          <w:rFonts w:ascii="Calibri" w:eastAsia="Times New Roman" w:hAnsi="Calibri" w:cs="Times New Roman"/>
        </w:rPr>
      </w:pPr>
    </w:p>
    <w:p w14:paraId="18BA4B97" w14:textId="3DF2A8C3" w:rsidR="006403EF" w:rsidRPr="001A1C1A" w:rsidRDefault="00A1118C" w:rsidP="004C0EF7">
      <w:pPr>
        <w:pStyle w:val="Paragraphedeliste"/>
        <w:numPr>
          <w:ilvl w:val="0"/>
          <w:numId w:val="13"/>
        </w:numPr>
        <w:ind w:left="426" w:hanging="426"/>
        <w:rPr>
          <w:rFonts w:eastAsia="Times New Roman" w:cs="Times New Roman"/>
        </w:rPr>
      </w:pPr>
      <w:r w:rsidRPr="001A1C1A">
        <w:rPr>
          <w:rFonts w:ascii="Calibri" w:eastAsia="Times New Roman" w:hAnsi="Calibri" w:cs="Times New Roman"/>
        </w:rPr>
        <w:t>Comme le précise W. Paternostre, « </w:t>
      </w:r>
      <w:r w:rsidRPr="001A1C1A">
        <w:rPr>
          <w:rFonts w:ascii="Calibri" w:eastAsia="Times New Roman" w:hAnsi="Calibri" w:cs="Times New Roman"/>
          <w:i/>
        </w:rPr>
        <w:t xml:space="preserve">il n’est pas douteux que, vu le but de protection du fonds de commerce que le législateur s’est assigné, certaines dispositions de la loi doivent être rendues </w:t>
      </w:r>
      <w:r w:rsidRPr="001A1C1A">
        <w:rPr>
          <w:rFonts w:ascii="Calibri" w:eastAsia="Times New Roman" w:hAnsi="Calibri" w:cs="Times New Roman"/>
          <w:i/>
        </w:rPr>
        <w:lastRenderedPageBreak/>
        <w:t>applicables nonobstant toute convention contraire</w:t>
      </w:r>
      <w:r w:rsidRPr="001A1C1A">
        <w:rPr>
          <w:rFonts w:ascii="Calibri" w:eastAsia="Times New Roman" w:hAnsi="Calibri" w:cs="Times New Roman"/>
        </w:rPr>
        <w:t> »</w:t>
      </w:r>
      <w:r w:rsidRPr="001A1C1A">
        <w:rPr>
          <w:rFonts w:ascii="Calibri" w:eastAsia="Times New Roman" w:hAnsi="Calibri" w:cs="Times New Roman"/>
          <w:vertAlign w:val="superscript"/>
        </w:rPr>
        <w:t xml:space="preserve"> </w:t>
      </w:r>
      <w:r w:rsidRPr="001A1C1A">
        <w:rPr>
          <w:vertAlign w:val="superscript"/>
        </w:rPr>
        <w:footnoteReference w:id="48"/>
      </w:r>
      <w:r w:rsidRPr="001A1C1A">
        <w:rPr>
          <w:rFonts w:ascii="Calibri" w:eastAsia="Times New Roman" w:hAnsi="Calibri" w:cs="Times New Roman"/>
        </w:rPr>
        <w:t>. Ces dispositions doivent donc être considérées comme impératives. L’auteur continue en précisant que « </w:t>
      </w:r>
      <w:r w:rsidRPr="001A1C1A">
        <w:rPr>
          <w:rFonts w:ascii="Calibri" w:eastAsia="Times New Roman" w:hAnsi="Calibri" w:cs="Times New Roman"/>
          <w:i/>
        </w:rPr>
        <w:t>d’autres, par contre, sont laissées à la libre appréciation des parties</w:t>
      </w:r>
      <w:r w:rsidRPr="001A1C1A">
        <w:rPr>
          <w:rFonts w:ascii="Calibri" w:eastAsia="Times New Roman" w:hAnsi="Calibri" w:cs="Times New Roman"/>
        </w:rPr>
        <w:t> »</w:t>
      </w:r>
      <w:r w:rsidRPr="001A1C1A">
        <w:rPr>
          <w:vertAlign w:val="superscript"/>
        </w:rPr>
        <w:footnoteReference w:id="49"/>
      </w:r>
      <w:r w:rsidRPr="001A1C1A">
        <w:rPr>
          <w:rFonts w:ascii="Calibri" w:eastAsia="Times New Roman" w:hAnsi="Calibri" w:cs="Times New Roman"/>
        </w:rPr>
        <w:t xml:space="preserve">, ces dispositions étant supplétives. L’impérativité </w:t>
      </w:r>
      <w:r w:rsidR="009011CF" w:rsidRPr="001A1C1A">
        <w:rPr>
          <w:rFonts w:ascii="Calibri" w:eastAsia="Times New Roman" w:hAnsi="Calibri" w:cs="Times New Roman"/>
        </w:rPr>
        <w:t>est</w:t>
      </w:r>
      <w:r w:rsidRPr="001A1C1A">
        <w:rPr>
          <w:rFonts w:ascii="Calibri" w:eastAsia="Times New Roman" w:hAnsi="Calibri" w:cs="Times New Roman"/>
        </w:rPr>
        <w:t xml:space="preserve"> le principe et les possibilités dérogations contractuelles l’exception : « </w:t>
      </w:r>
      <w:r w:rsidRPr="001A1C1A">
        <w:rPr>
          <w:rFonts w:ascii="Calibri" w:eastAsia="Times New Roman" w:hAnsi="Calibri" w:cs="Times New Roman"/>
          <w:i/>
        </w:rPr>
        <w:t>toutes les dispositions auxquelles le texte lui-même ne permet pas de déroger, sont impératives</w:t>
      </w:r>
      <w:r w:rsidRPr="001A1C1A">
        <w:rPr>
          <w:rFonts w:ascii="Calibri" w:eastAsia="Times New Roman" w:hAnsi="Calibri" w:cs="Times New Roman"/>
        </w:rPr>
        <w:t> »</w:t>
      </w:r>
      <w:r w:rsidRPr="001A1C1A">
        <w:rPr>
          <w:vertAlign w:val="superscript"/>
        </w:rPr>
        <w:footnoteReference w:id="50"/>
      </w:r>
      <w:r w:rsidRPr="001A1C1A">
        <w:rPr>
          <w:rFonts w:ascii="Calibri" w:eastAsia="Times New Roman" w:hAnsi="Calibri" w:cs="Times New Roman"/>
          <w:vertAlign w:val="superscript"/>
        </w:rPr>
        <w:t>-</w:t>
      </w:r>
      <w:r w:rsidRPr="001A1C1A">
        <w:rPr>
          <w:vertAlign w:val="superscript"/>
        </w:rPr>
        <w:footnoteReference w:id="51"/>
      </w:r>
      <w:r w:rsidRPr="001A1C1A">
        <w:rPr>
          <w:rFonts w:ascii="Calibri" w:eastAsia="Times New Roman" w:hAnsi="Calibri" w:cs="Times New Roman"/>
        </w:rPr>
        <w:t>.  La Cour de cassation a précisé, quant à elle, qu’il faut également admettre les dérogations conventionnelles lorsque la loi le permet implicitement : « </w:t>
      </w:r>
      <w:r w:rsidRPr="001A1C1A">
        <w:rPr>
          <w:rFonts w:ascii="Calibri" w:eastAsia="Times New Roman" w:hAnsi="Calibri" w:cs="Times New Roman"/>
          <w:i/>
        </w:rPr>
        <w:t>toutes les dispositions de la loi du 30 avril 1951 sur les baux commerciaux sont, en principe, impératives, les parties ne pouvant y déroger que lorsque cette faculté leur est expressément ou implicitement reconnue</w:t>
      </w:r>
      <w:r w:rsidRPr="001A1C1A">
        <w:rPr>
          <w:rFonts w:ascii="Calibri" w:eastAsia="Times New Roman" w:hAnsi="Calibri" w:cs="Times New Roman"/>
        </w:rPr>
        <w:t> »</w:t>
      </w:r>
      <w:r w:rsidRPr="001A1C1A">
        <w:rPr>
          <w:vertAlign w:val="superscript"/>
        </w:rPr>
        <w:footnoteReference w:id="52"/>
      </w:r>
      <w:r w:rsidRPr="001A1C1A">
        <w:rPr>
          <w:rFonts w:ascii="Calibri" w:eastAsia="Times New Roman" w:hAnsi="Calibri" w:cs="Times New Roman"/>
        </w:rPr>
        <w:t>. Dès lors, le juge, confronté à une disposition de la loi dont il devra définir le caractère impératif ou supplétif devra non seulement « </w:t>
      </w:r>
      <w:r w:rsidRPr="001A1C1A">
        <w:rPr>
          <w:rFonts w:ascii="Calibri" w:eastAsia="Times New Roman" w:hAnsi="Calibri" w:cs="Times New Roman"/>
          <w:i/>
        </w:rPr>
        <w:t>examiner si la disposition litigieuse contient une formule expresse permettant aux parties d’y déroger</w:t>
      </w:r>
      <w:r w:rsidRPr="001A1C1A">
        <w:rPr>
          <w:rFonts w:ascii="Calibri" w:eastAsia="Times New Roman" w:hAnsi="Calibri" w:cs="Times New Roman"/>
        </w:rPr>
        <w:t> »</w:t>
      </w:r>
      <w:r w:rsidRPr="001A1C1A">
        <w:rPr>
          <w:vertAlign w:val="superscript"/>
        </w:rPr>
        <w:footnoteReference w:id="53"/>
      </w:r>
      <w:r w:rsidRPr="001A1C1A">
        <w:rPr>
          <w:rFonts w:ascii="Calibri" w:eastAsia="Times New Roman" w:hAnsi="Calibri" w:cs="Times New Roman"/>
        </w:rPr>
        <w:t xml:space="preserve"> mais également « </w:t>
      </w:r>
      <w:r w:rsidRPr="001A1C1A">
        <w:rPr>
          <w:rFonts w:ascii="Calibri" w:eastAsia="Times New Roman" w:hAnsi="Calibri" w:cs="Times New Roman"/>
          <w:i/>
        </w:rPr>
        <w:t>tenir compte de l’esprit de la loi, et décider en fonction des intérêts que la règle légale visée a eu pour but de protéger</w:t>
      </w:r>
      <w:r w:rsidRPr="001A1C1A">
        <w:rPr>
          <w:rFonts w:ascii="Calibri" w:eastAsia="Times New Roman" w:hAnsi="Calibri" w:cs="Times New Roman"/>
        </w:rPr>
        <w:t> »</w:t>
      </w:r>
      <w:r w:rsidRPr="001A1C1A">
        <w:rPr>
          <w:vertAlign w:val="superscript"/>
        </w:rPr>
        <w:footnoteReference w:id="54"/>
      </w:r>
      <w:r w:rsidRPr="001A1C1A">
        <w:rPr>
          <w:rFonts w:ascii="Calibri" w:eastAsia="Times New Roman" w:hAnsi="Calibri" w:cs="Times New Roman"/>
        </w:rPr>
        <w:t>.</w:t>
      </w:r>
    </w:p>
    <w:p w14:paraId="21411091" w14:textId="77777777" w:rsidR="006403EF" w:rsidRPr="001A1C1A" w:rsidRDefault="006403EF" w:rsidP="004C0EF7">
      <w:pPr>
        <w:pStyle w:val="Paragraphedeliste"/>
        <w:ind w:left="426" w:hanging="426"/>
        <w:rPr>
          <w:rFonts w:eastAsia="Times New Roman" w:cs="Times New Roman"/>
        </w:rPr>
      </w:pPr>
    </w:p>
    <w:p w14:paraId="6FCA5D3A" w14:textId="29C57F88" w:rsidR="006403EF" w:rsidRPr="001A1C1A" w:rsidRDefault="00A1118C" w:rsidP="004C0EF7">
      <w:pPr>
        <w:pStyle w:val="Paragraphedeliste"/>
        <w:numPr>
          <w:ilvl w:val="0"/>
          <w:numId w:val="13"/>
        </w:numPr>
        <w:ind w:left="426" w:hanging="426"/>
        <w:rPr>
          <w:rFonts w:eastAsia="Times New Roman" w:cs="Times New Roman"/>
        </w:rPr>
      </w:pPr>
      <w:r w:rsidRPr="001A1C1A">
        <w:rPr>
          <w:rFonts w:ascii="Calibri" w:eastAsia="Times New Roman" w:hAnsi="Calibri" w:cs="Times New Roman"/>
        </w:rPr>
        <w:t>La loi telle que nous la connaissons aujourd’hui est constituée de trois types d’articles. La majorité des dispositions qu’elle contient sont de nature impérative</w:t>
      </w:r>
      <w:r w:rsidRPr="001A1C1A">
        <w:rPr>
          <w:vertAlign w:val="superscript"/>
        </w:rPr>
        <w:footnoteReference w:id="55"/>
      </w:r>
      <w:r w:rsidRPr="001A1C1A">
        <w:rPr>
          <w:rFonts w:ascii="Calibri" w:eastAsia="Times New Roman" w:hAnsi="Calibri" w:cs="Times New Roman"/>
        </w:rPr>
        <w:t>. Elles ne laissent aucune latitude aux parties, le législateur ayant instauré un régime auquel on ne peut déroger</w:t>
      </w:r>
      <w:r w:rsidRPr="001A1C1A">
        <w:rPr>
          <w:vertAlign w:val="superscript"/>
        </w:rPr>
        <w:footnoteReference w:id="56"/>
      </w:r>
      <w:r w:rsidRPr="001A1C1A">
        <w:rPr>
          <w:rFonts w:ascii="Calibri" w:eastAsia="Times New Roman" w:hAnsi="Calibri" w:cs="Times New Roman"/>
        </w:rPr>
        <w:t>. Poursuivant des intérêts privés et n’entrainant que la nullité relative des dispositions qui y dérogeraient, il est important d’identifier la partie que ces dispositions entendent protéger. Cette nullité pourra en effet être couverte par la partie ainsi réputée faible. Il sera en outre possible d’y déroger, à la condition que la convention établisse un régime plus favorable à cette partie. Le</w:t>
      </w:r>
      <w:r w:rsidR="009011CF" w:rsidRPr="001A1C1A">
        <w:rPr>
          <w:rFonts w:ascii="Calibri" w:eastAsia="Times New Roman" w:hAnsi="Calibri" w:cs="Times New Roman"/>
        </w:rPr>
        <w:t>s</w:t>
      </w:r>
      <w:r w:rsidRPr="001A1C1A">
        <w:rPr>
          <w:rFonts w:ascii="Calibri" w:eastAsia="Times New Roman" w:hAnsi="Calibri" w:cs="Times New Roman"/>
        </w:rPr>
        <w:t xml:space="preserve"> dispositions impératives de la loi sont majoritairement établies en vue de protéger le preneur commerçant contre le propriétaire bailleur de l’immeuble dans lequel l’activité commerciale est exercée. Ce n’est cependant pas toujours le cas, certaines dispositions protégeant les intérêts du bailleur</w:t>
      </w:r>
      <w:r w:rsidRPr="001A1C1A">
        <w:rPr>
          <w:vertAlign w:val="superscript"/>
        </w:rPr>
        <w:footnoteReference w:id="57"/>
      </w:r>
      <w:r w:rsidRPr="001A1C1A">
        <w:rPr>
          <w:rFonts w:ascii="Calibri" w:eastAsia="Times New Roman" w:hAnsi="Calibri" w:cs="Times New Roman"/>
        </w:rPr>
        <w:t xml:space="preserve"> et d’autres encore ont été adoptées dans l’intérêt des deux parties</w:t>
      </w:r>
      <w:r w:rsidRPr="001A1C1A">
        <w:rPr>
          <w:vertAlign w:val="superscript"/>
        </w:rPr>
        <w:footnoteReference w:id="58"/>
      </w:r>
      <w:r w:rsidRPr="001A1C1A">
        <w:rPr>
          <w:rFonts w:ascii="Calibri" w:eastAsia="Times New Roman" w:hAnsi="Calibri" w:cs="Times New Roman"/>
        </w:rPr>
        <w:t>.</w:t>
      </w:r>
      <w:r w:rsidR="006403EF" w:rsidRPr="001A1C1A">
        <w:rPr>
          <w:rFonts w:ascii="Calibri" w:eastAsia="Times New Roman" w:hAnsi="Calibri" w:cs="Times New Roman"/>
        </w:rPr>
        <w:t xml:space="preserve"> Une deuxième catégorie d’articles est de nature supplétive. La loi permettant aux parties d’y déroger par convention</w:t>
      </w:r>
      <w:r w:rsidR="006403EF" w:rsidRPr="001A1C1A">
        <w:rPr>
          <w:vertAlign w:val="superscript"/>
        </w:rPr>
        <w:footnoteReference w:id="59"/>
      </w:r>
      <w:r w:rsidR="006403EF" w:rsidRPr="001A1C1A">
        <w:rPr>
          <w:rFonts w:ascii="Calibri" w:eastAsia="Times New Roman" w:hAnsi="Calibri" w:cs="Times New Roman"/>
        </w:rPr>
        <w:t xml:space="preserve">, moyennant, pour certains d’entre eux, le respect de </w:t>
      </w:r>
      <w:r w:rsidR="006403EF" w:rsidRPr="001A1C1A">
        <w:rPr>
          <w:rFonts w:ascii="Calibri" w:eastAsia="Times New Roman" w:hAnsi="Calibri" w:cs="Times New Roman"/>
        </w:rPr>
        <w:lastRenderedPageBreak/>
        <w:t>certaines conditions de forme</w:t>
      </w:r>
      <w:r w:rsidR="006403EF" w:rsidRPr="001A1C1A">
        <w:rPr>
          <w:vertAlign w:val="superscript"/>
        </w:rPr>
        <w:footnoteReference w:id="60"/>
      </w:r>
      <w:r w:rsidR="006403EF" w:rsidRPr="001A1C1A">
        <w:rPr>
          <w:rFonts w:ascii="Calibri" w:eastAsia="Times New Roman" w:hAnsi="Calibri" w:cs="Times New Roman"/>
        </w:rPr>
        <w:t>. Le troisième type d’articles ne permet des dérogations que lorsque le droit qu’ils garantissent est acquis dans le chef d’une partie</w:t>
      </w:r>
      <w:r w:rsidR="006403EF" w:rsidRPr="001A1C1A">
        <w:rPr>
          <w:rFonts w:ascii="Calibri" w:eastAsia="Times New Roman" w:hAnsi="Calibri" w:cs="Times New Roman"/>
          <w:vertAlign w:val="superscript"/>
        </w:rPr>
        <w:t xml:space="preserve"> </w:t>
      </w:r>
      <w:r w:rsidR="006403EF" w:rsidRPr="001A1C1A">
        <w:rPr>
          <w:vertAlign w:val="superscript"/>
        </w:rPr>
        <w:footnoteReference w:id="61"/>
      </w:r>
      <w:r w:rsidR="006403EF" w:rsidRPr="001A1C1A">
        <w:rPr>
          <w:rFonts w:ascii="Calibri" w:eastAsia="Times New Roman" w:hAnsi="Calibri" w:cs="Times New Roman"/>
          <w:vertAlign w:val="superscript"/>
        </w:rPr>
        <w:t>-</w:t>
      </w:r>
      <w:r w:rsidR="006403EF" w:rsidRPr="001A1C1A">
        <w:rPr>
          <w:vertAlign w:val="superscript"/>
        </w:rPr>
        <w:footnoteReference w:id="62"/>
      </w:r>
      <w:r w:rsidR="006403EF" w:rsidRPr="001A1C1A">
        <w:rPr>
          <w:rFonts w:ascii="Calibri" w:eastAsia="Times New Roman" w:hAnsi="Calibri" w:cs="Times New Roman"/>
        </w:rPr>
        <w:t>.</w:t>
      </w:r>
    </w:p>
    <w:p w14:paraId="661A5F66" w14:textId="77777777" w:rsidR="00650972" w:rsidRPr="001A1C1A" w:rsidRDefault="00650972" w:rsidP="004C0EF7">
      <w:pPr>
        <w:pStyle w:val="Paragraphedeliste"/>
        <w:ind w:left="426" w:hanging="426"/>
        <w:rPr>
          <w:rFonts w:ascii="Calibri" w:eastAsia="Times New Roman" w:hAnsi="Calibri" w:cs="Times New Roman"/>
        </w:rPr>
      </w:pPr>
    </w:p>
    <w:p w14:paraId="1224696A" w14:textId="77777777" w:rsidR="00F22435" w:rsidRPr="001A1C1A" w:rsidRDefault="00650972" w:rsidP="004C0EF7">
      <w:pPr>
        <w:pStyle w:val="Paragraphedeliste"/>
        <w:numPr>
          <w:ilvl w:val="0"/>
          <w:numId w:val="13"/>
        </w:numPr>
        <w:spacing w:after="0" w:line="240" w:lineRule="auto"/>
        <w:ind w:left="426" w:hanging="426"/>
        <w:jc w:val="both"/>
        <w:rPr>
          <w:rFonts w:ascii="Calibri" w:eastAsia="Times New Roman" w:hAnsi="Calibri" w:cs="Times New Roman"/>
        </w:rPr>
      </w:pPr>
      <w:r w:rsidRPr="001A1C1A">
        <w:rPr>
          <w:rFonts w:ascii="Calibri" w:eastAsia="Times New Roman" w:hAnsi="Calibri" w:cs="Times New Roman"/>
        </w:rPr>
        <w:t xml:space="preserve">L’une des principales protections offertes au fonds de commerce du locataire commercial est la durée minimale de 9 ans prévue à l’article 3 de la loi sur les baux commerciaux. </w:t>
      </w:r>
      <w:r w:rsidR="00F22435" w:rsidRPr="00F22435">
        <w:rPr>
          <w:rFonts w:ascii="Calibri" w:eastAsia="Times New Roman" w:hAnsi="Calibri" w:cs="Times New Roman"/>
        </w:rPr>
        <w:t xml:space="preserve">A la lecture de </w:t>
      </w:r>
      <w:r w:rsidR="00F22435" w:rsidRPr="001A1C1A">
        <w:rPr>
          <w:rFonts w:ascii="Calibri" w:eastAsia="Times New Roman" w:hAnsi="Calibri" w:cs="Times New Roman"/>
        </w:rPr>
        <w:t>cette disposition</w:t>
      </w:r>
      <w:r w:rsidR="00F22435" w:rsidRPr="00F22435">
        <w:rPr>
          <w:rFonts w:ascii="Calibri" w:eastAsia="Times New Roman" w:hAnsi="Calibri" w:cs="Times New Roman"/>
        </w:rPr>
        <w:t>, on en conclut que « </w:t>
      </w:r>
      <w:r w:rsidR="00F22435" w:rsidRPr="00F22435">
        <w:rPr>
          <w:rFonts w:ascii="Calibri" w:eastAsia="Times New Roman" w:hAnsi="Calibri" w:cs="Times New Roman"/>
          <w:i/>
        </w:rPr>
        <w:t>le législateur s’est, par principe, refusé à abandonner le choix de la durée à l’entière liberté des parties, attestant son souci de pérenniser les liens qui s’y nouent entre parties</w:t>
      </w:r>
      <w:r w:rsidR="00F22435" w:rsidRPr="00F22435">
        <w:rPr>
          <w:rFonts w:ascii="Calibri" w:eastAsia="Times New Roman" w:hAnsi="Calibri" w:cs="Times New Roman"/>
        </w:rPr>
        <w:t> »</w:t>
      </w:r>
      <w:r w:rsidR="00F22435" w:rsidRPr="00F22435">
        <w:rPr>
          <w:rFonts w:ascii="Calibri" w:eastAsia="Times New Roman" w:hAnsi="Calibri" w:cs="Times New Roman"/>
          <w:vertAlign w:val="superscript"/>
        </w:rPr>
        <w:footnoteReference w:id="63"/>
      </w:r>
      <w:r w:rsidR="00F22435" w:rsidRPr="00F22435">
        <w:rPr>
          <w:rFonts w:ascii="Calibri" w:eastAsia="Times New Roman" w:hAnsi="Calibri" w:cs="Times New Roman"/>
        </w:rPr>
        <w:t xml:space="preserve">. Sans aucun doute, l’établissement d’un délai </w:t>
      </w:r>
      <w:r w:rsidR="00F22435" w:rsidRPr="001A1C1A">
        <w:rPr>
          <w:rFonts w:ascii="Calibri" w:eastAsia="Times New Roman" w:hAnsi="Calibri" w:cs="Times New Roman"/>
        </w:rPr>
        <w:t>minimum</w:t>
      </w:r>
      <w:r w:rsidR="00F22435" w:rsidRPr="00F22435">
        <w:rPr>
          <w:rFonts w:ascii="Calibri" w:eastAsia="Times New Roman" w:hAnsi="Calibri" w:cs="Times New Roman"/>
        </w:rPr>
        <w:t xml:space="preserve"> de neuf années répond au souci de protéger le fonds de commerce du commerçant</w:t>
      </w:r>
      <w:r w:rsidR="00F22435" w:rsidRPr="00F22435">
        <w:rPr>
          <w:rFonts w:ascii="Calibri" w:eastAsia="Times New Roman" w:hAnsi="Calibri" w:cs="Times New Roman"/>
          <w:vertAlign w:val="superscript"/>
        </w:rPr>
        <w:footnoteReference w:id="64"/>
      </w:r>
      <w:r w:rsidR="00F22435" w:rsidRPr="00F22435">
        <w:rPr>
          <w:rFonts w:ascii="Calibri" w:eastAsia="Times New Roman" w:hAnsi="Calibri" w:cs="Times New Roman"/>
        </w:rPr>
        <w:t>. Il lui assure une stabilité certaine pendant cette durée</w:t>
      </w:r>
      <w:r w:rsidR="00F22435" w:rsidRPr="00F22435">
        <w:rPr>
          <w:rFonts w:ascii="Calibri" w:eastAsia="Times New Roman" w:hAnsi="Calibri" w:cs="Times New Roman"/>
          <w:vertAlign w:val="superscript"/>
        </w:rPr>
        <w:footnoteReference w:id="65"/>
      </w:r>
      <w:r w:rsidR="00F22435" w:rsidRPr="00F22435">
        <w:rPr>
          <w:rFonts w:ascii="Calibri" w:eastAsia="Times New Roman" w:hAnsi="Calibri" w:cs="Times New Roman"/>
        </w:rPr>
        <w:t xml:space="preserve"> ainsi qu’un moyen d’amortir et de valoriser le fruit de </w:t>
      </w:r>
      <w:r w:rsidR="00F22435" w:rsidRPr="001A1C1A">
        <w:rPr>
          <w:rFonts w:ascii="Calibri" w:eastAsia="Times New Roman" w:hAnsi="Calibri" w:cs="Times New Roman"/>
        </w:rPr>
        <w:t>son</w:t>
      </w:r>
      <w:r w:rsidR="00F22435" w:rsidRPr="00F22435">
        <w:rPr>
          <w:rFonts w:ascii="Calibri" w:eastAsia="Times New Roman" w:hAnsi="Calibri" w:cs="Times New Roman"/>
        </w:rPr>
        <w:t xml:space="preserve"> travail</w:t>
      </w:r>
      <w:r w:rsidR="00F22435" w:rsidRPr="00F22435">
        <w:rPr>
          <w:rFonts w:ascii="Calibri" w:eastAsia="Times New Roman" w:hAnsi="Calibri" w:cs="Times New Roman"/>
          <w:vertAlign w:val="superscript"/>
        </w:rPr>
        <w:footnoteReference w:id="66"/>
      </w:r>
      <w:r w:rsidR="00F22435" w:rsidRPr="00F22435">
        <w:rPr>
          <w:rFonts w:ascii="Calibri" w:eastAsia="Times New Roman" w:hAnsi="Calibri" w:cs="Times New Roman"/>
        </w:rPr>
        <w:t>. Les travaux préparatoires soulignent à ce titre que «</w:t>
      </w:r>
      <w:r w:rsidR="00F22435" w:rsidRPr="00F22435">
        <w:rPr>
          <w:rFonts w:ascii="Calibri" w:eastAsia="Times New Roman" w:hAnsi="Calibri" w:cs="Times New Roman"/>
          <w:i/>
        </w:rPr>
        <w:t> pour que cette valorisation du fonds soit possible, il faut, nécessairement, que le commerçant, l’artisan, le petit industriel, locataires, possèdent un bail d’une durée satisfaisante, avec des perspectives raisonnables de stabilité</w:t>
      </w:r>
      <w:r w:rsidR="00F22435" w:rsidRPr="00F22435">
        <w:rPr>
          <w:rFonts w:ascii="Calibri" w:eastAsia="Times New Roman" w:hAnsi="Calibri" w:cs="Times New Roman"/>
        </w:rPr>
        <w:t> »</w:t>
      </w:r>
      <w:r w:rsidR="00F22435" w:rsidRPr="00F22435">
        <w:rPr>
          <w:rFonts w:ascii="Calibri" w:eastAsia="Times New Roman" w:hAnsi="Calibri" w:cs="Times New Roman"/>
          <w:vertAlign w:val="superscript"/>
        </w:rPr>
        <w:footnoteReference w:id="67"/>
      </w:r>
      <w:r w:rsidR="00F22435" w:rsidRPr="00F22435">
        <w:rPr>
          <w:rFonts w:ascii="Calibri" w:eastAsia="Times New Roman" w:hAnsi="Calibri" w:cs="Times New Roman"/>
        </w:rPr>
        <w:t>.</w:t>
      </w:r>
    </w:p>
    <w:p w14:paraId="2D579E7C" w14:textId="77777777" w:rsidR="00F22435" w:rsidRPr="001A1C1A" w:rsidRDefault="00F22435" w:rsidP="00F22435">
      <w:pPr>
        <w:pStyle w:val="Paragraphedeliste"/>
        <w:spacing w:after="0" w:line="240" w:lineRule="auto"/>
        <w:jc w:val="both"/>
        <w:rPr>
          <w:rFonts w:ascii="Calibri" w:eastAsia="Times New Roman" w:hAnsi="Calibri" w:cs="Times New Roman"/>
        </w:rPr>
      </w:pPr>
    </w:p>
    <w:p w14:paraId="59A10A24" w14:textId="314865E3" w:rsidR="00F22435" w:rsidRPr="001A1C1A" w:rsidRDefault="00F22435" w:rsidP="004C0EF7">
      <w:pPr>
        <w:pStyle w:val="Paragraphedeliste"/>
        <w:spacing w:after="0" w:line="240" w:lineRule="auto"/>
        <w:ind w:left="426"/>
        <w:jc w:val="both"/>
        <w:rPr>
          <w:rFonts w:ascii="Calibri" w:eastAsia="Times New Roman" w:hAnsi="Calibri" w:cs="Times New Roman"/>
        </w:rPr>
      </w:pPr>
      <w:r w:rsidRPr="001A1C1A">
        <w:rPr>
          <w:rFonts w:ascii="Calibri" w:eastAsia="Times New Roman" w:hAnsi="Calibri" w:cs="Times New Roman"/>
        </w:rPr>
        <w:t>Cet article est impératif</w:t>
      </w:r>
      <w:r w:rsidRPr="001A1C1A">
        <w:rPr>
          <w:vertAlign w:val="superscript"/>
        </w:rPr>
        <w:footnoteReference w:id="68"/>
      </w:r>
      <w:r w:rsidRPr="001A1C1A">
        <w:rPr>
          <w:rFonts w:ascii="Calibri" w:eastAsia="Times New Roman" w:hAnsi="Calibri" w:cs="Times New Roman"/>
        </w:rPr>
        <w:t>. Il protège les intérêts privés du preneur</w:t>
      </w:r>
      <w:r w:rsidRPr="001A1C1A">
        <w:rPr>
          <w:vertAlign w:val="superscript"/>
        </w:rPr>
        <w:footnoteReference w:id="69"/>
      </w:r>
      <w:r w:rsidRPr="001A1C1A">
        <w:rPr>
          <w:rFonts w:ascii="Calibri" w:eastAsia="Times New Roman" w:hAnsi="Calibri" w:cs="Times New Roman"/>
        </w:rPr>
        <w:t>. Par conséquent, une clause insérée dans le contrat de bail qui établit une durée inférieure à neuf années n’est pas valable</w:t>
      </w:r>
      <w:r w:rsidRPr="001A1C1A">
        <w:rPr>
          <w:vertAlign w:val="superscript"/>
        </w:rPr>
        <w:footnoteReference w:id="70"/>
      </w:r>
      <w:r w:rsidRPr="001A1C1A">
        <w:rPr>
          <w:rFonts w:ascii="Calibri" w:eastAsia="Times New Roman" w:hAnsi="Calibri" w:cs="Times New Roman"/>
        </w:rPr>
        <w:t>. Il en est de même pour une clause précisant que le bail est conclu pour une durée indéterminée</w:t>
      </w:r>
      <w:r w:rsidRPr="001A1C1A">
        <w:rPr>
          <w:vertAlign w:val="superscript"/>
        </w:rPr>
        <w:footnoteReference w:id="71"/>
      </w:r>
      <w:r w:rsidRPr="001A1C1A">
        <w:rPr>
          <w:rFonts w:ascii="Calibri" w:eastAsia="Times New Roman" w:hAnsi="Calibri" w:cs="Times New Roman"/>
        </w:rPr>
        <w:t>. Dans de tels cas, le bail sera automatiquement ramené à la durée légale de neuf années</w:t>
      </w:r>
      <w:r w:rsidRPr="001A1C1A">
        <w:rPr>
          <w:vertAlign w:val="superscript"/>
        </w:rPr>
        <w:footnoteReference w:id="72"/>
      </w:r>
      <w:r w:rsidRPr="001A1C1A">
        <w:rPr>
          <w:rFonts w:ascii="Calibri" w:eastAsia="Times New Roman" w:hAnsi="Calibri" w:cs="Times New Roman"/>
        </w:rPr>
        <w:t>. C’est au preneur qu’il revient d’invoquer la nullité relative, ou de renoncer à l’invoquer</w:t>
      </w:r>
      <w:r w:rsidRPr="001A1C1A">
        <w:rPr>
          <w:vertAlign w:val="superscript"/>
        </w:rPr>
        <w:footnoteReference w:id="73"/>
      </w:r>
      <w:r w:rsidRPr="001A1C1A">
        <w:rPr>
          <w:rFonts w:ascii="Calibri" w:eastAsia="Times New Roman" w:hAnsi="Calibri" w:cs="Times New Roman"/>
        </w:rPr>
        <w:t>.</w:t>
      </w:r>
    </w:p>
    <w:p w14:paraId="120EF9A6" w14:textId="77777777" w:rsidR="00F22435" w:rsidRPr="00F22435" w:rsidRDefault="00F22435" w:rsidP="00F22435">
      <w:pPr>
        <w:spacing w:after="0" w:line="240" w:lineRule="auto"/>
        <w:jc w:val="both"/>
        <w:rPr>
          <w:rFonts w:ascii="Calibri" w:eastAsia="Times New Roman" w:hAnsi="Calibri" w:cs="Times New Roman"/>
        </w:rPr>
      </w:pPr>
    </w:p>
    <w:p w14:paraId="54F8B074" w14:textId="77777777" w:rsidR="006403EF" w:rsidRPr="001A1C1A" w:rsidRDefault="00F22435" w:rsidP="004C0EF7">
      <w:pPr>
        <w:pStyle w:val="Paragraphedeliste"/>
        <w:numPr>
          <w:ilvl w:val="0"/>
          <w:numId w:val="13"/>
        </w:numPr>
        <w:spacing w:after="0" w:line="240" w:lineRule="auto"/>
        <w:ind w:left="426" w:hanging="426"/>
        <w:jc w:val="both"/>
        <w:rPr>
          <w:rFonts w:ascii="Calibri" w:eastAsia="Times New Roman" w:hAnsi="Calibri" w:cs="Times New Roman"/>
        </w:rPr>
      </w:pPr>
      <w:r w:rsidRPr="001A1C1A">
        <w:rPr>
          <w:rFonts w:ascii="Calibri" w:eastAsia="Times New Roman" w:hAnsi="Calibri" w:cs="Times New Roman"/>
        </w:rPr>
        <w:lastRenderedPageBreak/>
        <w:t>En vertu de l’article 3, alinéa 3 de la loi, « </w:t>
      </w:r>
      <w:r w:rsidRPr="001A1C1A">
        <w:rPr>
          <w:rFonts w:ascii="Calibri" w:eastAsia="Times New Roman" w:hAnsi="Calibri" w:cs="Times New Roman"/>
          <w:i/>
        </w:rPr>
        <w:t>le preneur peut mettre fin au bail en cours, à l’expiration de chaque triennat, moyennant un préavis de six mois, par exploit d’huissier de justice ou par lettre recommandée à la poste</w:t>
      </w:r>
      <w:r w:rsidRPr="001A1C1A">
        <w:rPr>
          <w:rFonts w:ascii="Calibri" w:eastAsia="Times New Roman" w:hAnsi="Calibri" w:cs="Times New Roman"/>
        </w:rPr>
        <w:t xml:space="preserve"> ». </w:t>
      </w:r>
    </w:p>
    <w:p w14:paraId="146C9EFC" w14:textId="77777777" w:rsidR="006403EF" w:rsidRPr="001A1C1A" w:rsidRDefault="006403EF" w:rsidP="006403EF">
      <w:pPr>
        <w:pStyle w:val="Paragraphedeliste"/>
        <w:spacing w:after="0" w:line="240" w:lineRule="auto"/>
        <w:jc w:val="both"/>
        <w:rPr>
          <w:rFonts w:ascii="Calibri" w:eastAsia="Times New Roman" w:hAnsi="Calibri" w:cs="Times New Roman"/>
        </w:rPr>
      </w:pPr>
    </w:p>
    <w:p w14:paraId="65116D79" w14:textId="03B64E1C" w:rsidR="00A1118C" w:rsidRDefault="00F22435" w:rsidP="004C0EF7">
      <w:pPr>
        <w:pStyle w:val="Paragraphedeliste"/>
        <w:spacing w:after="0" w:line="240" w:lineRule="auto"/>
        <w:ind w:left="426"/>
        <w:jc w:val="both"/>
        <w:rPr>
          <w:rFonts w:ascii="Calibri" w:eastAsia="Times New Roman" w:hAnsi="Calibri" w:cs="Times New Roman"/>
        </w:rPr>
      </w:pPr>
      <w:r w:rsidRPr="001A1C1A">
        <w:rPr>
          <w:rFonts w:ascii="Calibri" w:eastAsia="Times New Roman" w:hAnsi="Calibri" w:cs="Times New Roman"/>
        </w:rPr>
        <w:t>Soucieux d’apporter une réponse aux commerçants pour qui la durée légale de neuf années semblait trop longue</w:t>
      </w:r>
      <w:r w:rsidRPr="001A1C1A">
        <w:rPr>
          <w:vertAlign w:val="superscript"/>
        </w:rPr>
        <w:footnoteReference w:id="74"/>
      </w:r>
      <w:r w:rsidRPr="001A1C1A">
        <w:rPr>
          <w:rFonts w:ascii="Calibri" w:eastAsia="Times New Roman" w:hAnsi="Calibri" w:cs="Times New Roman"/>
        </w:rPr>
        <w:t>, le législateur a doté le preneur d’une faculté de mettre fin au bail à l’expiration de chaque triennat moyennant la notification d’un préavis de six mois par exploit d’huissier ou lettre recommandée, et ce sans aucun motif.</w:t>
      </w:r>
      <w:r w:rsidR="00014D5D" w:rsidRPr="001A1C1A">
        <w:rPr>
          <w:rFonts w:ascii="Calibri" w:eastAsia="Times New Roman" w:hAnsi="Calibri" w:cs="Times New Roman"/>
        </w:rPr>
        <w:t xml:space="preserve"> </w:t>
      </w:r>
      <w:r w:rsidR="006403EF" w:rsidRPr="001A1C1A">
        <w:rPr>
          <w:rFonts w:ascii="Calibri" w:eastAsia="Times New Roman" w:hAnsi="Calibri" w:cs="Times New Roman"/>
        </w:rPr>
        <w:t>La Cour de cassation a confirmé le caractère impératif</w:t>
      </w:r>
      <w:r w:rsidR="00014D5D" w:rsidRPr="001A1C1A">
        <w:rPr>
          <w:rFonts w:ascii="Calibri" w:eastAsia="Times New Roman" w:hAnsi="Calibri" w:cs="Times New Roman"/>
        </w:rPr>
        <w:t xml:space="preserve">, en faveur du preneur, de cette disposition, en rappelant que </w:t>
      </w:r>
      <w:r w:rsidR="006403EF" w:rsidRPr="001A1C1A">
        <w:rPr>
          <w:rFonts w:ascii="Calibri" w:eastAsia="Times New Roman" w:hAnsi="Calibri" w:cs="Times New Roman"/>
        </w:rPr>
        <w:t>cette faculté de résiliation triennale</w:t>
      </w:r>
      <w:r w:rsidR="00014D5D" w:rsidRPr="001A1C1A">
        <w:rPr>
          <w:rFonts w:ascii="Calibri" w:eastAsia="Times New Roman" w:hAnsi="Calibri" w:cs="Times New Roman"/>
        </w:rPr>
        <w:t xml:space="preserve"> a été prévue</w:t>
      </w:r>
      <w:r w:rsidR="006403EF" w:rsidRPr="001A1C1A">
        <w:rPr>
          <w:rFonts w:ascii="Calibri" w:eastAsia="Times New Roman" w:hAnsi="Calibri" w:cs="Times New Roman"/>
        </w:rPr>
        <w:t> </w:t>
      </w:r>
      <w:r w:rsidR="00014D5D" w:rsidRPr="001A1C1A">
        <w:rPr>
          <w:rFonts w:ascii="Calibri" w:eastAsia="Times New Roman" w:hAnsi="Calibri" w:cs="Times New Roman"/>
        </w:rPr>
        <w:t>« </w:t>
      </w:r>
      <w:r w:rsidR="00014D5D" w:rsidRPr="001A1C1A">
        <w:rPr>
          <w:rFonts w:ascii="Calibri" w:eastAsia="Times New Roman" w:hAnsi="Calibri" w:cs="Times New Roman"/>
          <w:i/>
          <w:iCs/>
        </w:rPr>
        <w:t>pour assurer une protection au preneur commerçant, pour éviter qu’il soit obligé de poursuivre des obligations devenues, en raison des circonstances, trop lourdes pour lui </w:t>
      </w:r>
      <w:r w:rsidR="00014D5D" w:rsidRPr="001A1C1A">
        <w:rPr>
          <w:rFonts w:ascii="Calibri" w:eastAsia="Times New Roman" w:hAnsi="Calibri" w:cs="Times New Roman"/>
        </w:rPr>
        <w:t>»</w:t>
      </w:r>
      <w:r w:rsidR="00014D5D" w:rsidRPr="001A1C1A">
        <w:rPr>
          <w:rStyle w:val="Appelnotedebasdep"/>
          <w:rFonts w:ascii="Calibri" w:eastAsia="Times New Roman" w:hAnsi="Calibri" w:cs="Times New Roman"/>
        </w:rPr>
        <w:footnoteReference w:id="75"/>
      </w:r>
      <w:r w:rsidR="00014D5D" w:rsidRPr="001A1C1A">
        <w:rPr>
          <w:rFonts w:ascii="Optima" w:hAnsi="Optima" w:cs="Optima"/>
          <w:sz w:val="19"/>
          <w:szCs w:val="19"/>
        </w:rPr>
        <w:t>.</w:t>
      </w:r>
      <w:r w:rsidR="001A1C1A" w:rsidRPr="001A1C1A">
        <w:rPr>
          <w:rFonts w:ascii="Calibri" w:eastAsia="Times New Roman" w:hAnsi="Calibri" w:cs="Times New Roman"/>
        </w:rPr>
        <w:t xml:space="preserve"> Cet avis est </w:t>
      </w:r>
      <w:r w:rsidR="001A1C1A">
        <w:rPr>
          <w:rFonts w:ascii="Calibri" w:eastAsia="Times New Roman" w:hAnsi="Calibri" w:cs="Times New Roman"/>
        </w:rPr>
        <w:t>un</w:t>
      </w:r>
      <w:r w:rsidR="001A1C1A" w:rsidRPr="001A1C1A">
        <w:rPr>
          <w:rFonts w:ascii="Calibri" w:eastAsia="Times New Roman" w:hAnsi="Calibri" w:cs="Times New Roman"/>
        </w:rPr>
        <w:t>a</w:t>
      </w:r>
      <w:r w:rsidR="001A1C1A">
        <w:rPr>
          <w:rFonts w:ascii="Calibri" w:eastAsia="Times New Roman" w:hAnsi="Calibri" w:cs="Times New Roman"/>
        </w:rPr>
        <w:t>ni</w:t>
      </w:r>
      <w:r w:rsidR="001A1C1A" w:rsidRPr="001A1C1A">
        <w:rPr>
          <w:rFonts w:ascii="Calibri" w:eastAsia="Times New Roman" w:hAnsi="Calibri" w:cs="Times New Roman"/>
        </w:rPr>
        <w:t>mement partagé par la doctrine</w:t>
      </w:r>
      <w:r w:rsidR="006403EF" w:rsidRPr="001A1C1A">
        <w:rPr>
          <w:vertAlign w:val="superscript"/>
        </w:rPr>
        <w:footnoteReference w:id="76"/>
      </w:r>
      <w:r w:rsidR="006403EF" w:rsidRPr="001A1C1A">
        <w:rPr>
          <w:rFonts w:ascii="Calibri" w:eastAsia="Times New Roman" w:hAnsi="Calibri" w:cs="Times New Roman"/>
        </w:rPr>
        <w:t>.</w:t>
      </w:r>
    </w:p>
    <w:p w14:paraId="03DF2F23" w14:textId="72860E85" w:rsidR="00277936" w:rsidRDefault="00277936" w:rsidP="004C0EF7">
      <w:pPr>
        <w:pStyle w:val="Paragraphedeliste"/>
        <w:spacing w:after="0" w:line="240" w:lineRule="auto"/>
        <w:ind w:left="426"/>
        <w:jc w:val="both"/>
        <w:rPr>
          <w:rFonts w:ascii="Calibri" w:eastAsia="Times New Roman" w:hAnsi="Calibri" w:cs="Times New Roman"/>
        </w:rPr>
      </w:pPr>
    </w:p>
    <w:p w14:paraId="1BE7F456" w14:textId="0E86A44B" w:rsidR="00277936" w:rsidRDefault="00277936" w:rsidP="004C0EF7">
      <w:pPr>
        <w:pStyle w:val="Paragraphedeliste"/>
        <w:spacing w:after="0" w:line="240" w:lineRule="auto"/>
        <w:ind w:left="426"/>
        <w:jc w:val="both"/>
        <w:rPr>
          <w:rFonts w:ascii="Calibri" w:eastAsia="Times New Roman" w:hAnsi="Calibri" w:cs="Times New Roman"/>
        </w:rPr>
      </w:pPr>
      <w:r>
        <w:rPr>
          <w:rFonts w:ascii="Calibri" w:eastAsia="Times New Roman" w:hAnsi="Calibri" w:cs="Times New Roman"/>
        </w:rPr>
        <w:t xml:space="preserve">Il en résulte que </w:t>
      </w:r>
      <w:r w:rsidR="00390857">
        <w:rPr>
          <w:rFonts w:ascii="Calibri" w:eastAsia="Times New Roman" w:hAnsi="Calibri" w:cs="Times New Roman"/>
        </w:rPr>
        <w:t>le preneur pourra poursuivre la nullité d</w:t>
      </w:r>
      <w:r>
        <w:rPr>
          <w:rFonts w:ascii="Calibri" w:eastAsia="Times New Roman" w:hAnsi="Calibri" w:cs="Times New Roman"/>
        </w:rPr>
        <w:t>es clauses</w:t>
      </w:r>
      <w:r w:rsidR="00390857">
        <w:rPr>
          <w:rFonts w:ascii="Calibri" w:eastAsia="Times New Roman" w:hAnsi="Calibri" w:cs="Times New Roman"/>
        </w:rPr>
        <w:t xml:space="preserve"> du contrat</w:t>
      </w:r>
      <w:r>
        <w:rPr>
          <w:rFonts w:ascii="Calibri" w:eastAsia="Times New Roman" w:hAnsi="Calibri" w:cs="Times New Roman"/>
        </w:rPr>
        <w:t xml:space="preserve"> </w:t>
      </w:r>
      <w:r w:rsidR="00390857">
        <w:rPr>
          <w:rFonts w:ascii="Calibri" w:eastAsia="Times New Roman" w:hAnsi="Calibri" w:cs="Times New Roman"/>
        </w:rPr>
        <w:t>qui excluent tout possibilité pour lui de mettre anticipativement fin au bail. Il en ira de même des clauses qui, bien que ne supprimant pas cette faculté dans le chef du preneur, la subordonnent à des conditions plus rigoureuses que celles prévues par la loi</w:t>
      </w:r>
      <w:r w:rsidR="00390857">
        <w:rPr>
          <w:rStyle w:val="Appelnotedebasdep"/>
          <w:rFonts w:ascii="Calibri" w:eastAsia="Times New Roman" w:hAnsi="Calibri" w:cs="Times New Roman"/>
        </w:rPr>
        <w:footnoteReference w:id="77"/>
      </w:r>
      <w:r w:rsidR="00390857">
        <w:rPr>
          <w:rFonts w:ascii="Calibri" w:eastAsia="Times New Roman" w:hAnsi="Calibri" w:cs="Times New Roman"/>
        </w:rPr>
        <w:t>. On ne pourrait ainsi notamment prévoir le paiement d’une indemnité en faveur du bailleur ou des conditions de formes plus strictes que les conditions légales.</w:t>
      </w:r>
    </w:p>
    <w:p w14:paraId="303A2749" w14:textId="77777777" w:rsidR="00D61376" w:rsidRDefault="00D61376" w:rsidP="001A1C1A">
      <w:pPr>
        <w:pStyle w:val="Paragraphedeliste"/>
        <w:spacing w:after="0" w:line="240" w:lineRule="auto"/>
        <w:jc w:val="both"/>
        <w:rPr>
          <w:rFonts w:ascii="Calibri" w:eastAsia="Times New Roman" w:hAnsi="Calibri" w:cs="Times New Roman"/>
        </w:rPr>
      </w:pPr>
    </w:p>
    <w:p w14:paraId="2A684A80" w14:textId="5F488215" w:rsidR="001337CE" w:rsidRPr="00D61376" w:rsidRDefault="001337CE" w:rsidP="004C0EF7">
      <w:pPr>
        <w:pStyle w:val="Paragraphedeliste"/>
        <w:numPr>
          <w:ilvl w:val="0"/>
          <w:numId w:val="13"/>
        </w:numPr>
        <w:spacing w:after="0" w:line="240" w:lineRule="auto"/>
        <w:ind w:left="426" w:hanging="426"/>
        <w:jc w:val="both"/>
        <w:rPr>
          <w:rFonts w:ascii="Calibri" w:eastAsia="Times New Roman" w:hAnsi="Calibri" w:cs="Times New Roman"/>
        </w:rPr>
      </w:pPr>
      <w:r w:rsidRPr="00D61376">
        <w:rPr>
          <w:rFonts w:ascii="Calibri" w:eastAsia="Times New Roman" w:hAnsi="Calibri" w:cs="Times New Roman"/>
        </w:rPr>
        <w:t>Ce caractère impératif du troisième alinéa de l’article 3 de la loi sur les baux commerciaux a été dénoncé par certains</w:t>
      </w:r>
      <w:r>
        <w:rPr>
          <w:rStyle w:val="Appelnotedebasdep"/>
          <w:rFonts w:ascii="Calibri" w:eastAsia="Times New Roman" w:hAnsi="Calibri" w:cs="Times New Roman"/>
        </w:rPr>
        <w:footnoteReference w:id="78"/>
      </w:r>
      <w:r w:rsidR="00D61376" w:rsidRPr="00D61376">
        <w:rPr>
          <w:rFonts w:ascii="Calibri" w:eastAsia="Times New Roman" w:hAnsi="Calibri" w:cs="Times New Roman"/>
        </w:rPr>
        <w:t>, qui lui reprochent d’aboutir à l’impossibilité pour les parties de « </w:t>
      </w:r>
      <w:r w:rsidR="00D61376" w:rsidRPr="00D61376">
        <w:rPr>
          <w:rFonts w:ascii="Calibri" w:eastAsia="Times New Roman" w:hAnsi="Calibri" w:cs="Times New Roman"/>
          <w:i/>
          <w:iCs/>
        </w:rPr>
        <w:t>valablement convenir d’un engagement firme supérieur à trois ans</w:t>
      </w:r>
      <w:r w:rsidR="00D61376" w:rsidRPr="00D61376">
        <w:rPr>
          <w:rFonts w:ascii="Calibri" w:eastAsia="Times New Roman" w:hAnsi="Calibri" w:cs="Times New Roman"/>
        </w:rPr>
        <w:t> ». En effet, b</w:t>
      </w:r>
      <w:r w:rsidRPr="00D61376">
        <w:rPr>
          <w:rFonts w:ascii="Calibri" w:eastAsia="Times New Roman" w:hAnsi="Calibri" w:cs="Times New Roman"/>
        </w:rPr>
        <w:t>ien qu’un</w:t>
      </w:r>
      <w:r w:rsidR="004D11C2" w:rsidRPr="00D61376">
        <w:rPr>
          <w:rFonts w:ascii="Calibri" w:eastAsia="Times New Roman" w:hAnsi="Calibri" w:cs="Times New Roman"/>
        </w:rPr>
        <w:t xml:space="preserve"> acte entaché de nullité relati</w:t>
      </w:r>
      <w:r w:rsidRPr="00D61376">
        <w:rPr>
          <w:rFonts w:ascii="Calibri" w:eastAsia="Times New Roman" w:hAnsi="Calibri" w:cs="Times New Roman"/>
        </w:rPr>
        <w:t>ve puisse, en principe, faire l’objet d’une confirmation</w:t>
      </w:r>
      <w:r>
        <w:rPr>
          <w:rStyle w:val="Appelnotedebasdep"/>
          <w:rFonts w:ascii="Calibri" w:eastAsia="Times New Roman" w:hAnsi="Calibri" w:cs="Times New Roman"/>
        </w:rPr>
        <w:footnoteReference w:id="79"/>
      </w:r>
      <w:r w:rsidRPr="00D61376">
        <w:rPr>
          <w:rFonts w:ascii="Calibri" w:eastAsia="Times New Roman" w:hAnsi="Calibri" w:cs="Times New Roman"/>
        </w:rPr>
        <w:t xml:space="preserve"> par la partie protég</w:t>
      </w:r>
      <w:r w:rsidR="004D11C2" w:rsidRPr="00D61376">
        <w:rPr>
          <w:rFonts w:ascii="Calibri" w:eastAsia="Times New Roman" w:hAnsi="Calibri" w:cs="Times New Roman"/>
        </w:rPr>
        <w:t>ée</w:t>
      </w:r>
      <w:r w:rsidRPr="00D61376">
        <w:rPr>
          <w:rFonts w:ascii="Calibri" w:eastAsia="Times New Roman" w:hAnsi="Calibri" w:cs="Times New Roman"/>
        </w:rPr>
        <w:t xml:space="preserve">, </w:t>
      </w:r>
      <w:r w:rsidR="004D11C2" w:rsidRPr="00D61376">
        <w:rPr>
          <w:rFonts w:ascii="Calibri" w:eastAsia="Times New Roman" w:hAnsi="Calibri" w:cs="Times New Roman"/>
        </w:rPr>
        <w:t xml:space="preserve">une telle confirmation ne peut intervenir qu’« </w:t>
      </w:r>
      <w:r w:rsidR="004D11C2" w:rsidRPr="00D61376">
        <w:rPr>
          <w:rFonts w:ascii="Calibri" w:eastAsia="Times New Roman" w:hAnsi="Calibri" w:cs="Times New Roman"/>
          <w:i/>
          <w:iCs/>
        </w:rPr>
        <w:t>après la survenance de l’évènement qui justifie la protection légale</w:t>
      </w:r>
      <w:r w:rsidR="004D11C2" w:rsidRPr="00D61376">
        <w:rPr>
          <w:rFonts w:ascii="Calibri" w:eastAsia="Times New Roman" w:hAnsi="Calibri" w:cs="Times New Roman"/>
        </w:rPr>
        <w:t> »</w:t>
      </w:r>
      <w:r w:rsidR="004D11C2">
        <w:rPr>
          <w:rStyle w:val="Appelnotedebasdep"/>
          <w:rFonts w:ascii="Calibri" w:eastAsia="Times New Roman" w:hAnsi="Calibri" w:cs="Times New Roman"/>
        </w:rPr>
        <w:footnoteReference w:id="80"/>
      </w:r>
      <w:r w:rsidR="004D11C2" w:rsidRPr="00D61376">
        <w:rPr>
          <w:rFonts w:ascii="Calibri" w:eastAsia="Times New Roman" w:hAnsi="Calibri" w:cs="Times New Roman"/>
        </w:rPr>
        <w:t> . Il en résulte que la confirmation d’une disposition contractuelle supprimant ou limitant la faculté de résiliation triennale du preneur ne pourrait avoir lieu « </w:t>
      </w:r>
      <w:r w:rsidR="004D11C2" w:rsidRPr="00D61376">
        <w:rPr>
          <w:rFonts w:ascii="Calibri" w:eastAsia="Times New Roman" w:hAnsi="Calibri" w:cs="Times New Roman"/>
          <w:i/>
          <w:iCs/>
        </w:rPr>
        <w:t>qu’à partir du moment où le preneur, ayant eu le droit de se prévaloir de la faculté de résiliation, n’en a pas fait usage</w:t>
      </w:r>
      <w:r w:rsidR="004D11C2" w:rsidRPr="00D61376">
        <w:rPr>
          <w:rFonts w:ascii="Calibri" w:eastAsia="Times New Roman" w:hAnsi="Calibri" w:cs="Times New Roman"/>
        </w:rPr>
        <w:t xml:space="preserve"> », de sorte </w:t>
      </w:r>
      <w:r w:rsidR="00D61376" w:rsidRPr="00D61376">
        <w:rPr>
          <w:rFonts w:ascii="Calibri" w:eastAsia="Times New Roman" w:hAnsi="Calibri" w:cs="Times New Roman"/>
        </w:rPr>
        <w:t>qu’elle « </w:t>
      </w:r>
      <w:r w:rsidR="00D61376" w:rsidRPr="00D61376">
        <w:rPr>
          <w:rFonts w:ascii="Calibri" w:eastAsia="Times New Roman" w:hAnsi="Calibri" w:cs="Times New Roman"/>
          <w:i/>
          <w:iCs/>
        </w:rPr>
        <w:t>ne saurait se concevoir</w:t>
      </w:r>
      <w:r w:rsidR="00D61376" w:rsidRPr="00D61376">
        <w:rPr>
          <w:rFonts w:ascii="Calibri" w:eastAsia="Times New Roman" w:hAnsi="Calibri" w:cs="Times New Roman"/>
        </w:rPr>
        <w:t> »</w:t>
      </w:r>
      <w:r w:rsidR="00D61376">
        <w:rPr>
          <w:rStyle w:val="Appelnotedebasdep"/>
          <w:rFonts w:ascii="Calibri" w:eastAsia="Times New Roman" w:hAnsi="Calibri" w:cs="Times New Roman"/>
        </w:rPr>
        <w:footnoteReference w:id="81"/>
      </w:r>
      <w:r w:rsidR="00D61376" w:rsidRPr="00D61376">
        <w:rPr>
          <w:rFonts w:ascii="Calibri" w:eastAsia="Times New Roman" w:hAnsi="Calibri" w:cs="Times New Roman"/>
        </w:rPr>
        <w:t>.</w:t>
      </w:r>
    </w:p>
    <w:p w14:paraId="1B5C2938" w14:textId="77777777" w:rsidR="004C0EF7" w:rsidRDefault="004C0EF7" w:rsidP="004C0EF7">
      <w:pPr>
        <w:spacing w:after="0" w:line="240" w:lineRule="auto"/>
        <w:ind w:left="426"/>
        <w:jc w:val="both"/>
        <w:rPr>
          <w:rFonts w:ascii="Calibri" w:eastAsia="Times New Roman" w:hAnsi="Calibri" w:cs="Times New Roman"/>
        </w:rPr>
      </w:pPr>
    </w:p>
    <w:p w14:paraId="6F74B630" w14:textId="2543212B" w:rsidR="00BE15B0" w:rsidRDefault="00BE15B0" w:rsidP="004C0EF7">
      <w:pPr>
        <w:spacing w:after="0" w:line="240" w:lineRule="auto"/>
        <w:ind w:left="426"/>
        <w:jc w:val="both"/>
        <w:rPr>
          <w:rFonts w:ascii="Calibri" w:eastAsia="Times New Roman" w:hAnsi="Calibri" w:cs="Times New Roman"/>
        </w:rPr>
      </w:pPr>
      <w:r>
        <w:rPr>
          <w:rFonts w:ascii="Calibri" w:eastAsia="Times New Roman" w:hAnsi="Calibri" w:cs="Times New Roman"/>
        </w:rPr>
        <w:t xml:space="preserve">Selon ses détracteurs, cette durée limitée de l’engagement ferme du preneur serait défavorable aux deux parties. Elle serait de nature </w:t>
      </w:r>
    </w:p>
    <w:p w14:paraId="64555FD8" w14:textId="77777777" w:rsidR="00BE15B0" w:rsidRDefault="00BE15B0" w:rsidP="00D61376">
      <w:pPr>
        <w:spacing w:after="0" w:line="240" w:lineRule="auto"/>
        <w:ind w:left="708"/>
        <w:jc w:val="both"/>
        <w:rPr>
          <w:rFonts w:ascii="Calibri" w:eastAsia="Times New Roman" w:hAnsi="Calibri" w:cs="Times New Roman"/>
        </w:rPr>
      </w:pPr>
    </w:p>
    <w:p w14:paraId="0BF90F86" w14:textId="3E98D00A" w:rsidR="00BE15B0" w:rsidRDefault="00BE15B0" w:rsidP="00BE15B0">
      <w:pPr>
        <w:pStyle w:val="Paragraphedeliste"/>
        <w:numPr>
          <w:ilvl w:val="0"/>
          <w:numId w:val="9"/>
        </w:numPr>
        <w:spacing w:after="0" w:line="240" w:lineRule="auto"/>
        <w:jc w:val="both"/>
        <w:rPr>
          <w:rFonts w:ascii="Calibri" w:eastAsia="Times New Roman" w:hAnsi="Calibri" w:cs="Times New Roman"/>
        </w:rPr>
      </w:pPr>
      <w:r w:rsidRPr="00BE15B0">
        <w:rPr>
          <w:rFonts w:ascii="Calibri" w:eastAsia="Times New Roman" w:hAnsi="Calibri" w:cs="Times New Roman"/>
        </w:rPr>
        <w:lastRenderedPageBreak/>
        <w:t>« </w:t>
      </w:r>
      <w:r w:rsidRPr="00BE15B0">
        <w:rPr>
          <w:rFonts w:ascii="Calibri" w:eastAsia="Times New Roman" w:hAnsi="Calibri" w:cs="Times New Roman"/>
          <w:i/>
          <w:iCs/>
        </w:rPr>
        <w:t xml:space="preserve">à gêner considérablement le bailleur </w:t>
      </w:r>
      <w:r>
        <w:rPr>
          <w:rFonts w:ascii="Calibri" w:eastAsia="Times New Roman" w:hAnsi="Calibri" w:cs="Times New Roman"/>
          <w:i/>
          <w:iCs/>
        </w:rPr>
        <w:t>et, notamment, à le freiner dans certains investissements puisqu’il ne peut avoir aucune certitude quant à la durée de l’occupation des lieux par le preneur</w:t>
      </w:r>
      <w:r>
        <w:rPr>
          <w:rFonts w:ascii="Calibri" w:eastAsia="Times New Roman" w:hAnsi="Calibri" w:cs="Times New Roman"/>
        </w:rPr>
        <w:t> » ;</w:t>
      </w:r>
    </w:p>
    <w:p w14:paraId="749FC9C4" w14:textId="77777777" w:rsidR="00BE15B0" w:rsidRDefault="00BE15B0" w:rsidP="00BE15B0">
      <w:pPr>
        <w:pStyle w:val="Paragraphedeliste"/>
        <w:numPr>
          <w:ilvl w:val="0"/>
          <w:numId w:val="9"/>
        </w:numPr>
        <w:spacing w:after="0" w:line="240" w:lineRule="auto"/>
        <w:jc w:val="both"/>
        <w:rPr>
          <w:rFonts w:ascii="Calibri" w:eastAsia="Times New Roman" w:hAnsi="Calibri" w:cs="Times New Roman"/>
        </w:rPr>
      </w:pPr>
      <w:r>
        <w:rPr>
          <w:rFonts w:ascii="Calibri" w:eastAsia="Times New Roman" w:hAnsi="Calibri" w:cs="Times New Roman"/>
        </w:rPr>
        <w:t>« </w:t>
      </w:r>
      <w:r>
        <w:rPr>
          <w:rFonts w:ascii="Calibri" w:eastAsia="Times New Roman" w:hAnsi="Calibri" w:cs="Times New Roman"/>
          <w:i/>
          <w:iCs/>
        </w:rPr>
        <w:t>à nuire aux intérêts du preneur</w:t>
      </w:r>
      <w:r>
        <w:rPr>
          <w:rFonts w:ascii="Calibri" w:eastAsia="Times New Roman" w:hAnsi="Calibri" w:cs="Times New Roman"/>
        </w:rPr>
        <w:t xml:space="preserve"> [dès lors que]</w:t>
      </w:r>
      <w:r>
        <w:rPr>
          <w:rFonts w:ascii="Calibri" w:eastAsia="Times New Roman" w:hAnsi="Calibri" w:cs="Times New Roman"/>
          <w:i/>
          <w:iCs/>
        </w:rPr>
        <w:t xml:space="preserve"> le bailleur est souvent disposé à offrir au preneur de meilleures conditions en échange d’un engagement de plus longue durée</w:t>
      </w:r>
      <w:r>
        <w:rPr>
          <w:rFonts w:ascii="Calibri" w:eastAsia="Times New Roman" w:hAnsi="Calibri" w:cs="Times New Roman"/>
        </w:rPr>
        <w:t> » ;</w:t>
      </w:r>
    </w:p>
    <w:p w14:paraId="247DA8D3" w14:textId="64F96946" w:rsidR="00D61376" w:rsidRDefault="00BE15B0" w:rsidP="00BE15B0">
      <w:pPr>
        <w:pStyle w:val="Paragraphedeliste"/>
        <w:numPr>
          <w:ilvl w:val="0"/>
          <w:numId w:val="9"/>
        </w:numPr>
        <w:spacing w:after="0" w:line="240" w:lineRule="auto"/>
        <w:jc w:val="both"/>
        <w:rPr>
          <w:rFonts w:ascii="Calibri" w:eastAsia="Times New Roman" w:hAnsi="Calibri" w:cs="Times New Roman"/>
        </w:rPr>
      </w:pPr>
      <w:r>
        <w:rPr>
          <w:rFonts w:ascii="Calibri" w:eastAsia="Times New Roman" w:hAnsi="Calibri" w:cs="Times New Roman"/>
        </w:rPr>
        <w:t>à « </w:t>
      </w:r>
      <w:r>
        <w:rPr>
          <w:rFonts w:ascii="Calibri" w:eastAsia="Times New Roman" w:hAnsi="Calibri" w:cs="Times New Roman"/>
          <w:i/>
          <w:iCs/>
        </w:rPr>
        <w:t xml:space="preserve">faire obstacle à des opérations de </w:t>
      </w:r>
      <w:r>
        <w:rPr>
          <w:rFonts w:ascii="Calibri" w:eastAsia="Times New Roman" w:hAnsi="Calibri" w:cs="Times New Roman"/>
        </w:rPr>
        <w:t>sale and lease back</w:t>
      </w:r>
      <w:r>
        <w:rPr>
          <w:rFonts w:ascii="Calibri" w:eastAsia="Times New Roman" w:hAnsi="Calibri" w:cs="Times New Roman"/>
          <w:i/>
          <w:iCs/>
        </w:rPr>
        <w:t xml:space="preserve"> car l’acheteur (futur bailleur) hésitera souvent à s’engager dans un investissement si, en contrepartie, le vendeur (futur preneur) ne peut s’engager pour une durée d’occupation supérieure à trois ans</w:t>
      </w:r>
      <w:r>
        <w:rPr>
          <w:rFonts w:ascii="Calibri" w:eastAsia="Times New Roman" w:hAnsi="Calibri" w:cs="Times New Roman"/>
        </w:rPr>
        <w:t> »</w:t>
      </w:r>
      <w:r>
        <w:rPr>
          <w:rStyle w:val="Appelnotedebasdep"/>
          <w:rFonts w:ascii="Calibri" w:eastAsia="Times New Roman" w:hAnsi="Calibri" w:cs="Times New Roman"/>
        </w:rPr>
        <w:footnoteReference w:id="82"/>
      </w:r>
      <w:r>
        <w:rPr>
          <w:rFonts w:ascii="Calibri" w:eastAsia="Times New Roman" w:hAnsi="Calibri" w:cs="Times New Roman"/>
        </w:rPr>
        <w:t>.</w:t>
      </w:r>
      <w:r>
        <w:rPr>
          <w:rFonts w:ascii="Calibri" w:eastAsia="Times New Roman" w:hAnsi="Calibri" w:cs="Times New Roman"/>
          <w:i/>
          <w:iCs/>
        </w:rPr>
        <w:t xml:space="preserve"> </w:t>
      </w:r>
    </w:p>
    <w:p w14:paraId="4F487FDD" w14:textId="6E9C4265" w:rsidR="00BC0E83" w:rsidRDefault="00BC0E83" w:rsidP="00BC0E83">
      <w:pPr>
        <w:spacing w:after="0" w:line="240" w:lineRule="auto"/>
        <w:ind w:left="708"/>
        <w:jc w:val="both"/>
        <w:rPr>
          <w:rFonts w:ascii="Calibri" w:eastAsia="Times New Roman" w:hAnsi="Calibri" w:cs="Times New Roman"/>
        </w:rPr>
      </w:pPr>
    </w:p>
    <w:p w14:paraId="7BAC165F" w14:textId="1DBB9D47" w:rsidR="00BC0E83" w:rsidRDefault="00BC0E83" w:rsidP="004C0EF7">
      <w:pPr>
        <w:spacing w:after="0" w:line="240" w:lineRule="auto"/>
        <w:ind w:left="426"/>
        <w:jc w:val="both"/>
        <w:rPr>
          <w:rFonts w:ascii="Calibri" w:eastAsia="Times New Roman" w:hAnsi="Calibri" w:cs="Times New Roman"/>
        </w:rPr>
      </w:pPr>
      <w:r>
        <w:rPr>
          <w:rFonts w:ascii="Calibri" w:eastAsia="Times New Roman" w:hAnsi="Calibri" w:cs="Times New Roman"/>
        </w:rPr>
        <w:t>Il est vrai que, dans l’état actuel de la législation, les investissements consentis par le bailleur dans les lieux loués</w:t>
      </w:r>
      <w:r>
        <w:rPr>
          <w:rStyle w:val="Appelnotedebasdep"/>
          <w:rFonts w:ascii="Calibri" w:eastAsia="Times New Roman" w:hAnsi="Calibri" w:cs="Times New Roman"/>
        </w:rPr>
        <w:footnoteReference w:id="83"/>
      </w:r>
      <w:r>
        <w:rPr>
          <w:rFonts w:ascii="Calibri" w:eastAsia="Times New Roman" w:hAnsi="Calibri" w:cs="Times New Roman"/>
        </w:rPr>
        <w:t xml:space="preserve"> ne permettent pas de justifier une dérogation à la faculté de résiliation triennale du bail commercial par le preneur</w:t>
      </w:r>
      <w:r>
        <w:rPr>
          <w:rStyle w:val="Appelnotedebasdep"/>
          <w:rFonts w:ascii="Calibri" w:eastAsia="Times New Roman" w:hAnsi="Calibri" w:cs="Times New Roman"/>
        </w:rPr>
        <w:footnoteReference w:id="84"/>
      </w:r>
      <w:r w:rsidR="005F573A">
        <w:rPr>
          <w:rFonts w:ascii="Calibri" w:eastAsia="Times New Roman" w:hAnsi="Calibri" w:cs="Times New Roman"/>
        </w:rPr>
        <w:t>, compte tenu du caractère impératif de cette disposition</w:t>
      </w:r>
      <w:r>
        <w:rPr>
          <w:rFonts w:ascii="Calibri" w:eastAsia="Times New Roman" w:hAnsi="Calibri" w:cs="Times New Roman"/>
        </w:rPr>
        <w:t>. La Cour de cassation l’a rappelé par son arrêt du 23 mai 1980</w:t>
      </w:r>
      <w:r w:rsidR="005F573A">
        <w:rPr>
          <w:rStyle w:val="Appelnotedebasdep"/>
          <w:rFonts w:ascii="Calibri" w:eastAsia="Times New Roman" w:hAnsi="Calibri" w:cs="Times New Roman"/>
        </w:rPr>
        <w:footnoteReference w:id="85"/>
      </w:r>
      <w:r w:rsidR="005F573A">
        <w:rPr>
          <w:rFonts w:ascii="Calibri" w:eastAsia="Times New Roman" w:hAnsi="Calibri" w:cs="Times New Roman"/>
        </w:rPr>
        <w:t>, en cassant un arrêt de la Cour d’appel d’Anvers qui avait considéré que le preneur avait valablement renoncé à sa faculté de résiliation dès lors que cette renonciation était justifiée par la circonstance que le bailleur avait construit les lieux loués</w:t>
      </w:r>
      <w:r w:rsidR="005F573A">
        <w:rPr>
          <w:rStyle w:val="Appelnotedebasdep"/>
          <w:rFonts w:ascii="Calibri" w:eastAsia="Times New Roman" w:hAnsi="Calibri" w:cs="Times New Roman"/>
        </w:rPr>
        <w:footnoteReference w:id="86"/>
      </w:r>
      <w:r w:rsidR="005F573A">
        <w:rPr>
          <w:rFonts w:ascii="Calibri" w:eastAsia="Times New Roman" w:hAnsi="Calibri" w:cs="Times New Roman"/>
        </w:rPr>
        <w:t xml:space="preserve"> spécialement pour les lui donner à bail.  </w:t>
      </w:r>
    </w:p>
    <w:p w14:paraId="418D740D" w14:textId="6AA9E698" w:rsidR="005F573A" w:rsidRDefault="005F573A" w:rsidP="004C0EF7">
      <w:pPr>
        <w:spacing w:after="0" w:line="240" w:lineRule="auto"/>
        <w:ind w:left="426" w:hanging="426"/>
        <w:jc w:val="both"/>
        <w:rPr>
          <w:rFonts w:ascii="Calibri" w:eastAsia="Times New Roman" w:hAnsi="Calibri" w:cs="Times New Roman"/>
        </w:rPr>
      </w:pPr>
    </w:p>
    <w:p w14:paraId="13004730" w14:textId="30A0984A" w:rsidR="005F573A" w:rsidRDefault="009E3E7F" w:rsidP="004C0EF7">
      <w:pPr>
        <w:pStyle w:val="Paragraphedeliste"/>
        <w:numPr>
          <w:ilvl w:val="0"/>
          <w:numId w:val="13"/>
        </w:numPr>
        <w:spacing w:after="0" w:line="240" w:lineRule="auto"/>
        <w:ind w:left="426" w:hanging="426"/>
        <w:jc w:val="both"/>
        <w:rPr>
          <w:rFonts w:ascii="Calibri" w:eastAsia="Times New Roman" w:hAnsi="Calibri" w:cs="Times New Roman"/>
        </w:rPr>
      </w:pPr>
      <w:r>
        <w:rPr>
          <w:rFonts w:ascii="Calibri" w:eastAsia="Times New Roman" w:hAnsi="Calibri" w:cs="Times New Roman"/>
        </w:rPr>
        <w:t xml:space="preserve">Partant de ce constat et arguant de ce </w:t>
      </w:r>
      <w:r w:rsidRPr="009E3E7F">
        <w:rPr>
          <w:rFonts w:ascii="Calibri" w:eastAsia="Times New Roman" w:hAnsi="Calibri" w:cs="Times New Roman"/>
        </w:rPr>
        <w:t xml:space="preserve">que </w:t>
      </w:r>
      <w:r>
        <w:rPr>
          <w:rFonts w:ascii="Calibri" w:eastAsia="Times New Roman" w:hAnsi="Calibri" w:cs="Times New Roman"/>
        </w:rPr>
        <w:t>« </w:t>
      </w:r>
      <w:r>
        <w:rPr>
          <w:rFonts w:ascii="Calibri" w:eastAsia="Times New Roman" w:hAnsi="Calibri" w:cs="Times New Roman"/>
          <w:i/>
          <w:iCs/>
        </w:rPr>
        <w:t>le paysage commercial belge a connu une profonde mutation</w:t>
      </w:r>
      <w:r>
        <w:rPr>
          <w:rFonts w:ascii="Calibri" w:eastAsia="Times New Roman" w:hAnsi="Calibri" w:cs="Times New Roman"/>
        </w:rPr>
        <w:t> » depuis l’adoption de la loi relative aux baux commerciaux et de ce que l’apparition de la grande distribution et de la place importante qu’elle occupe « </w:t>
      </w:r>
      <w:r>
        <w:rPr>
          <w:rFonts w:ascii="Calibri" w:eastAsia="Times New Roman" w:hAnsi="Calibri" w:cs="Times New Roman"/>
          <w:i/>
          <w:iCs/>
        </w:rPr>
        <w:t>dans le paysage économique belge</w:t>
      </w:r>
      <w:r>
        <w:rPr>
          <w:rFonts w:ascii="Calibri" w:eastAsia="Times New Roman" w:hAnsi="Calibri" w:cs="Times New Roman"/>
        </w:rPr>
        <w:t xml:space="preserve"> […] </w:t>
      </w:r>
      <w:r>
        <w:rPr>
          <w:rFonts w:ascii="Calibri" w:eastAsia="Times New Roman" w:hAnsi="Calibri" w:cs="Times New Roman"/>
          <w:i/>
          <w:iCs/>
        </w:rPr>
        <w:t>a fondamentalement modifié le rapport de force bailleur/preneur</w:t>
      </w:r>
      <w:r>
        <w:rPr>
          <w:rFonts w:ascii="Calibri" w:eastAsia="Times New Roman" w:hAnsi="Calibri" w:cs="Times New Roman"/>
        </w:rPr>
        <w:t> »</w:t>
      </w:r>
      <w:r w:rsidR="00632133">
        <w:rPr>
          <w:rStyle w:val="Appelnotedebasdep"/>
          <w:rFonts w:ascii="Calibri" w:eastAsia="Times New Roman" w:hAnsi="Calibri" w:cs="Times New Roman"/>
        </w:rPr>
        <w:footnoteReference w:id="87"/>
      </w:r>
      <w:r>
        <w:rPr>
          <w:rFonts w:ascii="Calibri" w:eastAsia="Times New Roman" w:hAnsi="Calibri" w:cs="Times New Roman"/>
        </w:rPr>
        <w:t>, ces auteurs ont plaidé pour un abandon du caractère impératif de l’article 3, alinéa 3, de la loi</w:t>
      </w:r>
      <w:r w:rsidR="00632133">
        <w:rPr>
          <w:rFonts w:ascii="Calibri" w:eastAsia="Times New Roman" w:hAnsi="Calibri" w:cs="Times New Roman"/>
        </w:rPr>
        <w:t xml:space="preserve"> afin de « </w:t>
      </w:r>
      <w:r w:rsidR="00632133">
        <w:rPr>
          <w:rFonts w:ascii="Calibri" w:eastAsia="Times New Roman" w:hAnsi="Calibri" w:cs="Times New Roman"/>
          <w:i/>
          <w:iCs/>
        </w:rPr>
        <w:t>permettre aux parties d’y déroger lorsqu’elles estiment qu’il y va de leur intérêt bien compris</w:t>
      </w:r>
      <w:r w:rsidR="00632133">
        <w:rPr>
          <w:rFonts w:ascii="Calibri" w:eastAsia="Times New Roman" w:hAnsi="Calibri" w:cs="Times New Roman"/>
        </w:rPr>
        <w:t> »</w:t>
      </w:r>
      <w:r w:rsidR="00632133">
        <w:rPr>
          <w:rStyle w:val="Appelnotedebasdep"/>
          <w:rFonts w:ascii="Calibri" w:eastAsia="Times New Roman" w:hAnsi="Calibri" w:cs="Times New Roman"/>
        </w:rPr>
        <w:footnoteReference w:id="88"/>
      </w:r>
      <w:r w:rsidR="00632133">
        <w:rPr>
          <w:rFonts w:ascii="Calibri" w:eastAsia="Times New Roman" w:hAnsi="Calibri" w:cs="Times New Roman"/>
        </w:rPr>
        <w:t>.</w:t>
      </w:r>
    </w:p>
    <w:p w14:paraId="2CADBD53" w14:textId="2044EBBA" w:rsidR="00632133" w:rsidRDefault="00632133" w:rsidP="004C0EF7">
      <w:pPr>
        <w:pStyle w:val="Paragraphedeliste"/>
        <w:spacing w:after="0" w:line="240" w:lineRule="auto"/>
        <w:ind w:left="426" w:hanging="426"/>
        <w:jc w:val="both"/>
        <w:rPr>
          <w:rFonts w:ascii="Calibri" w:eastAsia="Times New Roman" w:hAnsi="Calibri" w:cs="Times New Roman"/>
        </w:rPr>
      </w:pPr>
    </w:p>
    <w:p w14:paraId="0F13F87E" w14:textId="1A725E83" w:rsidR="00632133" w:rsidRPr="009E3E7F" w:rsidRDefault="00632133" w:rsidP="004C0EF7">
      <w:pPr>
        <w:pStyle w:val="Paragraphedeliste"/>
        <w:spacing w:after="0" w:line="240" w:lineRule="auto"/>
        <w:ind w:left="426"/>
        <w:jc w:val="both"/>
        <w:rPr>
          <w:rFonts w:ascii="Calibri" w:eastAsia="Times New Roman" w:hAnsi="Calibri" w:cs="Times New Roman"/>
        </w:rPr>
      </w:pPr>
      <w:r>
        <w:rPr>
          <w:rFonts w:ascii="Calibri" w:eastAsia="Times New Roman" w:hAnsi="Calibri" w:cs="Times New Roman"/>
        </w:rPr>
        <w:t>Ils n’ont, à ce jour, pas été entendus, ni par le législateur fédéral (compétent en la matière jusqu’à la 6</w:t>
      </w:r>
      <w:r w:rsidRPr="00632133">
        <w:rPr>
          <w:rFonts w:ascii="Calibri" w:eastAsia="Times New Roman" w:hAnsi="Calibri" w:cs="Times New Roman"/>
          <w:vertAlign w:val="superscript"/>
        </w:rPr>
        <w:t>ème</w:t>
      </w:r>
      <w:r>
        <w:rPr>
          <w:rFonts w:ascii="Calibri" w:eastAsia="Times New Roman" w:hAnsi="Calibri" w:cs="Times New Roman"/>
        </w:rPr>
        <w:t xml:space="preserve"> réforme de l’Etat), ni par les législateurs régionaux (compétents depuis lors).</w:t>
      </w:r>
    </w:p>
    <w:p w14:paraId="356D5748" w14:textId="7DBCF36F" w:rsidR="00BE15B0" w:rsidRDefault="00BE15B0" w:rsidP="00BE15B0">
      <w:pPr>
        <w:spacing w:after="0" w:line="240" w:lineRule="auto"/>
        <w:ind w:left="708"/>
        <w:jc w:val="both"/>
        <w:rPr>
          <w:rFonts w:ascii="Calibri" w:eastAsia="Times New Roman" w:hAnsi="Calibri" w:cs="Times New Roman"/>
        </w:rPr>
      </w:pPr>
    </w:p>
    <w:p w14:paraId="54D3E016" w14:textId="577322AE" w:rsidR="00BE15B0" w:rsidRDefault="00BE15B0" w:rsidP="00BE15B0">
      <w:pPr>
        <w:spacing w:after="0" w:line="240" w:lineRule="auto"/>
        <w:ind w:left="708"/>
        <w:jc w:val="both"/>
        <w:rPr>
          <w:rFonts w:ascii="Calibri" w:eastAsia="Times New Roman" w:hAnsi="Calibri" w:cs="Times New Roman"/>
        </w:rPr>
      </w:pPr>
    </w:p>
    <w:p w14:paraId="5CA1558E" w14:textId="5A8D287F" w:rsidR="00E2656A" w:rsidRDefault="00E2656A" w:rsidP="00E2656A">
      <w:pPr>
        <w:pStyle w:val="Paragraphedeliste"/>
        <w:numPr>
          <w:ilvl w:val="0"/>
          <w:numId w:val="1"/>
        </w:numPr>
        <w:rPr>
          <w:u w:val="single"/>
        </w:rPr>
      </w:pPr>
      <w:r>
        <w:rPr>
          <w:rFonts w:ascii="Calibri" w:eastAsia="Times New Roman" w:hAnsi="Calibri" w:cs="Times New Roman"/>
        </w:rPr>
        <w:tab/>
      </w:r>
      <w:r>
        <w:rPr>
          <w:u w:val="single"/>
        </w:rPr>
        <w:t>L’emphytéose : une solution ?</w:t>
      </w:r>
    </w:p>
    <w:p w14:paraId="745781CD" w14:textId="5C1B845D" w:rsidR="00E2656A" w:rsidRDefault="00E2656A" w:rsidP="00E2656A">
      <w:pPr>
        <w:pStyle w:val="Paragraphedeliste"/>
        <w:rPr>
          <w:u w:val="single"/>
        </w:rPr>
      </w:pPr>
    </w:p>
    <w:p w14:paraId="26B1DD65" w14:textId="354960BB" w:rsidR="00E2656A" w:rsidRDefault="00E2656A" w:rsidP="004C0EF7">
      <w:pPr>
        <w:pStyle w:val="Paragraphedeliste"/>
        <w:numPr>
          <w:ilvl w:val="0"/>
          <w:numId w:val="13"/>
        </w:numPr>
        <w:spacing w:after="0" w:line="240" w:lineRule="auto"/>
        <w:ind w:left="426" w:hanging="426"/>
        <w:jc w:val="both"/>
        <w:rPr>
          <w:rFonts w:ascii="Calibri" w:eastAsia="Times New Roman" w:hAnsi="Calibri" w:cs="Times New Roman"/>
        </w:rPr>
      </w:pPr>
      <w:r>
        <w:rPr>
          <w:rFonts w:ascii="Calibri" w:eastAsia="Times New Roman" w:hAnsi="Calibri" w:cs="Times New Roman"/>
        </w:rPr>
        <w:t>Dans son a</w:t>
      </w:r>
      <w:r w:rsidRPr="00E2656A">
        <w:rPr>
          <w:rFonts w:ascii="Calibri" w:eastAsia="Times New Roman" w:hAnsi="Calibri" w:cs="Times New Roman"/>
        </w:rPr>
        <w:t>nalys</w:t>
      </w:r>
      <w:r>
        <w:rPr>
          <w:rFonts w:ascii="Calibri" w:eastAsia="Times New Roman" w:hAnsi="Calibri" w:cs="Times New Roman"/>
        </w:rPr>
        <w:t>e des caractéristiques du contrat de bail et de ses « notions voisines », le professeur Foriers a notamment eu l’occasion de distinguer</w:t>
      </w:r>
      <w:r w:rsidR="009F06A3">
        <w:rPr>
          <w:rFonts w:ascii="Calibri" w:eastAsia="Times New Roman" w:hAnsi="Calibri" w:cs="Times New Roman"/>
        </w:rPr>
        <w:t xml:space="preserve"> le bail – qui « </w:t>
      </w:r>
      <w:r w:rsidR="009F06A3" w:rsidRPr="009F06A3">
        <w:rPr>
          <w:rFonts w:ascii="Calibri" w:eastAsia="Times New Roman" w:hAnsi="Calibri" w:cs="Times New Roman"/>
          <w:i/>
          <w:iCs/>
        </w:rPr>
        <w:t>donne naissance à une obligation de faire</w:t>
      </w:r>
      <w:r w:rsidR="009F06A3">
        <w:rPr>
          <w:rFonts w:ascii="Calibri" w:eastAsia="Times New Roman" w:hAnsi="Calibri" w:cs="Times New Roman"/>
          <w:i/>
          <w:iCs/>
        </w:rPr>
        <w:t xml:space="preserve"> dans le chef du bailleur</w:t>
      </w:r>
      <w:r w:rsidR="009F06A3">
        <w:rPr>
          <w:rFonts w:ascii="Calibri" w:eastAsia="Times New Roman" w:hAnsi="Calibri" w:cs="Times New Roman"/>
        </w:rPr>
        <w:t xml:space="preserve"> » </w:t>
      </w:r>
      <w:r w:rsidR="00B62155">
        <w:rPr>
          <w:rFonts w:ascii="Calibri" w:eastAsia="Times New Roman" w:hAnsi="Calibri" w:cs="Times New Roman"/>
        </w:rPr>
        <w:t>des conventions constitutives de droit réel « </w:t>
      </w:r>
      <w:r w:rsidR="00B62155">
        <w:rPr>
          <w:rFonts w:ascii="Calibri" w:eastAsia="Times New Roman" w:hAnsi="Calibri" w:cs="Times New Roman"/>
          <w:i/>
          <w:iCs/>
        </w:rPr>
        <w:t>qui ne constituent pas des baux</w:t>
      </w:r>
      <w:r w:rsidR="00B62155">
        <w:rPr>
          <w:rFonts w:ascii="Calibri" w:eastAsia="Times New Roman" w:hAnsi="Calibri" w:cs="Times New Roman"/>
        </w:rPr>
        <w:t> […]</w:t>
      </w:r>
      <w:r w:rsidR="00B62155">
        <w:rPr>
          <w:rFonts w:ascii="Calibri" w:eastAsia="Times New Roman" w:hAnsi="Calibri" w:cs="Times New Roman"/>
          <w:i/>
          <w:iCs/>
        </w:rPr>
        <w:t xml:space="preserve"> fussent-elles conclues pour un terme déterminé et moyennant un prix déterminé</w:t>
      </w:r>
      <w:r w:rsidR="00B62155">
        <w:rPr>
          <w:rFonts w:ascii="Calibri" w:eastAsia="Times New Roman" w:hAnsi="Calibri" w:cs="Times New Roman"/>
        </w:rPr>
        <w:t> »</w:t>
      </w:r>
      <w:r w:rsidR="00B62155">
        <w:rPr>
          <w:rStyle w:val="Appelnotedebasdep"/>
          <w:rFonts w:ascii="Calibri" w:eastAsia="Times New Roman" w:hAnsi="Calibri" w:cs="Times New Roman"/>
        </w:rPr>
        <w:footnoteReference w:id="89"/>
      </w:r>
      <w:r w:rsidR="00B62155">
        <w:rPr>
          <w:rFonts w:ascii="Calibri" w:eastAsia="Times New Roman" w:hAnsi="Calibri" w:cs="Times New Roman"/>
        </w:rPr>
        <w:t xml:space="preserve">. </w:t>
      </w:r>
    </w:p>
    <w:p w14:paraId="5B10AF70" w14:textId="77777777" w:rsidR="00B62155" w:rsidRDefault="00B62155" w:rsidP="00B62155">
      <w:pPr>
        <w:pStyle w:val="Paragraphedeliste"/>
        <w:spacing w:after="0" w:line="240" w:lineRule="auto"/>
        <w:jc w:val="both"/>
        <w:rPr>
          <w:rFonts w:ascii="Calibri" w:eastAsia="Times New Roman" w:hAnsi="Calibri" w:cs="Times New Roman"/>
        </w:rPr>
      </w:pPr>
    </w:p>
    <w:p w14:paraId="4D00A3F3" w14:textId="4CB456A0" w:rsidR="00266731" w:rsidRPr="00A929F8" w:rsidRDefault="00B62155" w:rsidP="004C0EF7">
      <w:pPr>
        <w:pStyle w:val="Paragraphedeliste"/>
        <w:numPr>
          <w:ilvl w:val="0"/>
          <w:numId w:val="13"/>
        </w:numPr>
        <w:spacing w:after="0" w:line="240" w:lineRule="auto"/>
        <w:ind w:left="426" w:hanging="426"/>
        <w:jc w:val="both"/>
        <w:rPr>
          <w:rFonts w:ascii="Calibri" w:eastAsia="Times New Roman" w:hAnsi="Calibri" w:cs="Times New Roman"/>
        </w:rPr>
      </w:pPr>
      <w:r w:rsidRPr="00A929F8">
        <w:rPr>
          <w:rFonts w:ascii="Calibri" w:eastAsia="Times New Roman" w:hAnsi="Calibri" w:cs="Times New Roman"/>
        </w:rPr>
        <w:t>Parmi ces conventions, on compte le bail emphytéotique.</w:t>
      </w:r>
      <w:r w:rsidR="00E91D9F" w:rsidRPr="00A929F8">
        <w:rPr>
          <w:rFonts w:ascii="Calibri" w:eastAsia="Times New Roman" w:hAnsi="Calibri" w:cs="Times New Roman"/>
        </w:rPr>
        <w:t xml:space="preserve"> </w:t>
      </w:r>
      <w:r w:rsidRPr="00A929F8">
        <w:rPr>
          <w:rFonts w:ascii="Calibri" w:eastAsia="Times New Roman" w:hAnsi="Calibri" w:cs="Times New Roman"/>
        </w:rPr>
        <w:t xml:space="preserve"> Sous le droit actuel</w:t>
      </w:r>
      <w:r>
        <w:rPr>
          <w:rStyle w:val="Appelnotedebasdep"/>
          <w:rFonts w:ascii="Calibri" w:eastAsia="Times New Roman" w:hAnsi="Calibri" w:cs="Times New Roman"/>
        </w:rPr>
        <w:footnoteReference w:id="90"/>
      </w:r>
      <w:r w:rsidRPr="00A929F8">
        <w:rPr>
          <w:rFonts w:ascii="Calibri" w:eastAsia="Times New Roman" w:hAnsi="Calibri" w:cs="Times New Roman"/>
        </w:rPr>
        <w:t>, l’emphytéose</w:t>
      </w:r>
      <w:r w:rsidR="00E91D9F" w:rsidRPr="00A929F8">
        <w:rPr>
          <w:rFonts w:ascii="Calibri" w:eastAsia="Times New Roman" w:hAnsi="Calibri" w:cs="Times New Roman"/>
        </w:rPr>
        <w:t xml:space="preserve"> est définie comme « </w:t>
      </w:r>
      <w:r w:rsidR="00E91D9F" w:rsidRPr="00A929F8">
        <w:rPr>
          <w:rFonts w:ascii="Calibri" w:eastAsia="Times New Roman" w:hAnsi="Calibri" w:cs="Times New Roman"/>
          <w:i/>
          <w:iCs/>
        </w:rPr>
        <w:t xml:space="preserve">un droit réel temporaire qui confère à son titulaire, pour un terme minimum de 27 ans et maximum de 99 ans, la pleine jouissance d’un immeuble, appartenant à autrui, </w:t>
      </w:r>
      <w:r w:rsidR="00E91D9F" w:rsidRPr="00A929F8">
        <w:rPr>
          <w:rFonts w:ascii="Calibri" w:eastAsia="Times New Roman" w:hAnsi="Calibri" w:cs="Times New Roman"/>
          <w:i/>
          <w:iCs/>
        </w:rPr>
        <w:lastRenderedPageBreak/>
        <w:t>moyennant le paiement au propriétaire d’une redevance annuelle en argent ou en nature, appelée "canon", en reconnaissance de son droit de propriété</w:t>
      </w:r>
      <w:r w:rsidR="00E91D9F" w:rsidRPr="00A929F8">
        <w:rPr>
          <w:rFonts w:ascii="Calibri" w:eastAsia="Times New Roman" w:hAnsi="Calibri" w:cs="Times New Roman"/>
        </w:rPr>
        <w:t> »</w:t>
      </w:r>
      <w:r w:rsidR="00E91D9F">
        <w:rPr>
          <w:rStyle w:val="Appelnotedebasdep"/>
          <w:rFonts w:ascii="Calibri" w:eastAsia="Times New Roman" w:hAnsi="Calibri" w:cs="Times New Roman"/>
        </w:rPr>
        <w:footnoteReference w:id="91"/>
      </w:r>
      <w:r w:rsidR="00E91D9F" w:rsidRPr="00A929F8">
        <w:rPr>
          <w:rFonts w:ascii="Calibri" w:eastAsia="Times New Roman" w:hAnsi="Calibri" w:cs="Times New Roman"/>
        </w:rPr>
        <w:t>.</w:t>
      </w:r>
    </w:p>
    <w:p w14:paraId="332E2D3B" w14:textId="0D89FDC3" w:rsidR="00266731" w:rsidRDefault="00266731" w:rsidP="004C0EF7">
      <w:pPr>
        <w:pStyle w:val="Paragraphedeliste"/>
        <w:spacing w:after="0" w:line="240" w:lineRule="auto"/>
        <w:ind w:left="426"/>
        <w:jc w:val="both"/>
        <w:rPr>
          <w:rFonts w:ascii="Calibri" w:eastAsia="Times New Roman" w:hAnsi="Calibri" w:cs="Times New Roman"/>
        </w:rPr>
      </w:pPr>
    </w:p>
    <w:p w14:paraId="5DE85673" w14:textId="657E99D9" w:rsidR="00B62155" w:rsidRDefault="00266731" w:rsidP="004C0EF7">
      <w:pPr>
        <w:pStyle w:val="Paragraphedeliste"/>
        <w:spacing w:after="0" w:line="240" w:lineRule="auto"/>
        <w:ind w:left="426"/>
        <w:jc w:val="both"/>
        <w:rPr>
          <w:rFonts w:ascii="Calibri" w:eastAsia="Times New Roman" w:hAnsi="Calibri" w:cs="Times New Roman"/>
        </w:rPr>
      </w:pPr>
      <w:r>
        <w:rPr>
          <w:rFonts w:ascii="Calibri" w:eastAsia="Times New Roman" w:hAnsi="Calibri" w:cs="Times New Roman"/>
        </w:rPr>
        <w:t>Les durées minimale de 27 ans et maximale de 99 ans sont impératives</w:t>
      </w:r>
      <w:r>
        <w:rPr>
          <w:rStyle w:val="Appelnotedebasdep"/>
          <w:rFonts w:ascii="Calibri" w:eastAsia="Times New Roman" w:hAnsi="Calibri" w:cs="Times New Roman"/>
        </w:rPr>
        <w:footnoteReference w:id="92"/>
      </w:r>
      <w:r>
        <w:rPr>
          <w:rFonts w:ascii="Calibri" w:eastAsia="Times New Roman" w:hAnsi="Calibri" w:cs="Times New Roman"/>
        </w:rPr>
        <w:t>. Il en résulte que</w:t>
      </w:r>
      <w:r w:rsidR="00B62155">
        <w:rPr>
          <w:rFonts w:ascii="Calibri" w:eastAsia="Times New Roman" w:hAnsi="Calibri" w:cs="Times New Roman"/>
        </w:rPr>
        <w:t xml:space="preserve">, bien qu’offrant au bailleur une certitude d’occupation par le preneur pour une durée supérieure à trois ans, </w:t>
      </w:r>
      <w:r w:rsidR="007D2748">
        <w:rPr>
          <w:rFonts w:ascii="Calibri" w:eastAsia="Times New Roman" w:hAnsi="Calibri" w:cs="Times New Roman"/>
        </w:rPr>
        <w:t>le bail emphytéotique ne pourra être envisagé comme alternative au bail commercial « </w:t>
      </w:r>
      <w:r w:rsidR="007D2748">
        <w:rPr>
          <w:rFonts w:ascii="Calibri" w:eastAsia="Times New Roman" w:hAnsi="Calibri" w:cs="Times New Roman"/>
          <w:i/>
          <w:iCs/>
        </w:rPr>
        <w:t xml:space="preserve">que si les parties acceptent d’être liées, sans possibilité de résiliation unilatérale, pour une durée d’au moins vingt-sept ans, ce qui, dans bien des cas, s’avère trop </w:t>
      </w:r>
      <w:r w:rsidR="007D2748" w:rsidRPr="007D2748">
        <w:rPr>
          <w:rFonts w:ascii="Calibri" w:eastAsia="Times New Roman" w:hAnsi="Calibri" w:cs="Times New Roman"/>
        </w:rPr>
        <w:t>long</w:t>
      </w:r>
      <w:r w:rsidR="007D2748">
        <w:rPr>
          <w:rFonts w:ascii="Calibri" w:eastAsia="Times New Roman" w:hAnsi="Calibri" w:cs="Times New Roman"/>
        </w:rPr>
        <w:t> »</w:t>
      </w:r>
      <w:r w:rsidR="007D2748">
        <w:rPr>
          <w:rStyle w:val="Appelnotedebasdep"/>
          <w:rFonts w:ascii="Calibri" w:eastAsia="Times New Roman" w:hAnsi="Calibri" w:cs="Times New Roman"/>
        </w:rPr>
        <w:footnoteReference w:id="93"/>
      </w:r>
      <w:r w:rsidR="007D2748">
        <w:rPr>
          <w:rFonts w:ascii="Calibri" w:eastAsia="Times New Roman" w:hAnsi="Calibri" w:cs="Times New Roman"/>
        </w:rPr>
        <w:t xml:space="preserve">. </w:t>
      </w:r>
    </w:p>
    <w:p w14:paraId="44E10820" w14:textId="08019BDB" w:rsidR="007D2748" w:rsidRDefault="007D2748" w:rsidP="00B62155">
      <w:pPr>
        <w:pStyle w:val="Paragraphedeliste"/>
        <w:spacing w:after="0" w:line="240" w:lineRule="auto"/>
        <w:jc w:val="both"/>
        <w:rPr>
          <w:rFonts w:ascii="Calibri" w:eastAsia="Times New Roman" w:hAnsi="Calibri" w:cs="Times New Roman"/>
        </w:rPr>
      </w:pPr>
    </w:p>
    <w:p w14:paraId="0BD0A1E4" w14:textId="4D25ABEC" w:rsidR="003A432C" w:rsidRPr="003A432C" w:rsidRDefault="004A7C30" w:rsidP="004C0EF7">
      <w:pPr>
        <w:pStyle w:val="Paragraphedeliste"/>
        <w:numPr>
          <w:ilvl w:val="0"/>
          <w:numId w:val="13"/>
        </w:numPr>
        <w:ind w:left="426" w:hanging="426"/>
        <w:jc w:val="both"/>
        <w:rPr>
          <w:rFonts w:ascii="Calibri" w:eastAsia="Times New Roman" w:hAnsi="Calibri" w:cs="Times New Roman"/>
        </w:rPr>
      </w:pPr>
      <w:r>
        <w:rPr>
          <w:rFonts w:ascii="Calibri" w:eastAsia="Times New Roman" w:hAnsi="Calibri" w:cs="Times New Roman"/>
        </w:rPr>
        <w:t xml:space="preserve">La loi du 4 février 2020 intègre l’emphytéose dans livre 3 du (nouveau) Code civil. En effet, ce droit réel est encore à ce jour, règlementé par une ancienne loi du </w:t>
      </w:r>
      <w:r w:rsidRPr="004A7C30">
        <w:rPr>
          <w:rFonts w:ascii="Calibri" w:eastAsia="Times New Roman" w:hAnsi="Calibri" w:cs="Times New Roman"/>
        </w:rPr>
        <w:t>10 janvier 1824</w:t>
      </w:r>
      <w:r>
        <w:rPr>
          <w:rFonts w:ascii="Calibri" w:eastAsia="Times New Roman" w:hAnsi="Calibri" w:cs="Times New Roman"/>
        </w:rPr>
        <w:t>, adoptée sous le régime hollandais et qui</w:t>
      </w:r>
      <w:r w:rsidR="003A432C">
        <w:rPr>
          <w:rFonts w:ascii="Calibri" w:eastAsia="Times New Roman" w:hAnsi="Calibri" w:cs="Times New Roman"/>
        </w:rPr>
        <w:t> </w:t>
      </w:r>
      <w:r w:rsidR="003A432C" w:rsidRPr="003A432C">
        <w:rPr>
          <w:rFonts w:ascii="Calibri" w:eastAsia="Times New Roman" w:hAnsi="Calibri" w:cs="Times New Roman"/>
        </w:rPr>
        <w:t>n’</w:t>
      </w:r>
      <w:r w:rsidR="003A432C">
        <w:rPr>
          <w:rFonts w:ascii="Calibri" w:eastAsia="Times New Roman" w:hAnsi="Calibri" w:cs="Times New Roman"/>
        </w:rPr>
        <w:t>a</w:t>
      </w:r>
      <w:r w:rsidR="003A432C" w:rsidRPr="003A432C">
        <w:rPr>
          <w:rFonts w:ascii="Calibri" w:eastAsia="Times New Roman" w:hAnsi="Calibri" w:cs="Times New Roman"/>
        </w:rPr>
        <w:t xml:space="preserve"> </w:t>
      </w:r>
      <w:r w:rsidR="003A432C">
        <w:rPr>
          <w:rFonts w:ascii="Calibri" w:eastAsia="Times New Roman" w:hAnsi="Calibri" w:cs="Times New Roman"/>
        </w:rPr>
        <w:t>« </w:t>
      </w:r>
      <w:r w:rsidR="003A432C" w:rsidRPr="003A432C">
        <w:rPr>
          <w:rFonts w:ascii="Calibri" w:eastAsia="Times New Roman" w:hAnsi="Calibri" w:cs="Times New Roman"/>
          <w:i/>
          <w:iCs/>
        </w:rPr>
        <w:t>pas été modifiée depuis</w:t>
      </w:r>
      <w:r w:rsidR="003A432C" w:rsidRPr="003A432C">
        <w:rPr>
          <w:rFonts w:ascii="Calibri" w:eastAsia="Times New Roman" w:hAnsi="Calibri" w:cs="Times New Roman"/>
        </w:rPr>
        <w:t xml:space="preserve"> </w:t>
      </w:r>
      <w:r w:rsidR="003A432C">
        <w:rPr>
          <w:rFonts w:ascii="Calibri" w:eastAsia="Times New Roman" w:hAnsi="Calibri" w:cs="Times New Roman"/>
        </w:rPr>
        <w:t>[son]</w:t>
      </w:r>
      <w:r w:rsidR="003A432C" w:rsidRPr="003A432C">
        <w:rPr>
          <w:rFonts w:ascii="Calibri" w:eastAsia="Times New Roman" w:hAnsi="Calibri" w:cs="Times New Roman"/>
        </w:rPr>
        <w:t xml:space="preserve"> </w:t>
      </w:r>
      <w:r w:rsidR="003A432C" w:rsidRPr="003A432C">
        <w:rPr>
          <w:rFonts w:ascii="Calibri" w:eastAsia="Times New Roman" w:hAnsi="Calibri" w:cs="Times New Roman"/>
          <w:i/>
          <w:iCs/>
        </w:rPr>
        <w:t>entrée en vigueur en 1825</w:t>
      </w:r>
      <w:r w:rsidR="003A432C">
        <w:rPr>
          <w:rFonts w:ascii="Calibri" w:eastAsia="Times New Roman" w:hAnsi="Calibri" w:cs="Times New Roman"/>
        </w:rPr>
        <w:t> »</w:t>
      </w:r>
      <w:r w:rsidR="003A432C">
        <w:rPr>
          <w:rStyle w:val="Appelnotedebasdep"/>
          <w:rFonts w:ascii="Calibri" w:eastAsia="Times New Roman" w:hAnsi="Calibri" w:cs="Times New Roman"/>
        </w:rPr>
        <w:footnoteReference w:id="94"/>
      </w:r>
      <w:r w:rsidR="003A432C">
        <w:rPr>
          <w:rFonts w:ascii="Calibri" w:eastAsia="Times New Roman" w:hAnsi="Calibri" w:cs="Times New Roman"/>
        </w:rPr>
        <w:t>.  Constatant « </w:t>
      </w:r>
      <w:r w:rsidR="003A432C" w:rsidRPr="003A432C">
        <w:rPr>
          <w:rFonts w:ascii="Calibri" w:eastAsia="Times New Roman" w:hAnsi="Calibri" w:cs="Times New Roman"/>
          <w:i/>
          <w:iCs/>
        </w:rPr>
        <w:t>que l’usage agricole de l’emphytéose s’est transformé en un droit largement répandu dans le cadre du développement de projets</w:t>
      </w:r>
      <w:r w:rsidR="003A432C">
        <w:rPr>
          <w:rFonts w:ascii="Calibri" w:eastAsia="Times New Roman" w:hAnsi="Calibri" w:cs="Times New Roman"/>
        </w:rPr>
        <w:t> », le législateur a souhaité moderniser cette institution pour la doter de « </w:t>
      </w:r>
      <w:r w:rsidR="003A432C" w:rsidRPr="00243E28">
        <w:rPr>
          <w:rFonts w:ascii="Calibri" w:eastAsia="Times New Roman" w:hAnsi="Calibri" w:cs="Times New Roman"/>
          <w:i/>
          <w:iCs/>
        </w:rPr>
        <w:t xml:space="preserve">de plus de flexibilité et surtout de sécurité juridique </w:t>
      </w:r>
      <w:r w:rsidR="003A432C" w:rsidRPr="00243E28">
        <w:rPr>
          <w:rFonts w:ascii="Calibri" w:eastAsia="Times New Roman" w:hAnsi="Calibri" w:cs="Times New Roman"/>
        </w:rPr>
        <w:t>ex ante</w:t>
      </w:r>
      <w:r w:rsidR="003A432C" w:rsidRPr="00243E28">
        <w:rPr>
          <w:rFonts w:ascii="Calibri" w:eastAsia="Times New Roman" w:hAnsi="Calibri" w:cs="Times New Roman"/>
          <w:i/>
          <w:iCs/>
        </w:rPr>
        <w:t> </w:t>
      </w:r>
      <w:r w:rsidR="003A432C">
        <w:rPr>
          <w:rFonts w:ascii="Calibri" w:eastAsia="Times New Roman" w:hAnsi="Calibri" w:cs="Times New Roman"/>
        </w:rPr>
        <w:t>»</w:t>
      </w:r>
      <w:r w:rsidR="003A432C">
        <w:rPr>
          <w:rStyle w:val="Appelnotedebasdep"/>
          <w:rFonts w:ascii="Calibri" w:eastAsia="Times New Roman" w:hAnsi="Calibri" w:cs="Times New Roman"/>
        </w:rPr>
        <w:footnoteReference w:id="95"/>
      </w:r>
      <w:r w:rsidR="003A432C" w:rsidRPr="003A432C">
        <w:rPr>
          <w:rFonts w:ascii="Calibri" w:eastAsia="Times New Roman" w:hAnsi="Calibri" w:cs="Times New Roman"/>
        </w:rPr>
        <w:t>.</w:t>
      </w:r>
    </w:p>
    <w:p w14:paraId="3552A4FD" w14:textId="77777777" w:rsidR="003A432C" w:rsidRDefault="003A432C" w:rsidP="004C0EF7">
      <w:pPr>
        <w:pStyle w:val="Paragraphedeliste"/>
        <w:spacing w:after="0" w:line="240" w:lineRule="auto"/>
        <w:ind w:left="426" w:hanging="426"/>
        <w:jc w:val="both"/>
        <w:rPr>
          <w:rFonts w:ascii="Calibri" w:eastAsia="Times New Roman" w:hAnsi="Calibri" w:cs="Times New Roman"/>
        </w:rPr>
      </w:pPr>
    </w:p>
    <w:p w14:paraId="5B0B1DDB" w14:textId="4772415A" w:rsidR="007D2748" w:rsidRDefault="007D2748" w:rsidP="004C0EF7">
      <w:pPr>
        <w:pStyle w:val="Paragraphedeliste"/>
        <w:spacing w:after="0" w:line="240" w:lineRule="auto"/>
        <w:ind w:left="426"/>
        <w:jc w:val="both"/>
        <w:rPr>
          <w:rFonts w:ascii="Calibri" w:eastAsia="Times New Roman" w:hAnsi="Calibri" w:cs="Times New Roman"/>
        </w:rPr>
      </w:pPr>
      <w:r>
        <w:rPr>
          <w:rFonts w:ascii="Calibri" w:eastAsia="Times New Roman" w:hAnsi="Calibri" w:cs="Times New Roman"/>
        </w:rPr>
        <w:t>Lorsqu’il entrera en vigueur</w:t>
      </w:r>
      <w:r>
        <w:rPr>
          <w:rStyle w:val="Appelnotedebasdep"/>
          <w:rFonts w:ascii="Calibri" w:eastAsia="Times New Roman" w:hAnsi="Calibri" w:cs="Times New Roman"/>
        </w:rPr>
        <w:footnoteReference w:id="96"/>
      </w:r>
      <w:r>
        <w:rPr>
          <w:rFonts w:ascii="Calibri" w:eastAsia="Times New Roman" w:hAnsi="Calibri" w:cs="Times New Roman"/>
        </w:rPr>
        <w:t xml:space="preserve">, </w:t>
      </w:r>
      <w:r w:rsidR="003A432C">
        <w:rPr>
          <w:rFonts w:ascii="Calibri" w:eastAsia="Times New Roman" w:hAnsi="Calibri" w:cs="Times New Roman"/>
        </w:rPr>
        <w:t xml:space="preserve">le livre 3 du (nouveau) Code civil </w:t>
      </w:r>
      <w:r w:rsidR="004C31AC">
        <w:rPr>
          <w:rFonts w:ascii="Calibri" w:eastAsia="Times New Roman" w:hAnsi="Calibri" w:cs="Times New Roman"/>
        </w:rPr>
        <w:t>modifiera plusieurs éléments du droit d’emphytéose</w:t>
      </w:r>
      <w:r w:rsidR="003A432C">
        <w:rPr>
          <w:rFonts w:ascii="Calibri" w:eastAsia="Times New Roman" w:hAnsi="Calibri" w:cs="Times New Roman"/>
        </w:rPr>
        <w:t xml:space="preserve"> </w:t>
      </w:r>
      <w:r w:rsidR="004C31AC">
        <w:rPr>
          <w:rFonts w:ascii="Calibri" w:eastAsia="Times New Roman" w:hAnsi="Calibri" w:cs="Times New Roman"/>
        </w:rPr>
        <w:t>qu’il définit comme « </w:t>
      </w:r>
      <w:r w:rsidR="004C31AC" w:rsidRPr="004C31AC">
        <w:rPr>
          <w:rFonts w:ascii="Calibri" w:eastAsia="Times New Roman" w:hAnsi="Calibri" w:cs="Times New Roman"/>
          <w:i/>
          <w:iCs/>
        </w:rPr>
        <w:t>un droit réel d'usage conférant un plein usage et une pleine jouissance d'un immeuble par nature ou par incorporation appartenant à autrui</w:t>
      </w:r>
      <w:r w:rsidR="004C31AC">
        <w:rPr>
          <w:rFonts w:ascii="Calibri" w:eastAsia="Times New Roman" w:hAnsi="Calibri" w:cs="Times New Roman"/>
        </w:rPr>
        <w:t> », tout en précisant que « </w:t>
      </w:r>
      <w:r w:rsidR="004C31AC" w:rsidRPr="004C31AC">
        <w:rPr>
          <w:rFonts w:ascii="Calibri" w:eastAsia="Times New Roman" w:hAnsi="Calibri" w:cs="Times New Roman"/>
          <w:i/>
          <w:iCs/>
        </w:rPr>
        <w:t>l'emphytéote ne peut rien faire qui diminue la valeur de l'immeuble sous réserve de l'usure normale, de la vétusté ou d'un cas de force majeure</w:t>
      </w:r>
      <w:r w:rsidR="004C31AC">
        <w:rPr>
          <w:rFonts w:ascii="Calibri" w:eastAsia="Times New Roman" w:hAnsi="Calibri" w:cs="Times New Roman"/>
        </w:rPr>
        <w:t> » et qu’ « </w:t>
      </w:r>
      <w:r w:rsidR="004C31AC" w:rsidRPr="004C31AC">
        <w:rPr>
          <w:rFonts w:ascii="Calibri" w:eastAsia="Times New Roman" w:hAnsi="Calibri" w:cs="Times New Roman"/>
          <w:i/>
          <w:iCs/>
        </w:rPr>
        <w:t>il peut, sauf clause contraire, modifier la destination de l'immeuble</w:t>
      </w:r>
      <w:r w:rsidR="004C31AC">
        <w:rPr>
          <w:rFonts w:ascii="Calibri" w:eastAsia="Times New Roman" w:hAnsi="Calibri" w:cs="Times New Roman"/>
        </w:rPr>
        <w:t> »</w:t>
      </w:r>
      <w:r w:rsidR="00087E42">
        <w:rPr>
          <w:rStyle w:val="Appelnotedebasdep"/>
          <w:rFonts w:ascii="Calibri" w:eastAsia="Times New Roman" w:hAnsi="Calibri" w:cs="Times New Roman"/>
        </w:rPr>
        <w:footnoteReference w:id="97"/>
      </w:r>
      <w:r w:rsidR="004C31AC" w:rsidRPr="004C31AC">
        <w:rPr>
          <w:rFonts w:ascii="Calibri" w:eastAsia="Times New Roman" w:hAnsi="Calibri" w:cs="Times New Roman"/>
        </w:rPr>
        <w:t>.</w:t>
      </w:r>
      <w:r w:rsidR="004C31AC">
        <w:rPr>
          <w:rFonts w:ascii="Calibri" w:eastAsia="Times New Roman" w:hAnsi="Calibri" w:cs="Times New Roman"/>
        </w:rPr>
        <w:t xml:space="preserve"> </w:t>
      </w:r>
      <w:r w:rsidR="004C31AC" w:rsidRPr="004A7C30">
        <w:rPr>
          <w:rFonts w:ascii="Calibri" w:eastAsia="Times New Roman" w:hAnsi="Calibri" w:cs="Times New Roman"/>
        </w:rPr>
        <w:t>Au même titre que toutes les définitions contenues dans le livre 3</w:t>
      </w:r>
      <w:r w:rsidR="004C31AC" w:rsidRPr="004A7C30">
        <w:rPr>
          <w:rStyle w:val="Appelnotedebasdep"/>
          <w:rFonts w:ascii="Calibri" w:eastAsia="Times New Roman" w:hAnsi="Calibri" w:cs="Times New Roman"/>
        </w:rPr>
        <w:footnoteReference w:id="98"/>
      </w:r>
      <w:r w:rsidR="004C31AC" w:rsidRPr="004A7C30">
        <w:rPr>
          <w:rFonts w:ascii="Calibri" w:eastAsia="Times New Roman" w:hAnsi="Calibri" w:cs="Times New Roman"/>
        </w:rPr>
        <w:t>, cette disposition est impérative.</w:t>
      </w:r>
    </w:p>
    <w:p w14:paraId="1BCDF548" w14:textId="47479137" w:rsidR="00087E42" w:rsidRDefault="00087E42" w:rsidP="00087E42">
      <w:pPr>
        <w:pStyle w:val="Paragraphedeliste"/>
        <w:spacing w:after="0" w:line="240" w:lineRule="auto"/>
        <w:jc w:val="both"/>
        <w:rPr>
          <w:rFonts w:ascii="Calibri" w:eastAsia="Times New Roman" w:hAnsi="Calibri" w:cs="Times New Roman"/>
        </w:rPr>
      </w:pPr>
    </w:p>
    <w:p w14:paraId="1F9ABE74" w14:textId="3C02073C" w:rsidR="00087E42" w:rsidRDefault="00087E42" w:rsidP="004C0EF7">
      <w:pPr>
        <w:pStyle w:val="Paragraphedeliste"/>
        <w:numPr>
          <w:ilvl w:val="0"/>
          <w:numId w:val="13"/>
        </w:numPr>
        <w:ind w:left="426" w:hanging="426"/>
        <w:jc w:val="both"/>
        <w:rPr>
          <w:lang w:val="fr-FR"/>
        </w:rPr>
      </w:pPr>
      <w:r w:rsidRPr="004A7C30">
        <w:rPr>
          <w:rFonts w:ascii="Calibri" w:eastAsia="Times New Roman" w:hAnsi="Calibri" w:cs="Times New Roman"/>
        </w:rPr>
        <w:t>La durée de 27 ans lui paraissant « </w:t>
      </w:r>
      <w:r w:rsidRPr="004A7C30">
        <w:rPr>
          <w:rFonts w:ascii="Calibri" w:eastAsia="Times New Roman" w:hAnsi="Calibri" w:cs="Times New Roman"/>
          <w:i/>
          <w:iCs/>
        </w:rPr>
        <w:t>trop longue pour certains montages immobiliers</w:t>
      </w:r>
      <w:r w:rsidRPr="004A7C30">
        <w:rPr>
          <w:rFonts w:ascii="Calibri" w:eastAsia="Times New Roman" w:hAnsi="Calibri" w:cs="Times New Roman"/>
        </w:rPr>
        <w:t> »</w:t>
      </w:r>
      <w:r w:rsidR="00BF14F2" w:rsidRPr="004A7C30">
        <w:rPr>
          <w:rStyle w:val="Appelnotedebasdep"/>
          <w:rFonts w:ascii="Calibri" w:eastAsia="Times New Roman" w:hAnsi="Calibri" w:cs="Times New Roman"/>
        </w:rPr>
        <w:footnoteReference w:id="99"/>
      </w:r>
      <w:r w:rsidRPr="004A7C30">
        <w:rPr>
          <w:rFonts w:ascii="Calibri" w:eastAsia="Times New Roman" w:hAnsi="Calibri" w:cs="Times New Roman"/>
        </w:rPr>
        <w:t>, le</w:t>
      </w:r>
      <w:r>
        <w:rPr>
          <w:rFonts w:ascii="Calibri" w:eastAsia="Times New Roman" w:hAnsi="Calibri" w:cs="Times New Roman"/>
        </w:rPr>
        <w:t xml:space="preserve"> législateur a réduit la durée minimale du droit d’emphytéose à 15 ans</w:t>
      </w:r>
      <w:r>
        <w:rPr>
          <w:rStyle w:val="Appelnotedebasdep"/>
          <w:rFonts w:ascii="Calibri" w:eastAsia="Times New Roman" w:hAnsi="Calibri" w:cs="Times New Roman"/>
        </w:rPr>
        <w:footnoteReference w:id="100"/>
      </w:r>
      <w:r>
        <w:rPr>
          <w:rFonts w:ascii="Calibri" w:eastAsia="Times New Roman" w:hAnsi="Calibri" w:cs="Times New Roman"/>
        </w:rPr>
        <w:t xml:space="preserve"> tout en précisant qu</w:t>
      </w:r>
      <w:r w:rsidR="00BF14F2">
        <w:rPr>
          <w:rFonts w:ascii="Calibri" w:eastAsia="Times New Roman" w:hAnsi="Calibri" w:cs="Times New Roman"/>
        </w:rPr>
        <w:t>’il « </w:t>
      </w:r>
      <w:r w:rsidR="00BF14F2" w:rsidRPr="00BF14F2">
        <w:rPr>
          <w:rFonts w:ascii="Calibri" w:eastAsia="Times New Roman" w:hAnsi="Calibri" w:cs="Times New Roman"/>
          <w:i/>
          <w:iCs/>
        </w:rPr>
        <w:t xml:space="preserve">ne peut s'éteindre avant </w:t>
      </w:r>
      <w:r w:rsidR="00BF14F2" w:rsidRPr="00BF14F2">
        <w:rPr>
          <w:rFonts w:ascii="Calibri" w:eastAsia="Times New Roman" w:hAnsi="Calibri" w:cs="Times New Roman"/>
        </w:rPr>
        <w:t>[ce]</w:t>
      </w:r>
      <w:r w:rsidR="00BF14F2" w:rsidRPr="00BF14F2">
        <w:rPr>
          <w:rFonts w:ascii="Calibri" w:eastAsia="Times New Roman" w:hAnsi="Calibri" w:cs="Times New Roman"/>
          <w:i/>
          <w:iCs/>
        </w:rPr>
        <w:t xml:space="preserve"> délai minimal </w:t>
      </w:r>
      <w:r w:rsidR="00BF14F2" w:rsidRPr="00BF14F2">
        <w:rPr>
          <w:rFonts w:ascii="Calibri" w:eastAsia="Times New Roman" w:hAnsi="Calibri" w:cs="Times New Roman"/>
        </w:rPr>
        <w:t>[…]</w:t>
      </w:r>
      <w:r w:rsidR="00BF14F2" w:rsidRPr="00BF14F2">
        <w:rPr>
          <w:rFonts w:ascii="Calibri" w:eastAsia="Times New Roman" w:hAnsi="Calibri" w:cs="Times New Roman"/>
          <w:i/>
          <w:iCs/>
        </w:rPr>
        <w:t xml:space="preserve"> du seul fait de la volonté d'une des parties</w:t>
      </w:r>
      <w:r w:rsidR="00BF14F2" w:rsidRPr="00BF14F2">
        <w:rPr>
          <w:rFonts w:ascii="Calibri" w:eastAsia="Times New Roman" w:hAnsi="Calibri" w:cs="Times New Roman"/>
        </w:rPr>
        <w:t> »</w:t>
      </w:r>
      <w:r w:rsidR="00BF14F2">
        <w:rPr>
          <w:rStyle w:val="Appelnotedebasdep"/>
          <w:rFonts w:ascii="Calibri" w:eastAsia="Times New Roman" w:hAnsi="Calibri" w:cs="Times New Roman"/>
        </w:rPr>
        <w:footnoteReference w:id="101"/>
      </w:r>
      <w:r>
        <w:rPr>
          <w:rFonts w:ascii="Calibri" w:eastAsia="Times New Roman" w:hAnsi="Calibri" w:cs="Times New Roman"/>
        </w:rPr>
        <w:t>.</w:t>
      </w:r>
      <w:r w:rsidR="00243E28">
        <w:rPr>
          <w:rFonts w:ascii="Calibri" w:eastAsia="Times New Roman" w:hAnsi="Calibri" w:cs="Times New Roman"/>
        </w:rPr>
        <w:t xml:space="preserve"> Cette disposition est impérative, au même titre que toutes celles du livre 3 portant sur la durée des droits réels</w:t>
      </w:r>
      <w:r w:rsidR="00BE2F9D">
        <w:rPr>
          <w:rStyle w:val="Appelnotedebasdep"/>
          <w:rFonts w:ascii="Calibri" w:eastAsia="Times New Roman" w:hAnsi="Calibri" w:cs="Times New Roman"/>
        </w:rPr>
        <w:footnoteReference w:id="102"/>
      </w:r>
      <w:r w:rsidR="00243E28">
        <w:rPr>
          <w:rFonts w:ascii="Calibri" w:eastAsia="Times New Roman" w:hAnsi="Calibri" w:cs="Times New Roman"/>
        </w:rPr>
        <w:t xml:space="preserve">. Une clause permettant la </w:t>
      </w:r>
      <w:r w:rsidR="00BE2F9D">
        <w:rPr>
          <w:rFonts w:ascii="Calibri" w:eastAsia="Times New Roman" w:hAnsi="Calibri" w:cs="Times New Roman"/>
        </w:rPr>
        <w:t xml:space="preserve">résiliation unilatérale d’un bail emphytéotique sera dès lors susceptible d’être annulée à la demande de l’une ou l’autre des parties si elle permet de </w:t>
      </w:r>
      <w:r w:rsidR="00BE2F9D">
        <w:rPr>
          <w:rFonts w:ascii="Calibri" w:eastAsia="Times New Roman" w:hAnsi="Calibri" w:cs="Times New Roman"/>
        </w:rPr>
        <w:lastRenderedPageBreak/>
        <w:t>mettre fin au droit d’emphytéose avant la durée minimale de 15 ans</w:t>
      </w:r>
      <w:r w:rsidR="0047405D">
        <w:rPr>
          <w:rFonts w:ascii="Calibri" w:eastAsia="Times New Roman" w:hAnsi="Calibri" w:cs="Times New Roman"/>
        </w:rPr>
        <w:t> : « </w:t>
      </w:r>
      <w:r w:rsidR="0047405D" w:rsidRPr="0047405D">
        <w:rPr>
          <w:rFonts w:ascii="Calibri" w:eastAsia="Times New Roman" w:hAnsi="Calibri" w:cs="Times New Roman"/>
          <w:i/>
          <w:iCs/>
        </w:rPr>
        <w:t>puisqu’il y a souvent un calcul économique (de rentabilité) en cas d’emphytéose, aucune partie ne peut unilatéralement rompre cet équilibre. Cela favorise aussi, le cas échéant, le crédit immobilier</w:t>
      </w:r>
      <w:r w:rsidR="0047405D">
        <w:rPr>
          <w:rFonts w:ascii="Calibri" w:eastAsia="Times New Roman" w:hAnsi="Calibri" w:cs="Times New Roman"/>
        </w:rPr>
        <w:t> »</w:t>
      </w:r>
      <w:r w:rsidR="0047405D">
        <w:rPr>
          <w:rStyle w:val="Appelnotedebasdep"/>
          <w:rFonts w:ascii="Calibri" w:eastAsia="Times New Roman" w:hAnsi="Calibri" w:cs="Times New Roman"/>
        </w:rPr>
        <w:footnoteReference w:id="103"/>
      </w:r>
      <w:r w:rsidR="0047405D">
        <w:rPr>
          <w:rFonts w:ascii="Calibri" w:eastAsia="Times New Roman" w:hAnsi="Calibri" w:cs="Times New Roman"/>
        </w:rPr>
        <w:t>. U</w:t>
      </w:r>
      <w:r w:rsidR="0068296D">
        <w:rPr>
          <w:lang w:val="fr-FR"/>
        </w:rPr>
        <w:t>ne disposition contractuelle permettant à l’une ou l’autre des parties de mettre unilatéralement fin au droit d’emphytéose au-delà de cette durée minimale</w:t>
      </w:r>
      <w:r w:rsidR="0047405D">
        <w:rPr>
          <w:lang w:val="fr-FR"/>
        </w:rPr>
        <w:t xml:space="preserve"> est par contre valide</w:t>
      </w:r>
      <w:r w:rsidR="0068296D">
        <w:rPr>
          <w:lang w:val="fr-FR"/>
        </w:rPr>
        <w:t>. De même, compte tenu de la jurisprudence récente de la Cour de cassation</w:t>
      </w:r>
      <w:r w:rsidR="0068296D">
        <w:rPr>
          <w:rStyle w:val="Appelnotedebasdep"/>
          <w:lang w:val="fr-FR"/>
        </w:rPr>
        <w:footnoteReference w:id="104"/>
      </w:r>
      <w:r w:rsidR="0068296D">
        <w:rPr>
          <w:lang w:val="fr-FR"/>
        </w:rPr>
        <w:t xml:space="preserve"> en matière de réductibilité des clauses excessives</w:t>
      </w:r>
      <w:r w:rsidR="0068296D">
        <w:rPr>
          <w:rStyle w:val="Appelnotedebasdep"/>
          <w:lang w:val="fr-FR"/>
        </w:rPr>
        <w:footnoteReference w:id="105"/>
      </w:r>
      <w:r w:rsidR="0068296D">
        <w:rPr>
          <w:lang w:val="fr-FR"/>
        </w:rPr>
        <w:t>, il nous semble que la nullité d’une telle clause ne devrait aboutir qu’à la priver d’effet avant l’échéance de la durée de 15 ans, sans que la nullité (partielle) n’aboutisse à priver une partie de la faculté de résilier unilatéralement le bail emphytéotique au-delà de cette échéance.</w:t>
      </w:r>
    </w:p>
    <w:p w14:paraId="1A3CEB37" w14:textId="2E184FEF" w:rsidR="0047405D" w:rsidRDefault="0047405D" w:rsidP="0047405D">
      <w:pPr>
        <w:pStyle w:val="Paragraphedeliste"/>
        <w:jc w:val="both"/>
        <w:rPr>
          <w:lang w:val="fr-FR"/>
        </w:rPr>
      </w:pPr>
    </w:p>
    <w:p w14:paraId="336CE77A" w14:textId="27F31093" w:rsidR="000F0CB4" w:rsidRDefault="0047405D" w:rsidP="004C0EF7">
      <w:pPr>
        <w:pStyle w:val="Paragraphedeliste"/>
        <w:ind w:left="426"/>
        <w:jc w:val="both"/>
      </w:pPr>
      <w:r>
        <w:rPr>
          <w:lang w:val="fr-FR"/>
        </w:rPr>
        <w:t xml:space="preserve">Conformément à l’article 3.15, du (nouveau) Code civil, </w:t>
      </w:r>
      <w:r w:rsidR="004E2219" w:rsidRPr="004E2219">
        <w:rPr>
          <w:lang w:val="fr-FR"/>
        </w:rPr>
        <w:t>fixant le</w:t>
      </w:r>
      <w:r w:rsidR="004E2219">
        <w:rPr>
          <w:lang w:val="fr-FR"/>
        </w:rPr>
        <w:t>s</w:t>
      </w:r>
      <w:r w:rsidR="004E2219" w:rsidRPr="004E2219">
        <w:rPr>
          <w:lang w:val="fr-FR"/>
        </w:rPr>
        <w:t xml:space="preserve"> m</w:t>
      </w:r>
      <w:r w:rsidRPr="004E2219">
        <w:rPr>
          <w:lang w:val="fr-FR"/>
        </w:rPr>
        <w:t>odes généraux d'extinction des droits réels</w:t>
      </w:r>
      <w:r w:rsidR="0074469D">
        <w:rPr>
          <w:rStyle w:val="Appelnotedebasdep"/>
          <w:lang w:val="fr-FR"/>
        </w:rPr>
        <w:footnoteReference w:id="106"/>
      </w:r>
      <w:r w:rsidR="004E2219" w:rsidRPr="004E2219">
        <w:rPr>
          <w:lang w:val="fr-FR"/>
        </w:rPr>
        <w:t xml:space="preserve">, le droit d’emphytéose peut par contre prendre fin par </w:t>
      </w:r>
      <w:r w:rsidRPr="004E2219">
        <w:rPr>
          <w:lang w:val="fr-FR"/>
        </w:rPr>
        <w:t>la résiliation de commun accord</w:t>
      </w:r>
      <w:r w:rsidR="004E2219">
        <w:rPr>
          <w:lang w:val="fr-FR"/>
        </w:rPr>
        <w:t xml:space="preserve">. La même disposition permet en outre de prévoir </w:t>
      </w:r>
      <w:r w:rsidR="00E4262E">
        <w:rPr>
          <w:lang w:val="fr-FR"/>
        </w:rPr>
        <w:t>contractuellement</w:t>
      </w:r>
      <w:r w:rsidR="004E2219">
        <w:rPr>
          <w:lang w:val="fr-FR"/>
        </w:rPr>
        <w:t xml:space="preserve"> que le droit réel prendra fin par la survenance d’une condition résolutoire, les travaux parlementaires précisant que celle-ci</w:t>
      </w:r>
      <w:r w:rsidR="004E2219" w:rsidRPr="004E2219">
        <w:rPr>
          <w:lang w:val="fr-FR"/>
        </w:rPr>
        <w:t xml:space="preserve"> </w:t>
      </w:r>
      <w:r w:rsidR="004E2219">
        <w:rPr>
          <w:lang w:val="fr-FR"/>
        </w:rPr>
        <w:t>« </w:t>
      </w:r>
      <w:r w:rsidR="004E2219" w:rsidRPr="000F0CB4">
        <w:rPr>
          <w:i/>
          <w:iCs/>
          <w:lang w:val="fr-FR"/>
        </w:rPr>
        <w:t>peut se réaliser avant l’expiration des 15 ans</w:t>
      </w:r>
      <w:r w:rsidR="004E2219">
        <w:rPr>
          <w:lang w:val="fr-FR"/>
        </w:rPr>
        <w:t> » et qu’il « </w:t>
      </w:r>
      <w:r w:rsidR="004E2219" w:rsidRPr="000F0CB4">
        <w:rPr>
          <w:i/>
          <w:iCs/>
          <w:lang w:val="fr-FR"/>
        </w:rPr>
        <w:t>en va de même pour les causes d’extinction trouvant leur base dans l’insolvabilité d’une des parties</w:t>
      </w:r>
      <w:r w:rsidR="004E2219">
        <w:rPr>
          <w:lang w:val="fr-FR"/>
        </w:rPr>
        <w:t> »</w:t>
      </w:r>
      <w:r w:rsidR="004E2219">
        <w:rPr>
          <w:rStyle w:val="Appelnotedebasdep"/>
          <w:lang w:val="fr-FR"/>
        </w:rPr>
        <w:footnoteReference w:id="107"/>
      </w:r>
      <w:r w:rsidR="004E2219" w:rsidRPr="004E2219">
        <w:rPr>
          <w:vertAlign w:val="superscript"/>
          <w:lang w:val="fr-FR"/>
        </w:rPr>
        <w:t>-</w:t>
      </w:r>
      <w:r w:rsidR="004E2219">
        <w:rPr>
          <w:rStyle w:val="Appelnotedebasdep"/>
          <w:lang w:val="fr-FR"/>
        </w:rPr>
        <w:footnoteReference w:id="108"/>
      </w:r>
      <w:r w:rsidR="004E2219">
        <w:rPr>
          <w:lang w:val="fr-FR"/>
        </w:rPr>
        <w:t>.</w:t>
      </w:r>
      <w:r w:rsidR="00E4262E">
        <w:rPr>
          <w:lang w:val="fr-FR"/>
        </w:rPr>
        <w:t xml:space="preserve"> Il est en outre rappelé que le droit d’emphytéose prend fin par « </w:t>
      </w:r>
      <w:r w:rsidR="00E4262E" w:rsidRPr="00E4262E">
        <w:rPr>
          <w:i/>
          <w:iCs/>
          <w:lang w:val="fr-FR"/>
        </w:rPr>
        <w:t>la résolution pour inexécution</w:t>
      </w:r>
      <w:r w:rsidR="00E4262E">
        <w:rPr>
          <w:lang w:val="fr-FR"/>
        </w:rPr>
        <w:t> », conformément au droit commun des obligations, les auteurs de la proposition de loi précisant que cette résolution peut intervenir « </w:t>
      </w:r>
      <w:r w:rsidR="00E4262E" w:rsidRPr="00E4262E">
        <w:rPr>
          <w:i/>
          <w:iCs/>
        </w:rPr>
        <w:t>sur la base de la loi ou d’une clause résolutoire</w:t>
      </w:r>
      <w:r w:rsidR="00E4262E">
        <w:t> »</w:t>
      </w:r>
      <w:r w:rsidR="00E4262E">
        <w:rPr>
          <w:rStyle w:val="Appelnotedebasdep"/>
        </w:rPr>
        <w:footnoteReference w:id="109"/>
      </w:r>
      <w:r w:rsidR="00E4262E">
        <w:t>. Il est donc possible d’insérer, dans un acte constitutif d’emphytéose, une clause qui, si elle était reprise dans un bail</w:t>
      </w:r>
      <w:r w:rsidR="00E4262E">
        <w:rPr>
          <w:rStyle w:val="Appelnotedebasdep"/>
        </w:rPr>
        <w:footnoteReference w:id="110"/>
      </w:r>
      <w:r w:rsidR="00E4262E">
        <w:t>, serait « réputée non écrite » conformément à l’article 1762</w:t>
      </w:r>
      <w:r w:rsidR="00E4262E">
        <w:rPr>
          <w:i/>
          <w:iCs/>
        </w:rPr>
        <w:t>bis</w:t>
      </w:r>
      <w:r w:rsidR="00E4262E">
        <w:t>, du Code civil.</w:t>
      </w:r>
    </w:p>
    <w:p w14:paraId="0287DE02" w14:textId="315C9F3C" w:rsidR="00AE442F" w:rsidRDefault="00AE442F" w:rsidP="000F0CB4">
      <w:pPr>
        <w:pStyle w:val="Paragraphedeliste"/>
        <w:jc w:val="both"/>
      </w:pPr>
    </w:p>
    <w:p w14:paraId="251185E3" w14:textId="65951767" w:rsidR="000E7C7A" w:rsidRPr="00352215" w:rsidRDefault="0074469D" w:rsidP="004C0EF7">
      <w:pPr>
        <w:pStyle w:val="Paragraphedeliste"/>
        <w:numPr>
          <w:ilvl w:val="0"/>
          <w:numId w:val="13"/>
        </w:numPr>
        <w:ind w:left="426" w:hanging="426"/>
        <w:jc w:val="both"/>
        <w:rPr>
          <w:lang w:val="fr-FR"/>
        </w:rPr>
      </w:pPr>
      <w:r>
        <w:t xml:space="preserve">L’article 3.169 du (nouveau) Code civil prévoit que </w:t>
      </w:r>
      <w:r w:rsidR="000E7C7A" w:rsidRPr="000E7C7A">
        <w:rPr>
          <w:i/>
          <w:iCs/>
        </w:rPr>
        <w:t>« </w:t>
      </w:r>
      <w:r w:rsidRPr="000E7C7A">
        <w:rPr>
          <w:i/>
          <w:iCs/>
        </w:rPr>
        <w:t>le droit d’emphytéose</w:t>
      </w:r>
      <w:r w:rsidR="000E7C7A" w:rsidRPr="000E7C7A">
        <w:rPr>
          <w:i/>
          <w:iCs/>
        </w:rPr>
        <w:t> peut être prorogé</w:t>
      </w:r>
      <w:r w:rsidR="00352215">
        <w:t> »</w:t>
      </w:r>
      <w:r w:rsidR="000E7C7A" w:rsidRPr="000E7C7A">
        <w:rPr>
          <w:i/>
          <w:iCs/>
        </w:rPr>
        <w:t xml:space="preserve"> </w:t>
      </w:r>
      <w:r w:rsidR="000E7C7A">
        <w:t>et qu’il</w:t>
      </w:r>
      <w:r w:rsidR="000E7C7A" w:rsidRPr="000E7C7A">
        <w:t xml:space="preserve"> </w:t>
      </w:r>
      <w:r>
        <w:t>« </w:t>
      </w:r>
      <w:r w:rsidRPr="00AF5C73">
        <w:rPr>
          <w:i/>
          <w:iCs/>
        </w:rPr>
        <w:t>peut être renouvelé de l'accord exprès des parties</w:t>
      </w:r>
      <w:r>
        <w:t> »</w:t>
      </w:r>
      <w:r w:rsidRPr="0074469D">
        <w:t>.</w:t>
      </w:r>
      <w:r>
        <w:t xml:space="preserve"> </w:t>
      </w:r>
      <w:r w:rsidR="000E7C7A">
        <w:t>La prorogation et le renouvellement ne se confondent pas. Alors que, par l’effet de la première « </w:t>
      </w:r>
      <w:r w:rsidR="000E7C7A">
        <w:rPr>
          <w:i/>
          <w:iCs/>
        </w:rPr>
        <w:t>le contrat est maintenu dans toutes ses dispositions, un nouveau terme plus éloigné étant simplement substitué au terme initial</w:t>
      </w:r>
      <w:r w:rsidR="000E7C7A">
        <w:t xml:space="preserve"> », </w:t>
      </w:r>
      <w:r w:rsidR="00567936">
        <w:t xml:space="preserve">le second – également appelé reconduction </w:t>
      </w:r>
      <w:r w:rsidR="0081715E">
        <w:t>–</w:t>
      </w:r>
      <w:r w:rsidR="00567936">
        <w:t xml:space="preserve"> </w:t>
      </w:r>
      <w:r w:rsidR="0081715E">
        <w:t>mène à « </w:t>
      </w:r>
      <w:r w:rsidR="0081715E">
        <w:rPr>
          <w:i/>
          <w:iCs/>
        </w:rPr>
        <w:t xml:space="preserve">la substitution au contrat échu d’un nouvel </w:t>
      </w:r>
      <w:r w:rsidR="0081715E">
        <w:rPr>
          <w:i/>
          <w:iCs/>
        </w:rPr>
        <w:lastRenderedPageBreak/>
        <w:t>accord</w:t>
      </w:r>
      <w:r w:rsidR="0081715E">
        <w:t> »</w:t>
      </w:r>
      <w:r w:rsidR="0081715E" w:rsidRPr="0081715E">
        <w:rPr>
          <w:rStyle w:val="Appelnotedebasdep"/>
        </w:rPr>
        <w:t xml:space="preserve"> </w:t>
      </w:r>
      <w:r w:rsidR="0081715E">
        <w:rPr>
          <w:rStyle w:val="Appelnotedebasdep"/>
        </w:rPr>
        <w:footnoteReference w:id="111"/>
      </w:r>
      <w:r w:rsidR="0081715E">
        <w:t>.</w:t>
      </w:r>
      <w:r w:rsidR="00352215">
        <w:t xml:space="preserve"> La prorogation ayant pour effet d’étendre la durée du contrat initial, c’est en toute logique que la loi prévoit que la (les) prorogation(s) ne peu(vent) intervenir que pour autant que la </w:t>
      </w:r>
      <w:r w:rsidR="00352215" w:rsidRPr="00352215">
        <w:t>«</w:t>
      </w:r>
      <w:r w:rsidR="00352215">
        <w:rPr>
          <w:i/>
          <w:iCs/>
        </w:rPr>
        <w:t> </w:t>
      </w:r>
      <w:r w:rsidR="00352215" w:rsidRPr="000E7C7A">
        <w:rPr>
          <w:i/>
          <w:iCs/>
        </w:rPr>
        <w:t>durée totale</w:t>
      </w:r>
      <w:r w:rsidR="00352215" w:rsidRPr="00352215">
        <w:t> » du droit d’emphytéose n’excède pas nonante-neuf ans.</w:t>
      </w:r>
    </w:p>
    <w:p w14:paraId="49559698" w14:textId="782E712E" w:rsidR="00AE442F" w:rsidRDefault="00352215" w:rsidP="004C0EF7">
      <w:pPr>
        <w:autoSpaceDE w:val="0"/>
        <w:autoSpaceDN w:val="0"/>
        <w:adjustRightInd w:val="0"/>
        <w:spacing w:after="0" w:line="240" w:lineRule="auto"/>
        <w:ind w:left="426"/>
        <w:jc w:val="both"/>
      </w:pPr>
      <w:r>
        <w:t>Le nombre et la durée (totale) de</w:t>
      </w:r>
      <w:r w:rsidR="0074469D">
        <w:t xml:space="preserve">s </w:t>
      </w:r>
      <w:r>
        <w:t xml:space="preserve">renouvellements ne sont pas limités par la loi. Les </w:t>
      </w:r>
      <w:r w:rsidR="0074469D">
        <w:t xml:space="preserve">travaux parlementaires </w:t>
      </w:r>
      <w:r w:rsidR="00E514EB">
        <w:t>précisent</w:t>
      </w:r>
      <w:r>
        <w:t xml:space="preserve">, </w:t>
      </w:r>
      <w:r w:rsidR="00AF5C73">
        <w:t>conformément à l’enseignement doctrinal</w:t>
      </w:r>
      <w:r>
        <w:t xml:space="preserve"> majoritaire</w:t>
      </w:r>
      <w:r w:rsidR="00AF5C73">
        <w:rPr>
          <w:rStyle w:val="Appelnotedebasdep"/>
        </w:rPr>
        <w:footnoteReference w:id="112"/>
      </w:r>
      <w:r>
        <w:t xml:space="preserve">, que </w:t>
      </w:r>
      <w:r w:rsidR="00E514EB">
        <w:t>« </w:t>
      </w:r>
      <w:r w:rsidRPr="00352215">
        <w:rPr>
          <w:rFonts w:ascii="HelveticaLTStd-Roman" w:hAnsi="HelveticaLTStd-Roman" w:cs="HelveticaLTStd-Roman"/>
          <w:i/>
          <w:iCs/>
          <w:sz w:val="20"/>
          <w:szCs w:val="20"/>
        </w:rPr>
        <w:t>si les parties sont liées dès la conclusion du premier contrat, i</w:t>
      </w:r>
      <w:r w:rsidR="00E514EB" w:rsidRPr="00352215">
        <w:rPr>
          <w:i/>
          <w:iCs/>
        </w:rPr>
        <w:t>l ne peut y avoir renouvellement que pour autant que le délai total maximal de 99 ans soit respecté</w:t>
      </w:r>
      <w:r w:rsidR="00E514EB">
        <w:t> »</w:t>
      </w:r>
      <w:r w:rsidR="00E514EB">
        <w:rPr>
          <w:rStyle w:val="Appelnotedebasdep"/>
        </w:rPr>
        <w:footnoteReference w:id="113"/>
      </w:r>
      <w:r w:rsidR="00E514EB">
        <w:t>.</w:t>
      </w:r>
      <w:r>
        <w:t xml:space="preserve"> Il semble donc qu’il faille distinguer selon que le contrat contienne, dès l’origine, une clause de </w:t>
      </w:r>
      <w:r w:rsidR="004165B9">
        <w:t>(</w:t>
      </w:r>
      <w:r>
        <w:t>tacite)</w:t>
      </w:r>
      <w:r w:rsidR="004165B9">
        <w:t xml:space="preserve"> </w:t>
      </w:r>
      <w:r>
        <w:t>reconduction</w:t>
      </w:r>
      <w:r w:rsidR="002B7068">
        <w:t xml:space="preserve"> ou que les parties aient convenu du (des) renouvellement(s) postérieurement à la conclusion du contrat de bail emphytéotique</w:t>
      </w:r>
      <w:r w:rsidR="002B7068">
        <w:rPr>
          <w:rStyle w:val="Appelnotedebasdep"/>
        </w:rPr>
        <w:footnoteReference w:id="114"/>
      </w:r>
      <w:r w:rsidR="002B7068">
        <w:t xml:space="preserve">. </w:t>
      </w:r>
    </w:p>
    <w:p w14:paraId="28B8D897" w14:textId="5659DB77" w:rsidR="004165B9" w:rsidRDefault="004165B9" w:rsidP="004165B9">
      <w:pPr>
        <w:autoSpaceDE w:val="0"/>
        <w:autoSpaceDN w:val="0"/>
        <w:adjustRightInd w:val="0"/>
        <w:spacing w:after="0" w:line="240" w:lineRule="auto"/>
        <w:ind w:left="696"/>
        <w:jc w:val="both"/>
      </w:pPr>
    </w:p>
    <w:p w14:paraId="1E9531AB" w14:textId="77777777" w:rsidR="000734CF" w:rsidRDefault="004165B9" w:rsidP="00A36B7E">
      <w:pPr>
        <w:pStyle w:val="Paragraphedeliste"/>
        <w:numPr>
          <w:ilvl w:val="0"/>
          <w:numId w:val="13"/>
        </w:numPr>
        <w:ind w:left="426" w:hanging="426"/>
        <w:jc w:val="both"/>
      </w:pPr>
      <w:r>
        <w:t>Outre la durée et les facultés de renouvellement, un autre élément essentiel contribuant à la protection du locataire commercial est la faculté pour ce dernier de céder ses droits au bail conjointement à son fonds de commerce</w:t>
      </w:r>
      <w:r>
        <w:rPr>
          <w:rStyle w:val="Appelnotedebasdep"/>
        </w:rPr>
        <w:footnoteReference w:id="115"/>
      </w:r>
      <w:r>
        <w:t xml:space="preserve">. </w:t>
      </w:r>
      <w:r w:rsidR="0052104B">
        <w:t>Le droit d’emphytéose est également cessible</w:t>
      </w:r>
      <w:r w:rsidR="0052104B">
        <w:rPr>
          <w:rStyle w:val="Appelnotedebasdep"/>
        </w:rPr>
        <w:footnoteReference w:id="116"/>
      </w:r>
      <w:r w:rsidR="0052104B">
        <w:t xml:space="preserve">, comme l’ensemble des droits réels. A cet égard, l’article 3.6 du (nouveau) Code civil dispose que </w:t>
      </w:r>
      <w:r w:rsidR="0052104B" w:rsidRPr="0052104B">
        <w:t>« </w:t>
      </w:r>
      <w:r w:rsidR="0052104B" w:rsidRPr="0052104B">
        <w:rPr>
          <w:i/>
          <w:iCs/>
        </w:rPr>
        <w:t>lorsque le titulaire d'un droit réel d'usage cède son droit, il demeure tenu, à l'égard du propriétaire, solidairement avec le cessionnaire, des obligations personnelles dues en contrepartie de la constitution de ce droit et qui deviennent exigibles après la cession. Seul le cédant est tenu des obligations qui sont exigibles avant la cession</w:t>
      </w:r>
      <w:r w:rsidR="0052104B" w:rsidRPr="0052104B">
        <w:t> ».</w:t>
      </w:r>
      <w:r w:rsidR="0052104B">
        <w:t xml:space="preserve"> Ce régime est comparable à celui organisé par l’article </w:t>
      </w:r>
      <w:r w:rsidR="008E4F9C">
        <w:t>11.III de la loi relative aux baux commerciaux</w:t>
      </w:r>
      <w:r w:rsidR="000734CF">
        <w:t>,</w:t>
      </w:r>
      <w:r w:rsidR="008E4F9C">
        <w:t xml:space="preserve"> sous réserve de deux différences notables : </w:t>
      </w:r>
    </w:p>
    <w:p w14:paraId="62C5FBD1" w14:textId="77777777" w:rsidR="000734CF" w:rsidRDefault="000734CF" w:rsidP="000734CF">
      <w:pPr>
        <w:pStyle w:val="Paragraphedeliste"/>
        <w:jc w:val="both"/>
      </w:pPr>
    </w:p>
    <w:p w14:paraId="5D6B201E" w14:textId="60465367" w:rsidR="000734CF" w:rsidRDefault="008E4F9C" w:rsidP="00A36B7E">
      <w:pPr>
        <w:pStyle w:val="Paragraphedeliste"/>
        <w:numPr>
          <w:ilvl w:val="0"/>
          <w:numId w:val="10"/>
        </w:numPr>
        <w:ind w:left="1134" w:hanging="708"/>
        <w:jc w:val="both"/>
      </w:pPr>
      <w:r>
        <w:t xml:space="preserve">il limite la solidarité du cédant </w:t>
      </w:r>
      <w:r w:rsidR="000734CF">
        <w:t>aux seules « </w:t>
      </w:r>
      <w:r w:rsidR="000734CF" w:rsidRPr="0052104B">
        <w:rPr>
          <w:i/>
          <w:iCs/>
        </w:rPr>
        <w:t xml:space="preserve">obligations personnelles dues en contrepartie de la constitution </w:t>
      </w:r>
      <w:r w:rsidR="000734CF" w:rsidRPr="000734CF">
        <w:t>[du]</w:t>
      </w:r>
      <w:r w:rsidR="000734CF" w:rsidRPr="0052104B">
        <w:rPr>
          <w:i/>
          <w:iCs/>
        </w:rPr>
        <w:t xml:space="preserve"> droit</w:t>
      </w:r>
      <w:r w:rsidR="000734CF">
        <w:rPr>
          <w:i/>
          <w:iCs/>
        </w:rPr>
        <w:t xml:space="preserve"> </w:t>
      </w:r>
      <w:r w:rsidR="000734CF" w:rsidRPr="000734CF">
        <w:t>[d’emphytéose]</w:t>
      </w:r>
      <w:r w:rsidR="000734CF">
        <w:t> » ;</w:t>
      </w:r>
    </w:p>
    <w:p w14:paraId="5045506D" w14:textId="04FA7F65" w:rsidR="004165B9" w:rsidRDefault="000734CF" w:rsidP="00A36B7E">
      <w:pPr>
        <w:pStyle w:val="Paragraphedeliste"/>
        <w:numPr>
          <w:ilvl w:val="0"/>
          <w:numId w:val="10"/>
        </w:numPr>
        <w:ind w:left="1134" w:hanging="708"/>
        <w:jc w:val="both"/>
      </w:pPr>
      <w:r>
        <w:t xml:space="preserve">il ne limite pas </w:t>
      </w:r>
      <w:r w:rsidR="008E4F9C">
        <w:t xml:space="preserve">la </w:t>
      </w:r>
      <w:r>
        <w:t>solidarité à la</w:t>
      </w:r>
      <w:r w:rsidR="008E4F9C">
        <w:t xml:space="preserve"> durée initiale du droit d’emphytéose</w:t>
      </w:r>
      <w:r>
        <w:t>.</w:t>
      </w:r>
      <w:r w:rsidR="008E4F9C">
        <w:t xml:space="preserve"> </w:t>
      </w:r>
    </w:p>
    <w:p w14:paraId="18F60B87" w14:textId="787E3349" w:rsidR="000734CF" w:rsidRDefault="000734CF" w:rsidP="000734CF">
      <w:pPr>
        <w:ind w:left="720"/>
        <w:jc w:val="both"/>
      </w:pPr>
    </w:p>
    <w:p w14:paraId="77065E20" w14:textId="3D2498B5" w:rsidR="00E2656A" w:rsidRDefault="0070704B" w:rsidP="00A36B7E">
      <w:pPr>
        <w:ind w:left="426"/>
        <w:jc w:val="both"/>
      </w:pPr>
      <w:r>
        <w:t>Le législateur a donc fait le choix de limiter la solidarité du cédant d’un droit réel d’usage aux seules « </w:t>
      </w:r>
      <w:r w:rsidRPr="0070704B">
        <w:rPr>
          <w:i/>
          <w:iCs/>
        </w:rPr>
        <w:t>obligations personnelles (souvent de somme) qui constituent la simple contrepartie du droit cédé</w:t>
      </w:r>
      <w:r>
        <w:t> ». Le cédant d’un droit d’emphytéose n’est ainsi pas tenu des « </w:t>
      </w:r>
      <w:r w:rsidRPr="0070704B">
        <w:rPr>
          <w:i/>
          <w:iCs/>
        </w:rPr>
        <w:t>autres obligations qui sont liées au bien</w:t>
      </w:r>
      <w:r w:rsidRPr="0070704B">
        <w:t> » tel</w:t>
      </w:r>
      <w:r>
        <w:t>les</w:t>
      </w:r>
      <w:r w:rsidRPr="0070704B">
        <w:t xml:space="preserve"> que l’entretien, les réparations ou les charges qui deviennent exigibles après la cession</w:t>
      </w:r>
      <w:r>
        <w:rPr>
          <w:rStyle w:val="Appelnotedebasdep"/>
        </w:rPr>
        <w:footnoteReference w:id="117"/>
      </w:r>
      <w:r>
        <w:t>, à la différence du preneur ayant cédé son bail</w:t>
      </w:r>
      <w:r w:rsidR="004A14B7">
        <w:t xml:space="preserve"> commercial</w:t>
      </w:r>
      <w:r>
        <w:t xml:space="preserve"> </w:t>
      </w:r>
      <w:r w:rsidR="004A14B7">
        <w:t>dont « </w:t>
      </w:r>
      <w:r w:rsidR="004A14B7" w:rsidRPr="004A14B7">
        <w:rPr>
          <w:i/>
          <w:iCs/>
        </w:rPr>
        <w:t>la solidarité porte sur toutes les obligations généralement quelconques dès lors qu’elles découlent du bail</w:t>
      </w:r>
      <w:r w:rsidR="004A14B7">
        <w:t xml:space="preserve"> », en </w:t>
      </w:r>
      <w:r w:rsidR="004A14B7">
        <w:lastRenderedPageBreak/>
        <w:t>ce compris « </w:t>
      </w:r>
      <w:r w:rsidR="004A14B7" w:rsidRPr="004A14B7">
        <w:rPr>
          <w:i/>
          <w:iCs/>
        </w:rPr>
        <w:t>les obligations qui incombent au cessionnaire lors de la fin du bail, et notamment à l’occasion de la restitution des lieux</w:t>
      </w:r>
      <w:r w:rsidR="004A14B7">
        <w:t> »</w:t>
      </w:r>
      <w:r w:rsidR="004A14B7">
        <w:rPr>
          <w:rStyle w:val="Appelnotedebasdep"/>
        </w:rPr>
        <w:footnoteReference w:id="118"/>
      </w:r>
      <w:r w:rsidR="004A14B7">
        <w:t>.</w:t>
      </w:r>
    </w:p>
    <w:p w14:paraId="40033590" w14:textId="6D4C684B" w:rsidR="004A14B7" w:rsidRDefault="004A14B7" w:rsidP="00A36B7E">
      <w:pPr>
        <w:ind w:left="426"/>
        <w:jc w:val="both"/>
      </w:pPr>
      <w:r>
        <w:t>En ce qui concerne la durée de la solidarité légale du cédant d’un droit d’emphytéose, il nous semble que, quand bien même elle ne serait pas expressément limitée, elle ne pourrait s’étendre au-delà de la durée initiale du droit cédé si la prorogation ou le renouvellement a été expressément convenu avec le cessionnaire après la cession. Les obligations qui seraient dues après cette prorogation ou ce renouvellement ne constitueraient en effet plus « </w:t>
      </w:r>
      <w:r w:rsidRPr="0052104B">
        <w:rPr>
          <w:i/>
          <w:iCs/>
        </w:rPr>
        <w:t>contrepartie</w:t>
      </w:r>
      <w:r w:rsidRPr="004A14B7">
        <w:rPr>
          <w:i/>
          <w:iCs/>
        </w:rPr>
        <w:t xml:space="preserve"> de la constitution</w:t>
      </w:r>
      <w:r>
        <w:t> » du droit</w:t>
      </w:r>
      <w:r w:rsidRPr="004A14B7">
        <w:t xml:space="preserve"> mais bien de son renouvellement ou de sa prorogation.</w:t>
      </w:r>
    </w:p>
    <w:p w14:paraId="2749ECE0" w14:textId="5A1108F1" w:rsidR="004A14B7" w:rsidRDefault="004A14B7" w:rsidP="00A36B7E">
      <w:pPr>
        <w:ind w:left="426"/>
        <w:jc w:val="both"/>
      </w:pPr>
    </w:p>
    <w:p w14:paraId="0529D63C" w14:textId="61B19F15" w:rsidR="004A14B7" w:rsidRDefault="004A14B7" w:rsidP="004A14B7">
      <w:pPr>
        <w:pStyle w:val="Paragraphedeliste"/>
        <w:numPr>
          <w:ilvl w:val="0"/>
          <w:numId w:val="1"/>
        </w:numPr>
        <w:rPr>
          <w:u w:val="single"/>
        </w:rPr>
      </w:pPr>
      <w:r>
        <w:rPr>
          <w:rFonts w:ascii="Calibri" w:eastAsia="Times New Roman" w:hAnsi="Calibri" w:cs="Times New Roman"/>
        </w:rPr>
        <w:tab/>
      </w:r>
      <w:r>
        <w:rPr>
          <w:u w:val="single"/>
        </w:rPr>
        <w:t>La fraude à la loi et le risque de requalification.</w:t>
      </w:r>
    </w:p>
    <w:p w14:paraId="7630D473" w14:textId="4A53283A" w:rsidR="007B794D" w:rsidRDefault="007B794D" w:rsidP="007B794D">
      <w:pPr>
        <w:pStyle w:val="Paragraphedeliste"/>
        <w:rPr>
          <w:u w:val="single"/>
        </w:rPr>
      </w:pPr>
    </w:p>
    <w:p w14:paraId="5A90EEE6" w14:textId="7AB8D437" w:rsidR="004A14B7" w:rsidRDefault="007B794D" w:rsidP="00A36B7E">
      <w:pPr>
        <w:pStyle w:val="Paragraphedeliste"/>
        <w:numPr>
          <w:ilvl w:val="0"/>
          <w:numId w:val="13"/>
        </w:numPr>
        <w:ind w:left="426" w:hanging="426"/>
        <w:jc w:val="both"/>
      </w:pPr>
      <w:r>
        <w:t>Réformé, du vœu expr</w:t>
      </w:r>
      <w:r w:rsidR="00F06721">
        <w:t>ès du</w:t>
      </w:r>
      <w:r>
        <w:t xml:space="preserve"> le législateur, pour répondre aux besoins des projets immobiliers du 21</w:t>
      </w:r>
      <w:r w:rsidRPr="007B794D">
        <w:rPr>
          <w:vertAlign w:val="superscript"/>
        </w:rPr>
        <w:t>ème</w:t>
      </w:r>
      <w:r>
        <w:t xml:space="preserve"> siècle</w:t>
      </w:r>
      <w:r w:rsidR="00F06721">
        <w:rPr>
          <w:rStyle w:val="Appelnotedebasdep"/>
        </w:rPr>
        <w:footnoteReference w:id="119"/>
      </w:r>
      <w:r>
        <w:t>, le droit d’emphytéose offre une alternative au bail commercial pour les investisseurs immobiliers et les commerçants.</w:t>
      </w:r>
    </w:p>
    <w:p w14:paraId="56CECB13" w14:textId="565174BD" w:rsidR="007B794D" w:rsidRDefault="007B794D" w:rsidP="007B794D">
      <w:pPr>
        <w:pStyle w:val="Paragraphedeliste"/>
        <w:jc w:val="both"/>
      </w:pPr>
    </w:p>
    <w:p w14:paraId="0DF85287" w14:textId="659983EF" w:rsidR="007B794D" w:rsidRDefault="007B794D" w:rsidP="00A36B7E">
      <w:pPr>
        <w:pStyle w:val="Paragraphedeliste"/>
        <w:ind w:left="426"/>
        <w:jc w:val="both"/>
      </w:pPr>
      <w:r>
        <w:t>Il permettra en effet, dès l’entrée en vigueur de la réforme :</w:t>
      </w:r>
    </w:p>
    <w:p w14:paraId="588C77F3" w14:textId="1FE28D0E" w:rsidR="007B794D" w:rsidRDefault="007B794D" w:rsidP="007B794D">
      <w:pPr>
        <w:pStyle w:val="Paragraphedeliste"/>
        <w:jc w:val="both"/>
      </w:pPr>
    </w:p>
    <w:p w14:paraId="514A1B84" w14:textId="1C233EAB" w:rsidR="007B794D" w:rsidRDefault="007B794D" w:rsidP="00A36B7E">
      <w:pPr>
        <w:pStyle w:val="Paragraphedeliste"/>
        <w:numPr>
          <w:ilvl w:val="0"/>
          <w:numId w:val="9"/>
        </w:numPr>
        <w:ind w:left="993" w:hanging="426"/>
        <w:jc w:val="both"/>
      </w:pPr>
      <w:r>
        <w:t>de prévoir une durée minimale de 15 ans qui offrira aux propriétaires la stabilité nécessaire à l’amortissement de leurs investissements sans enfermer l’exploitant de la surface commerciale dans une durée trop longue ;</w:t>
      </w:r>
    </w:p>
    <w:p w14:paraId="4F234C17" w14:textId="78FBD199" w:rsidR="007B794D" w:rsidRDefault="007B794D" w:rsidP="00A36B7E">
      <w:pPr>
        <w:pStyle w:val="Paragraphedeliste"/>
        <w:numPr>
          <w:ilvl w:val="0"/>
          <w:numId w:val="9"/>
        </w:numPr>
        <w:ind w:left="993" w:hanging="426"/>
        <w:jc w:val="both"/>
      </w:pPr>
      <w:r>
        <w:t>d’insérer des clauses permettant à l’une et/ou l’autre de mettre fin unilatéralement au droit d’emphytéose au-delà de la durée minimale de 15 ans et/ou des clauses de reconduction ou de renouvellement ;</w:t>
      </w:r>
    </w:p>
    <w:p w14:paraId="70B09A42" w14:textId="125798BB" w:rsidR="007B794D" w:rsidRDefault="00F06721" w:rsidP="00A36B7E">
      <w:pPr>
        <w:pStyle w:val="Paragraphedeliste"/>
        <w:numPr>
          <w:ilvl w:val="0"/>
          <w:numId w:val="9"/>
        </w:numPr>
        <w:ind w:left="993" w:hanging="426"/>
        <w:jc w:val="both"/>
      </w:pPr>
      <w:r>
        <w:t>à l’emphytéote de céder son droit tout en garantissant au tréfoncier par le mécanisme de la solidarité légale.</w:t>
      </w:r>
    </w:p>
    <w:p w14:paraId="2541FABC" w14:textId="58D34F41" w:rsidR="00F06721" w:rsidRDefault="00F06721" w:rsidP="00A36B7E">
      <w:pPr>
        <w:ind w:left="426"/>
        <w:jc w:val="both"/>
      </w:pPr>
      <w:r w:rsidRPr="00F06721">
        <w:t>En outre, l’ensemble des dispositions applicables au droit d’emphytéose sont supplétives</w:t>
      </w:r>
      <w:r w:rsidRPr="00F06721">
        <w:rPr>
          <w:rStyle w:val="Appelnotedebasdep"/>
        </w:rPr>
        <w:footnoteReference w:id="120"/>
      </w:r>
      <w:r w:rsidRPr="00F06721">
        <w:t>, à</w:t>
      </w:r>
      <w:r>
        <w:t xml:space="preserve"> l’exception de la définition contenue à l’article 3.167 du (nouveau) Code civil et des durées minimale et maximale fixées à l’article 3.169 du même code. Il en résulte que les parties peuvent aménager </w:t>
      </w:r>
      <w:r w:rsidR="00341DB6">
        <w:t>librement leurs droits et obligations.</w:t>
      </w:r>
    </w:p>
    <w:p w14:paraId="3D944D9A" w14:textId="0C997099" w:rsidR="00341DB6" w:rsidRDefault="00341DB6" w:rsidP="00A36B7E">
      <w:pPr>
        <w:pStyle w:val="Paragraphedeliste"/>
        <w:numPr>
          <w:ilvl w:val="0"/>
          <w:numId w:val="13"/>
        </w:numPr>
        <w:ind w:left="426" w:hanging="426"/>
        <w:jc w:val="both"/>
      </w:pPr>
      <w:r>
        <w:t>Cette liberté contractuelle connaît toutefois une limite, déjà pointée par le Professeur Foriers dans son analyse de la notion de bail en comparaison avec des « notions voisines » : la fraude à la loi et le risque de requalification qu’elle entraîne.</w:t>
      </w:r>
    </w:p>
    <w:p w14:paraId="7581484A" w14:textId="77777777" w:rsidR="00A36B7E" w:rsidRDefault="00A36B7E" w:rsidP="00A36B7E">
      <w:pPr>
        <w:pStyle w:val="Paragraphedeliste"/>
        <w:ind w:left="426" w:hanging="426"/>
        <w:jc w:val="both"/>
      </w:pPr>
    </w:p>
    <w:p w14:paraId="7DF5540C" w14:textId="5D487AE8" w:rsidR="00725527" w:rsidRDefault="00725527" w:rsidP="00A36B7E">
      <w:pPr>
        <w:pStyle w:val="Paragraphedeliste"/>
        <w:numPr>
          <w:ilvl w:val="0"/>
          <w:numId w:val="13"/>
        </w:numPr>
        <w:ind w:left="426" w:hanging="426"/>
        <w:jc w:val="both"/>
      </w:pPr>
      <w:r>
        <w:t>La Cour de cassation considère en effet, de longue date et de manière constante</w:t>
      </w:r>
      <w:r>
        <w:rPr>
          <w:rStyle w:val="Appelnotedebasdep"/>
        </w:rPr>
        <w:footnoteReference w:id="121"/>
      </w:r>
      <w:r>
        <w:t xml:space="preserve">, que le juge du fond n’est pas tenu par la qualification donnée par les parties à leurs accords. Il peut donc y </w:t>
      </w:r>
      <w:r>
        <w:lastRenderedPageBreak/>
        <w:t>substituer la qualification que les faits de la cause imposent.</w:t>
      </w:r>
      <w:r w:rsidRPr="00725527">
        <w:t xml:space="preserve"> </w:t>
      </w:r>
      <w:r>
        <w:t>Il a même le devoir</w:t>
      </w:r>
      <w:r w:rsidR="00387C05">
        <w:rPr>
          <w:rStyle w:val="Appelnotedebasdep"/>
        </w:rPr>
        <w:footnoteReference w:id="122"/>
      </w:r>
      <w:r>
        <w:t xml:space="preserve"> de donner au contrat son véritable nom et, partant, de lui appliquer son régime juridique propre</w:t>
      </w:r>
      <w:r w:rsidR="00387C05">
        <w:rPr>
          <w:rStyle w:val="Appelnotedebasdep"/>
        </w:rPr>
        <w:footnoteReference w:id="123"/>
      </w:r>
      <w:r>
        <w:t>.</w:t>
      </w:r>
    </w:p>
    <w:p w14:paraId="40A00600" w14:textId="5613012B" w:rsidR="00387C05" w:rsidRDefault="00387C05" w:rsidP="00387C05">
      <w:pPr>
        <w:pStyle w:val="Paragraphedeliste"/>
        <w:jc w:val="both"/>
      </w:pPr>
    </w:p>
    <w:p w14:paraId="3220C04A" w14:textId="27D0457F" w:rsidR="00387C05" w:rsidRDefault="009672EE" w:rsidP="00A36B7E">
      <w:pPr>
        <w:pStyle w:val="Paragraphedeliste"/>
        <w:ind w:left="426"/>
        <w:jc w:val="both"/>
      </w:pPr>
      <w:r>
        <w:t>Cette œuvre de (re)qualification par le juge se justifie aisément lorsque les parties ont omis de qualifier le contrat ou lui ont donné, par erreur, une qualification erronée. Il en va de même lorsque les parties ont sciemment occulté leur accord pour y substituer une autre convention dont elles savent qu’elle ne correspond pas à leur volonté réelle</w:t>
      </w:r>
      <w:r w:rsidR="00EE13E9">
        <w:rPr>
          <w:rStyle w:val="Appelnotedebasdep"/>
        </w:rPr>
        <w:footnoteReference w:id="124"/>
      </w:r>
      <w:r>
        <w:t>.</w:t>
      </w:r>
    </w:p>
    <w:p w14:paraId="68163C31" w14:textId="38101458" w:rsidR="009672EE" w:rsidRDefault="009672EE" w:rsidP="00A36B7E">
      <w:pPr>
        <w:pStyle w:val="Paragraphedeliste"/>
        <w:ind w:left="426"/>
        <w:jc w:val="both"/>
      </w:pPr>
    </w:p>
    <w:p w14:paraId="5204EC06" w14:textId="77777777" w:rsidR="00EE13E9" w:rsidRDefault="009672EE" w:rsidP="00A36B7E">
      <w:pPr>
        <w:pStyle w:val="Paragraphedeliste"/>
        <w:ind w:left="426"/>
        <w:jc w:val="both"/>
      </w:pPr>
      <w:r>
        <w:t>De quelle prérogative dispose le juge lorsqu’il constate que les parties ont convenu d’un acte licite, non simulé, et dont la qualification correspond à la réalité des faits mais qui place volontairement l’accord intervenu hors du champ d’application d’une réglementation d’ordre public ou impérative, alors que la situation de fait correspond à celle visée par la réglementation dont les parties ont souhaité éviter l’application ? Une intervention du juge dans de telles hypothèses ne peut être justifiée ni par la simulation</w:t>
      </w:r>
      <w:r>
        <w:rPr>
          <w:rStyle w:val="Appelnotedebasdep"/>
        </w:rPr>
        <w:footnoteReference w:id="125"/>
      </w:r>
      <w:r>
        <w:t xml:space="preserve">, ni par son pouvoir d’interprétation dès lors que la qualification donnée par les parties au contrat correspond à leur volonté réelle qui se trouve par ailleurs traduite dans les faits. Dans un tel cas, seule la théorie de la </w:t>
      </w:r>
      <w:r w:rsidRPr="00D30FF1">
        <w:rPr>
          <w:iCs/>
        </w:rPr>
        <w:t>fraude à la loi</w:t>
      </w:r>
      <w:r w:rsidRPr="00D30FF1">
        <w:t xml:space="preserve"> </w:t>
      </w:r>
      <w:r>
        <w:t>pourrait justifier une intervention du juge dans l’édifice contractuel élaboré par les parties. Celle-ci suppose l’utilisation d’un procédé juridique, en soi licite, et en dehors de toute simulation, en vue d’atteindre un résultat prohibé par une disposition impérative ou d’ordre public.</w:t>
      </w:r>
    </w:p>
    <w:p w14:paraId="167A53EC" w14:textId="77777777" w:rsidR="00EE13E9" w:rsidRPr="00EE13E9" w:rsidRDefault="00EE13E9" w:rsidP="00EE13E9">
      <w:pPr>
        <w:pStyle w:val="Paragraphedeliste"/>
        <w:jc w:val="both"/>
        <w:rPr>
          <w:rFonts w:cstheme="minorHAnsi"/>
        </w:rPr>
      </w:pPr>
    </w:p>
    <w:p w14:paraId="68054754" w14:textId="6A8F9F72" w:rsidR="00EE13E9" w:rsidRPr="00EE13E9" w:rsidRDefault="00EE13E9" w:rsidP="00A36B7E">
      <w:pPr>
        <w:pStyle w:val="Paragraphedeliste"/>
        <w:numPr>
          <w:ilvl w:val="0"/>
          <w:numId w:val="13"/>
        </w:numPr>
        <w:ind w:left="426" w:hanging="426"/>
        <w:jc w:val="both"/>
        <w:rPr>
          <w:rFonts w:cstheme="minorHAnsi"/>
        </w:rPr>
      </w:pPr>
      <w:r w:rsidRPr="00EE13E9">
        <w:rPr>
          <w:rFonts w:cstheme="minorHAnsi"/>
        </w:rPr>
        <w:t>Pour trouver à s’appliquer, la fraude à la loi requiert donc la réunion de trois conditions :</w:t>
      </w:r>
    </w:p>
    <w:p w14:paraId="48A3F466" w14:textId="77777777" w:rsidR="00EE13E9" w:rsidRPr="00EE13E9" w:rsidRDefault="00EE13E9" w:rsidP="00A36B7E">
      <w:pPr>
        <w:pStyle w:val="Pieddepage"/>
        <w:numPr>
          <w:ilvl w:val="2"/>
          <w:numId w:val="12"/>
        </w:numPr>
        <w:tabs>
          <w:tab w:val="clear" w:pos="2340"/>
          <w:tab w:val="clear" w:pos="4536"/>
          <w:tab w:val="clear" w:pos="9072"/>
          <w:tab w:val="left" w:pos="993"/>
        </w:tabs>
        <w:ind w:left="993" w:hanging="426"/>
        <w:jc w:val="both"/>
        <w:rPr>
          <w:rFonts w:asciiTheme="minorHAnsi" w:hAnsiTheme="minorHAnsi" w:cstheme="minorHAnsi"/>
          <w:sz w:val="22"/>
          <w:szCs w:val="22"/>
          <w:lang w:val="fr-BE"/>
        </w:rPr>
      </w:pPr>
      <w:r w:rsidRPr="00EE13E9">
        <w:rPr>
          <w:rFonts w:asciiTheme="minorHAnsi" w:hAnsiTheme="minorHAnsi" w:cstheme="minorHAnsi"/>
          <w:sz w:val="22"/>
          <w:szCs w:val="22"/>
          <w:lang w:val="fr-BE"/>
        </w:rPr>
        <w:t>le recours à un moyen licite et non simulé mais « </w:t>
      </w:r>
      <w:r w:rsidRPr="00EE13E9">
        <w:rPr>
          <w:rFonts w:asciiTheme="minorHAnsi" w:hAnsiTheme="minorHAnsi" w:cstheme="minorHAnsi"/>
          <w:i/>
          <w:sz w:val="22"/>
          <w:szCs w:val="22"/>
          <w:lang w:val="fr-BE"/>
        </w:rPr>
        <w:t>artificieux et comportant une certaine discordance par rapport à la réalité fondamentale des parties </w:t>
      </w:r>
      <w:r w:rsidRPr="00EE13E9">
        <w:rPr>
          <w:rFonts w:asciiTheme="minorHAnsi" w:hAnsiTheme="minorHAnsi" w:cstheme="minorHAnsi"/>
          <w:sz w:val="22"/>
          <w:szCs w:val="22"/>
          <w:lang w:val="fr-BE"/>
        </w:rPr>
        <w:t>»</w:t>
      </w:r>
      <w:r w:rsidRPr="00EE13E9">
        <w:rPr>
          <w:rStyle w:val="Appelnotedebasdep"/>
          <w:rFonts w:asciiTheme="minorHAnsi" w:hAnsiTheme="minorHAnsi" w:cstheme="minorHAnsi"/>
          <w:sz w:val="22"/>
          <w:szCs w:val="22"/>
          <w:lang w:val="fr-BE"/>
        </w:rPr>
        <w:footnoteReference w:id="126"/>
      </w:r>
      <w:r w:rsidRPr="00EE13E9">
        <w:rPr>
          <w:rFonts w:asciiTheme="minorHAnsi" w:hAnsiTheme="minorHAnsi" w:cstheme="minorHAnsi"/>
          <w:sz w:val="22"/>
          <w:szCs w:val="22"/>
          <w:lang w:val="fr-BE"/>
        </w:rPr>
        <w:t> ;</w:t>
      </w:r>
    </w:p>
    <w:p w14:paraId="3F6F2697" w14:textId="1CA2810B" w:rsidR="00EE13E9" w:rsidRPr="00EE13E9" w:rsidRDefault="00104E31" w:rsidP="00A36B7E">
      <w:pPr>
        <w:pStyle w:val="Pieddepage"/>
        <w:numPr>
          <w:ilvl w:val="2"/>
          <w:numId w:val="12"/>
        </w:numPr>
        <w:tabs>
          <w:tab w:val="clear" w:pos="2340"/>
          <w:tab w:val="clear" w:pos="4536"/>
          <w:tab w:val="clear" w:pos="9072"/>
          <w:tab w:val="left" w:pos="993"/>
        </w:tabs>
        <w:ind w:left="993" w:hanging="426"/>
        <w:jc w:val="both"/>
        <w:rPr>
          <w:rFonts w:asciiTheme="minorHAnsi" w:hAnsiTheme="minorHAnsi" w:cstheme="minorHAnsi"/>
          <w:sz w:val="22"/>
          <w:szCs w:val="22"/>
          <w:lang w:val="fr-BE"/>
        </w:rPr>
      </w:pPr>
      <w:r>
        <w:rPr>
          <w:rFonts w:asciiTheme="minorHAnsi" w:hAnsiTheme="minorHAnsi" w:cstheme="minorHAnsi"/>
          <w:sz w:val="22"/>
          <w:szCs w:val="22"/>
          <w:lang w:val="fr-BE"/>
        </w:rPr>
        <w:t>un élément intentionnel</w:t>
      </w:r>
      <w:r w:rsidR="00EE13E9" w:rsidRPr="00EE13E9">
        <w:rPr>
          <w:rFonts w:asciiTheme="minorHAnsi" w:hAnsiTheme="minorHAnsi" w:cstheme="minorHAnsi"/>
          <w:sz w:val="22"/>
          <w:szCs w:val="22"/>
          <w:lang w:val="fr-BE"/>
        </w:rPr>
        <w:t xml:space="preserve"> consistant dans la «</w:t>
      </w:r>
      <w:r w:rsidR="00EE13E9" w:rsidRPr="00EE13E9">
        <w:rPr>
          <w:rFonts w:asciiTheme="minorHAnsi" w:hAnsiTheme="minorHAnsi" w:cstheme="minorHAnsi"/>
          <w:i/>
          <w:sz w:val="22"/>
          <w:szCs w:val="22"/>
          <w:lang w:val="fr-BE"/>
        </w:rPr>
        <w:t> volonté d’éluder la loi </w:t>
      </w:r>
      <w:r w:rsidR="00EE13E9" w:rsidRPr="00EE13E9">
        <w:rPr>
          <w:rFonts w:asciiTheme="minorHAnsi" w:hAnsiTheme="minorHAnsi" w:cstheme="minorHAnsi"/>
          <w:sz w:val="22"/>
          <w:szCs w:val="22"/>
          <w:lang w:val="fr-BE"/>
        </w:rPr>
        <w:t>»</w:t>
      </w:r>
      <w:r w:rsidR="00EE13E9" w:rsidRPr="00EE13E9">
        <w:rPr>
          <w:rStyle w:val="Appelnotedebasdep"/>
          <w:rFonts w:asciiTheme="minorHAnsi" w:hAnsiTheme="minorHAnsi" w:cstheme="minorHAnsi"/>
          <w:sz w:val="22"/>
          <w:szCs w:val="22"/>
          <w:lang w:val="fr-BE"/>
        </w:rPr>
        <w:t xml:space="preserve"> </w:t>
      </w:r>
      <w:r w:rsidR="00EE13E9" w:rsidRPr="00EE13E9">
        <w:rPr>
          <w:rStyle w:val="Appelnotedebasdep"/>
          <w:rFonts w:asciiTheme="minorHAnsi" w:hAnsiTheme="minorHAnsi" w:cstheme="minorHAnsi"/>
          <w:sz w:val="22"/>
          <w:szCs w:val="22"/>
          <w:lang w:val="fr-BE"/>
        </w:rPr>
        <w:footnoteReference w:id="127"/>
      </w:r>
      <w:r w:rsidR="00EE13E9" w:rsidRPr="00EE13E9">
        <w:rPr>
          <w:rFonts w:asciiTheme="minorHAnsi" w:hAnsiTheme="minorHAnsi" w:cstheme="minorHAnsi"/>
          <w:sz w:val="22"/>
          <w:szCs w:val="22"/>
          <w:lang w:val="fr-BE"/>
        </w:rPr>
        <w:t> ;</w:t>
      </w:r>
    </w:p>
    <w:p w14:paraId="72AD6401" w14:textId="77777777" w:rsidR="00EE13E9" w:rsidRPr="00EE13E9" w:rsidRDefault="00EE13E9" w:rsidP="00A36B7E">
      <w:pPr>
        <w:pStyle w:val="Pieddepage"/>
        <w:numPr>
          <w:ilvl w:val="2"/>
          <w:numId w:val="12"/>
        </w:numPr>
        <w:tabs>
          <w:tab w:val="clear" w:pos="2340"/>
          <w:tab w:val="clear" w:pos="4536"/>
          <w:tab w:val="clear" w:pos="9072"/>
          <w:tab w:val="left" w:pos="993"/>
        </w:tabs>
        <w:ind w:left="993" w:hanging="426"/>
        <w:jc w:val="both"/>
        <w:rPr>
          <w:rFonts w:asciiTheme="minorHAnsi" w:hAnsiTheme="minorHAnsi" w:cstheme="minorHAnsi"/>
          <w:sz w:val="22"/>
          <w:szCs w:val="22"/>
          <w:lang w:val="fr-BE"/>
        </w:rPr>
      </w:pPr>
      <w:r w:rsidRPr="00EE13E9">
        <w:rPr>
          <w:rFonts w:asciiTheme="minorHAnsi" w:hAnsiTheme="minorHAnsi" w:cstheme="minorHAnsi"/>
          <w:sz w:val="22"/>
          <w:szCs w:val="22"/>
          <w:lang w:val="fr-BE"/>
        </w:rPr>
        <w:t>l’objet de la fraude doit être une disposition d’ordre public ou impérative</w:t>
      </w:r>
      <w:r w:rsidRPr="00EE13E9">
        <w:rPr>
          <w:rStyle w:val="Appelnotedebasdep"/>
          <w:rFonts w:asciiTheme="minorHAnsi" w:hAnsiTheme="minorHAnsi" w:cstheme="minorHAnsi"/>
          <w:sz w:val="22"/>
          <w:szCs w:val="22"/>
          <w:lang w:val="fr-BE"/>
        </w:rPr>
        <w:footnoteReference w:id="128"/>
      </w:r>
      <w:r w:rsidRPr="00EE13E9">
        <w:rPr>
          <w:rFonts w:asciiTheme="minorHAnsi" w:hAnsiTheme="minorHAnsi" w:cstheme="minorHAnsi"/>
          <w:sz w:val="22"/>
          <w:szCs w:val="22"/>
          <w:lang w:val="fr-BE"/>
        </w:rPr>
        <w:t>.</w:t>
      </w:r>
    </w:p>
    <w:p w14:paraId="00E27CAB" w14:textId="77777777" w:rsidR="00EE13E9" w:rsidRPr="00EE13E9" w:rsidRDefault="00EE13E9" w:rsidP="00EE13E9">
      <w:pPr>
        <w:pStyle w:val="Pieddepage"/>
        <w:tabs>
          <w:tab w:val="clear" w:pos="4536"/>
          <w:tab w:val="clear" w:pos="9072"/>
          <w:tab w:val="left" w:pos="900"/>
        </w:tabs>
        <w:ind w:left="900" w:hanging="360"/>
        <w:jc w:val="both"/>
        <w:rPr>
          <w:rFonts w:asciiTheme="minorHAnsi" w:hAnsiTheme="minorHAnsi" w:cstheme="minorHAnsi"/>
          <w:sz w:val="22"/>
          <w:szCs w:val="22"/>
          <w:lang w:val="fr-BE"/>
        </w:rPr>
      </w:pPr>
    </w:p>
    <w:p w14:paraId="667D2380" w14:textId="4093ABC9" w:rsidR="00EE13E9" w:rsidRPr="00EE13E9" w:rsidRDefault="00EE13E9" w:rsidP="00A36B7E">
      <w:pPr>
        <w:pStyle w:val="Pieddepage"/>
        <w:tabs>
          <w:tab w:val="clear" w:pos="4536"/>
          <w:tab w:val="clear" w:pos="9072"/>
          <w:tab w:val="num" w:pos="1440"/>
        </w:tabs>
        <w:ind w:left="426"/>
        <w:jc w:val="both"/>
        <w:rPr>
          <w:rFonts w:asciiTheme="minorHAnsi" w:hAnsiTheme="minorHAnsi" w:cstheme="minorHAnsi"/>
          <w:sz w:val="22"/>
          <w:szCs w:val="22"/>
          <w:lang w:val="fr-BE"/>
        </w:rPr>
      </w:pPr>
      <w:r w:rsidRPr="00EE13E9">
        <w:rPr>
          <w:rFonts w:asciiTheme="minorHAnsi" w:hAnsiTheme="minorHAnsi" w:cstheme="minorHAnsi"/>
          <w:sz w:val="22"/>
          <w:szCs w:val="22"/>
          <w:lang w:val="fr-BE"/>
        </w:rPr>
        <w:t>Il appartiendra donc au juge d’apprécier, dans chaque cas d’espèce, si le moyen utilisé est plus ou moins « astucieux », « artificieux » ou «</w:t>
      </w:r>
      <w:r>
        <w:rPr>
          <w:rFonts w:asciiTheme="minorHAnsi" w:hAnsiTheme="minorHAnsi" w:cstheme="minorHAnsi"/>
          <w:sz w:val="22"/>
          <w:szCs w:val="22"/>
          <w:lang w:val="fr-BE"/>
        </w:rPr>
        <w:t xml:space="preserve"> </w:t>
      </w:r>
      <w:r w:rsidRPr="00EE13E9">
        <w:rPr>
          <w:rFonts w:asciiTheme="minorHAnsi" w:hAnsiTheme="minorHAnsi" w:cstheme="minorHAnsi"/>
          <w:sz w:val="22"/>
          <w:szCs w:val="22"/>
          <w:lang w:val="fr-BE"/>
        </w:rPr>
        <w:t>déloyal</w:t>
      </w:r>
      <w:r>
        <w:rPr>
          <w:rFonts w:asciiTheme="minorHAnsi" w:hAnsiTheme="minorHAnsi" w:cstheme="minorHAnsi"/>
          <w:sz w:val="22"/>
          <w:szCs w:val="22"/>
          <w:lang w:val="fr-BE"/>
        </w:rPr>
        <w:t xml:space="preserve"> </w:t>
      </w:r>
      <w:r w:rsidRPr="00EE13E9">
        <w:rPr>
          <w:rFonts w:asciiTheme="minorHAnsi" w:hAnsiTheme="minorHAnsi" w:cstheme="minorHAnsi"/>
          <w:sz w:val="22"/>
          <w:szCs w:val="22"/>
          <w:lang w:val="fr-BE"/>
        </w:rPr>
        <w:t xml:space="preserve">» au regard de la situation réelle des parties, et si celles-ci (ou l’une d’entre elles) ont eu ou non la volonté de « tourner la loi ». S’il répond par l’affirmative à ces deux questions, le juge écartera la construction élaborée par les parties et, en </w:t>
      </w:r>
      <w:r w:rsidRPr="00EE13E9">
        <w:rPr>
          <w:rFonts w:asciiTheme="minorHAnsi" w:hAnsiTheme="minorHAnsi" w:cstheme="minorHAnsi"/>
          <w:sz w:val="22"/>
          <w:szCs w:val="22"/>
          <w:lang w:val="fr-BE"/>
        </w:rPr>
        <w:lastRenderedPageBreak/>
        <w:t>conséquence, donnera à la loi – impérative ou d’ordre public - sa pleine application à l’espèce qui lui est soumise.</w:t>
      </w:r>
    </w:p>
    <w:p w14:paraId="77C7BED3" w14:textId="77777777" w:rsidR="00EE13E9" w:rsidRPr="00EE13E9" w:rsidRDefault="00EE13E9" w:rsidP="00EE13E9">
      <w:pPr>
        <w:pStyle w:val="Pieddepage"/>
        <w:tabs>
          <w:tab w:val="clear" w:pos="4536"/>
          <w:tab w:val="clear" w:pos="9072"/>
          <w:tab w:val="num" w:pos="1440"/>
        </w:tabs>
        <w:jc w:val="both"/>
        <w:rPr>
          <w:rFonts w:asciiTheme="minorHAnsi" w:hAnsiTheme="minorHAnsi" w:cstheme="minorHAnsi"/>
          <w:sz w:val="22"/>
          <w:szCs w:val="22"/>
          <w:lang w:val="fr-BE"/>
        </w:rPr>
      </w:pPr>
    </w:p>
    <w:p w14:paraId="44F0927F" w14:textId="29550F6B" w:rsidR="00EE13E9" w:rsidRPr="00EE13E9" w:rsidRDefault="00EE13E9" w:rsidP="00A36B7E">
      <w:pPr>
        <w:pStyle w:val="Pieddepage"/>
        <w:numPr>
          <w:ilvl w:val="0"/>
          <w:numId w:val="13"/>
        </w:numPr>
        <w:tabs>
          <w:tab w:val="clear" w:pos="4536"/>
          <w:tab w:val="clear" w:pos="9072"/>
        </w:tabs>
        <w:ind w:left="426" w:hanging="426"/>
        <w:jc w:val="both"/>
        <w:rPr>
          <w:rFonts w:asciiTheme="minorHAnsi" w:hAnsiTheme="minorHAnsi" w:cstheme="minorHAnsi"/>
          <w:sz w:val="22"/>
          <w:szCs w:val="22"/>
          <w:lang w:val="fr-BE"/>
        </w:rPr>
      </w:pPr>
      <w:r w:rsidRPr="00EE13E9">
        <w:rPr>
          <w:rFonts w:asciiTheme="minorHAnsi" w:hAnsiTheme="minorHAnsi" w:cstheme="minorHAnsi"/>
          <w:sz w:val="22"/>
          <w:szCs w:val="22"/>
          <w:lang w:val="fr-BE"/>
        </w:rPr>
        <w:t>La théorie de la fraude à la loi et son applicabilité en droit belge</w:t>
      </w:r>
      <w:r w:rsidRPr="00EE13E9">
        <w:rPr>
          <w:rStyle w:val="Appelnotedebasdep"/>
          <w:rFonts w:asciiTheme="minorHAnsi" w:hAnsiTheme="minorHAnsi" w:cstheme="minorHAnsi"/>
          <w:sz w:val="22"/>
          <w:szCs w:val="22"/>
          <w:lang w:val="fr-BE"/>
        </w:rPr>
        <w:footnoteReference w:id="129"/>
      </w:r>
      <w:r w:rsidRPr="00EE13E9">
        <w:rPr>
          <w:rFonts w:asciiTheme="minorHAnsi" w:hAnsiTheme="minorHAnsi" w:cstheme="minorHAnsi"/>
          <w:sz w:val="22"/>
          <w:szCs w:val="22"/>
          <w:lang w:val="fr-BE"/>
        </w:rPr>
        <w:t xml:space="preserve"> furent longtemps (et semblent encore) controversées.</w:t>
      </w:r>
    </w:p>
    <w:p w14:paraId="5C30F710" w14:textId="77777777" w:rsidR="00EE13E9" w:rsidRPr="00EE13E9" w:rsidRDefault="00EE13E9" w:rsidP="00EE13E9">
      <w:pPr>
        <w:pStyle w:val="Pieddepage"/>
        <w:tabs>
          <w:tab w:val="clear" w:pos="4536"/>
          <w:tab w:val="clear" w:pos="9072"/>
          <w:tab w:val="num" w:pos="1440"/>
        </w:tabs>
        <w:jc w:val="both"/>
        <w:rPr>
          <w:rFonts w:asciiTheme="minorHAnsi" w:hAnsiTheme="minorHAnsi" w:cstheme="minorHAnsi"/>
          <w:sz w:val="22"/>
          <w:szCs w:val="22"/>
          <w:lang w:val="fr-BE"/>
        </w:rPr>
      </w:pPr>
    </w:p>
    <w:p w14:paraId="7AA9857D" w14:textId="2514CBDA" w:rsidR="00EE13E9" w:rsidRPr="00EE13E9" w:rsidRDefault="00EE13E9" w:rsidP="00A36B7E">
      <w:pPr>
        <w:pStyle w:val="Pieddepage"/>
        <w:tabs>
          <w:tab w:val="clear" w:pos="4536"/>
          <w:tab w:val="clear" w:pos="9072"/>
          <w:tab w:val="num" w:pos="1440"/>
        </w:tabs>
        <w:ind w:left="426"/>
        <w:jc w:val="both"/>
        <w:rPr>
          <w:rFonts w:asciiTheme="minorHAnsi" w:hAnsiTheme="minorHAnsi" w:cstheme="minorHAnsi"/>
          <w:sz w:val="22"/>
          <w:szCs w:val="22"/>
          <w:lang w:val="fr-BE"/>
        </w:rPr>
      </w:pPr>
      <w:r w:rsidRPr="00EE13E9">
        <w:rPr>
          <w:rFonts w:asciiTheme="minorHAnsi" w:hAnsiTheme="minorHAnsi" w:cstheme="minorHAnsi"/>
          <w:sz w:val="22"/>
          <w:szCs w:val="22"/>
          <w:lang w:val="fr-BE"/>
        </w:rPr>
        <w:t>Ses défenseurs</w:t>
      </w:r>
      <w:r w:rsidRPr="00EE13E9">
        <w:rPr>
          <w:rStyle w:val="Appelnotedebasdep"/>
          <w:rFonts w:asciiTheme="minorHAnsi" w:hAnsiTheme="minorHAnsi" w:cstheme="minorHAnsi"/>
          <w:sz w:val="22"/>
          <w:szCs w:val="22"/>
          <w:lang w:val="fr-BE"/>
        </w:rPr>
        <w:footnoteReference w:id="130"/>
      </w:r>
      <w:r w:rsidRPr="00EE13E9">
        <w:rPr>
          <w:rFonts w:asciiTheme="minorHAnsi" w:hAnsiTheme="minorHAnsi" w:cstheme="minorHAnsi"/>
          <w:sz w:val="22"/>
          <w:szCs w:val="22"/>
          <w:lang w:val="fr-BE"/>
        </w:rPr>
        <w:t xml:space="preserve"> y voient le seul outil permettant au juge de donner sa pleine application à des dispositions d’ordre public ou impératives en présence d’une qualification choisie par les parties qui n’est ni incorrecte ni simulée, mais uniquement « artificieuse ».  </w:t>
      </w:r>
      <w:r w:rsidRPr="00EE13E9">
        <w:rPr>
          <w:rFonts w:asciiTheme="minorHAnsi" w:hAnsiTheme="minorHAnsi" w:cstheme="minorHAnsi"/>
          <w:sz w:val="22"/>
          <w:szCs w:val="22"/>
          <w:lang w:val="fr-BE" w:eastAsia="en-US"/>
        </w:rPr>
        <w:t>Il en va en effet de l’efficacité de l’action du législateur qui, « </w:t>
      </w:r>
      <w:r w:rsidRPr="00EE13E9">
        <w:rPr>
          <w:rFonts w:asciiTheme="minorHAnsi" w:hAnsiTheme="minorHAnsi" w:cstheme="minorHAnsi"/>
          <w:i/>
          <w:sz w:val="22"/>
          <w:szCs w:val="22"/>
          <w:lang w:val="fr-BE" w:eastAsia="en-US"/>
        </w:rPr>
        <w:t>lorsqu’il édicte une règle impérative,</w:t>
      </w:r>
      <w:r w:rsidRPr="00EE13E9">
        <w:rPr>
          <w:rFonts w:asciiTheme="minorHAnsi" w:hAnsiTheme="minorHAnsi" w:cstheme="minorHAnsi"/>
          <w:sz w:val="22"/>
          <w:szCs w:val="22"/>
          <w:lang w:val="fr-BE" w:eastAsia="en-US"/>
        </w:rPr>
        <w:t xml:space="preserve"> […] </w:t>
      </w:r>
      <w:r w:rsidRPr="00EE13E9">
        <w:rPr>
          <w:rFonts w:asciiTheme="minorHAnsi" w:hAnsiTheme="minorHAnsi" w:cstheme="minorHAnsi"/>
          <w:i/>
          <w:sz w:val="22"/>
          <w:szCs w:val="22"/>
          <w:lang w:val="fr-BE" w:eastAsia="en-US"/>
        </w:rPr>
        <w:t>entend</w:t>
      </w:r>
      <w:r w:rsidRPr="00EE13E9">
        <w:rPr>
          <w:rFonts w:asciiTheme="minorHAnsi" w:hAnsiTheme="minorHAnsi" w:cstheme="minorHAnsi"/>
          <w:sz w:val="22"/>
          <w:szCs w:val="22"/>
          <w:lang w:val="fr-BE" w:eastAsia="en-US"/>
        </w:rPr>
        <w:t xml:space="preserve"> […] </w:t>
      </w:r>
      <w:r w:rsidRPr="00EE13E9">
        <w:rPr>
          <w:rFonts w:asciiTheme="minorHAnsi" w:hAnsiTheme="minorHAnsi" w:cstheme="minorHAnsi"/>
          <w:i/>
          <w:sz w:val="22"/>
          <w:szCs w:val="22"/>
          <w:lang w:val="fr-BE" w:eastAsia="en-US"/>
        </w:rPr>
        <w:t>régir essentiellement une situation de fait et non une présentation juridique</w:t>
      </w:r>
      <w:r w:rsidRPr="00EE13E9">
        <w:rPr>
          <w:rFonts w:asciiTheme="minorHAnsi" w:hAnsiTheme="minorHAnsi" w:cstheme="minorHAnsi"/>
          <w:sz w:val="22"/>
          <w:szCs w:val="22"/>
          <w:lang w:val="fr-BE" w:eastAsia="en-US"/>
        </w:rPr>
        <w:t> »</w:t>
      </w:r>
      <w:r w:rsidRPr="00EE13E9">
        <w:rPr>
          <w:rStyle w:val="Appelnotedebasdep"/>
          <w:rFonts w:asciiTheme="minorHAnsi" w:hAnsiTheme="minorHAnsi" w:cstheme="minorHAnsi"/>
          <w:sz w:val="22"/>
          <w:szCs w:val="22"/>
          <w:lang w:val="fr-BE" w:eastAsia="en-US"/>
        </w:rPr>
        <w:footnoteReference w:id="131"/>
      </w:r>
      <w:r w:rsidRPr="00EE13E9">
        <w:rPr>
          <w:rFonts w:asciiTheme="minorHAnsi" w:hAnsiTheme="minorHAnsi" w:cstheme="minorHAnsi"/>
          <w:sz w:val="22"/>
          <w:szCs w:val="22"/>
          <w:lang w:val="fr-BE" w:eastAsia="en-US"/>
        </w:rPr>
        <w:t>.</w:t>
      </w:r>
    </w:p>
    <w:p w14:paraId="54730E69" w14:textId="77777777" w:rsidR="00EE13E9" w:rsidRPr="00EE13E9" w:rsidRDefault="00EE13E9" w:rsidP="00A36B7E">
      <w:pPr>
        <w:pStyle w:val="Pieddepage"/>
        <w:tabs>
          <w:tab w:val="clear" w:pos="4536"/>
          <w:tab w:val="clear" w:pos="9072"/>
          <w:tab w:val="num" w:pos="1440"/>
        </w:tabs>
        <w:ind w:left="426"/>
        <w:jc w:val="both"/>
        <w:rPr>
          <w:rFonts w:asciiTheme="minorHAnsi" w:hAnsiTheme="minorHAnsi" w:cstheme="minorHAnsi"/>
          <w:sz w:val="22"/>
          <w:szCs w:val="22"/>
          <w:lang w:val="fr-BE" w:eastAsia="en-US"/>
        </w:rPr>
      </w:pPr>
    </w:p>
    <w:p w14:paraId="5CFCB1AD" w14:textId="77777777" w:rsidR="00EE13E9" w:rsidRPr="00EE13E9" w:rsidRDefault="00EE13E9" w:rsidP="00A36B7E">
      <w:pPr>
        <w:pStyle w:val="Pieddepage"/>
        <w:tabs>
          <w:tab w:val="clear" w:pos="4536"/>
          <w:tab w:val="clear" w:pos="9072"/>
          <w:tab w:val="num" w:pos="1440"/>
        </w:tabs>
        <w:ind w:left="426"/>
        <w:jc w:val="both"/>
        <w:rPr>
          <w:rFonts w:asciiTheme="minorHAnsi" w:hAnsiTheme="minorHAnsi" w:cstheme="minorHAnsi"/>
          <w:sz w:val="22"/>
          <w:szCs w:val="22"/>
          <w:lang w:val="fr-BE"/>
        </w:rPr>
      </w:pPr>
      <w:r w:rsidRPr="00EE13E9">
        <w:rPr>
          <w:rFonts w:asciiTheme="minorHAnsi" w:hAnsiTheme="minorHAnsi" w:cstheme="minorHAnsi"/>
          <w:sz w:val="22"/>
          <w:szCs w:val="22"/>
          <w:lang w:val="fr-BE" w:eastAsia="en-US"/>
        </w:rPr>
        <w:t>Ses détracteurs</w:t>
      </w:r>
      <w:r w:rsidRPr="00EE13E9">
        <w:rPr>
          <w:rStyle w:val="Appelnotedebasdep"/>
          <w:rFonts w:asciiTheme="minorHAnsi" w:hAnsiTheme="minorHAnsi" w:cstheme="minorHAnsi"/>
          <w:sz w:val="22"/>
          <w:szCs w:val="22"/>
          <w:lang w:val="fr-BE" w:eastAsia="en-US"/>
        </w:rPr>
        <w:footnoteReference w:id="132"/>
      </w:r>
      <w:r w:rsidRPr="00EE13E9">
        <w:rPr>
          <w:rFonts w:asciiTheme="minorHAnsi" w:hAnsiTheme="minorHAnsi" w:cstheme="minorHAnsi"/>
          <w:sz w:val="22"/>
          <w:szCs w:val="22"/>
          <w:lang w:val="fr-BE" w:eastAsia="en-US"/>
        </w:rPr>
        <w:t xml:space="preserve"> lui reprochent essentiellement son inutilité, considérant que d’autres institutions telles que la simulation frauduleuse, la cause illicite ou l’abus de droit peuvent résoudre la plupart des situations auxquelles elle tendrait à s’appliquer. Les mêmes auteurs reprochent également à la fraude à la loi d’exposer le justiciable à un risque d’arbitraire du juge, à défaut pour les tenants de cette théorie de pouvoir définir « </w:t>
      </w:r>
      <w:r w:rsidRPr="00EE13E9">
        <w:rPr>
          <w:rFonts w:asciiTheme="minorHAnsi" w:hAnsiTheme="minorHAnsi" w:cstheme="minorHAnsi"/>
          <w:i/>
          <w:sz w:val="22"/>
          <w:szCs w:val="22"/>
          <w:lang w:val="fr-BE" w:eastAsia="en-US"/>
        </w:rPr>
        <w:t>le degré d’astuce ou de malice pour que la sanction puisse s’appliquer</w:t>
      </w:r>
      <w:r w:rsidRPr="00EE13E9">
        <w:rPr>
          <w:rFonts w:asciiTheme="minorHAnsi" w:hAnsiTheme="minorHAnsi" w:cstheme="minorHAnsi"/>
          <w:sz w:val="22"/>
          <w:szCs w:val="22"/>
          <w:lang w:val="fr-BE" w:eastAsia="en-US"/>
        </w:rPr>
        <w:t> »</w:t>
      </w:r>
      <w:r w:rsidRPr="00EE13E9">
        <w:rPr>
          <w:rStyle w:val="Appelnotedebasdep"/>
          <w:rFonts w:asciiTheme="minorHAnsi" w:hAnsiTheme="minorHAnsi" w:cstheme="minorHAnsi"/>
          <w:sz w:val="22"/>
          <w:szCs w:val="22"/>
          <w:lang w:val="fr-BE" w:eastAsia="en-US"/>
        </w:rPr>
        <w:footnoteReference w:id="133"/>
      </w:r>
      <w:r w:rsidRPr="00EE13E9">
        <w:rPr>
          <w:rFonts w:asciiTheme="minorHAnsi" w:hAnsiTheme="minorHAnsi" w:cstheme="minorHAnsi"/>
          <w:sz w:val="22"/>
          <w:szCs w:val="22"/>
          <w:lang w:val="fr-BE" w:eastAsia="en-US"/>
        </w:rPr>
        <w:t xml:space="preserve">. </w:t>
      </w:r>
    </w:p>
    <w:p w14:paraId="65392A63" w14:textId="77777777" w:rsidR="00EE13E9" w:rsidRPr="00EE13E9" w:rsidRDefault="00EE13E9" w:rsidP="00A36B7E">
      <w:pPr>
        <w:pStyle w:val="Pieddepage"/>
        <w:tabs>
          <w:tab w:val="clear" w:pos="4536"/>
          <w:tab w:val="clear" w:pos="9072"/>
          <w:tab w:val="num" w:pos="1440"/>
        </w:tabs>
        <w:ind w:left="426"/>
        <w:jc w:val="both"/>
        <w:rPr>
          <w:rFonts w:asciiTheme="minorHAnsi" w:hAnsiTheme="minorHAnsi" w:cstheme="minorHAnsi"/>
          <w:sz w:val="22"/>
          <w:szCs w:val="22"/>
          <w:lang w:val="fr-BE"/>
        </w:rPr>
      </w:pPr>
    </w:p>
    <w:p w14:paraId="5D1C116C" w14:textId="77777777" w:rsidR="00EE13E9" w:rsidRPr="00EE13E9" w:rsidRDefault="00EE13E9" w:rsidP="00A36B7E">
      <w:pPr>
        <w:pStyle w:val="Pieddepage"/>
        <w:tabs>
          <w:tab w:val="clear" w:pos="4536"/>
          <w:tab w:val="clear" w:pos="9072"/>
          <w:tab w:val="num" w:pos="1440"/>
        </w:tabs>
        <w:ind w:left="426"/>
        <w:jc w:val="both"/>
        <w:rPr>
          <w:rFonts w:asciiTheme="minorHAnsi" w:hAnsiTheme="minorHAnsi" w:cstheme="minorHAnsi"/>
          <w:sz w:val="22"/>
          <w:szCs w:val="22"/>
          <w:lang w:val="fr-BE"/>
        </w:rPr>
      </w:pPr>
      <w:r w:rsidRPr="00EE13E9">
        <w:rPr>
          <w:rFonts w:asciiTheme="minorHAnsi" w:hAnsiTheme="minorHAnsi" w:cstheme="minorHAnsi"/>
          <w:sz w:val="22"/>
          <w:szCs w:val="22"/>
          <w:lang w:val="fr-BE"/>
        </w:rPr>
        <w:t>Il est aujourd’hui certain que la théorie de la fraude à la loi fait partie du droit positif belge</w:t>
      </w:r>
      <w:r w:rsidRPr="00EE13E9">
        <w:rPr>
          <w:rStyle w:val="Appelnotedebasdep"/>
          <w:rFonts w:asciiTheme="minorHAnsi" w:hAnsiTheme="minorHAnsi" w:cstheme="minorHAnsi"/>
          <w:sz w:val="22"/>
          <w:szCs w:val="22"/>
          <w:lang w:val="fr-BE"/>
        </w:rPr>
        <w:footnoteReference w:id="134"/>
      </w:r>
      <w:r w:rsidRPr="00EE13E9">
        <w:rPr>
          <w:rFonts w:asciiTheme="minorHAnsi" w:hAnsiTheme="minorHAnsi" w:cstheme="minorHAnsi"/>
          <w:sz w:val="22"/>
          <w:szCs w:val="22"/>
          <w:lang w:val="fr-BE"/>
        </w:rPr>
        <w:t>. La Cour de cassation nous semble en effet avoir définitivement mis fin à la controverse doctrinale par son arrêt du 14 novembre 2005</w:t>
      </w:r>
      <w:r w:rsidRPr="00EE13E9">
        <w:rPr>
          <w:rStyle w:val="Appelnotedebasdep"/>
          <w:rFonts w:asciiTheme="minorHAnsi" w:hAnsiTheme="minorHAnsi" w:cstheme="minorHAnsi"/>
          <w:sz w:val="22"/>
          <w:szCs w:val="22"/>
          <w:lang w:val="fr-BE"/>
        </w:rPr>
        <w:footnoteReference w:id="135"/>
      </w:r>
      <w:r w:rsidRPr="00EE13E9">
        <w:rPr>
          <w:rFonts w:asciiTheme="minorHAnsi" w:hAnsiTheme="minorHAnsi" w:cstheme="minorHAnsi"/>
          <w:sz w:val="22"/>
          <w:szCs w:val="22"/>
          <w:lang w:val="fr-BE"/>
        </w:rPr>
        <w:t xml:space="preserve"> qui consacre la fraude à la loi interne</w:t>
      </w:r>
      <w:r w:rsidRPr="00EE13E9">
        <w:rPr>
          <w:rStyle w:val="Appelnotedebasdep"/>
          <w:rFonts w:asciiTheme="minorHAnsi" w:hAnsiTheme="minorHAnsi" w:cstheme="minorHAnsi"/>
          <w:sz w:val="22"/>
          <w:szCs w:val="22"/>
          <w:lang w:val="fr-BE"/>
        </w:rPr>
        <w:footnoteReference w:id="136"/>
      </w:r>
      <w:r w:rsidRPr="00EE13E9">
        <w:rPr>
          <w:rFonts w:asciiTheme="minorHAnsi" w:hAnsiTheme="minorHAnsi" w:cstheme="minorHAnsi"/>
          <w:sz w:val="22"/>
          <w:szCs w:val="22"/>
          <w:lang w:val="fr-BE"/>
        </w:rPr>
        <w:t>.</w:t>
      </w:r>
    </w:p>
    <w:p w14:paraId="18D546EF" w14:textId="77777777" w:rsidR="00EE13E9" w:rsidRPr="00EE13E9" w:rsidRDefault="00EE13E9" w:rsidP="00A36B7E">
      <w:pPr>
        <w:pStyle w:val="Pieddepage"/>
        <w:tabs>
          <w:tab w:val="clear" w:pos="4536"/>
          <w:tab w:val="clear" w:pos="9072"/>
          <w:tab w:val="num" w:pos="1440"/>
        </w:tabs>
        <w:ind w:left="426"/>
        <w:jc w:val="both"/>
        <w:rPr>
          <w:rFonts w:asciiTheme="minorHAnsi" w:hAnsiTheme="minorHAnsi" w:cstheme="minorHAnsi"/>
          <w:sz w:val="22"/>
          <w:szCs w:val="22"/>
          <w:lang w:val="fr-BE"/>
        </w:rPr>
      </w:pPr>
    </w:p>
    <w:p w14:paraId="5510D5AF" w14:textId="13EB56A5" w:rsidR="00EE13E9" w:rsidRPr="00A36B7E" w:rsidRDefault="00EE13E9" w:rsidP="00A36B7E">
      <w:pPr>
        <w:pStyle w:val="Pieddepage"/>
        <w:tabs>
          <w:tab w:val="clear" w:pos="4536"/>
          <w:tab w:val="clear" w:pos="9072"/>
          <w:tab w:val="num" w:pos="1440"/>
        </w:tabs>
        <w:ind w:left="426"/>
        <w:jc w:val="both"/>
        <w:rPr>
          <w:rFonts w:asciiTheme="minorHAnsi" w:hAnsiTheme="minorHAnsi" w:cstheme="minorHAnsi"/>
          <w:sz w:val="22"/>
          <w:szCs w:val="22"/>
          <w:lang w:val="fr-BE"/>
        </w:rPr>
      </w:pPr>
      <w:r>
        <w:rPr>
          <w:rFonts w:asciiTheme="minorHAnsi" w:hAnsiTheme="minorHAnsi" w:cstheme="minorHAnsi"/>
          <w:sz w:val="22"/>
          <w:szCs w:val="22"/>
          <w:lang w:val="fr-BE"/>
        </w:rPr>
        <w:lastRenderedPageBreak/>
        <w:t>Nous</w:t>
      </w:r>
      <w:r w:rsidRPr="00EE13E9">
        <w:rPr>
          <w:rFonts w:asciiTheme="minorHAnsi" w:hAnsiTheme="minorHAnsi" w:cstheme="minorHAnsi"/>
          <w:sz w:val="22"/>
          <w:szCs w:val="22"/>
          <w:lang w:val="fr-BE"/>
        </w:rPr>
        <w:t xml:space="preserve"> conclur</w:t>
      </w:r>
      <w:r>
        <w:rPr>
          <w:rFonts w:asciiTheme="minorHAnsi" w:hAnsiTheme="minorHAnsi" w:cstheme="minorHAnsi"/>
          <w:sz w:val="22"/>
          <w:szCs w:val="22"/>
          <w:lang w:val="fr-BE"/>
        </w:rPr>
        <w:t>ons</w:t>
      </w:r>
      <w:r w:rsidRPr="00EE13E9">
        <w:rPr>
          <w:rFonts w:asciiTheme="minorHAnsi" w:hAnsiTheme="minorHAnsi" w:cstheme="minorHAnsi"/>
          <w:sz w:val="22"/>
          <w:szCs w:val="22"/>
          <w:lang w:val="fr-BE"/>
        </w:rPr>
        <w:t>, avec le professeur F</w:t>
      </w:r>
      <w:r w:rsidRPr="00EE13E9">
        <w:rPr>
          <w:rFonts w:asciiTheme="minorHAnsi" w:hAnsiTheme="minorHAnsi" w:cstheme="minorHAnsi"/>
          <w:smallCaps/>
          <w:sz w:val="22"/>
          <w:szCs w:val="22"/>
          <w:lang w:val="fr-BE"/>
        </w:rPr>
        <w:t>oriers,</w:t>
      </w:r>
      <w:r w:rsidRPr="00EE13E9">
        <w:rPr>
          <w:rFonts w:asciiTheme="minorHAnsi" w:hAnsiTheme="minorHAnsi" w:cstheme="minorHAnsi"/>
          <w:sz w:val="22"/>
          <w:szCs w:val="22"/>
          <w:lang w:val="fr-BE"/>
        </w:rPr>
        <w:t xml:space="preserve"> que «</w:t>
      </w:r>
      <w:r w:rsidRPr="00EE13E9">
        <w:rPr>
          <w:rFonts w:asciiTheme="minorHAnsi" w:hAnsiTheme="minorHAnsi" w:cstheme="minorHAnsi"/>
          <w:i/>
          <w:sz w:val="22"/>
          <w:szCs w:val="22"/>
          <w:lang w:val="fr-BE"/>
        </w:rPr>
        <w:t> si le droit reconnaît l’inventivité, et permet ainsi de créer des conventions complexes et autonomes présentant une évidente originalité, cette inventivité a ses limites. Il en est spécialement ainsi lorsqu’elle tend en réalité uniquement à tourner des dispositions impératives </w:t>
      </w:r>
      <w:r w:rsidRPr="00EE13E9">
        <w:rPr>
          <w:rFonts w:asciiTheme="minorHAnsi" w:hAnsiTheme="minorHAnsi" w:cstheme="minorHAnsi"/>
          <w:sz w:val="22"/>
          <w:szCs w:val="22"/>
          <w:lang w:val="fr-BE"/>
        </w:rPr>
        <w:t>»</w:t>
      </w:r>
      <w:r w:rsidRPr="00EE13E9">
        <w:rPr>
          <w:rStyle w:val="Appelnotedebasdep"/>
          <w:rFonts w:asciiTheme="minorHAnsi" w:hAnsiTheme="minorHAnsi" w:cstheme="minorHAnsi"/>
          <w:sz w:val="22"/>
          <w:szCs w:val="22"/>
          <w:lang w:val="fr-BE"/>
        </w:rPr>
        <w:footnoteReference w:id="137"/>
      </w:r>
      <w:r w:rsidRPr="00EE13E9">
        <w:rPr>
          <w:rFonts w:asciiTheme="minorHAnsi" w:hAnsiTheme="minorHAnsi" w:cstheme="minorHAnsi"/>
          <w:sz w:val="22"/>
          <w:szCs w:val="22"/>
          <w:lang w:val="fr-BE"/>
        </w:rPr>
        <w:t xml:space="preserve"> ou d’ordre public. Dans ce cas, «</w:t>
      </w:r>
      <w:r w:rsidRPr="00EE13E9">
        <w:rPr>
          <w:rFonts w:asciiTheme="minorHAnsi" w:hAnsiTheme="minorHAnsi" w:cstheme="minorHAnsi"/>
          <w:i/>
          <w:sz w:val="22"/>
          <w:szCs w:val="22"/>
          <w:lang w:val="fr-BE"/>
        </w:rPr>
        <w:t> l’agent ne "joue plus le jeu" : il reste en réalité dans la même situation de fait et s’affranchit de ses conséquences juridiques</w:t>
      </w:r>
      <w:r w:rsidRPr="00EE13E9">
        <w:rPr>
          <w:rFonts w:asciiTheme="minorHAnsi" w:hAnsiTheme="minorHAnsi" w:cstheme="minorHAnsi"/>
          <w:sz w:val="22"/>
          <w:szCs w:val="22"/>
          <w:lang w:val="fr-BE"/>
        </w:rPr>
        <w:t> »</w:t>
      </w:r>
      <w:r w:rsidRPr="00EE13E9">
        <w:rPr>
          <w:rStyle w:val="Appelnotedebasdep"/>
          <w:rFonts w:asciiTheme="minorHAnsi" w:hAnsiTheme="minorHAnsi" w:cstheme="minorHAnsi"/>
          <w:sz w:val="22"/>
          <w:szCs w:val="22"/>
          <w:lang w:val="fr-BE"/>
        </w:rPr>
        <w:footnoteReference w:id="138"/>
      </w:r>
      <w:r w:rsidRPr="00EE13E9">
        <w:rPr>
          <w:rFonts w:asciiTheme="minorHAnsi" w:hAnsiTheme="minorHAnsi" w:cstheme="minorHAnsi"/>
          <w:sz w:val="22"/>
          <w:szCs w:val="22"/>
          <w:lang w:val="fr-BE"/>
        </w:rPr>
        <w:t>, ce que le droit ne peut admettre.</w:t>
      </w:r>
    </w:p>
    <w:sectPr w:rsidR="00EE13E9" w:rsidRPr="00A36B7E">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59800E9" w14:textId="77777777" w:rsidR="00F205E9" w:rsidRDefault="00F205E9" w:rsidP="008061D7">
      <w:pPr>
        <w:spacing w:after="0" w:line="240" w:lineRule="auto"/>
      </w:pPr>
      <w:r>
        <w:separator/>
      </w:r>
    </w:p>
  </w:endnote>
  <w:endnote w:type="continuationSeparator" w:id="0">
    <w:p w14:paraId="138CC54F" w14:textId="77777777" w:rsidR="00F205E9" w:rsidRDefault="00F205E9" w:rsidP="008061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News Gothic MT">
    <w:altName w:val="Segoe Script"/>
    <w:charset w:val="00"/>
    <w:family w:val="swiss"/>
    <w:pitch w:val="variable"/>
    <w:sig w:usb0="00000003" w:usb1="00000000" w:usb2="00000000" w:usb3="00000000" w:csb0="00000001" w:csb1="00000000"/>
  </w:font>
  <w:font w:name="Source Sans Pro">
    <w:altName w:val="Source Sans Pro"/>
    <w:charset w:val="00"/>
    <w:family w:val="swiss"/>
    <w:pitch w:val="variable"/>
    <w:sig w:usb0="600002F7" w:usb1="02000001" w:usb2="00000000" w:usb3="00000000" w:csb0="0000019F" w:csb1="00000000"/>
  </w:font>
  <w:font w:name="Optima">
    <w:altName w:val="Calibri"/>
    <w:panose1 w:val="00000000000000000000"/>
    <w:charset w:val="00"/>
    <w:family w:val="swiss"/>
    <w:notTrueType/>
    <w:pitch w:val="default"/>
    <w:sig w:usb0="00000003" w:usb1="00000000" w:usb2="00000000" w:usb3="00000000" w:csb0="00000001" w:csb1="00000000"/>
  </w:font>
  <w:font w:name="HelveticaLTStd-Roman">
    <w:altName w:val="Arial"/>
    <w:panose1 w:val="00000000000000000000"/>
    <w:charset w:val="00"/>
    <w:family w:val="auto"/>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291229" w14:textId="77777777" w:rsidR="00F205E9" w:rsidRDefault="00F205E9" w:rsidP="008061D7">
      <w:pPr>
        <w:spacing w:after="0" w:line="240" w:lineRule="auto"/>
      </w:pPr>
      <w:r>
        <w:separator/>
      </w:r>
    </w:p>
  </w:footnote>
  <w:footnote w:type="continuationSeparator" w:id="0">
    <w:p w14:paraId="07260298" w14:textId="77777777" w:rsidR="00F205E9" w:rsidRDefault="00F205E9" w:rsidP="008061D7">
      <w:pPr>
        <w:spacing w:after="0" w:line="240" w:lineRule="auto"/>
      </w:pPr>
      <w:r>
        <w:continuationSeparator/>
      </w:r>
    </w:p>
  </w:footnote>
  <w:footnote w:id="1">
    <w:p w14:paraId="31CBCFB9" w14:textId="25E35AB7"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Article 17 de la loi </w:t>
      </w:r>
      <w:r w:rsidRPr="00F73EF8">
        <w:rPr>
          <w:rFonts w:cstheme="minorHAnsi"/>
        </w:rPr>
        <w:t xml:space="preserve">spéciale du 6 janvier 2014 relative à la Sixième Réforme de l'Etat, </w:t>
      </w:r>
      <w:r w:rsidRPr="00F73EF8">
        <w:rPr>
          <w:rFonts w:cstheme="minorHAnsi"/>
          <w:i/>
          <w:iCs/>
        </w:rPr>
        <w:t>Mon. b.</w:t>
      </w:r>
      <w:r w:rsidRPr="00F73EF8">
        <w:rPr>
          <w:rFonts w:cstheme="minorHAnsi"/>
        </w:rPr>
        <w:t>, 31 janvier 2014.</w:t>
      </w:r>
    </w:p>
  </w:footnote>
  <w:footnote w:id="2">
    <w:p w14:paraId="2870B0D9" w14:textId="010A40BB"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Article 6 § 1</w:t>
      </w:r>
      <w:r w:rsidRPr="00F73EF8">
        <w:rPr>
          <w:rFonts w:cstheme="minorHAnsi"/>
          <w:vertAlign w:val="superscript"/>
          <w:lang w:val="fr-FR"/>
        </w:rPr>
        <w:t>er</w:t>
      </w:r>
      <w:r w:rsidRPr="00F73EF8">
        <w:rPr>
          <w:rFonts w:cstheme="minorHAnsi"/>
          <w:lang w:val="fr-FR"/>
        </w:rPr>
        <w:t>, VI, alinéa 1</w:t>
      </w:r>
      <w:r w:rsidRPr="00F73EF8">
        <w:rPr>
          <w:rFonts w:cstheme="minorHAnsi"/>
          <w:vertAlign w:val="superscript"/>
          <w:lang w:val="fr-FR"/>
        </w:rPr>
        <w:t>er</w:t>
      </w:r>
      <w:r w:rsidRPr="00F73EF8">
        <w:rPr>
          <w:rFonts w:cstheme="minorHAnsi"/>
          <w:lang w:val="fr-FR"/>
        </w:rPr>
        <w:t xml:space="preserve">, 7° de la loi </w:t>
      </w:r>
      <w:r w:rsidRPr="00F73EF8">
        <w:rPr>
          <w:rFonts w:cstheme="minorHAnsi"/>
        </w:rPr>
        <w:t xml:space="preserve">spéciale du 8 août 1980 de réformes institutionnelles tel que modifié par l’article 17 de la </w:t>
      </w:r>
      <w:r w:rsidRPr="00F73EF8">
        <w:rPr>
          <w:rFonts w:cstheme="minorHAnsi"/>
          <w:lang w:val="fr-FR"/>
        </w:rPr>
        <w:t xml:space="preserve">loi </w:t>
      </w:r>
      <w:r w:rsidRPr="00F73EF8">
        <w:rPr>
          <w:rFonts w:cstheme="minorHAnsi"/>
        </w:rPr>
        <w:t>spéciale du 6 janvier 2014 précité.</w:t>
      </w:r>
    </w:p>
  </w:footnote>
  <w:footnote w:id="3">
    <w:p w14:paraId="37CEA977" w14:textId="4D3C74AA"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rPr>
        <w:t xml:space="preserve">La loi du 13 avril 2019 portant création du Code civil et y insérant un livre 8 « La preuve », </w:t>
      </w:r>
      <w:r w:rsidRPr="00F73EF8">
        <w:rPr>
          <w:rFonts w:eastAsia="Times New Roman" w:cstheme="minorHAnsi"/>
          <w:i/>
          <w:iCs/>
        </w:rPr>
        <w:t>Mon. b</w:t>
      </w:r>
      <w:r w:rsidRPr="00F73EF8">
        <w:rPr>
          <w:rFonts w:eastAsia="Times New Roman" w:cstheme="minorHAnsi"/>
        </w:rPr>
        <w:t>, 14 mai 2019.</w:t>
      </w:r>
    </w:p>
  </w:footnote>
  <w:footnote w:id="4">
    <w:p w14:paraId="03445EA0" w14:textId="11112617"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Loi du 4 février 2020 portant le livre 3 "Les biens" du Code civil, </w:t>
      </w:r>
      <w:r w:rsidRPr="00F73EF8">
        <w:rPr>
          <w:rFonts w:cstheme="minorHAnsi"/>
          <w:i/>
          <w:iCs/>
        </w:rPr>
        <w:t>Mon. b.</w:t>
      </w:r>
      <w:r w:rsidRPr="00F73EF8">
        <w:rPr>
          <w:rFonts w:cstheme="minorHAnsi"/>
        </w:rPr>
        <w:t>, 17 mars 2020.</w:t>
      </w:r>
    </w:p>
  </w:footnote>
  <w:footnote w:id="5">
    <w:p w14:paraId="5F71EDCD" w14:textId="1EB9F0CF"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rPr>
        <w:t xml:space="preserve">J. </w:t>
      </w:r>
      <w:r w:rsidRPr="00F73EF8">
        <w:rPr>
          <w:rFonts w:eastAsia="Times New Roman" w:cstheme="minorHAnsi"/>
          <w:smallCaps/>
        </w:rPr>
        <w:t>Swennen</w:t>
      </w:r>
      <w:r w:rsidRPr="00F73EF8">
        <w:rPr>
          <w:rFonts w:eastAsia="Times New Roman" w:cstheme="minorHAnsi"/>
        </w:rPr>
        <w:t xml:space="preserve">, K. </w:t>
      </w:r>
      <w:r w:rsidRPr="00F73EF8">
        <w:rPr>
          <w:rFonts w:eastAsia="Times New Roman" w:cstheme="minorHAnsi"/>
          <w:smallCaps/>
        </w:rPr>
        <w:t>Troch</w:t>
      </w:r>
      <w:r w:rsidRPr="00F73EF8">
        <w:rPr>
          <w:rFonts w:eastAsia="Times New Roman" w:cstheme="minorHAnsi"/>
        </w:rPr>
        <w:t xml:space="preserve"> et N. </w:t>
      </w:r>
      <w:r w:rsidRPr="00F73EF8">
        <w:rPr>
          <w:rFonts w:eastAsia="Times New Roman" w:cstheme="minorHAnsi"/>
          <w:smallCaps/>
        </w:rPr>
        <w:t>Van</w:t>
      </w:r>
      <w:r w:rsidRPr="00F73EF8">
        <w:rPr>
          <w:rFonts w:eastAsia="Times New Roman" w:cstheme="minorHAnsi"/>
        </w:rPr>
        <w:t xml:space="preserve"> </w:t>
      </w:r>
      <w:r w:rsidRPr="00F73EF8">
        <w:rPr>
          <w:rFonts w:eastAsia="Times New Roman" w:cstheme="minorHAnsi"/>
          <w:smallCaps/>
        </w:rPr>
        <w:t>Damme</w:t>
      </w:r>
      <w:r w:rsidRPr="00F73EF8">
        <w:rPr>
          <w:rFonts w:eastAsia="Times New Roman" w:cstheme="minorHAnsi"/>
        </w:rPr>
        <w:t xml:space="preserve">, « Le décret flamand sur le bail commercial de courte durée. Un exemple pour les législateurs wallon et bruxellois », </w:t>
      </w:r>
      <w:r w:rsidRPr="00F73EF8">
        <w:rPr>
          <w:rFonts w:eastAsia="Times New Roman" w:cstheme="minorHAnsi"/>
          <w:i/>
          <w:iCs/>
        </w:rPr>
        <w:t>J.T.</w:t>
      </w:r>
      <w:r w:rsidRPr="00F73EF8">
        <w:rPr>
          <w:rFonts w:eastAsia="Times New Roman" w:cstheme="minorHAnsi"/>
        </w:rPr>
        <w:t>, 2017, p. 252, n° 10.</w:t>
      </w:r>
    </w:p>
  </w:footnote>
  <w:footnote w:id="6">
    <w:p w14:paraId="6224481E" w14:textId="3791B335"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rPr>
        <w:t>Doc. Parl. W., session 2017-2018, 1008/1, p. 15.</w:t>
      </w:r>
    </w:p>
  </w:footnote>
  <w:footnote w:id="7">
    <w:p w14:paraId="18B52043" w14:textId="1F23B2DE"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rPr>
        <w:t>Doc. Parl. Bxl., session 2018-2019, n° A-800/1, p. 3.</w:t>
      </w:r>
    </w:p>
  </w:footnote>
  <w:footnote w:id="8">
    <w:p w14:paraId="492D50CA" w14:textId="1A9804FC"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rPr>
        <w:t xml:space="preserve">J. </w:t>
      </w:r>
      <w:r w:rsidRPr="00F73EF8">
        <w:rPr>
          <w:rFonts w:eastAsia="Times New Roman" w:cstheme="minorHAnsi"/>
          <w:smallCaps/>
        </w:rPr>
        <w:t>Swennen</w:t>
      </w:r>
      <w:r w:rsidRPr="00F73EF8">
        <w:rPr>
          <w:rFonts w:eastAsia="Times New Roman" w:cstheme="minorHAnsi"/>
        </w:rPr>
        <w:t xml:space="preserve">, K. </w:t>
      </w:r>
      <w:r w:rsidRPr="00F73EF8">
        <w:rPr>
          <w:rFonts w:eastAsia="Times New Roman" w:cstheme="minorHAnsi"/>
          <w:smallCaps/>
        </w:rPr>
        <w:t>Troch</w:t>
      </w:r>
      <w:r w:rsidRPr="00F73EF8">
        <w:rPr>
          <w:rFonts w:eastAsia="Times New Roman" w:cstheme="minorHAnsi"/>
        </w:rPr>
        <w:t xml:space="preserve"> et N. </w:t>
      </w:r>
      <w:r w:rsidRPr="00F73EF8">
        <w:rPr>
          <w:rFonts w:eastAsia="Times New Roman" w:cstheme="minorHAnsi"/>
          <w:smallCaps/>
        </w:rPr>
        <w:t>Van</w:t>
      </w:r>
      <w:r w:rsidRPr="00F73EF8">
        <w:rPr>
          <w:rFonts w:eastAsia="Times New Roman" w:cstheme="minorHAnsi"/>
        </w:rPr>
        <w:t xml:space="preserve"> </w:t>
      </w:r>
      <w:r w:rsidRPr="00F73EF8">
        <w:rPr>
          <w:rFonts w:eastAsia="Times New Roman" w:cstheme="minorHAnsi"/>
          <w:smallCaps/>
        </w:rPr>
        <w:t>Damme</w:t>
      </w:r>
      <w:r w:rsidRPr="00F73EF8">
        <w:rPr>
          <w:rFonts w:eastAsia="Times New Roman" w:cstheme="minorHAnsi"/>
        </w:rPr>
        <w:t xml:space="preserve">, </w:t>
      </w:r>
      <w:r w:rsidRPr="00F73EF8">
        <w:rPr>
          <w:rFonts w:eastAsia="Times New Roman" w:cstheme="minorHAnsi"/>
          <w:i/>
          <w:iCs/>
        </w:rPr>
        <w:t>op. cit</w:t>
      </w:r>
      <w:r w:rsidRPr="00F73EF8">
        <w:rPr>
          <w:rFonts w:eastAsia="Times New Roman" w:cstheme="minorHAnsi"/>
        </w:rPr>
        <w:t>, p. 252, n° 11</w:t>
      </w:r>
    </w:p>
  </w:footnote>
  <w:footnote w:id="9">
    <w:p w14:paraId="32B06938" w14:textId="105287ED"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rPr>
        <w:t xml:space="preserve">A. </w:t>
      </w:r>
      <w:r w:rsidRPr="00F73EF8">
        <w:rPr>
          <w:rFonts w:eastAsia="Times New Roman" w:cstheme="minorHAnsi"/>
          <w:smallCaps/>
        </w:rPr>
        <w:t>Coppens</w:t>
      </w:r>
      <w:r w:rsidRPr="00F73EF8">
        <w:rPr>
          <w:rFonts w:eastAsia="Times New Roman" w:cstheme="minorHAnsi"/>
        </w:rPr>
        <w:t xml:space="preserve">, « Handelsovereenkomsten van korte duur », </w:t>
      </w:r>
      <w:r w:rsidRPr="00F73EF8">
        <w:rPr>
          <w:rFonts w:eastAsia="Times New Roman" w:cstheme="minorHAnsi"/>
          <w:i/>
          <w:iCs/>
        </w:rPr>
        <w:t>NJW</w:t>
      </w:r>
      <w:r w:rsidRPr="00F73EF8">
        <w:rPr>
          <w:rFonts w:eastAsia="Times New Roman" w:cstheme="minorHAnsi"/>
        </w:rPr>
        <w:t xml:space="preserve">, nr 353, p. 897, n° 11 </w:t>
      </w:r>
      <w:r w:rsidRPr="00F73EF8">
        <w:rPr>
          <w:rFonts w:eastAsia="Times New Roman" w:cstheme="minorHAnsi"/>
          <w:i/>
          <w:iCs/>
        </w:rPr>
        <w:t>in fine</w:t>
      </w:r>
      <w:r w:rsidRPr="00F73EF8">
        <w:rPr>
          <w:rFonts w:eastAsia="Times New Roman" w:cstheme="minorHAnsi"/>
        </w:rPr>
        <w:t>.</w:t>
      </w:r>
    </w:p>
  </w:footnote>
  <w:footnote w:id="10">
    <w:p w14:paraId="04B3355F" w14:textId="62C7E00A"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rPr>
        <w:t>Doc. Parl.Vl., session 2015-2016, 598/1, p. 10.</w:t>
      </w:r>
    </w:p>
  </w:footnote>
  <w:footnote w:id="11">
    <w:p w14:paraId="444C9814" w14:textId="565C52DB"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rPr>
        <w:t>Doc. Parl. Bxl., session 2018-2019, n° A-800/1, p. 3</w:t>
      </w:r>
    </w:p>
  </w:footnote>
  <w:footnote w:id="12">
    <w:p w14:paraId="5433EC6A" w14:textId="3E1ED467"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i/>
          <w:iCs/>
        </w:rPr>
        <w:t>Ibidem</w:t>
      </w:r>
      <w:r w:rsidRPr="00F73EF8">
        <w:rPr>
          <w:rFonts w:eastAsia="Times New Roman" w:cstheme="minorHAnsi"/>
        </w:rPr>
        <w:t>.</w:t>
      </w:r>
    </w:p>
  </w:footnote>
  <w:footnote w:id="13">
    <w:p w14:paraId="4C0E3CDA" w14:textId="5B508A03"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rPr>
        <w:t xml:space="preserve"> </w:t>
      </w:r>
      <w:r w:rsidRPr="00F73EF8">
        <w:rPr>
          <w:rFonts w:eastAsia="Times New Roman" w:cstheme="minorHAnsi"/>
          <w:i/>
          <w:iCs/>
        </w:rPr>
        <w:t>cf. supra</w:t>
      </w:r>
      <w:r w:rsidRPr="00F73EF8">
        <w:rPr>
          <w:rFonts w:eastAsia="Times New Roman" w:cstheme="minorHAnsi"/>
        </w:rPr>
        <w:t>, observation 4°.</w:t>
      </w:r>
    </w:p>
  </w:footnote>
  <w:footnote w:id="14">
    <w:p w14:paraId="621926DC" w14:textId="4FF3284A"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rPr>
        <w:t>Doc. Parl. Vl., session 2015-2016, 598/1, p. 11.</w:t>
      </w:r>
    </w:p>
  </w:footnote>
  <w:footnote w:id="15">
    <w:p w14:paraId="1C9177A3" w14:textId="0189AEAB"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rPr>
        <w:t>« </w:t>
      </w:r>
      <w:r w:rsidRPr="00F73EF8">
        <w:rPr>
          <w:rFonts w:eastAsia="Times New Roman" w:cstheme="minorHAnsi"/>
          <w:i/>
        </w:rPr>
        <w:t>Le bailleur ne peut mettre fin au bail. Ceci est un choix délibéré, s’agissant de contrats à court terme</w:t>
      </w:r>
      <w:r w:rsidRPr="00F73EF8">
        <w:rPr>
          <w:rFonts w:eastAsia="Times New Roman" w:cstheme="minorHAnsi"/>
        </w:rPr>
        <w:t> » (Doc. Parl. W., session 2017-2018, 1008/1, p. 50).</w:t>
      </w:r>
    </w:p>
  </w:footnote>
  <w:footnote w:id="16">
    <w:p w14:paraId="5E508833" w14:textId="74003523"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rPr>
        <w:t xml:space="preserve"> « </w:t>
      </w:r>
      <w:r w:rsidRPr="00F73EF8">
        <w:rPr>
          <w:rFonts w:eastAsia="Times New Roman" w:cstheme="minorHAnsi"/>
          <w:i/>
        </w:rPr>
        <w:t>De manière anticipée, seul le preneur peut de son plein gré mettre fin au bail commercial de courte durée</w:t>
      </w:r>
      <w:r w:rsidRPr="00F73EF8">
        <w:rPr>
          <w:rFonts w:eastAsia="Times New Roman" w:cstheme="minorHAnsi"/>
        </w:rPr>
        <w:t> » (Doc. Parl. Bxl., session 2018-2019, n° A-800/2, p. 4).</w:t>
      </w:r>
    </w:p>
  </w:footnote>
  <w:footnote w:id="17">
    <w:p w14:paraId="1CE851DE" w14:textId="5A39A23B"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kern w:val="2"/>
          <w:lang w:val="fr-FR"/>
        </w:rPr>
        <w:t xml:space="preserve">voy. pour le décret flamand </w:t>
      </w:r>
      <w:r w:rsidRPr="00F73EF8">
        <w:rPr>
          <w:rFonts w:eastAsia="Times New Roman" w:cstheme="minorHAnsi"/>
        </w:rPr>
        <w:t xml:space="preserve">J. </w:t>
      </w:r>
      <w:r w:rsidRPr="00F73EF8">
        <w:rPr>
          <w:rFonts w:eastAsia="Times New Roman" w:cstheme="minorHAnsi"/>
          <w:smallCaps/>
        </w:rPr>
        <w:t>Swennen</w:t>
      </w:r>
      <w:r w:rsidRPr="00F73EF8">
        <w:rPr>
          <w:rFonts w:eastAsia="Times New Roman" w:cstheme="minorHAnsi"/>
        </w:rPr>
        <w:t xml:space="preserve">, K. </w:t>
      </w:r>
      <w:r w:rsidRPr="00F73EF8">
        <w:rPr>
          <w:rFonts w:eastAsia="Times New Roman" w:cstheme="minorHAnsi"/>
          <w:smallCaps/>
        </w:rPr>
        <w:t>Troch</w:t>
      </w:r>
      <w:r w:rsidRPr="00F73EF8">
        <w:rPr>
          <w:rFonts w:eastAsia="Times New Roman" w:cstheme="minorHAnsi"/>
        </w:rPr>
        <w:t xml:space="preserve"> et N. </w:t>
      </w:r>
      <w:r w:rsidRPr="00F73EF8">
        <w:rPr>
          <w:rFonts w:eastAsia="Times New Roman" w:cstheme="minorHAnsi"/>
          <w:smallCaps/>
        </w:rPr>
        <w:t>Van</w:t>
      </w:r>
      <w:r w:rsidRPr="00F73EF8">
        <w:rPr>
          <w:rFonts w:eastAsia="Times New Roman" w:cstheme="minorHAnsi"/>
        </w:rPr>
        <w:t xml:space="preserve"> </w:t>
      </w:r>
      <w:r w:rsidRPr="00F73EF8">
        <w:rPr>
          <w:rFonts w:eastAsia="Times New Roman" w:cstheme="minorHAnsi"/>
          <w:smallCaps/>
        </w:rPr>
        <w:t>Damme</w:t>
      </w:r>
      <w:r w:rsidRPr="00F73EF8">
        <w:rPr>
          <w:rFonts w:eastAsia="Times New Roman" w:cstheme="minorHAnsi"/>
        </w:rPr>
        <w:t xml:space="preserve">, </w:t>
      </w:r>
      <w:r w:rsidRPr="00F73EF8">
        <w:rPr>
          <w:rFonts w:eastAsia="Times New Roman" w:cstheme="minorHAnsi"/>
          <w:i/>
          <w:iCs/>
        </w:rPr>
        <w:t>op. cit</w:t>
      </w:r>
      <w:r w:rsidRPr="00F73EF8">
        <w:rPr>
          <w:rFonts w:eastAsia="Times New Roman" w:cstheme="minorHAnsi"/>
        </w:rPr>
        <w:t>, p. 255, n° 23.</w:t>
      </w:r>
    </w:p>
  </w:footnote>
  <w:footnote w:id="18">
    <w:p w14:paraId="35AAD89E" w14:textId="65950CEB"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smallCaps/>
        </w:rPr>
        <w:t>E. Beguin</w:t>
      </w:r>
      <w:r w:rsidRPr="00F73EF8">
        <w:rPr>
          <w:rFonts w:eastAsia="Times New Roman" w:cstheme="minorHAnsi"/>
        </w:rPr>
        <w:t xml:space="preserve">, « Le décret du 15 mars 2018 relatif au bail commercial de courte durée et modifiant le Code civil », in I. Durant et E. Beguin (dir.), </w:t>
      </w:r>
      <w:r w:rsidRPr="00F73EF8">
        <w:rPr>
          <w:rFonts w:eastAsia="Times New Roman" w:cstheme="minorHAnsi"/>
          <w:i/>
          <w:iCs/>
        </w:rPr>
        <w:t xml:space="preserve">La régionalisation du </w:t>
      </w:r>
      <w:r w:rsidRPr="00F73EF8">
        <w:rPr>
          <w:rFonts w:eastAsia="Times New Roman" w:cstheme="minorHAnsi"/>
        </w:rPr>
        <w:t>bail, Bruxelles, Larcier, 2019, p. 224.</w:t>
      </w:r>
    </w:p>
  </w:footnote>
  <w:footnote w:id="19">
    <w:p w14:paraId="51A6846D" w14:textId="4AF43304"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rPr>
        <w:t xml:space="preserve"> voy. pour la Flandre Doc. Parl. Vl., session 2015-2016, 598/1, p. 11 et, par opposition, pour la Wallonie, </w:t>
      </w:r>
      <w:r w:rsidRPr="00F73EF8">
        <w:rPr>
          <w:rFonts w:eastAsia="Times New Roman" w:cstheme="minorHAnsi"/>
          <w:smallCaps/>
        </w:rPr>
        <w:t>E. Beguin</w:t>
      </w:r>
      <w:r w:rsidRPr="00F73EF8">
        <w:rPr>
          <w:rFonts w:eastAsia="Times New Roman" w:cstheme="minorHAnsi"/>
        </w:rPr>
        <w:t xml:space="preserve">, </w:t>
      </w:r>
      <w:r w:rsidRPr="00F73EF8">
        <w:rPr>
          <w:rFonts w:eastAsia="Times New Roman" w:cstheme="minorHAnsi"/>
          <w:i/>
          <w:iCs/>
        </w:rPr>
        <w:t>op.cit.</w:t>
      </w:r>
      <w:r w:rsidRPr="00F73EF8">
        <w:rPr>
          <w:rFonts w:eastAsia="Times New Roman" w:cstheme="minorHAnsi"/>
        </w:rPr>
        <w:t>, p. 228)</w:t>
      </w:r>
    </w:p>
  </w:footnote>
  <w:footnote w:id="20">
    <w:p w14:paraId="0E9B51CD" w14:textId="1807EB02"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rPr>
        <w:t xml:space="preserve">K. </w:t>
      </w:r>
      <w:r w:rsidRPr="00F73EF8">
        <w:rPr>
          <w:rFonts w:eastAsia="Times New Roman" w:cstheme="minorHAnsi"/>
          <w:smallCaps/>
        </w:rPr>
        <w:t>Vanhove</w:t>
      </w:r>
      <w:r w:rsidRPr="00F73EF8">
        <w:rPr>
          <w:rFonts w:eastAsia="Times New Roman" w:cstheme="minorHAnsi"/>
        </w:rPr>
        <w:t xml:space="preserve">, « De korte termijnhandelshuur », </w:t>
      </w:r>
      <w:r w:rsidRPr="00F73EF8">
        <w:rPr>
          <w:rFonts w:eastAsia="Times New Roman" w:cstheme="minorHAnsi"/>
          <w:i/>
          <w:iCs/>
        </w:rPr>
        <w:t>TBO</w:t>
      </w:r>
      <w:r w:rsidRPr="00F73EF8">
        <w:rPr>
          <w:rFonts w:eastAsia="Times New Roman" w:cstheme="minorHAnsi"/>
        </w:rPr>
        <w:t xml:space="preserve">, 2016, p. 397, n° 8 ou J. </w:t>
      </w:r>
      <w:r w:rsidRPr="00F73EF8">
        <w:rPr>
          <w:rFonts w:eastAsia="Times New Roman" w:cstheme="minorHAnsi"/>
          <w:smallCaps/>
        </w:rPr>
        <w:t>Swennen</w:t>
      </w:r>
      <w:r w:rsidRPr="00F73EF8">
        <w:rPr>
          <w:rFonts w:eastAsia="Times New Roman" w:cstheme="minorHAnsi"/>
        </w:rPr>
        <w:t xml:space="preserve"> et N. </w:t>
      </w:r>
      <w:r w:rsidRPr="00F73EF8">
        <w:rPr>
          <w:rFonts w:eastAsia="Times New Roman" w:cstheme="minorHAnsi"/>
          <w:smallCaps/>
        </w:rPr>
        <w:t>Van Damme</w:t>
      </w:r>
      <w:r w:rsidRPr="00F73EF8">
        <w:rPr>
          <w:rFonts w:eastAsia="Times New Roman" w:cstheme="minorHAnsi"/>
        </w:rPr>
        <w:t xml:space="preserve">, « Handelshuur van korte duur », </w:t>
      </w:r>
      <w:r w:rsidRPr="00F73EF8">
        <w:rPr>
          <w:rFonts w:eastAsia="Times New Roman" w:cstheme="minorHAnsi"/>
          <w:i/>
          <w:iCs/>
        </w:rPr>
        <w:t>RGDC</w:t>
      </w:r>
      <w:r w:rsidRPr="00F73EF8">
        <w:rPr>
          <w:rFonts w:eastAsia="Times New Roman" w:cstheme="minorHAnsi"/>
        </w:rPr>
        <w:t>, 2017, n° 35.</w:t>
      </w:r>
    </w:p>
  </w:footnote>
  <w:footnote w:id="21">
    <w:p w14:paraId="417B2893" w14:textId="4F0AEF99"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rPr>
        <w:t xml:space="preserve">voy. J. </w:t>
      </w:r>
      <w:r w:rsidRPr="00F73EF8">
        <w:rPr>
          <w:rFonts w:eastAsia="Times New Roman" w:cstheme="minorHAnsi"/>
          <w:smallCaps/>
        </w:rPr>
        <w:t>Swennen</w:t>
      </w:r>
      <w:r w:rsidRPr="00F73EF8">
        <w:rPr>
          <w:rFonts w:eastAsia="Times New Roman" w:cstheme="minorHAnsi"/>
        </w:rPr>
        <w:t xml:space="preserve">, K. </w:t>
      </w:r>
      <w:r w:rsidRPr="00F73EF8">
        <w:rPr>
          <w:rFonts w:eastAsia="Times New Roman" w:cstheme="minorHAnsi"/>
          <w:smallCaps/>
        </w:rPr>
        <w:t>Troch</w:t>
      </w:r>
      <w:r w:rsidRPr="00F73EF8">
        <w:rPr>
          <w:rFonts w:eastAsia="Times New Roman" w:cstheme="minorHAnsi"/>
        </w:rPr>
        <w:t xml:space="preserve"> et N. </w:t>
      </w:r>
      <w:r w:rsidRPr="00F73EF8">
        <w:rPr>
          <w:rFonts w:eastAsia="Times New Roman" w:cstheme="minorHAnsi"/>
          <w:smallCaps/>
        </w:rPr>
        <w:t>Van</w:t>
      </w:r>
      <w:r w:rsidRPr="00F73EF8">
        <w:rPr>
          <w:rFonts w:eastAsia="Times New Roman" w:cstheme="minorHAnsi"/>
        </w:rPr>
        <w:t xml:space="preserve"> </w:t>
      </w:r>
      <w:r w:rsidRPr="00F73EF8">
        <w:rPr>
          <w:rFonts w:eastAsia="Times New Roman" w:cstheme="minorHAnsi"/>
          <w:smallCaps/>
        </w:rPr>
        <w:t>Damme</w:t>
      </w:r>
      <w:r w:rsidRPr="00F73EF8">
        <w:rPr>
          <w:rFonts w:eastAsia="Times New Roman" w:cstheme="minorHAnsi"/>
        </w:rPr>
        <w:t xml:space="preserve">, </w:t>
      </w:r>
      <w:r w:rsidRPr="00F73EF8">
        <w:rPr>
          <w:rFonts w:eastAsia="Times New Roman" w:cstheme="minorHAnsi"/>
          <w:i/>
          <w:iCs/>
        </w:rPr>
        <w:t>op. cit</w:t>
      </w:r>
      <w:r w:rsidRPr="00F73EF8">
        <w:rPr>
          <w:rFonts w:eastAsia="Times New Roman" w:cstheme="minorHAnsi"/>
        </w:rPr>
        <w:t>, p. 256, n° 30.</w:t>
      </w:r>
    </w:p>
  </w:footnote>
  <w:footnote w:id="22">
    <w:p w14:paraId="7551E0D0" w14:textId="40A32D3A"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rPr>
        <w:t xml:space="preserve"> Doc. Parl. Vl., session 2015-2016, 598/1, p. 12.</w:t>
      </w:r>
    </w:p>
  </w:footnote>
  <w:footnote w:id="23">
    <w:p w14:paraId="27C53F02" w14:textId="20681304"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rPr>
        <w:t xml:space="preserve">J. </w:t>
      </w:r>
      <w:r w:rsidRPr="00F73EF8">
        <w:rPr>
          <w:rFonts w:eastAsia="Times New Roman" w:cstheme="minorHAnsi"/>
          <w:smallCaps/>
        </w:rPr>
        <w:t>Swennen</w:t>
      </w:r>
      <w:r w:rsidRPr="00F73EF8">
        <w:rPr>
          <w:rFonts w:eastAsia="Times New Roman" w:cstheme="minorHAnsi"/>
        </w:rPr>
        <w:t xml:space="preserve">, K. </w:t>
      </w:r>
      <w:r w:rsidRPr="00F73EF8">
        <w:rPr>
          <w:rFonts w:eastAsia="Times New Roman" w:cstheme="minorHAnsi"/>
          <w:smallCaps/>
        </w:rPr>
        <w:t>Troch</w:t>
      </w:r>
      <w:r w:rsidRPr="00F73EF8">
        <w:rPr>
          <w:rFonts w:eastAsia="Times New Roman" w:cstheme="minorHAnsi"/>
        </w:rPr>
        <w:t xml:space="preserve"> et N. </w:t>
      </w:r>
      <w:r w:rsidRPr="00F73EF8">
        <w:rPr>
          <w:rFonts w:eastAsia="Times New Roman" w:cstheme="minorHAnsi"/>
          <w:smallCaps/>
        </w:rPr>
        <w:t>Van</w:t>
      </w:r>
      <w:r w:rsidRPr="00F73EF8">
        <w:rPr>
          <w:rFonts w:eastAsia="Times New Roman" w:cstheme="minorHAnsi"/>
        </w:rPr>
        <w:t xml:space="preserve"> </w:t>
      </w:r>
      <w:r w:rsidRPr="00F73EF8">
        <w:rPr>
          <w:rFonts w:eastAsia="Times New Roman" w:cstheme="minorHAnsi"/>
          <w:smallCaps/>
        </w:rPr>
        <w:t>Damme</w:t>
      </w:r>
      <w:r w:rsidRPr="00F73EF8">
        <w:rPr>
          <w:rFonts w:eastAsia="Times New Roman" w:cstheme="minorHAnsi"/>
        </w:rPr>
        <w:t xml:space="preserve">, </w:t>
      </w:r>
      <w:r w:rsidRPr="00F73EF8">
        <w:rPr>
          <w:rFonts w:eastAsia="Times New Roman" w:cstheme="minorHAnsi"/>
          <w:i/>
          <w:iCs/>
        </w:rPr>
        <w:t>op. cit</w:t>
      </w:r>
      <w:r w:rsidRPr="00F73EF8">
        <w:rPr>
          <w:rFonts w:eastAsia="Times New Roman" w:cstheme="minorHAnsi"/>
        </w:rPr>
        <w:t>, p. 257, n° 34.</w:t>
      </w:r>
    </w:p>
  </w:footnote>
  <w:footnote w:id="24">
    <w:p w14:paraId="3B0B77E7" w14:textId="61ED9BC7"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rPr>
        <w:t xml:space="preserve"> E. </w:t>
      </w:r>
      <w:r w:rsidRPr="00F73EF8">
        <w:rPr>
          <w:rFonts w:eastAsia="Times New Roman" w:cstheme="minorHAnsi"/>
          <w:smallCaps/>
        </w:rPr>
        <w:t>Beguin</w:t>
      </w:r>
      <w:r w:rsidRPr="00F73EF8">
        <w:rPr>
          <w:rFonts w:eastAsia="Times New Roman" w:cstheme="minorHAnsi"/>
        </w:rPr>
        <w:t xml:space="preserve">, </w:t>
      </w:r>
      <w:r w:rsidRPr="00F73EF8">
        <w:rPr>
          <w:rFonts w:eastAsia="Times New Roman" w:cstheme="minorHAnsi"/>
          <w:i/>
          <w:iCs/>
        </w:rPr>
        <w:t>op.cit.</w:t>
      </w:r>
      <w:r w:rsidRPr="00F73EF8">
        <w:rPr>
          <w:rFonts w:eastAsia="Times New Roman" w:cstheme="minorHAnsi"/>
        </w:rPr>
        <w:t>, p. 229.</w:t>
      </w:r>
    </w:p>
  </w:footnote>
  <w:footnote w:id="25">
    <w:p w14:paraId="45FEDC76" w14:textId="55E6777B"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00F73EF8" w:rsidRPr="00F956D1">
        <w:rPr>
          <w:rFonts w:eastAsia="Times New Roman" w:cstheme="minorHAnsi"/>
        </w:rPr>
        <w:t xml:space="preserve"> Voy. en ce sens E. </w:t>
      </w:r>
      <w:r w:rsidR="00F73EF8" w:rsidRPr="00F73EF8">
        <w:rPr>
          <w:rFonts w:eastAsia="Times New Roman" w:cstheme="minorHAnsi"/>
          <w:smallCaps/>
        </w:rPr>
        <w:t>Beguin</w:t>
      </w:r>
      <w:r w:rsidR="00F73EF8" w:rsidRPr="00F956D1">
        <w:rPr>
          <w:rFonts w:eastAsia="Times New Roman" w:cstheme="minorHAnsi"/>
        </w:rPr>
        <w:t xml:space="preserve">, </w:t>
      </w:r>
      <w:r w:rsidR="00F73EF8" w:rsidRPr="00F956D1">
        <w:rPr>
          <w:rFonts w:eastAsia="Times New Roman" w:cstheme="minorHAnsi"/>
          <w:i/>
          <w:iCs/>
        </w:rPr>
        <w:t>op. cit.</w:t>
      </w:r>
      <w:r w:rsidR="00F73EF8" w:rsidRPr="00F956D1">
        <w:rPr>
          <w:rFonts w:eastAsia="Times New Roman" w:cstheme="minorHAnsi"/>
        </w:rPr>
        <w:t>, p. 231</w:t>
      </w:r>
      <w:r w:rsidR="00F73EF8" w:rsidRPr="00F73EF8">
        <w:rPr>
          <w:rFonts w:eastAsia="Times New Roman" w:cstheme="minorHAnsi"/>
        </w:rPr>
        <w:t>.</w:t>
      </w:r>
    </w:p>
  </w:footnote>
  <w:footnote w:id="26">
    <w:p w14:paraId="0E54852F" w14:textId="19D731C3" w:rsidR="00F73EF8" w:rsidRPr="00F73EF8" w:rsidRDefault="00F73EF8">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rPr>
        <w:t xml:space="preserve"> Voy., </w:t>
      </w:r>
      <w:r w:rsidRPr="00F73EF8">
        <w:rPr>
          <w:rFonts w:eastAsia="Times New Roman" w:cstheme="minorHAnsi"/>
          <w:kern w:val="2"/>
          <w:lang w:val="fr-FR"/>
        </w:rPr>
        <w:t>l’article 30, dernier alinéa des dispositions du Code civil relatives aux baux commerciaux</w:t>
      </w:r>
      <w:r w:rsidRPr="00F73EF8">
        <w:rPr>
          <w:rFonts w:eastAsia="Times New Roman" w:cstheme="minorHAnsi"/>
          <w:kern w:val="2"/>
          <w:lang w:val="fr-FR"/>
        </w:rPr>
        <w:t>.</w:t>
      </w:r>
    </w:p>
  </w:footnote>
  <w:footnote w:id="27">
    <w:p w14:paraId="3C58456C" w14:textId="732221C7" w:rsidR="00F73EF8" w:rsidRPr="00F73EF8" w:rsidRDefault="00F73EF8">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rPr>
        <w:t xml:space="preserve">E. </w:t>
      </w:r>
      <w:r w:rsidRPr="00F73EF8">
        <w:rPr>
          <w:rFonts w:eastAsia="Times New Roman" w:cstheme="minorHAnsi"/>
          <w:smallCaps/>
        </w:rPr>
        <w:t>Beguin</w:t>
      </w:r>
      <w:r w:rsidRPr="00F956D1">
        <w:rPr>
          <w:rFonts w:eastAsia="Times New Roman" w:cstheme="minorHAnsi"/>
        </w:rPr>
        <w:t xml:space="preserve">, </w:t>
      </w:r>
      <w:r w:rsidRPr="00F956D1">
        <w:rPr>
          <w:rFonts w:eastAsia="Times New Roman" w:cstheme="minorHAnsi"/>
          <w:i/>
          <w:iCs/>
        </w:rPr>
        <w:t>op. cit.</w:t>
      </w:r>
      <w:r w:rsidRPr="00F73EF8">
        <w:rPr>
          <w:rFonts w:eastAsia="Times New Roman" w:cstheme="minorHAnsi"/>
        </w:rPr>
        <w:t>, p. 232</w:t>
      </w:r>
      <w:r w:rsidRPr="00F73EF8">
        <w:rPr>
          <w:rFonts w:eastAsia="Times New Roman" w:cstheme="minorHAnsi"/>
        </w:rPr>
        <w:t>.</w:t>
      </w:r>
    </w:p>
  </w:footnote>
  <w:footnote w:id="28">
    <w:p w14:paraId="2E6E4676" w14:textId="51EC1F4B" w:rsidR="00F73EF8" w:rsidRPr="00F73EF8" w:rsidRDefault="00F73EF8">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rPr>
        <w:t xml:space="preserve">B. </w:t>
      </w:r>
      <w:r w:rsidRPr="00F73EF8">
        <w:rPr>
          <w:rFonts w:cstheme="minorHAnsi"/>
          <w:smallCaps/>
        </w:rPr>
        <w:t>Louveaux</w:t>
      </w:r>
      <w:r w:rsidRPr="00F73EF8">
        <w:rPr>
          <w:rFonts w:cstheme="minorHAnsi"/>
        </w:rPr>
        <w:t xml:space="preserve">, </w:t>
      </w:r>
      <w:r w:rsidRPr="00F73EF8">
        <w:rPr>
          <w:rFonts w:cstheme="minorHAnsi"/>
          <w:i/>
        </w:rPr>
        <w:t>Le droit du bail commercial</w:t>
      </w:r>
      <w:r w:rsidRPr="00F73EF8">
        <w:rPr>
          <w:rFonts w:cstheme="minorHAnsi"/>
        </w:rPr>
        <w:t>, Bruxelles, Larcier, 2011,</w:t>
      </w:r>
      <w:r w:rsidRPr="00F73EF8">
        <w:rPr>
          <w:rFonts w:eastAsia="Times New Roman" w:cstheme="minorHAnsi"/>
          <w:kern w:val="2"/>
          <w:lang w:val="fr-FR"/>
        </w:rPr>
        <w:t xml:space="preserve"> p. 160, n° 18</w:t>
      </w:r>
      <w:r w:rsidRPr="00F73EF8">
        <w:rPr>
          <w:rFonts w:eastAsia="Times New Roman" w:cstheme="minorHAnsi"/>
          <w:kern w:val="2"/>
          <w:lang w:val="fr-FR"/>
        </w:rPr>
        <w:t>.</w:t>
      </w:r>
    </w:p>
  </w:footnote>
  <w:footnote w:id="29">
    <w:p w14:paraId="7BAA174E" w14:textId="4DBB7D70" w:rsidR="00F73EF8" w:rsidRPr="00F73EF8" w:rsidRDefault="00F73EF8">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kern w:val="2"/>
          <w:lang w:val="fr-FR"/>
        </w:rPr>
        <w:t xml:space="preserve">Cass., 25 mars 1983, </w:t>
      </w:r>
      <w:r w:rsidRPr="00F73EF8">
        <w:rPr>
          <w:rFonts w:eastAsia="Times New Roman" w:cstheme="minorHAnsi"/>
          <w:i/>
          <w:iCs/>
          <w:kern w:val="2"/>
          <w:lang w:val="fr-FR"/>
        </w:rPr>
        <w:t>Pas.</w:t>
      </w:r>
      <w:r w:rsidRPr="00F73EF8">
        <w:rPr>
          <w:rFonts w:eastAsia="Times New Roman" w:cstheme="minorHAnsi"/>
          <w:kern w:val="2"/>
          <w:lang w:val="fr-FR"/>
        </w:rPr>
        <w:t>, 1983, I, p. 812, obs</w:t>
      </w:r>
      <w:r w:rsidRPr="00F73EF8">
        <w:rPr>
          <w:rFonts w:eastAsia="Times New Roman" w:cstheme="minorHAnsi"/>
          <w:kern w:val="2"/>
          <w:lang w:val="fr-FR"/>
        </w:rPr>
        <w:t>.</w:t>
      </w:r>
    </w:p>
  </w:footnote>
  <w:footnote w:id="30">
    <w:p w14:paraId="2A8ADF8B" w14:textId="3EF2056A" w:rsidR="00F73EF8" w:rsidRPr="00F73EF8" w:rsidRDefault="00F73EF8">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kern w:val="2"/>
          <w:lang w:val="fr-FR"/>
        </w:rPr>
        <w:t xml:space="preserve"> </w:t>
      </w:r>
      <w:r w:rsidRPr="00F73EF8">
        <w:rPr>
          <w:rFonts w:eastAsia="Times New Roman" w:cstheme="minorHAnsi"/>
        </w:rPr>
        <w:t xml:space="preserve">J. </w:t>
      </w:r>
      <w:r w:rsidRPr="00F73EF8">
        <w:rPr>
          <w:rFonts w:eastAsia="Times New Roman" w:cstheme="minorHAnsi"/>
          <w:smallCaps/>
        </w:rPr>
        <w:t>Swennen</w:t>
      </w:r>
      <w:r w:rsidRPr="00F73EF8">
        <w:rPr>
          <w:rFonts w:eastAsia="Times New Roman" w:cstheme="minorHAnsi"/>
        </w:rPr>
        <w:t xml:space="preserve">, K. </w:t>
      </w:r>
      <w:r w:rsidRPr="00F73EF8">
        <w:rPr>
          <w:rFonts w:eastAsia="Times New Roman" w:cstheme="minorHAnsi"/>
          <w:smallCaps/>
        </w:rPr>
        <w:t>Troch</w:t>
      </w:r>
      <w:r w:rsidRPr="00F73EF8">
        <w:rPr>
          <w:rFonts w:eastAsia="Times New Roman" w:cstheme="minorHAnsi"/>
        </w:rPr>
        <w:t xml:space="preserve"> et N. </w:t>
      </w:r>
      <w:r w:rsidRPr="00F73EF8">
        <w:rPr>
          <w:rFonts w:eastAsia="Times New Roman" w:cstheme="minorHAnsi"/>
          <w:smallCaps/>
        </w:rPr>
        <w:t>Van</w:t>
      </w:r>
      <w:r w:rsidRPr="00F73EF8">
        <w:rPr>
          <w:rFonts w:eastAsia="Times New Roman" w:cstheme="minorHAnsi"/>
        </w:rPr>
        <w:t xml:space="preserve"> </w:t>
      </w:r>
      <w:r w:rsidRPr="00F73EF8">
        <w:rPr>
          <w:rFonts w:eastAsia="Times New Roman" w:cstheme="minorHAnsi"/>
          <w:smallCaps/>
        </w:rPr>
        <w:t>Damme</w:t>
      </w:r>
      <w:r w:rsidRPr="00F73EF8">
        <w:rPr>
          <w:rFonts w:eastAsia="Times New Roman" w:cstheme="minorHAnsi"/>
        </w:rPr>
        <w:t xml:space="preserve">, </w:t>
      </w:r>
      <w:r w:rsidRPr="00F73EF8">
        <w:rPr>
          <w:rFonts w:eastAsia="Times New Roman" w:cstheme="minorHAnsi"/>
          <w:i/>
          <w:iCs/>
        </w:rPr>
        <w:t>op. cit</w:t>
      </w:r>
      <w:r w:rsidRPr="00F73EF8">
        <w:rPr>
          <w:rFonts w:eastAsia="Times New Roman" w:cstheme="minorHAnsi"/>
        </w:rPr>
        <w:t>, p. 253, n° 14</w:t>
      </w:r>
      <w:r w:rsidRPr="00F73EF8">
        <w:rPr>
          <w:rFonts w:eastAsia="Times New Roman" w:cstheme="minorHAnsi"/>
        </w:rPr>
        <w:t>.</w:t>
      </w:r>
    </w:p>
  </w:footnote>
  <w:footnote w:id="31">
    <w:p w14:paraId="53CBCBE7" w14:textId="1BF337D5" w:rsidR="00F73EF8" w:rsidRPr="00F73EF8" w:rsidRDefault="00F73EF8">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kern w:val="2"/>
          <w:lang w:val="fr-FR"/>
        </w:rPr>
        <w:t xml:space="preserve"> Voy. à cet égard les critiques émises par </w:t>
      </w:r>
      <w:r w:rsidRPr="00F73EF8">
        <w:rPr>
          <w:rFonts w:eastAsia="Times New Roman" w:cstheme="minorHAnsi"/>
          <w:smallCaps/>
        </w:rPr>
        <w:t>Beguin</w:t>
      </w:r>
      <w:r w:rsidRPr="00F956D1">
        <w:rPr>
          <w:rFonts w:eastAsia="Times New Roman" w:cstheme="minorHAnsi"/>
        </w:rPr>
        <w:t xml:space="preserve">, </w:t>
      </w:r>
      <w:r w:rsidRPr="00F956D1">
        <w:rPr>
          <w:rFonts w:eastAsia="Times New Roman" w:cstheme="minorHAnsi"/>
          <w:i/>
          <w:iCs/>
        </w:rPr>
        <w:t>op. cit.</w:t>
      </w:r>
      <w:r w:rsidRPr="00F956D1">
        <w:rPr>
          <w:rFonts w:eastAsia="Times New Roman" w:cstheme="minorHAnsi"/>
        </w:rPr>
        <w:t>,</w:t>
      </w:r>
      <w:r w:rsidRPr="00F73EF8">
        <w:rPr>
          <w:rFonts w:eastAsia="Times New Roman" w:cstheme="minorHAnsi"/>
        </w:rPr>
        <w:t xml:space="preserve"> </w:t>
      </w:r>
      <w:r w:rsidRPr="00F73EF8">
        <w:rPr>
          <w:rFonts w:eastAsia="Times New Roman" w:cstheme="minorHAnsi"/>
        </w:rPr>
        <w:t>p</w:t>
      </w:r>
      <w:r w:rsidRPr="00F73EF8">
        <w:rPr>
          <w:rFonts w:eastAsia="Times New Roman" w:cstheme="minorHAnsi"/>
        </w:rPr>
        <w:t>p. 231 et 232</w:t>
      </w:r>
      <w:r w:rsidRPr="00F73EF8">
        <w:rPr>
          <w:rFonts w:eastAsia="Times New Roman" w:cstheme="minorHAnsi"/>
        </w:rPr>
        <w:t>.</w:t>
      </w:r>
    </w:p>
  </w:footnote>
  <w:footnote w:id="32">
    <w:p w14:paraId="6366EDBA" w14:textId="6387596E"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Loi du 4 février 2020 portant le livre 3 " Les biens " du Code civil, </w:t>
      </w:r>
      <w:r w:rsidRPr="00F73EF8">
        <w:rPr>
          <w:rFonts w:cstheme="minorHAnsi"/>
          <w:i/>
          <w:iCs/>
        </w:rPr>
        <w:t>Mon. b.</w:t>
      </w:r>
      <w:r w:rsidRPr="00F73EF8">
        <w:rPr>
          <w:rFonts w:cstheme="minorHAnsi"/>
        </w:rPr>
        <w:t>, 17 mars 2020, précitée.</w:t>
      </w:r>
    </w:p>
  </w:footnote>
  <w:footnote w:id="33">
    <w:p w14:paraId="6E9F8837" w14:textId="77777777" w:rsidR="00344520" w:rsidRPr="00F73EF8" w:rsidRDefault="00344520" w:rsidP="000673F8">
      <w:pPr>
        <w:pStyle w:val="Notedebasdepage"/>
        <w:rPr>
          <w:rFonts w:cstheme="minorHAnsi"/>
        </w:rPr>
      </w:pPr>
      <w:r w:rsidRPr="00F73EF8">
        <w:rPr>
          <w:rStyle w:val="Appelnotedebasdep"/>
          <w:rFonts w:cstheme="minorHAnsi"/>
        </w:rPr>
        <w:footnoteRef/>
      </w:r>
      <w:r w:rsidRPr="00F73EF8">
        <w:rPr>
          <w:rFonts w:cstheme="minorHAnsi"/>
          <w:lang w:val="fr-FR"/>
        </w:rPr>
        <w:t xml:space="preserve">K. </w:t>
      </w:r>
      <w:r w:rsidRPr="00F73EF8">
        <w:rPr>
          <w:rFonts w:cstheme="minorHAnsi"/>
          <w:smallCaps/>
          <w:lang w:val="fr-FR"/>
        </w:rPr>
        <w:t>Geens</w:t>
      </w:r>
      <w:r w:rsidRPr="00F73EF8">
        <w:rPr>
          <w:rFonts w:cstheme="minorHAnsi"/>
          <w:lang w:val="fr-FR"/>
        </w:rPr>
        <w:t xml:space="preserve">, </w:t>
      </w:r>
      <w:r w:rsidRPr="00F73EF8">
        <w:rPr>
          <w:rFonts w:cstheme="minorHAnsi"/>
          <w:i/>
          <w:iCs/>
        </w:rPr>
        <w:t>Le saut vers le droit de demain</w:t>
      </w:r>
      <w:r w:rsidRPr="00F73EF8">
        <w:rPr>
          <w:rFonts w:cstheme="minorHAnsi"/>
        </w:rPr>
        <w:t>, 6 décembre 2016 (particulièrement pp. 27 à 59), disponible sur https://www.koengeens.be/fr/policy/recodification</w:t>
      </w:r>
      <w:r w:rsidRPr="00F73EF8">
        <w:rPr>
          <w:rFonts w:cstheme="minorHAnsi"/>
          <w:lang w:val="fr-FR"/>
        </w:rPr>
        <w:t>.</w:t>
      </w:r>
    </w:p>
  </w:footnote>
  <w:footnote w:id="34">
    <w:p w14:paraId="0894A6AC" w14:textId="77777777" w:rsidR="00344520" w:rsidRPr="00F73EF8" w:rsidRDefault="00344520" w:rsidP="008061D7">
      <w:pPr>
        <w:pStyle w:val="Notedebasdepage"/>
        <w:rPr>
          <w:rFonts w:cstheme="minorHAnsi"/>
        </w:rPr>
      </w:pPr>
      <w:r w:rsidRPr="00F73EF8">
        <w:rPr>
          <w:rStyle w:val="Appelnotedebasdep"/>
          <w:rFonts w:cstheme="minorHAnsi"/>
        </w:rPr>
        <w:footnoteRef/>
      </w:r>
      <w:r w:rsidRPr="00F73EF8">
        <w:rPr>
          <w:rFonts w:cstheme="minorHAnsi"/>
        </w:rPr>
        <w:t xml:space="preserve"> Arrêté ministériel du 30 septembre 2017 portant création des Commissions de réforme du droit civil, </w:t>
      </w:r>
      <w:r w:rsidRPr="00F73EF8">
        <w:rPr>
          <w:rFonts w:cstheme="minorHAnsi"/>
          <w:i/>
        </w:rPr>
        <w:t>Mon. b.</w:t>
      </w:r>
      <w:r w:rsidRPr="00F73EF8">
        <w:rPr>
          <w:rFonts w:cstheme="minorHAnsi"/>
        </w:rPr>
        <w:t>, 9 octobre 2017.</w:t>
      </w:r>
    </w:p>
  </w:footnote>
  <w:footnote w:id="35">
    <w:p w14:paraId="79325597" w14:textId="70F455F6"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eastAsia="Times New Roman" w:cstheme="minorHAnsi"/>
          <w:i/>
          <w:iCs/>
        </w:rPr>
        <w:t>Mon. b</w:t>
      </w:r>
      <w:r w:rsidRPr="00F73EF8">
        <w:rPr>
          <w:rFonts w:eastAsia="Times New Roman" w:cstheme="minorHAnsi"/>
        </w:rPr>
        <w:t>, 14 mai 2019</w:t>
      </w:r>
    </w:p>
  </w:footnote>
  <w:footnote w:id="36">
    <w:p w14:paraId="6C4A4A8A" w14:textId="7CF30889" w:rsidR="00344520" w:rsidRPr="00F73EF8" w:rsidRDefault="00344520">
      <w:pPr>
        <w:pStyle w:val="Notedebasdepage"/>
        <w:rPr>
          <w:rFonts w:cstheme="minorHAnsi"/>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Pour les premiers commentaires de cette réforme, voy. not. F. </w:t>
      </w:r>
      <w:r w:rsidRPr="00F73EF8">
        <w:rPr>
          <w:rFonts w:cstheme="minorHAnsi"/>
          <w:smallCaps/>
          <w:lang w:val="fr-FR"/>
        </w:rPr>
        <w:t>George</w:t>
      </w:r>
      <w:r w:rsidRPr="00F73EF8">
        <w:rPr>
          <w:rFonts w:cstheme="minorHAnsi"/>
          <w:lang w:val="fr-FR"/>
        </w:rPr>
        <w:t xml:space="preserve"> et J.-B. </w:t>
      </w:r>
      <w:r w:rsidRPr="00F73EF8">
        <w:rPr>
          <w:rFonts w:cstheme="minorHAnsi"/>
          <w:smallCaps/>
          <w:lang w:val="fr-FR"/>
        </w:rPr>
        <w:t>Hubin</w:t>
      </w:r>
      <w:r w:rsidRPr="00F73EF8">
        <w:rPr>
          <w:rFonts w:cstheme="minorHAnsi"/>
          <w:lang w:val="fr-FR"/>
        </w:rPr>
        <w:t xml:space="preserve">, « La réforme du droit de la preuve », in F. George </w:t>
      </w:r>
      <w:r w:rsidRPr="00F73EF8">
        <w:rPr>
          <w:rFonts w:cstheme="minorHAnsi"/>
          <w:i/>
          <w:iCs/>
          <w:lang w:val="fr-FR"/>
        </w:rPr>
        <w:t>et al.</w:t>
      </w:r>
      <w:r w:rsidRPr="00F73EF8">
        <w:rPr>
          <w:rFonts w:cstheme="minorHAnsi"/>
          <w:lang w:val="fr-FR"/>
        </w:rPr>
        <w:t xml:space="preserve">, </w:t>
      </w:r>
      <w:r w:rsidRPr="00F73EF8">
        <w:rPr>
          <w:rFonts w:cstheme="minorHAnsi"/>
          <w:i/>
          <w:lang w:val="fr-FR"/>
        </w:rPr>
        <w:t>Les grandes évolutions du droit des obligations</w:t>
      </w:r>
      <w:r w:rsidRPr="00F73EF8">
        <w:rPr>
          <w:rFonts w:cstheme="minorHAnsi"/>
          <w:lang w:val="fr-FR"/>
        </w:rPr>
        <w:t xml:space="preserve">, Limal, Anthemis, 2019, pp. </w:t>
      </w:r>
      <w:r w:rsidRPr="00F73EF8">
        <w:rPr>
          <w:rFonts w:cstheme="minorHAnsi"/>
          <w:highlight w:val="yellow"/>
          <w:lang w:val="fr-FR"/>
        </w:rPr>
        <w:t>[…]</w:t>
      </w:r>
      <w:r w:rsidRPr="00F73EF8">
        <w:rPr>
          <w:rFonts w:cstheme="minorHAnsi"/>
          <w:lang w:val="fr-FR"/>
        </w:rPr>
        <w:t xml:space="preserve"> à </w:t>
      </w:r>
      <w:r w:rsidRPr="00F73EF8">
        <w:rPr>
          <w:rFonts w:cstheme="minorHAnsi"/>
          <w:highlight w:val="yellow"/>
          <w:lang w:val="fr-FR"/>
        </w:rPr>
        <w:t>[…]</w:t>
      </w:r>
      <w:r w:rsidRPr="00F73EF8">
        <w:rPr>
          <w:rFonts w:cstheme="minorHAnsi"/>
          <w:lang w:val="fr-FR"/>
        </w:rPr>
        <w:t xml:space="preserve"> ; F. </w:t>
      </w:r>
      <w:r w:rsidRPr="00F73EF8">
        <w:rPr>
          <w:rFonts w:cstheme="minorHAnsi"/>
          <w:smallCaps/>
          <w:lang w:val="fr-FR"/>
        </w:rPr>
        <w:t>George,</w:t>
      </w:r>
      <w:r w:rsidRPr="00F73EF8">
        <w:rPr>
          <w:rFonts w:cstheme="minorHAnsi"/>
          <w:lang w:val="fr-FR"/>
        </w:rPr>
        <w:t xml:space="preserve"> « </w:t>
      </w:r>
      <w:r w:rsidRPr="00F73EF8">
        <w:rPr>
          <w:rFonts w:cstheme="minorHAnsi"/>
        </w:rPr>
        <w:t xml:space="preserve">Le nouveau droit de la preuve : quand le huitième wagon devient locomotive ! », </w:t>
      </w:r>
      <w:r w:rsidRPr="00F73EF8">
        <w:rPr>
          <w:rFonts w:cstheme="minorHAnsi"/>
          <w:i/>
          <w:iCs/>
        </w:rPr>
        <w:t>J.T.</w:t>
      </w:r>
      <w:r w:rsidRPr="00F73EF8">
        <w:rPr>
          <w:rFonts w:cstheme="minorHAnsi"/>
        </w:rPr>
        <w:t xml:space="preserve">, 2019, pp. 637 à 657 ; D. </w:t>
      </w:r>
      <w:r w:rsidRPr="00F73EF8">
        <w:rPr>
          <w:rFonts w:cstheme="minorHAnsi"/>
          <w:smallCaps/>
          <w:lang w:val="fr-FR"/>
        </w:rPr>
        <w:t>Mougenot</w:t>
      </w:r>
      <w:r w:rsidRPr="00F73EF8">
        <w:rPr>
          <w:rFonts w:cstheme="minorHAnsi"/>
        </w:rPr>
        <w:t xml:space="preserve"> (dir.), </w:t>
      </w:r>
      <w:r w:rsidRPr="00F73EF8">
        <w:rPr>
          <w:rFonts w:cstheme="minorHAnsi"/>
          <w:i/>
          <w:iCs/>
        </w:rPr>
        <w:t>La réforme du droit de la preuve</w:t>
      </w:r>
      <w:r w:rsidRPr="00F73EF8">
        <w:rPr>
          <w:rFonts w:cstheme="minorHAnsi"/>
        </w:rPr>
        <w:t>, CUP, vol. 193, Limal, Anthemis, 2019 (302 p.).</w:t>
      </w:r>
    </w:p>
  </w:footnote>
  <w:footnote w:id="37">
    <w:p w14:paraId="23D6FE9A" w14:textId="49E68262"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Article 75 de la loi du 13 avril 2019 précitée.</w:t>
      </w:r>
    </w:p>
  </w:footnote>
  <w:footnote w:id="38">
    <w:p w14:paraId="294E6696" w14:textId="63DE5145"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A</w:t>
      </w:r>
      <w:r w:rsidRPr="00F73EF8">
        <w:rPr>
          <w:rFonts w:cstheme="minorHAnsi"/>
          <w:lang w:val="fr-FR"/>
        </w:rPr>
        <w:t>rticle 2 de la loi du 13 avril 2019 précitée.</w:t>
      </w:r>
    </w:p>
  </w:footnote>
  <w:footnote w:id="39">
    <w:p w14:paraId="4968F477" w14:textId="5295A465"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Article 39 de la loi du 4 février 2020 précitée.</w:t>
      </w:r>
    </w:p>
  </w:footnote>
  <w:footnote w:id="40">
    <w:p w14:paraId="009029CF" w14:textId="0942D3F5"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N. </w:t>
      </w:r>
      <w:r w:rsidRPr="00F73EF8">
        <w:rPr>
          <w:rFonts w:cstheme="minorHAnsi"/>
          <w:smallCaps/>
          <w:lang w:val="fr-FR"/>
        </w:rPr>
        <w:t>Bernard</w:t>
      </w:r>
      <w:r w:rsidRPr="00F73EF8">
        <w:rPr>
          <w:rFonts w:cstheme="minorHAnsi"/>
          <w:lang w:val="fr-FR"/>
        </w:rPr>
        <w:t xml:space="preserve"> et V. </w:t>
      </w:r>
      <w:r w:rsidRPr="00F73EF8">
        <w:rPr>
          <w:rFonts w:cstheme="minorHAnsi"/>
          <w:smallCaps/>
          <w:lang w:val="fr-FR"/>
        </w:rPr>
        <w:t>Defraiteur</w:t>
      </w:r>
      <w:r w:rsidRPr="00F73EF8">
        <w:rPr>
          <w:rFonts w:cstheme="minorHAnsi"/>
          <w:lang w:val="fr-FR"/>
        </w:rPr>
        <w:t xml:space="preserve">, « La réforme 2020 du droit des biens. La modernisation dans la continuité », </w:t>
      </w:r>
      <w:r w:rsidRPr="00F73EF8">
        <w:rPr>
          <w:rFonts w:cstheme="minorHAnsi"/>
          <w:i/>
          <w:iCs/>
          <w:lang w:val="fr-FR"/>
        </w:rPr>
        <w:t>J.T.</w:t>
      </w:r>
      <w:r w:rsidRPr="00F73EF8">
        <w:rPr>
          <w:rFonts w:cstheme="minorHAnsi"/>
          <w:lang w:val="fr-FR"/>
        </w:rPr>
        <w:t>, 2020, pp. 413 à 420 à (1</w:t>
      </w:r>
      <w:r w:rsidRPr="00F73EF8">
        <w:rPr>
          <w:rFonts w:cstheme="minorHAnsi"/>
          <w:vertAlign w:val="superscript"/>
          <w:lang w:val="fr-FR"/>
        </w:rPr>
        <w:t>ère</w:t>
      </w:r>
      <w:r w:rsidRPr="00F73EF8">
        <w:rPr>
          <w:rFonts w:cstheme="minorHAnsi"/>
          <w:lang w:val="fr-FR"/>
        </w:rPr>
        <w:t xml:space="preserve"> partie) et pp. 429 à 437 (2</w:t>
      </w:r>
      <w:r w:rsidRPr="00F73EF8">
        <w:rPr>
          <w:rFonts w:cstheme="minorHAnsi"/>
          <w:vertAlign w:val="superscript"/>
          <w:lang w:val="fr-FR"/>
        </w:rPr>
        <w:t>ème</w:t>
      </w:r>
      <w:r w:rsidRPr="00F73EF8">
        <w:rPr>
          <w:rFonts w:cstheme="minorHAnsi"/>
          <w:lang w:val="fr-FR"/>
        </w:rPr>
        <w:t xml:space="preserve"> partie).</w:t>
      </w:r>
    </w:p>
  </w:footnote>
  <w:footnote w:id="41">
    <w:p w14:paraId="16D5FACF" w14:textId="611CF62A" w:rsidR="00344520" w:rsidRPr="00F73EF8" w:rsidRDefault="00344520" w:rsidP="00852CFE">
      <w:pPr>
        <w:autoSpaceDE w:val="0"/>
        <w:autoSpaceDN w:val="0"/>
        <w:adjustRightInd w:val="0"/>
        <w:spacing w:after="0" w:line="240" w:lineRule="auto"/>
        <w:rPr>
          <w:rFonts w:cstheme="minorHAnsi"/>
          <w:sz w:val="20"/>
          <w:szCs w:val="20"/>
          <w:lang w:val="fr-FR"/>
        </w:rPr>
      </w:pPr>
      <w:r w:rsidRPr="00F73EF8">
        <w:rPr>
          <w:rStyle w:val="Appelnotedebasdep"/>
          <w:rFonts w:cstheme="minorHAnsi"/>
          <w:sz w:val="20"/>
          <w:szCs w:val="20"/>
        </w:rPr>
        <w:footnoteRef/>
      </w:r>
      <w:r w:rsidRPr="00F73EF8">
        <w:rPr>
          <w:rFonts w:cstheme="minorHAnsi"/>
          <w:sz w:val="20"/>
          <w:szCs w:val="20"/>
        </w:rPr>
        <w:t xml:space="preserve"> Les auteurs de la proposition de loi ont fait le même constat : « </w:t>
      </w:r>
      <w:r w:rsidRPr="00F73EF8">
        <w:rPr>
          <w:rFonts w:cstheme="minorHAnsi"/>
          <w:i/>
          <w:iCs/>
          <w:sz w:val="20"/>
          <w:szCs w:val="20"/>
        </w:rPr>
        <w:t>une modernisation de ces dispositions s’impose d’urgence</w:t>
      </w:r>
      <w:r w:rsidRPr="00F73EF8">
        <w:rPr>
          <w:rFonts w:cstheme="minorHAnsi"/>
          <w:sz w:val="20"/>
          <w:szCs w:val="20"/>
        </w:rPr>
        <w:t xml:space="preserve"> […] </w:t>
      </w:r>
      <w:r w:rsidRPr="00F73EF8">
        <w:rPr>
          <w:rFonts w:cstheme="minorHAnsi"/>
          <w:i/>
          <w:iCs/>
          <w:sz w:val="20"/>
          <w:szCs w:val="20"/>
        </w:rPr>
        <w:t>De nombreuses règles du Livre II</w:t>
      </w:r>
      <w:r w:rsidRPr="00F73EF8">
        <w:rPr>
          <w:rFonts w:cstheme="minorHAnsi"/>
          <w:sz w:val="20"/>
          <w:szCs w:val="20"/>
        </w:rPr>
        <w:t xml:space="preserve"> [du Code civil de 1804] </w:t>
      </w:r>
      <w:r w:rsidRPr="00F73EF8">
        <w:rPr>
          <w:rFonts w:cstheme="minorHAnsi"/>
          <w:i/>
          <w:iCs/>
          <w:sz w:val="20"/>
          <w:szCs w:val="20"/>
        </w:rPr>
        <w:t>s’inspirent d’un contexte du début du 19</w:t>
      </w:r>
      <w:r w:rsidRPr="00F73EF8">
        <w:rPr>
          <w:rFonts w:cstheme="minorHAnsi"/>
          <w:i/>
          <w:iCs/>
          <w:sz w:val="20"/>
          <w:szCs w:val="20"/>
          <w:vertAlign w:val="superscript"/>
        </w:rPr>
        <w:t>ème</w:t>
      </w:r>
      <w:r w:rsidRPr="00F73EF8">
        <w:rPr>
          <w:rFonts w:cstheme="minorHAnsi"/>
          <w:i/>
          <w:iCs/>
          <w:sz w:val="20"/>
          <w:szCs w:val="20"/>
        </w:rPr>
        <w:t xml:space="preserve"> siècle.</w:t>
      </w:r>
      <w:r w:rsidRPr="00F73EF8">
        <w:rPr>
          <w:rFonts w:cstheme="minorHAnsi"/>
          <w:sz w:val="20"/>
          <w:szCs w:val="20"/>
        </w:rPr>
        <w:t xml:space="preserve"> [Elles]</w:t>
      </w:r>
      <w:r w:rsidRPr="00F73EF8">
        <w:rPr>
          <w:rFonts w:cstheme="minorHAnsi"/>
          <w:i/>
          <w:iCs/>
          <w:sz w:val="20"/>
          <w:szCs w:val="20"/>
        </w:rPr>
        <w:t xml:space="preserve"> ont été rédigées en réaction à l’Ancien Régime</w:t>
      </w:r>
      <w:r w:rsidRPr="00F73EF8">
        <w:rPr>
          <w:rFonts w:cstheme="minorHAnsi"/>
          <w:sz w:val="20"/>
          <w:szCs w:val="20"/>
        </w:rPr>
        <w:t> » (</w:t>
      </w:r>
      <w:r w:rsidRPr="00F73EF8">
        <w:rPr>
          <w:rFonts w:cstheme="minorHAnsi"/>
          <w:sz w:val="20"/>
          <w:szCs w:val="20"/>
          <w:lang w:val="fr-FR"/>
        </w:rPr>
        <w:t xml:space="preserve">Proposition de loi portant insertion du livre 3 « Les biens » dans le nouveau Code civil, introduction générale, </w:t>
      </w:r>
      <w:r w:rsidRPr="00F73EF8">
        <w:rPr>
          <w:rFonts w:cstheme="minorHAnsi"/>
          <w:i/>
          <w:iCs/>
          <w:sz w:val="20"/>
          <w:szCs w:val="20"/>
          <w:lang w:val="fr-FR"/>
        </w:rPr>
        <w:t>Doc. Parl.</w:t>
      </w:r>
      <w:r w:rsidRPr="00F73EF8">
        <w:rPr>
          <w:rFonts w:cstheme="minorHAnsi"/>
          <w:sz w:val="20"/>
          <w:szCs w:val="20"/>
          <w:lang w:val="fr-FR"/>
        </w:rPr>
        <w:t>, 2019, n°0173/001, p. 4)</w:t>
      </w:r>
      <w:r w:rsidRPr="00F73EF8">
        <w:rPr>
          <w:rFonts w:cstheme="minorHAnsi"/>
          <w:sz w:val="20"/>
          <w:szCs w:val="20"/>
        </w:rPr>
        <w:t>.</w:t>
      </w:r>
    </w:p>
  </w:footnote>
  <w:footnote w:id="42">
    <w:p w14:paraId="0D77CA4B" w14:textId="1239C753"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P.-A. </w:t>
      </w:r>
      <w:r w:rsidRPr="00F73EF8">
        <w:rPr>
          <w:rFonts w:cstheme="minorHAnsi"/>
          <w:smallCaps/>
          <w:lang w:val="fr-FR"/>
        </w:rPr>
        <w:t>Foriers</w:t>
      </w:r>
      <w:r w:rsidRPr="00F73EF8">
        <w:rPr>
          <w:rFonts w:cstheme="minorHAnsi"/>
          <w:lang w:val="fr-FR"/>
        </w:rPr>
        <w:t xml:space="preserve">, « Notion de bail et notions voisines », in </w:t>
      </w:r>
      <w:r w:rsidRPr="00F73EF8">
        <w:rPr>
          <w:rFonts w:cstheme="minorHAnsi"/>
          <w:i/>
          <w:iCs/>
          <w:lang w:val="fr-FR"/>
        </w:rPr>
        <w:t>Le bail : questions diverses</w:t>
      </w:r>
      <w:r w:rsidRPr="00F73EF8">
        <w:rPr>
          <w:rFonts w:cstheme="minorHAnsi"/>
          <w:lang w:val="fr-FR"/>
        </w:rPr>
        <w:t>, Formation permanente CUP, vol. 28, Liège, 1999, p. 27, n°26.</w:t>
      </w:r>
    </w:p>
  </w:footnote>
  <w:footnote w:id="43">
    <w:p w14:paraId="4B3A4428" w14:textId="4BE3C835"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Il s’agit de l’intitulé complet de la loi. Pour une mise en perspective de certaines des dispositions de la loi au regard de cet objectif, voy. Y. </w:t>
      </w:r>
      <w:r w:rsidRPr="00F73EF8">
        <w:rPr>
          <w:rFonts w:cstheme="minorHAnsi"/>
          <w:smallCaps/>
          <w:lang w:val="fr-FR"/>
        </w:rPr>
        <w:t>Ninane</w:t>
      </w:r>
      <w:r w:rsidRPr="00F73EF8">
        <w:rPr>
          <w:rFonts w:cstheme="minorHAnsi"/>
        </w:rPr>
        <w:t xml:space="preserve"> et E. </w:t>
      </w:r>
      <w:r w:rsidRPr="00F73EF8">
        <w:rPr>
          <w:rFonts w:cstheme="minorHAnsi"/>
          <w:smallCaps/>
          <w:lang w:val="fr-FR"/>
        </w:rPr>
        <w:t>Cruysmans</w:t>
      </w:r>
      <w:r w:rsidRPr="00F73EF8">
        <w:rPr>
          <w:rFonts w:cstheme="minorHAnsi"/>
        </w:rPr>
        <w:t>, « La loi du 30 avril 1951 sur les baux commerciaux "en vue de la protection du fonds de commerce" : objectifs du législateur et arrêts récents », in M. Vlies, Actualités en bail commercial, col. UB³, vol. 32, Bruxelles, Bruylant, 2011, pp. 119 à 177.</w:t>
      </w:r>
    </w:p>
  </w:footnote>
  <w:footnote w:id="44">
    <w:p w14:paraId="2782A1DD" w14:textId="1E15AEC9" w:rsidR="00344520" w:rsidRPr="00F73EF8" w:rsidRDefault="00344520" w:rsidP="00A1118C">
      <w:pPr>
        <w:pStyle w:val="Notedebasdepage"/>
        <w:rPr>
          <w:rFonts w:cstheme="minorHAnsi"/>
        </w:rPr>
      </w:pPr>
      <w:r w:rsidRPr="00F73EF8">
        <w:rPr>
          <w:rStyle w:val="Appelnotedebasdep"/>
          <w:rFonts w:cstheme="minorHAnsi"/>
        </w:rPr>
        <w:footnoteRef/>
      </w:r>
      <w:r w:rsidRPr="00F73EF8">
        <w:rPr>
          <w:rFonts w:cstheme="minorHAnsi"/>
        </w:rPr>
        <w:t xml:space="preserve"> Voyez le Rapport fait au nom de la Commission des Affaires Economiques et des Classes Moyennes par M. Humblet, </w:t>
      </w:r>
      <w:r w:rsidRPr="00F73EF8">
        <w:rPr>
          <w:rFonts w:cstheme="minorHAnsi"/>
          <w:i/>
        </w:rPr>
        <w:t>Doc. Parl. Ch.</w:t>
      </w:r>
      <w:r w:rsidRPr="00F73EF8">
        <w:rPr>
          <w:rFonts w:cstheme="minorHAnsi"/>
        </w:rPr>
        <w:t xml:space="preserve">, sess. ord. 1947-1948, n° 20, p. 53 ; C. </w:t>
      </w:r>
      <w:r w:rsidRPr="00F73EF8">
        <w:rPr>
          <w:rFonts w:cstheme="minorHAnsi"/>
          <w:smallCaps/>
          <w:lang w:val="fr-FR"/>
        </w:rPr>
        <w:t>Delforge</w:t>
      </w:r>
      <w:r w:rsidRPr="00F73EF8">
        <w:rPr>
          <w:rFonts w:cstheme="minorHAnsi"/>
        </w:rPr>
        <w:t xml:space="preserve"> et Y. </w:t>
      </w:r>
      <w:r w:rsidRPr="00F73EF8">
        <w:rPr>
          <w:rFonts w:cstheme="minorHAnsi"/>
          <w:smallCaps/>
          <w:lang w:val="fr-FR"/>
        </w:rPr>
        <w:t>Ninane</w:t>
      </w:r>
      <w:r w:rsidRPr="00F73EF8">
        <w:rPr>
          <w:rFonts w:cstheme="minorHAnsi"/>
        </w:rPr>
        <w:t>, « La durée du bail commercial », in G. Benoit, C. Delforge, P. Jadoul, G. Rommel, M. Vlies (dir.),</w:t>
      </w:r>
      <w:r w:rsidRPr="00F73EF8">
        <w:rPr>
          <w:rFonts w:cstheme="minorHAnsi"/>
          <w:i/>
        </w:rPr>
        <w:t xml:space="preserve"> Le bail commercial</w:t>
      </w:r>
      <w:r w:rsidRPr="00F73EF8">
        <w:rPr>
          <w:rFonts w:cstheme="minorHAnsi"/>
        </w:rPr>
        <w:t>, Bruxelles, la Charte, 2008, p. 58, n° 11.</w:t>
      </w:r>
    </w:p>
  </w:footnote>
  <w:footnote w:id="45">
    <w:p w14:paraId="59886B45" w14:textId="586DF9DF" w:rsidR="00344520" w:rsidRPr="00F73EF8" w:rsidRDefault="00344520" w:rsidP="00A1118C">
      <w:pPr>
        <w:pStyle w:val="Notedebasdepage"/>
        <w:rPr>
          <w:rFonts w:cstheme="minorHAnsi"/>
        </w:rPr>
      </w:pPr>
      <w:r w:rsidRPr="00F73EF8">
        <w:rPr>
          <w:rStyle w:val="Appelnotedebasdep"/>
          <w:rFonts w:cstheme="minorHAnsi"/>
        </w:rPr>
        <w:footnoteRef/>
      </w:r>
      <w:r w:rsidRPr="00F73EF8">
        <w:rPr>
          <w:rFonts w:cstheme="minorHAnsi"/>
        </w:rPr>
        <w:t xml:space="preserve"> </w:t>
      </w:r>
      <w:r w:rsidRPr="00F73EF8">
        <w:rPr>
          <w:rFonts w:cstheme="minorHAnsi"/>
          <w:smallCaps/>
        </w:rPr>
        <w:t>H. De Page</w:t>
      </w:r>
      <w:r w:rsidRPr="00F73EF8">
        <w:rPr>
          <w:rFonts w:cstheme="minorHAnsi"/>
        </w:rPr>
        <w:t xml:space="preserve">, </w:t>
      </w:r>
      <w:r w:rsidRPr="00F73EF8">
        <w:rPr>
          <w:rFonts w:cstheme="minorHAnsi"/>
          <w:i/>
        </w:rPr>
        <w:t>Traité élémentaire de droit civil belge</w:t>
      </w:r>
      <w:r w:rsidRPr="00F73EF8">
        <w:rPr>
          <w:rFonts w:cstheme="minorHAnsi"/>
        </w:rPr>
        <w:t>, t.IV, 3</w:t>
      </w:r>
      <w:r w:rsidRPr="00F73EF8">
        <w:rPr>
          <w:rFonts w:cstheme="minorHAnsi"/>
          <w:vertAlign w:val="superscript"/>
        </w:rPr>
        <w:t>ème</w:t>
      </w:r>
      <w:r w:rsidRPr="00F73EF8">
        <w:rPr>
          <w:rFonts w:cstheme="minorHAnsi"/>
        </w:rPr>
        <w:t xml:space="preserve"> éd., Bruxelles, Bruylant, 1972, p. 828, n°782A ; M. </w:t>
      </w:r>
      <w:r w:rsidRPr="00F73EF8">
        <w:rPr>
          <w:rFonts w:cstheme="minorHAnsi"/>
          <w:smallCaps/>
        </w:rPr>
        <w:t>La Haye</w:t>
      </w:r>
      <w:r w:rsidRPr="00F73EF8">
        <w:rPr>
          <w:rFonts w:cstheme="minorHAnsi"/>
        </w:rPr>
        <w:t xml:space="preserve"> et J. </w:t>
      </w:r>
      <w:r w:rsidRPr="00F73EF8">
        <w:rPr>
          <w:rFonts w:cstheme="minorHAnsi"/>
          <w:smallCaps/>
        </w:rPr>
        <w:t>Vankerckhove</w:t>
      </w:r>
      <w:r w:rsidRPr="00F73EF8">
        <w:rPr>
          <w:rFonts w:cstheme="minorHAnsi"/>
        </w:rPr>
        <w:t xml:space="preserve">, </w:t>
      </w:r>
      <w:r w:rsidRPr="00F73EF8">
        <w:rPr>
          <w:rFonts w:cstheme="minorHAnsi"/>
          <w:i/>
          <w:iCs/>
        </w:rPr>
        <w:t>Les baux commerciaux</w:t>
      </w:r>
      <w:r w:rsidRPr="00F73EF8">
        <w:rPr>
          <w:rFonts w:cstheme="minorHAnsi"/>
        </w:rPr>
        <w:t xml:space="preserve">, </w:t>
      </w:r>
      <w:r w:rsidRPr="00F73EF8">
        <w:rPr>
          <w:rFonts w:cstheme="minorHAnsi"/>
          <w:i/>
        </w:rPr>
        <w:t>Les Novelles</w:t>
      </w:r>
      <w:r w:rsidRPr="00F73EF8">
        <w:rPr>
          <w:rFonts w:cstheme="minorHAnsi"/>
        </w:rPr>
        <w:t xml:space="preserve">, Droit civil, VI, vol. 2, Bruxelles, Larcier, 1984, p. 11, n° 1372 ; A. </w:t>
      </w:r>
      <w:r w:rsidRPr="00F73EF8">
        <w:rPr>
          <w:rFonts w:cstheme="minorHAnsi"/>
          <w:smallCaps/>
        </w:rPr>
        <w:t>Gustot</w:t>
      </w:r>
      <w:r w:rsidRPr="00F73EF8">
        <w:rPr>
          <w:rFonts w:cstheme="minorHAnsi"/>
        </w:rPr>
        <w:t xml:space="preserve">, </w:t>
      </w:r>
      <w:r w:rsidRPr="00F73EF8">
        <w:rPr>
          <w:rFonts w:cstheme="minorHAnsi"/>
          <w:i/>
        </w:rPr>
        <w:t>Les baux commerciaux. Commentaires et jurisprudence</w:t>
      </w:r>
      <w:r w:rsidRPr="00F73EF8">
        <w:rPr>
          <w:rFonts w:cstheme="minorHAnsi"/>
        </w:rPr>
        <w:t>, 3</w:t>
      </w:r>
      <w:r w:rsidRPr="00F73EF8">
        <w:rPr>
          <w:rFonts w:cstheme="minorHAnsi"/>
          <w:vertAlign w:val="superscript"/>
        </w:rPr>
        <w:t>ème</w:t>
      </w:r>
      <w:r w:rsidRPr="00F73EF8">
        <w:rPr>
          <w:rFonts w:cstheme="minorHAnsi"/>
        </w:rPr>
        <w:t xml:space="preserve"> éd., Bruxelles, Institut économique et social des classes moyennes, 1972, p. 23 ; A. </w:t>
      </w:r>
      <w:r w:rsidRPr="00F73EF8">
        <w:rPr>
          <w:rFonts w:cstheme="minorHAnsi"/>
          <w:smallCaps/>
          <w:lang w:val="fr-FR"/>
        </w:rPr>
        <w:t>Limpens</w:t>
      </w:r>
      <w:r w:rsidRPr="00F73EF8">
        <w:rPr>
          <w:rFonts w:cstheme="minorHAnsi"/>
        </w:rPr>
        <w:t xml:space="preserve">, « Loi du 30 avril 1951, article 25, alinéa final : portée de son caractère impératif », note sous Cass. 20 septembre 2001, </w:t>
      </w:r>
      <w:r w:rsidRPr="00F73EF8">
        <w:rPr>
          <w:rFonts w:cstheme="minorHAnsi"/>
          <w:i/>
        </w:rPr>
        <w:t>R.C.J.B.</w:t>
      </w:r>
      <w:r w:rsidRPr="00F73EF8">
        <w:rPr>
          <w:rFonts w:cstheme="minorHAnsi"/>
        </w:rPr>
        <w:t xml:space="preserve">, 2003, p. 553, n° 5 ; Cass. 6 décembre 1956, </w:t>
      </w:r>
      <w:r w:rsidRPr="00F73EF8">
        <w:rPr>
          <w:rFonts w:cstheme="minorHAnsi"/>
          <w:i/>
        </w:rPr>
        <w:t>R.C.J.B.</w:t>
      </w:r>
      <w:r w:rsidRPr="00F73EF8">
        <w:rPr>
          <w:rFonts w:cstheme="minorHAnsi"/>
        </w:rPr>
        <w:t xml:space="preserve">, 1960, p. 156, note G. Baeteman, « Les effets des dispositions légales impératives protégeant des intérêts privés », pp. 158-174 ; Cass. 15 mars 1968, </w:t>
      </w:r>
      <w:r w:rsidRPr="00F73EF8">
        <w:rPr>
          <w:rFonts w:cstheme="minorHAnsi"/>
          <w:i/>
        </w:rPr>
        <w:t>J.T.</w:t>
      </w:r>
      <w:r w:rsidRPr="00F73EF8">
        <w:rPr>
          <w:rFonts w:cstheme="minorHAnsi"/>
        </w:rPr>
        <w:t>, 1968, p. 289.</w:t>
      </w:r>
    </w:p>
  </w:footnote>
  <w:footnote w:id="46">
    <w:p w14:paraId="61881F4D" w14:textId="77777777" w:rsidR="00344520" w:rsidRPr="00F73EF8" w:rsidRDefault="00344520" w:rsidP="00A1118C">
      <w:pPr>
        <w:pStyle w:val="Notedebasdepage"/>
        <w:rPr>
          <w:rFonts w:cstheme="minorHAnsi"/>
        </w:rPr>
      </w:pPr>
      <w:r w:rsidRPr="00F73EF8">
        <w:rPr>
          <w:rStyle w:val="Appelnotedebasdep"/>
          <w:rFonts w:cstheme="minorHAnsi"/>
        </w:rPr>
        <w:footnoteRef/>
      </w:r>
      <w:r w:rsidRPr="00F73EF8">
        <w:rPr>
          <w:rFonts w:cstheme="minorHAnsi"/>
        </w:rPr>
        <w:t xml:space="preserve"> Cass., 9 décembre 1948, </w:t>
      </w:r>
      <w:r w:rsidRPr="00F73EF8">
        <w:rPr>
          <w:rFonts w:cstheme="minorHAnsi"/>
          <w:i/>
        </w:rPr>
        <w:t>J.T.</w:t>
      </w:r>
      <w:r w:rsidRPr="00F73EF8">
        <w:rPr>
          <w:rFonts w:cstheme="minorHAnsi"/>
        </w:rPr>
        <w:t xml:space="preserve">, 1949, p. 228 ; </w:t>
      </w:r>
      <w:r w:rsidRPr="00F73EF8">
        <w:rPr>
          <w:rFonts w:cstheme="minorHAnsi"/>
          <w:smallCaps/>
        </w:rPr>
        <w:t>H. De Page</w:t>
      </w:r>
      <w:r w:rsidRPr="00F73EF8">
        <w:rPr>
          <w:rFonts w:cstheme="minorHAnsi"/>
        </w:rPr>
        <w:t xml:space="preserve">, </w:t>
      </w:r>
      <w:r w:rsidRPr="00F73EF8">
        <w:rPr>
          <w:rFonts w:cstheme="minorHAnsi"/>
          <w:i/>
        </w:rPr>
        <w:t>op. cit.</w:t>
      </w:r>
      <w:r w:rsidRPr="00F73EF8">
        <w:rPr>
          <w:rFonts w:cstheme="minorHAnsi"/>
        </w:rPr>
        <w:t>, p. 828, n°782A.</w:t>
      </w:r>
    </w:p>
  </w:footnote>
  <w:footnote w:id="47">
    <w:p w14:paraId="3E25BE6A" w14:textId="77777777" w:rsidR="00344520" w:rsidRPr="00F73EF8" w:rsidRDefault="00344520" w:rsidP="00A1118C">
      <w:pPr>
        <w:pStyle w:val="Notedebasdepage"/>
        <w:rPr>
          <w:rFonts w:cstheme="minorHAnsi"/>
        </w:rPr>
      </w:pPr>
      <w:r w:rsidRPr="00F73EF8">
        <w:rPr>
          <w:rStyle w:val="Appelnotedebasdep"/>
          <w:rFonts w:cstheme="minorHAnsi"/>
        </w:rPr>
        <w:footnoteRef/>
      </w:r>
      <w:r w:rsidRPr="00F73EF8">
        <w:rPr>
          <w:rFonts w:cstheme="minorHAnsi"/>
        </w:rPr>
        <w:t xml:space="preserve"> </w:t>
      </w:r>
      <w:r w:rsidRPr="00F73EF8">
        <w:rPr>
          <w:rFonts w:cstheme="minorHAnsi"/>
          <w:i/>
        </w:rPr>
        <w:t>Ann. Parl. Sénat</w:t>
      </w:r>
      <w:r w:rsidRPr="00F73EF8">
        <w:rPr>
          <w:rFonts w:cstheme="minorHAnsi"/>
        </w:rPr>
        <w:t>, sess. ord. 1950-1951, séance du mardi 24 avril 1951, p. 1251.</w:t>
      </w:r>
    </w:p>
  </w:footnote>
  <w:footnote w:id="48">
    <w:p w14:paraId="4906C27F" w14:textId="32231F71" w:rsidR="00344520" w:rsidRPr="00F73EF8" w:rsidRDefault="00344520" w:rsidP="00A1118C">
      <w:pPr>
        <w:pStyle w:val="Notedebasdepage"/>
        <w:rPr>
          <w:rFonts w:cstheme="minorHAnsi"/>
        </w:rPr>
      </w:pPr>
      <w:r w:rsidRPr="00F73EF8">
        <w:rPr>
          <w:rStyle w:val="Appelnotedebasdep"/>
          <w:rFonts w:cstheme="minorHAnsi"/>
        </w:rPr>
        <w:footnoteRef/>
      </w:r>
      <w:r w:rsidRPr="00F73EF8">
        <w:rPr>
          <w:rFonts w:cstheme="minorHAnsi"/>
        </w:rPr>
        <w:t xml:space="preserve"> </w:t>
      </w:r>
      <w:r w:rsidRPr="00F73EF8">
        <w:rPr>
          <w:rFonts w:eastAsia="Times New Roman" w:cstheme="minorHAnsi"/>
          <w:vertAlign w:val="superscript"/>
          <w:lang w:val="fr-FR"/>
        </w:rPr>
        <w:footnoteRef/>
      </w:r>
      <w:r w:rsidRPr="00F73EF8">
        <w:rPr>
          <w:rFonts w:eastAsia="Times New Roman" w:cstheme="minorHAnsi"/>
          <w:lang w:val="fr-FR"/>
        </w:rPr>
        <w:t xml:space="preserve"> W. </w:t>
      </w:r>
      <w:r w:rsidRPr="00F73EF8">
        <w:rPr>
          <w:rFonts w:cstheme="minorHAnsi"/>
          <w:smallCaps/>
        </w:rPr>
        <w:t>Paternostre</w:t>
      </w:r>
      <w:r w:rsidRPr="00F73EF8">
        <w:rPr>
          <w:rFonts w:eastAsia="Times New Roman" w:cstheme="minorHAnsi"/>
          <w:lang w:val="fr-FR"/>
        </w:rPr>
        <w:t xml:space="preserve">, </w:t>
      </w:r>
      <w:r w:rsidRPr="00F73EF8">
        <w:rPr>
          <w:rFonts w:eastAsia="Times New Roman" w:cstheme="minorHAnsi"/>
          <w:i/>
          <w:lang w:val="fr-FR"/>
        </w:rPr>
        <w:t>Baux commerciaux et protection du fonds de commerce. Commentaire de la loi du 30 avril 1951 suivi d’un formulaire</w:t>
      </w:r>
      <w:r w:rsidRPr="00F73EF8">
        <w:rPr>
          <w:rFonts w:eastAsia="Times New Roman" w:cstheme="minorHAnsi"/>
          <w:lang w:val="fr-FR"/>
        </w:rPr>
        <w:t> », Bruxelles, Editions de la Revue de la Banque de Bruxelles, 1951,</w:t>
      </w:r>
      <w:r w:rsidRPr="00F73EF8">
        <w:rPr>
          <w:rFonts w:cstheme="minorHAnsi"/>
        </w:rPr>
        <w:t xml:space="preserve"> p. 62, n° 36.</w:t>
      </w:r>
    </w:p>
  </w:footnote>
  <w:footnote w:id="49">
    <w:p w14:paraId="236061BF" w14:textId="77777777" w:rsidR="00344520" w:rsidRPr="00F73EF8" w:rsidRDefault="00344520" w:rsidP="00A1118C">
      <w:pPr>
        <w:pStyle w:val="Notedebasdepage"/>
        <w:rPr>
          <w:rFonts w:cstheme="minorHAnsi"/>
        </w:rPr>
      </w:pPr>
      <w:r w:rsidRPr="00F73EF8">
        <w:rPr>
          <w:rStyle w:val="Appelnotedebasdep"/>
          <w:rFonts w:cstheme="minorHAnsi"/>
        </w:rPr>
        <w:footnoteRef/>
      </w:r>
      <w:r w:rsidRPr="00F73EF8">
        <w:rPr>
          <w:rFonts w:cstheme="minorHAnsi"/>
        </w:rPr>
        <w:t xml:space="preserve"> </w:t>
      </w:r>
      <w:r w:rsidRPr="00F73EF8">
        <w:rPr>
          <w:rFonts w:cstheme="minorHAnsi"/>
          <w:i/>
        </w:rPr>
        <w:t>Ibidem</w:t>
      </w:r>
      <w:r w:rsidRPr="00F73EF8">
        <w:rPr>
          <w:rFonts w:cstheme="minorHAnsi"/>
        </w:rPr>
        <w:t>.</w:t>
      </w:r>
    </w:p>
  </w:footnote>
  <w:footnote w:id="50">
    <w:p w14:paraId="4392AD89" w14:textId="77777777" w:rsidR="00344520" w:rsidRPr="00F73EF8" w:rsidRDefault="00344520" w:rsidP="00A1118C">
      <w:pPr>
        <w:pStyle w:val="Notedebasdepage"/>
        <w:rPr>
          <w:rFonts w:cstheme="minorHAnsi"/>
        </w:rPr>
      </w:pPr>
      <w:r w:rsidRPr="00F73EF8">
        <w:rPr>
          <w:rStyle w:val="Appelnotedebasdep"/>
          <w:rFonts w:cstheme="minorHAnsi"/>
        </w:rPr>
        <w:footnoteRef/>
      </w:r>
      <w:r w:rsidRPr="00F73EF8">
        <w:rPr>
          <w:rFonts w:cstheme="minorHAnsi"/>
        </w:rPr>
        <w:t xml:space="preserve"> Rapport fait au nom de la Commission des Affaires Economiques et des Classes Moyennes par M. Humblet, </w:t>
      </w:r>
      <w:r w:rsidRPr="00F73EF8">
        <w:rPr>
          <w:rFonts w:cstheme="minorHAnsi"/>
          <w:i/>
        </w:rPr>
        <w:t>Doc. Parl. Ch.</w:t>
      </w:r>
      <w:r w:rsidRPr="00F73EF8">
        <w:rPr>
          <w:rFonts w:cstheme="minorHAnsi"/>
        </w:rPr>
        <w:t xml:space="preserve">, sess. ord. 1950-1951, séance du 19 décembre 1950, n° 124, p. 3 ; </w:t>
      </w:r>
      <w:r w:rsidRPr="00F73EF8">
        <w:rPr>
          <w:rFonts w:cstheme="minorHAnsi"/>
          <w:i/>
        </w:rPr>
        <w:t>Ann. Parl. Sénat</w:t>
      </w:r>
      <w:r w:rsidRPr="00F73EF8">
        <w:rPr>
          <w:rFonts w:cstheme="minorHAnsi"/>
        </w:rPr>
        <w:t>, sess. ord. 1950-1951, séance du mardi 24 avril 1951, pp. 1251 et s.</w:t>
      </w:r>
    </w:p>
  </w:footnote>
  <w:footnote w:id="51">
    <w:p w14:paraId="6D182FBE" w14:textId="314CCA20" w:rsidR="00344520" w:rsidRPr="00F73EF8" w:rsidRDefault="00344520" w:rsidP="00A1118C">
      <w:pPr>
        <w:pStyle w:val="Notedebasdepage"/>
        <w:rPr>
          <w:rFonts w:cstheme="minorHAnsi"/>
        </w:rPr>
      </w:pPr>
      <w:r w:rsidRPr="00F73EF8">
        <w:rPr>
          <w:rStyle w:val="Appelnotedebasdep"/>
          <w:rFonts w:cstheme="minorHAnsi"/>
        </w:rPr>
        <w:footnoteRef/>
      </w:r>
      <w:r w:rsidRPr="00F73EF8">
        <w:rPr>
          <w:rFonts w:cstheme="minorHAnsi"/>
        </w:rPr>
        <w:t xml:space="preserve">; A. </w:t>
      </w:r>
      <w:r w:rsidRPr="00F73EF8">
        <w:rPr>
          <w:rFonts w:cstheme="minorHAnsi"/>
          <w:smallCaps/>
        </w:rPr>
        <w:t>Gustot</w:t>
      </w:r>
      <w:r w:rsidRPr="00F73EF8">
        <w:rPr>
          <w:rFonts w:cstheme="minorHAnsi"/>
        </w:rPr>
        <w:t xml:space="preserve">, </w:t>
      </w:r>
      <w:r w:rsidRPr="00F73EF8">
        <w:rPr>
          <w:rFonts w:cstheme="minorHAnsi"/>
          <w:i/>
        </w:rPr>
        <w:t>op. cit.</w:t>
      </w:r>
      <w:r w:rsidRPr="00F73EF8">
        <w:rPr>
          <w:rFonts w:cstheme="minorHAnsi"/>
        </w:rPr>
        <w:t xml:space="preserve">, p. 23 ; M. </w:t>
      </w:r>
      <w:r w:rsidRPr="00F73EF8">
        <w:rPr>
          <w:rFonts w:cstheme="minorHAnsi"/>
          <w:smallCaps/>
        </w:rPr>
        <w:t>La Haye</w:t>
      </w:r>
      <w:r w:rsidRPr="00F73EF8">
        <w:rPr>
          <w:rFonts w:cstheme="minorHAnsi"/>
        </w:rPr>
        <w:t xml:space="preserve"> et J. V</w:t>
      </w:r>
      <w:r w:rsidRPr="00F73EF8">
        <w:rPr>
          <w:rFonts w:cstheme="minorHAnsi"/>
          <w:smallCaps/>
        </w:rPr>
        <w:t>ankerckhove</w:t>
      </w:r>
      <w:r w:rsidRPr="00F73EF8">
        <w:rPr>
          <w:rFonts w:cstheme="minorHAnsi"/>
        </w:rPr>
        <w:t xml:space="preserve">, </w:t>
      </w:r>
      <w:r w:rsidRPr="00F73EF8">
        <w:rPr>
          <w:rFonts w:cstheme="minorHAnsi"/>
          <w:i/>
        </w:rPr>
        <w:t>op. cit.</w:t>
      </w:r>
      <w:r w:rsidRPr="00F73EF8">
        <w:rPr>
          <w:rFonts w:cstheme="minorHAnsi"/>
        </w:rPr>
        <w:t>,</w:t>
      </w:r>
      <w:r w:rsidRPr="00F73EF8">
        <w:rPr>
          <w:rFonts w:cstheme="minorHAnsi"/>
          <w:i/>
        </w:rPr>
        <w:t xml:space="preserve"> </w:t>
      </w:r>
      <w:r w:rsidRPr="00F73EF8">
        <w:rPr>
          <w:rFonts w:cstheme="minorHAnsi"/>
        </w:rPr>
        <w:t xml:space="preserve">pp. 12 et s., n° 1373 et s ; A. </w:t>
      </w:r>
      <w:r w:rsidRPr="00F73EF8">
        <w:rPr>
          <w:rFonts w:cstheme="minorHAnsi"/>
          <w:smallCaps/>
        </w:rPr>
        <w:t>Devreux</w:t>
      </w:r>
      <w:r w:rsidRPr="00F73EF8">
        <w:rPr>
          <w:rFonts w:cstheme="minorHAnsi"/>
        </w:rPr>
        <w:t xml:space="preserve">, </w:t>
      </w:r>
      <w:r w:rsidRPr="00F73EF8">
        <w:rPr>
          <w:rFonts w:cstheme="minorHAnsi"/>
          <w:i/>
        </w:rPr>
        <w:t>Les baux commerciaux</w:t>
      </w:r>
      <w:r w:rsidRPr="00F73EF8">
        <w:rPr>
          <w:rFonts w:cstheme="minorHAnsi"/>
        </w:rPr>
        <w:t xml:space="preserve">, Bruxelles, De Boeck-Wesmael, 1993, p. 5, n° 3 ; A. </w:t>
      </w:r>
      <w:r w:rsidRPr="00F73EF8">
        <w:rPr>
          <w:rFonts w:cstheme="minorHAnsi"/>
          <w:smallCaps/>
        </w:rPr>
        <w:t>Limpens</w:t>
      </w:r>
      <w:r w:rsidRPr="00F73EF8">
        <w:rPr>
          <w:rFonts w:cstheme="minorHAnsi"/>
        </w:rPr>
        <w:t xml:space="preserve">, </w:t>
      </w:r>
      <w:r w:rsidRPr="00F73EF8">
        <w:rPr>
          <w:rFonts w:cstheme="minorHAnsi"/>
          <w:i/>
        </w:rPr>
        <w:t>op. cit.</w:t>
      </w:r>
      <w:r w:rsidRPr="00F73EF8">
        <w:rPr>
          <w:rFonts w:cstheme="minorHAnsi"/>
        </w:rPr>
        <w:t xml:space="preserve">, p. 553, n° 5 ; B. </w:t>
      </w:r>
      <w:r w:rsidRPr="00F73EF8">
        <w:rPr>
          <w:rFonts w:cstheme="minorHAnsi"/>
          <w:smallCaps/>
        </w:rPr>
        <w:t>Louveaux</w:t>
      </w:r>
      <w:r w:rsidRPr="00F73EF8">
        <w:rPr>
          <w:rFonts w:cstheme="minorHAnsi"/>
        </w:rPr>
        <w:t xml:space="preserve">, </w:t>
      </w:r>
      <w:r w:rsidR="00F73EF8" w:rsidRPr="00F73EF8">
        <w:rPr>
          <w:rFonts w:cstheme="minorHAnsi"/>
          <w:i/>
        </w:rPr>
        <w:t>op. cit.</w:t>
      </w:r>
      <w:r w:rsidRPr="00F73EF8">
        <w:rPr>
          <w:rFonts w:cstheme="minorHAnsi"/>
        </w:rPr>
        <w:t>, p. 20.</w:t>
      </w:r>
    </w:p>
  </w:footnote>
  <w:footnote w:id="52">
    <w:p w14:paraId="53EC7718" w14:textId="77777777" w:rsidR="00344520" w:rsidRPr="00F73EF8" w:rsidRDefault="00344520" w:rsidP="00A1118C">
      <w:pPr>
        <w:pStyle w:val="Notedebasdepage"/>
        <w:rPr>
          <w:rFonts w:cstheme="minorHAnsi"/>
        </w:rPr>
      </w:pPr>
      <w:r w:rsidRPr="00F73EF8">
        <w:rPr>
          <w:rStyle w:val="Appelnotedebasdep"/>
          <w:rFonts w:cstheme="minorHAnsi"/>
        </w:rPr>
        <w:footnoteRef/>
      </w:r>
      <w:r w:rsidRPr="00F73EF8">
        <w:rPr>
          <w:rFonts w:cstheme="minorHAnsi"/>
        </w:rPr>
        <w:t xml:space="preserve"> Cass., 10 juin 1954, </w:t>
      </w:r>
      <w:r w:rsidRPr="00F73EF8">
        <w:rPr>
          <w:rFonts w:cstheme="minorHAnsi"/>
          <w:i/>
        </w:rPr>
        <w:t>J.T.</w:t>
      </w:r>
      <w:r w:rsidRPr="00F73EF8">
        <w:rPr>
          <w:rFonts w:cstheme="minorHAnsi"/>
        </w:rPr>
        <w:t xml:space="preserve">, 1954, p. 859 ; Cass., 19 mars 1971, </w:t>
      </w:r>
      <w:r w:rsidRPr="00F73EF8">
        <w:rPr>
          <w:rFonts w:cstheme="minorHAnsi"/>
          <w:i/>
        </w:rPr>
        <w:t>Pas.</w:t>
      </w:r>
      <w:r w:rsidRPr="00F73EF8">
        <w:rPr>
          <w:rFonts w:cstheme="minorHAnsi"/>
        </w:rPr>
        <w:t xml:space="preserve">, 1971, I, 670. </w:t>
      </w:r>
    </w:p>
  </w:footnote>
  <w:footnote w:id="53">
    <w:p w14:paraId="31A1C34A" w14:textId="77777777" w:rsidR="00344520" w:rsidRPr="00F73EF8" w:rsidRDefault="00344520" w:rsidP="00A1118C">
      <w:pPr>
        <w:pStyle w:val="Notedebasdepage"/>
        <w:rPr>
          <w:rFonts w:cstheme="minorHAnsi"/>
        </w:rPr>
      </w:pPr>
      <w:r w:rsidRPr="00F73EF8">
        <w:rPr>
          <w:rStyle w:val="Appelnotedebasdep"/>
          <w:rFonts w:cstheme="minorHAnsi"/>
        </w:rPr>
        <w:footnoteRef/>
      </w:r>
      <w:r w:rsidRPr="00F73EF8">
        <w:rPr>
          <w:rFonts w:cstheme="minorHAnsi"/>
        </w:rPr>
        <w:t xml:space="preserve"> W. </w:t>
      </w:r>
      <w:r w:rsidRPr="00F73EF8">
        <w:rPr>
          <w:rFonts w:cstheme="minorHAnsi"/>
          <w:smallCaps/>
        </w:rPr>
        <w:t>Paternostre</w:t>
      </w:r>
      <w:r w:rsidRPr="00F73EF8">
        <w:rPr>
          <w:rFonts w:cstheme="minorHAnsi"/>
        </w:rPr>
        <w:t xml:space="preserve">, </w:t>
      </w:r>
      <w:r w:rsidRPr="00F73EF8">
        <w:rPr>
          <w:rFonts w:cstheme="minorHAnsi"/>
          <w:i/>
        </w:rPr>
        <w:t>op. cit.</w:t>
      </w:r>
      <w:r w:rsidRPr="00F73EF8">
        <w:rPr>
          <w:rFonts w:cstheme="minorHAnsi"/>
        </w:rPr>
        <w:t xml:space="preserve">, pp. 72-73, n° 40 ; A. </w:t>
      </w:r>
      <w:r w:rsidRPr="00F73EF8">
        <w:rPr>
          <w:rFonts w:cstheme="minorHAnsi"/>
          <w:smallCaps/>
        </w:rPr>
        <w:t>Limpens</w:t>
      </w:r>
      <w:r w:rsidRPr="00F73EF8">
        <w:rPr>
          <w:rFonts w:cstheme="minorHAnsi"/>
        </w:rPr>
        <w:t xml:space="preserve">, </w:t>
      </w:r>
      <w:r w:rsidRPr="00F73EF8">
        <w:rPr>
          <w:rFonts w:cstheme="minorHAnsi"/>
          <w:i/>
        </w:rPr>
        <w:t>op. cit.</w:t>
      </w:r>
      <w:r w:rsidRPr="00F73EF8">
        <w:rPr>
          <w:rFonts w:cstheme="minorHAnsi"/>
        </w:rPr>
        <w:t>, p. 553, n° 5.</w:t>
      </w:r>
    </w:p>
  </w:footnote>
  <w:footnote w:id="54">
    <w:p w14:paraId="25CDB31E" w14:textId="40664A06" w:rsidR="00344520" w:rsidRPr="00F73EF8" w:rsidRDefault="00344520" w:rsidP="00A1118C">
      <w:pPr>
        <w:pStyle w:val="Notedebasdepage"/>
        <w:rPr>
          <w:rFonts w:cstheme="minorHAnsi"/>
        </w:rPr>
      </w:pPr>
      <w:r w:rsidRPr="00F73EF8">
        <w:rPr>
          <w:rStyle w:val="Appelnotedebasdep"/>
          <w:rFonts w:cstheme="minorHAnsi"/>
        </w:rPr>
        <w:footnoteRef/>
      </w:r>
      <w:r w:rsidRPr="00F73EF8">
        <w:rPr>
          <w:rFonts w:cstheme="minorHAnsi"/>
        </w:rPr>
        <w:t xml:space="preserve"> M. </w:t>
      </w:r>
      <w:r w:rsidRPr="00F73EF8">
        <w:rPr>
          <w:rFonts w:cstheme="minorHAnsi"/>
          <w:smallCaps/>
        </w:rPr>
        <w:t>La Haye</w:t>
      </w:r>
      <w:r w:rsidRPr="00F73EF8">
        <w:rPr>
          <w:rFonts w:cstheme="minorHAnsi"/>
        </w:rPr>
        <w:t xml:space="preserve"> et J. </w:t>
      </w:r>
      <w:r w:rsidRPr="00F73EF8">
        <w:rPr>
          <w:rFonts w:cstheme="minorHAnsi"/>
          <w:smallCaps/>
        </w:rPr>
        <w:t>Vankerckhove</w:t>
      </w:r>
      <w:r w:rsidRPr="00F73EF8">
        <w:rPr>
          <w:rFonts w:cstheme="minorHAnsi"/>
        </w:rPr>
        <w:t xml:space="preserve">, </w:t>
      </w:r>
      <w:r w:rsidRPr="00F73EF8">
        <w:rPr>
          <w:rFonts w:cstheme="minorHAnsi"/>
          <w:i/>
        </w:rPr>
        <w:t>op. cit.</w:t>
      </w:r>
      <w:r w:rsidRPr="00F73EF8">
        <w:rPr>
          <w:rFonts w:cstheme="minorHAnsi"/>
        </w:rPr>
        <w:t xml:space="preserve">, n° 1373. Il a ainsi été reconnu que la solidarité mise à charge du preneur originaire en cas de cession du bail commercial ou de sous-location prévue par l’article 11, III n’était pas de nature impérative, même si la loi n’autorise pas expressément qu’on y déroge (Rapport fait au nom de la Commission des Affaires Economiques et des Classes Moyennes par M. Humblet, </w:t>
      </w:r>
      <w:r w:rsidRPr="00F73EF8">
        <w:rPr>
          <w:rFonts w:cstheme="minorHAnsi"/>
          <w:i/>
        </w:rPr>
        <w:t>Doc. Parl. Ch.</w:t>
      </w:r>
      <w:r w:rsidRPr="00F73EF8">
        <w:rPr>
          <w:rFonts w:cstheme="minorHAnsi"/>
        </w:rPr>
        <w:t>, sess. ord. 1947-1948, séance du 19 novembre 1947, n° 20, p. 26).</w:t>
      </w:r>
    </w:p>
  </w:footnote>
  <w:footnote w:id="55">
    <w:p w14:paraId="5F5D5971" w14:textId="412F44F7" w:rsidR="00344520" w:rsidRPr="00F73EF8" w:rsidRDefault="00344520" w:rsidP="00A1118C">
      <w:pPr>
        <w:pStyle w:val="Notedebasdepage"/>
        <w:rPr>
          <w:rFonts w:cstheme="minorHAnsi"/>
        </w:rPr>
      </w:pPr>
      <w:r w:rsidRPr="00F73EF8">
        <w:rPr>
          <w:rStyle w:val="Appelnotedebasdep"/>
          <w:rFonts w:cstheme="minorHAnsi"/>
        </w:rPr>
        <w:footnoteRef/>
      </w:r>
      <w:r w:rsidRPr="00F73EF8">
        <w:rPr>
          <w:rFonts w:cstheme="minorHAnsi"/>
        </w:rPr>
        <w:t xml:space="preserve"> « En ses dispositions essentielles, à la base même de la protection quelle organise, [la loi] s’applique par voie d’autorité » (M. </w:t>
      </w:r>
      <w:r w:rsidRPr="00F73EF8">
        <w:rPr>
          <w:rFonts w:cstheme="minorHAnsi"/>
          <w:smallCaps/>
        </w:rPr>
        <w:t>La</w:t>
      </w:r>
      <w:r w:rsidRPr="00F73EF8">
        <w:rPr>
          <w:rFonts w:cstheme="minorHAnsi"/>
        </w:rPr>
        <w:t xml:space="preserve"> </w:t>
      </w:r>
      <w:r w:rsidRPr="00F73EF8">
        <w:rPr>
          <w:rFonts w:cstheme="minorHAnsi"/>
          <w:smallCaps/>
        </w:rPr>
        <w:t>Haye</w:t>
      </w:r>
      <w:r w:rsidRPr="00F73EF8">
        <w:rPr>
          <w:rFonts w:cstheme="minorHAnsi"/>
        </w:rPr>
        <w:t xml:space="preserve"> et J. </w:t>
      </w:r>
      <w:r w:rsidRPr="00F73EF8">
        <w:rPr>
          <w:rFonts w:cstheme="minorHAnsi"/>
          <w:smallCaps/>
        </w:rPr>
        <w:t>Vankerckhove</w:t>
      </w:r>
      <w:r w:rsidRPr="00F73EF8">
        <w:rPr>
          <w:rFonts w:cstheme="minorHAnsi"/>
        </w:rPr>
        <w:t xml:space="preserve">, </w:t>
      </w:r>
      <w:r w:rsidRPr="00F73EF8">
        <w:rPr>
          <w:rFonts w:cstheme="minorHAnsi"/>
          <w:i/>
        </w:rPr>
        <w:t>op. cit.</w:t>
      </w:r>
      <w:r w:rsidRPr="00F73EF8">
        <w:rPr>
          <w:rFonts w:cstheme="minorHAnsi"/>
        </w:rPr>
        <w:t>, n° 1373).</w:t>
      </w:r>
    </w:p>
  </w:footnote>
  <w:footnote w:id="56">
    <w:p w14:paraId="1B3D3233" w14:textId="77777777" w:rsidR="00344520" w:rsidRPr="00F73EF8" w:rsidRDefault="00344520" w:rsidP="00A1118C">
      <w:pPr>
        <w:pStyle w:val="Notedebasdepage"/>
        <w:rPr>
          <w:rFonts w:cstheme="minorHAnsi"/>
        </w:rPr>
      </w:pPr>
      <w:r w:rsidRPr="00F73EF8">
        <w:rPr>
          <w:rStyle w:val="Appelnotedebasdep"/>
          <w:rFonts w:cstheme="minorHAnsi"/>
        </w:rPr>
        <w:footnoteRef/>
      </w:r>
      <w:r w:rsidRPr="00F73EF8">
        <w:rPr>
          <w:rFonts w:cstheme="minorHAnsi"/>
        </w:rPr>
        <w:t xml:space="preserve"> W. </w:t>
      </w:r>
      <w:r w:rsidRPr="00F73EF8">
        <w:rPr>
          <w:rFonts w:cstheme="minorHAnsi"/>
          <w:smallCaps/>
        </w:rPr>
        <w:t>Paternostre</w:t>
      </w:r>
      <w:r w:rsidRPr="00F73EF8">
        <w:rPr>
          <w:rFonts w:cstheme="minorHAnsi"/>
        </w:rPr>
        <w:t xml:space="preserve">, </w:t>
      </w:r>
      <w:r w:rsidRPr="00F73EF8">
        <w:rPr>
          <w:rFonts w:cstheme="minorHAnsi"/>
          <w:i/>
        </w:rPr>
        <w:t>op. cit.</w:t>
      </w:r>
      <w:r w:rsidRPr="00F73EF8">
        <w:rPr>
          <w:rFonts w:cstheme="minorHAnsi"/>
        </w:rPr>
        <w:t>, p. 63, n° 37.</w:t>
      </w:r>
    </w:p>
  </w:footnote>
  <w:footnote w:id="57">
    <w:p w14:paraId="55887142" w14:textId="77777777" w:rsidR="00344520" w:rsidRPr="00F73EF8" w:rsidRDefault="00344520" w:rsidP="00A1118C">
      <w:pPr>
        <w:pStyle w:val="Notedebasdepage"/>
        <w:rPr>
          <w:rFonts w:cstheme="minorHAnsi"/>
        </w:rPr>
      </w:pPr>
      <w:r w:rsidRPr="00F73EF8">
        <w:rPr>
          <w:rStyle w:val="Appelnotedebasdep"/>
          <w:rFonts w:cstheme="minorHAnsi"/>
        </w:rPr>
        <w:footnoteRef/>
      </w:r>
      <w:r w:rsidRPr="00F73EF8">
        <w:rPr>
          <w:rFonts w:cstheme="minorHAnsi"/>
        </w:rPr>
        <w:t xml:space="preserve"> C’est notamment le cas de l’article 14, alinéa 1</w:t>
      </w:r>
      <w:r w:rsidRPr="00F73EF8">
        <w:rPr>
          <w:rFonts w:cstheme="minorHAnsi"/>
          <w:vertAlign w:val="superscript"/>
        </w:rPr>
        <w:t>er</w:t>
      </w:r>
      <w:r w:rsidRPr="00F73EF8">
        <w:rPr>
          <w:rFonts w:cstheme="minorHAnsi"/>
        </w:rPr>
        <w:t xml:space="preserve"> de la loi fixant les formalités de la demande de renouvellement (Cass., 19 juin 1992, </w:t>
      </w:r>
      <w:r w:rsidRPr="00F73EF8">
        <w:rPr>
          <w:rFonts w:cstheme="minorHAnsi"/>
          <w:i/>
        </w:rPr>
        <w:t>Pas.</w:t>
      </w:r>
      <w:r w:rsidRPr="00F73EF8">
        <w:rPr>
          <w:rFonts w:cstheme="minorHAnsi"/>
        </w:rPr>
        <w:t>, 1992, I, p. 928).</w:t>
      </w:r>
    </w:p>
  </w:footnote>
  <w:footnote w:id="58">
    <w:p w14:paraId="6E6DD800" w14:textId="77777777" w:rsidR="00344520" w:rsidRPr="00F73EF8" w:rsidRDefault="00344520" w:rsidP="00A1118C">
      <w:pPr>
        <w:pStyle w:val="Notedebasdepage"/>
        <w:rPr>
          <w:rFonts w:cstheme="minorHAnsi"/>
        </w:rPr>
      </w:pPr>
      <w:r w:rsidRPr="00F73EF8">
        <w:rPr>
          <w:rStyle w:val="Appelnotedebasdep"/>
          <w:rFonts w:cstheme="minorHAnsi"/>
        </w:rPr>
        <w:footnoteRef/>
      </w:r>
      <w:r w:rsidRPr="00F73EF8">
        <w:rPr>
          <w:rFonts w:cstheme="minorHAnsi"/>
        </w:rPr>
        <w:t xml:space="preserve"> C’est ainsi notamment le cas de l’article 6 ouvrant le droit à la révision triennale du loyer (</w:t>
      </w:r>
      <w:r w:rsidRPr="00F73EF8">
        <w:rPr>
          <w:rFonts w:cstheme="minorHAnsi"/>
          <w:smallCaps/>
        </w:rPr>
        <w:t>H. De Page</w:t>
      </w:r>
      <w:r w:rsidRPr="00F73EF8">
        <w:rPr>
          <w:rFonts w:cstheme="minorHAnsi"/>
        </w:rPr>
        <w:t xml:space="preserve">, </w:t>
      </w:r>
      <w:r w:rsidRPr="00F73EF8">
        <w:rPr>
          <w:rFonts w:cstheme="minorHAnsi"/>
          <w:i/>
        </w:rPr>
        <w:t>op. cit.</w:t>
      </w:r>
      <w:r w:rsidRPr="00F73EF8">
        <w:rPr>
          <w:rFonts w:cstheme="minorHAnsi"/>
        </w:rPr>
        <w:t>, p. 834, n°782D). </w:t>
      </w:r>
    </w:p>
  </w:footnote>
  <w:footnote w:id="59">
    <w:p w14:paraId="36388A4E" w14:textId="77777777" w:rsidR="00344520" w:rsidRPr="00F73EF8" w:rsidRDefault="00344520" w:rsidP="006403EF">
      <w:pPr>
        <w:pStyle w:val="Notedebasdepage"/>
        <w:rPr>
          <w:rFonts w:cstheme="minorHAnsi"/>
        </w:rPr>
      </w:pPr>
      <w:r w:rsidRPr="00F73EF8">
        <w:rPr>
          <w:rStyle w:val="Appelnotedebasdep"/>
          <w:rFonts w:cstheme="minorHAnsi"/>
        </w:rPr>
        <w:footnoteRef/>
      </w:r>
      <w:r w:rsidRPr="00F73EF8">
        <w:rPr>
          <w:rFonts w:cstheme="minorHAnsi"/>
        </w:rPr>
        <w:t xml:space="preserve"> Voyez l’article 9 (« sauf convention contraire »).</w:t>
      </w:r>
    </w:p>
  </w:footnote>
  <w:footnote w:id="60">
    <w:p w14:paraId="321E927A" w14:textId="77777777" w:rsidR="00344520" w:rsidRPr="00F73EF8" w:rsidRDefault="00344520" w:rsidP="006403EF">
      <w:pPr>
        <w:pStyle w:val="Notedebasdepage"/>
        <w:rPr>
          <w:rFonts w:cstheme="minorHAnsi"/>
        </w:rPr>
      </w:pPr>
      <w:r w:rsidRPr="00F73EF8">
        <w:rPr>
          <w:rStyle w:val="Appelnotedebasdep"/>
          <w:rFonts w:cstheme="minorHAnsi"/>
        </w:rPr>
        <w:footnoteRef/>
      </w:r>
      <w:r w:rsidRPr="00F73EF8">
        <w:rPr>
          <w:rFonts w:cstheme="minorHAnsi"/>
        </w:rPr>
        <w:t xml:space="preserve"> Voyez l’article 3, alinéa 4 (« à condition que leur accord soit constaté par acte authentique ou par une déclaration faite devant le juge »), et l’article 13, alinéa 1 (« sauf accord des parties constaté par un acte authentique ou par une déclaration faite devant le juge »).</w:t>
      </w:r>
    </w:p>
  </w:footnote>
  <w:footnote w:id="61">
    <w:p w14:paraId="59E61861" w14:textId="77777777" w:rsidR="00344520" w:rsidRPr="00F73EF8" w:rsidRDefault="00344520" w:rsidP="006403EF">
      <w:pPr>
        <w:pStyle w:val="Notedebasdepage"/>
        <w:rPr>
          <w:rFonts w:cstheme="minorHAnsi"/>
        </w:rPr>
      </w:pPr>
      <w:r w:rsidRPr="00F73EF8">
        <w:rPr>
          <w:rStyle w:val="Appelnotedebasdep"/>
          <w:rFonts w:cstheme="minorHAnsi"/>
        </w:rPr>
        <w:footnoteRef/>
      </w:r>
      <w:r w:rsidRPr="00F73EF8">
        <w:rPr>
          <w:rFonts w:cstheme="minorHAnsi"/>
        </w:rPr>
        <w:t xml:space="preserve"> W. </w:t>
      </w:r>
      <w:r w:rsidRPr="00F73EF8">
        <w:rPr>
          <w:rFonts w:cstheme="minorHAnsi"/>
          <w:smallCaps/>
          <w:lang w:val="en-US"/>
        </w:rPr>
        <w:t>Paternostre</w:t>
      </w:r>
      <w:r w:rsidRPr="00F73EF8">
        <w:rPr>
          <w:rFonts w:cstheme="minorHAnsi"/>
        </w:rPr>
        <w:t xml:space="preserve">, </w:t>
      </w:r>
      <w:r w:rsidRPr="00F73EF8">
        <w:rPr>
          <w:rFonts w:cstheme="minorHAnsi"/>
          <w:i/>
        </w:rPr>
        <w:t>op. cit.</w:t>
      </w:r>
      <w:r w:rsidRPr="00F73EF8">
        <w:rPr>
          <w:rFonts w:cstheme="minorHAnsi"/>
        </w:rPr>
        <w:t xml:space="preserve">, p. 63, n° 38 ; A. </w:t>
      </w:r>
      <w:r w:rsidRPr="00F73EF8">
        <w:rPr>
          <w:rFonts w:cstheme="minorHAnsi"/>
          <w:smallCaps/>
          <w:lang w:val="en-US"/>
        </w:rPr>
        <w:t>Limpens</w:t>
      </w:r>
      <w:r w:rsidRPr="00F73EF8">
        <w:rPr>
          <w:rFonts w:cstheme="minorHAnsi"/>
        </w:rPr>
        <w:t>, « Loi du 30 avril 1951, article 25, alinéa final : portée de son caractère impératif », note sous Cass. (1</w:t>
      </w:r>
      <w:r w:rsidRPr="00F73EF8">
        <w:rPr>
          <w:rFonts w:cstheme="minorHAnsi"/>
          <w:vertAlign w:val="superscript"/>
        </w:rPr>
        <w:t>ère</w:t>
      </w:r>
      <w:r w:rsidRPr="00F73EF8">
        <w:rPr>
          <w:rFonts w:cstheme="minorHAnsi"/>
        </w:rPr>
        <w:t xml:space="preserve"> chambre), </w:t>
      </w:r>
      <w:r w:rsidRPr="00F73EF8">
        <w:rPr>
          <w:rFonts w:cstheme="minorHAnsi"/>
          <w:i/>
        </w:rPr>
        <w:t>R.C.J.B.</w:t>
      </w:r>
      <w:r w:rsidRPr="00F73EF8">
        <w:rPr>
          <w:rFonts w:cstheme="minorHAnsi"/>
        </w:rPr>
        <w:t>, 2003, p. 553, n° 5.</w:t>
      </w:r>
    </w:p>
  </w:footnote>
  <w:footnote w:id="62">
    <w:p w14:paraId="6B4214B5" w14:textId="77777777" w:rsidR="00344520" w:rsidRPr="00F73EF8" w:rsidRDefault="00344520" w:rsidP="006403EF">
      <w:pPr>
        <w:pStyle w:val="Notedebasdepage"/>
        <w:rPr>
          <w:rFonts w:cstheme="minorHAnsi"/>
        </w:rPr>
      </w:pPr>
      <w:r w:rsidRPr="00F73EF8">
        <w:rPr>
          <w:rStyle w:val="Appelnotedebasdep"/>
          <w:rFonts w:cstheme="minorHAnsi"/>
        </w:rPr>
        <w:footnoteRef/>
      </w:r>
      <w:r w:rsidRPr="00F73EF8">
        <w:rPr>
          <w:rFonts w:cstheme="minorHAnsi"/>
        </w:rPr>
        <w:t xml:space="preserve"> Voyez l’article 25 (« sauf accord des parties survenant après l’ouverture de ce droit »), l’article 29 (« nonobstant toute convention contraire, antérieure à la naissance du litige »).</w:t>
      </w:r>
    </w:p>
  </w:footnote>
  <w:footnote w:id="63">
    <w:p w14:paraId="7DB534F7" w14:textId="40103CF6" w:rsidR="00344520" w:rsidRPr="00F73EF8" w:rsidRDefault="00344520" w:rsidP="00F22435">
      <w:pPr>
        <w:pStyle w:val="Notedebasdepage"/>
        <w:rPr>
          <w:rFonts w:cstheme="minorHAnsi"/>
        </w:rPr>
      </w:pPr>
      <w:r w:rsidRPr="00F73EF8">
        <w:rPr>
          <w:rStyle w:val="Appelnotedebasdep"/>
          <w:rFonts w:cstheme="minorHAnsi"/>
        </w:rPr>
        <w:footnoteRef/>
      </w:r>
      <w:r w:rsidRPr="00F73EF8">
        <w:rPr>
          <w:rFonts w:cstheme="minorHAnsi"/>
          <w:lang w:val="en-US"/>
        </w:rPr>
        <w:t xml:space="preserve"> C. </w:t>
      </w:r>
      <w:r w:rsidRPr="00F73EF8">
        <w:rPr>
          <w:rFonts w:cstheme="minorHAnsi"/>
          <w:smallCaps/>
          <w:lang w:val="en-US"/>
        </w:rPr>
        <w:t>Delforge</w:t>
      </w:r>
      <w:r w:rsidRPr="00F73EF8">
        <w:rPr>
          <w:rFonts w:cstheme="minorHAnsi"/>
          <w:lang w:val="en-US"/>
        </w:rPr>
        <w:t xml:space="preserve"> et Y. </w:t>
      </w:r>
      <w:r w:rsidRPr="00F73EF8">
        <w:rPr>
          <w:rFonts w:cstheme="minorHAnsi"/>
          <w:smallCaps/>
          <w:lang w:val="en-US"/>
        </w:rPr>
        <w:t>Ninane</w:t>
      </w:r>
      <w:r w:rsidRPr="00F73EF8">
        <w:rPr>
          <w:rFonts w:cstheme="minorHAnsi"/>
          <w:lang w:val="en-US"/>
        </w:rPr>
        <w:t xml:space="preserve">, </w:t>
      </w:r>
      <w:r w:rsidRPr="00F73EF8">
        <w:rPr>
          <w:rFonts w:cstheme="minorHAnsi"/>
          <w:i/>
          <w:lang w:val="en-US"/>
        </w:rPr>
        <w:t>op. cit.</w:t>
      </w:r>
      <w:r w:rsidRPr="00F73EF8">
        <w:rPr>
          <w:rFonts w:cstheme="minorHAnsi"/>
          <w:lang w:val="en-US"/>
        </w:rPr>
        <w:t>, p. 56, n° 8.</w:t>
      </w:r>
    </w:p>
  </w:footnote>
  <w:footnote w:id="64">
    <w:p w14:paraId="2E2FDC51" w14:textId="77777777" w:rsidR="00344520" w:rsidRPr="00F73EF8" w:rsidRDefault="00344520" w:rsidP="00F22435">
      <w:pPr>
        <w:pStyle w:val="Notedebasdepage"/>
        <w:rPr>
          <w:rFonts w:cstheme="minorHAnsi"/>
        </w:rPr>
      </w:pPr>
      <w:r w:rsidRPr="00F73EF8">
        <w:rPr>
          <w:rStyle w:val="Appelnotedebasdep"/>
          <w:rFonts w:cstheme="minorHAnsi"/>
        </w:rPr>
        <w:footnoteRef/>
      </w:r>
      <w:r w:rsidRPr="00F73EF8">
        <w:rPr>
          <w:rFonts w:cstheme="minorHAnsi"/>
        </w:rPr>
        <w:t xml:space="preserve"> W. </w:t>
      </w:r>
      <w:r w:rsidRPr="00F73EF8">
        <w:rPr>
          <w:rFonts w:cstheme="minorHAnsi"/>
          <w:smallCaps/>
          <w:lang w:val="en-US"/>
        </w:rPr>
        <w:t>Paternostre</w:t>
      </w:r>
      <w:r w:rsidRPr="00F73EF8">
        <w:rPr>
          <w:rFonts w:cstheme="minorHAnsi"/>
        </w:rPr>
        <w:t xml:space="preserve">, </w:t>
      </w:r>
      <w:r w:rsidRPr="00F73EF8">
        <w:rPr>
          <w:rFonts w:cstheme="minorHAnsi"/>
          <w:i/>
        </w:rPr>
        <w:t>op. cit.</w:t>
      </w:r>
      <w:r w:rsidRPr="00F73EF8">
        <w:rPr>
          <w:rFonts w:cstheme="minorHAnsi"/>
        </w:rPr>
        <w:t xml:space="preserve">, p. 31, n° 2, et p. 51, n° 26 ; Rapport fait au nom de la Commission des Affaires Economiques et des Classes Moyennes par M. Humblet, </w:t>
      </w:r>
      <w:r w:rsidRPr="00F73EF8">
        <w:rPr>
          <w:rFonts w:cstheme="minorHAnsi"/>
          <w:i/>
        </w:rPr>
        <w:t>Doc. Parl. Ch.</w:t>
      </w:r>
      <w:r w:rsidRPr="00F73EF8">
        <w:rPr>
          <w:rFonts w:cstheme="minorHAnsi"/>
        </w:rPr>
        <w:t>, sess. ord. 1947-1948, séance du 19 novembre 1947, n° 20, p. 4.</w:t>
      </w:r>
    </w:p>
  </w:footnote>
  <w:footnote w:id="65">
    <w:p w14:paraId="7D23D2DC" w14:textId="2E514951" w:rsidR="00344520" w:rsidRPr="00F73EF8" w:rsidRDefault="00344520" w:rsidP="00F22435">
      <w:pPr>
        <w:pStyle w:val="Notedebasdepage"/>
        <w:rPr>
          <w:rFonts w:cstheme="minorHAnsi"/>
        </w:rPr>
      </w:pPr>
      <w:r w:rsidRPr="00F73EF8">
        <w:rPr>
          <w:rStyle w:val="Appelnotedebasdep"/>
          <w:rFonts w:cstheme="minorHAnsi"/>
        </w:rPr>
        <w:footnoteRef/>
      </w:r>
      <w:r w:rsidRPr="00F73EF8">
        <w:rPr>
          <w:rFonts w:cstheme="minorHAnsi"/>
        </w:rPr>
        <w:t xml:space="preserve"> Voyez le Rapport des Commissions réunies de la Justice et des Affaires Economiques chargées d’examiner le projet de loi sur la protection du Fonds de Commerce, </w:t>
      </w:r>
      <w:r w:rsidRPr="00F73EF8">
        <w:rPr>
          <w:rFonts w:cstheme="minorHAnsi"/>
          <w:i/>
        </w:rPr>
        <w:t>Doc. Parl. Sénat</w:t>
      </w:r>
      <w:r w:rsidRPr="00F73EF8">
        <w:rPr>
          <w:rFonts w:cstheme="minorHAnsi"/>
        </w:rPr>
        <w:t>, sess. ord. 1948-1949, séance du 19 mai 1949, n° 384, p. 2 qui précise qu’il paraît « impossible, d’une impossibilité radicale de permettre au commerçant, à l’artisan, à l’industriel, d’attendre un rendement raisonnable du fruit de leur effort professionnel si on ne les assure pas d’une certaine stabilité dans l’occupation de l’immeuble où ils exercent leur métier ».</w:t>
      </w:r>
    </w:p>
  </w:footnote>
  <w:footnote w:id="66">
    <w:p w14:paraId="625D2E0B" w14:textId="77777777" w:rsidR="00344520" w:rsidRPr="00F73EF8" w:rsidRDefault="00344520" w:rsidP="00F22435">
      <w:pPr>
        <w:pStyle w:val="Notedebasdepage"/>
        <w:rPr>
          <w:rFonts w:cstheme="minorHAnsi"/>
        </w:rPr>
      </w:pPr>
      <w:r w:rsidRPr="00F73EF8">
        <w:rPr>
          <w:rStyle w:val="Appelnotedebasdep"/>
          <w:rFonts w:cstheme="minorHAnsi"/>
        </w:rPr>
        <w:footnoteRef/>
      </w:r>
      <w:r w:rsidRPr="00F73EF8">
        <w:rPr>
          <w:rFonts w:cstheme="minorHAnsi"/>
        </w:rPr>
        <w:t xml:space="preserve"> Rapport complémentaire des Commissions réunies de la Justice et des Affaires Economiques et des Classes Moyennes chargées d’examiner le projet de loi sur la protection du Fonds de Commerce, </w:t>
      </w:r>
      <w:r w:rsidRPr="00F73EF8">
        <w:rPr>
          <w:rFonts w:cstheme="minorHAnsi"/>
          <w:i/>
        </w:rPr>
        <w:t>Doc. Parl. Sénat</w:t>
      </w:r>
      <w:r w:rsidRPr="00F73EF8">
        <w:rPr>
          <w:rFonts w:cstheme="minorHAnsi"/>
        </w:rPr>
        <w:t>, sess. ord. 1949-1950, séance du 6 décembre 1949, n° 36, p. 3.</w:t>
      </w:r>
    </w:p>
  </w:footnote>
  <w:footnote w:id="67">
    <w:p w14:paraId="2BBC3A08" w14:textId="04B7FCAE" w:rsidR="00344520" w:rsidRPr="00F73EF8" w:rsidRDefault="00344520" w:rsidP="00F22435">
      <w:pPr>
        <w:pStyle w:val="Notedebasdepage"/>
        <w:rPr>
          <w:rFonts w:cstheme="minorHAnsi"/>
        </w:rPr>
      </w:pPr>
      <w:r w:rsidRPr="00F73EF8">
        <w:rPr>
          <w:rStyle w:val="Appelnotedebasdep"/>
          <w:rFonts w:cstheme="minorHAnsi"/>
        </w:rPr>
        <w:footnoteRef/>
      </w:r>
      <w:r w:rsidRPr="00F73EF8">
        <w:rPr>
          <w:rFonts w:cstheme="minorHAnsi"/>
        </w:rPr>
        <w:t xml:space="preserve"> </w:t>
      </w:r>
      <w:r w:rsidRPr="00F73EF8">
        <w:rPr>
          <w:rFonts w:cstheme="minorHAnsi"/>
          <w:i/>
        </w:rPr>
        <w:t>Ibidem</w:t>
      </w:r>
      <w:r w:rsidRPr="00F73EF8">
        <w:rPr>
          <w:rFonts w:cstheme="minorHAnsi"/>
        </w:rPr>
        <w:t xml:space="preserve"> ; voyez dans le même sens M. </w:t>
      </w:r>
      <w:r w:rsidRPr="00F73EF8">
        <w:rPr>
          <w:rFonts w:cstheme="minorHAnsi"/>
          <w:smallCaps/>
          <w:lang w:val="en-US"/>
        </w:rPr>
        <w:t>Dambre</w:t>
      </w:r>
      <w:r w:rsidRPr="00F73EF8">
        <w:rPr>
          <w:rFonts w:cstheme="minorHAnsi"/>
        </w:rPr>
        <w:t xml:space="preserve">, « De duur en de beeindiging in onderling akkoord of door opzegging van de handelshuur », in P. Jadoul et M. Vlies (dir.), </w:t>
      </w:r>
      <w:r w:rsidRPr="00F73EF8">
        <w:rPr>
          <w:rFonts w:cstheme="minorHAnsi"/>
          <w:i/>
        </w:rPr>
        <w:t>50 ans d’application de la loi sur les baux commerciaux. Actes du colloque du 21 mars 2002</w:t>
      </w:r>
      <w:r w:rsidRPr="00F73EF8">
        <w:rPr>
          <w:rFonts w:cstheme="minorHAnsi"/>
        </w:rPr>
        <w:t>, Conférence du Jeune Barreau de Bruxelles, Brugge, la Charte, 2002</w:t>
      </w:r>
      <w:r w:rsidRPr="00F73EF8">
        <w:rPr>
          <w:rFonts w:cstheme="minorHAnsi"/>
          <w:i/>
        </w:rPr>
        <w:t>,</w:t>
      </w:r>
      <w:r w:rsidRPr="00F73EF8">
        <w:rPr>
          <w:rFonts w:cstheme="minorHAnsi"/>
        </w:rPr>
        <w:t xml:space="preserve"> p. 33.</w:t>
      </w:r>
    </w:p>
  </w:footnote>
  <w:footnote w:id="68">
    <w:p w14:paraId="6F0B1D2B" w14:textId="6FA6869E" w:rsidR="00344520" w:rsidRPr="00F73EF8" w:rsidRDefault="00344520" w:rsidP="00F22435">
      <w:pPr>
        <w:pStyle w:val="Notedebasdepage"/>
        <w:rPr>
          <w:rFonts w:cstheme="minorHAnsi"/>
        </w:rPr>
      </w:pPr>
      <w:r w:rsidRPr="00F73EF8">
        <w:rPr>
          <w:rStyle w:val="Appelnotedebasdep"/>
          <w:rFonts w:cstheme="minorHAnsi"/>
        </w:rPr>
        <w:footnoteRef/>
      </w:r>
      <w:r w:rsidRPr="00F73EF8">
        <w:rPr>
          <w:rFonts w:cstheme="minorHAnsi"/>
        </w:rPr>
        <w:t xml:space="preserve"> A. </w:t>
      </w:r>
      <w:r w:rsidRPr="00F73EF8">
        <w:rPr>
          <w:rFonts w:cstheme="minorHAnsi"/>
          <w:smallCaps/>
          <w:lang w:val="en-US"/>
        </w:rPr>
        <w:t>Devreux</w:t>
      </w:r>
      <w:r w:rsidRPr="00F73EF8">
        <w:rPr>
          <w:rFonts w:cstheme="minorHAnsi"/>
        </w:rPr>
        <w:t xml:space="preserve">, « Durée du bail – Extinction du bail », in P. Jadoul (dir.) </w:t>
      </w:r>
      <w:r w:rsidRPr="00F73EF8">
        <w:rPr>
          <w:rFonts w:cstheme="minorHAnsi"/>
          <w:i/>
        </w:rPr>
        <w:t>Le bail commercial</w:t>
      </w:r>
      <w:r w:rsidRPr="00F73EF8">
        <w:rPr>
          <w:rFonts w:cstheme="minorHAnsi"/>
        </w:rPr>
        <w:t xml:space="preserve">, Bruxelles, Kluwer, 2003, p. 51 ; C. </w:t>
      </w:r>
      <w:r w:rsidRPr="00F73EF8">
        <w:rPr>
          <w:rFonts w:cstheme="minorHAnsi"/>
          <w:smallCaps/>
          <w:lang w:val="en-US"/>
        </w:rPr>
        <w:t>Delforge</w:t>
      </w:r>
      <w:r w:rsidRPr="00F73EF8">
        <w:rPr>
          <w:rFonts w:cstheme="minorHAnsi"/>
        </w:rPr>
        <w:t xml:space="preserve">, Y. </w:t>
      </w:r>
      <w:r w:rsidRPr="00F73EF8">
        <w:rPr>
          <w:rFonts w:cstheme="minorHAnsi"/>
          <w:smallCaps/>
          <w:lang w:val="en-US"/>
        </w:rPr>
        <w:t>Ninane</w:t>
      </w:r>
      <w:r w:rsidRPr="00F73EF8">
        <w:rPr>
          <w:rFonts w:cstheme="minorHAnsi"/>
        </w:rPr>
        <w:t xml:space="preserve">, </w:t>
      </w:r>
      <w:r w:rsidRPr="00F73EF8">
        <w:rPr>
          <w:rFonts w:cstheme="minorHAnsi"/>
          <w:i/>
        </w:rPr>
        <w:t>op. cit.</w:t>
      </w:r>
      <w:r w:rsidRPr="00F73EF8">
        <w:rPr>
          <w:rFonts w:cstheme="minorHAnsi"/>
        </w:rPr>
        <w:t xml:space="preserve">, p. 58, n° 11 ; M. </w:t>
      </w:r>
      <w:r w:rsidRPr="00F73EF8">
        <w:rPr>
          <w:rFonts w:cstheme="minorHAnsi"/>
          <w:smallCaps/>
          <w:lang w:val="en-US"/>
        </w:rPr>
        <w:t>Dambre</w:t>
      </w:r>
      <w:r w:rsidRPr="00F73EF8">
        <w:rPr>
          <w:rFonts w:cstheme="minorHAnsi"/>
        </w:rPr>
        <w:t xml:space="preserve">, </w:t>
      </w:r>
      <w:r w:rsidRPr="00F73EF8">
        <w:rPr>
          <w:rFonts w:cstheme="minorHAnsi"/>
          <w:i/>
        </w:rPr>
        <w:t>op. cit.</w:t>
      </w:r>
      <w:r w:rsidRPr="00F73EF8">
        <w:rPr>
          <w:rFonts w:cstheme="minorHAnsi"/>
        </w:rPr>
        <w:t xml:space="preserve">, </w:t>
      </w:r>
    </w:p>
  </w:footnote>
  <w:footnote w:id="69">
    <w:p w14:paraId="186AF9C7" w14:textId="62875E85" w:rsidR="00344520" w:rsidRPr="00F73EF8" w:rsidRDefault="00344520" w:rsidP="00F22435">
      <w:pPr>
        <w:pStyle w:val="Notedebasdepage"/>
        <w:rPr>
          <w:rFonts w:cstheme="minorHAnsi"/>
        </w:rPr>
      </w:pPr>
      <w:r w:rsidRPr="00F73EF8">
        <w:rPr>
          <w:rStyle w:val="Appelnotedebasdep"/>
          <w:rFonts w:cstheme="minorHAnsi"/>
        </w:rPr>
        <w:footnoteRef/>
      </w:r>
      <w:r w:rsidRPr="00F73EF8">
        <w:rPr>
          <w:rFonts w:cstheme="minorHAnsi"/>
        </w:rPr>
        <w:t xml:space="preserve"> M. </w:t>
      </w:r>
      <w:r w:rsidRPr="00F73EF8">
        <w:rPr>
          <w:rFonts w:cstheme="minorHAnsi"/>
          <w:smallCaps/>
          <w:lang w:val="en-US"/>
        </w:rPr>
        <w:t>Dambre</w:t>
      </w:r>
      <w:r w:rsidRPr="00F73EF8">
        <w:rPr>
          <w:rFonts w:cstheme="minorHAnsi"/>
        </w:rPr>
        <w:t xml:space="preserve">, </w:t>
      </w:r>
      <w:r w:rsidRPr="00F73EF8">
        <w:rPr>
          <w:rFonts w:cstheme="minorHAnsi"/>
          <w:i/>
        </w:rPr>
        <w:t>op. cit.</w:t>
      </w:r>
      <w:r w:rsidRPr="00F73EF8">
        <w:rPr>
          <w:rFonts w:cstheme="minorHAnsi"/>
        </w:rPr>
        <w:t xml:space="preserve">, p. 33 ; A. </w:t>
      </w:r>
      <w:r w:rsidRPr="00F73EF8">
        <w:rPr>
          <w:rFonts w:cstheme="minorHAnsi"/>
          <w:smallCaps/>
          <w:lang w:val="en-US"/>
        </w:rPr>
        <w:t>Devreux</w:t>
      </w:r>
      <w:r w:rsidRPr="00F73EF8">
        <w:rPr>
          <w:rFonts w:cstheme="minorHAnsi"/>
        </w:rPr>
        <w:t xml:space="preserve">, </w:t>
      </w:r>
      <w:r w:rsidRPr="00F73EF8">
        <w:rPr>
          <w:rFonts w:cstheme="minorHAnsi"/>
          <w:i/>
        </w:rPr>
        <w:t>Les baux commerciaux</w:t>
      </w:r>
      <w:r w:rsidRPr="00F73EF8">
        <w:rPr>
          <w:rFonts w:cstheme="minorHAnsi"/>
        </w:rPr>
        <w:t xml:space="preserve">, </w:t>
      </w:r>
      <w:r w:rsidRPr="00F73EF8">
        <w:rPr>
          <w:rFonts w:cstheme="minorHAnsi"/>
          <w:i/>
        </w:rPr>
        <w:t>op. cit.</w:t>
      </w:r>
      <w:r w:rsidRPr="00F73EF8">
        <w:rPr>
          <w:rFonts w:cstheme="minorHAnsi"/>
        </w:rPr>
        <w:t>, p. 29, n° 31.</w:t>
      </w:r>
    </w:p>
  </w:footnote>
  <w:footnote w:id="70">
    <w:p w14:paraId="379758F2" w14:textId="77777777" w:rsidR="00344520" w:rsidRPr="00F73EF8" w:rsidRDefault="00344520" w:rsidP="00F22435">
      <w:pPr>
        <w:pStyle w:val="Notedebasdepage"/>
        <w:rPr>
          <w:rFonts w:cstheme="minorHAnsi"/>
        </w:rPr>
      </w:pPr>
      <w:r w:rsidRPr="00F73EF8">
        <w:rPr>
          <w:rStyle w:val="Appelnotedebasdep"/>
          <w:rFonts w:cstheme="minorHAnsi"/>
        </w:rPr>
        <w:footnoteRef/>
      </w:r>
      <w:r w:rsidRPr="00F73EF8">
        <w:rPr>
          <w:rFonts w:cstheme="minorHAnsi"/>
        </w:rPr>
        <w:t xml:space="preserve"> Au contraire d’une clause qui prévoirait une durée supérieure à neuf ans qui serait, quant à elle, parfaitement valide dès lors qu’elle accorde au preneur une plus grande stabilité que le minimum fixé par la loi.</w:t>
      </w:r>
    </w:p>
  </w:footnote>
  <w:footnote w:id="71">
    <w:p w14:paraId="443C00C6" w14:textId="737B0200" w:rsidR="00344520" w:rsidRPr="00F73EF8" w:rsidRDefault="00344520" w:rsidP="00F22435">
      <w:pPr>
        <w:pStyle w:val="Notedebasdepage"/>
        <w:rPr>
          <w:rFonts w:cstheme="minorHAnsi"/>
        </w:rPr>
      </w:pPr>
      <w:r w:rsidRPr="00F73EF8">
        <w:rPr>
          <w:rStyle w:val="Appelnotedebasdep"/>
          <w:rFonts w:cstheme="minorHAnsi"/>
        </w:rPr>
        <w:footnoteRef/>
      </w:r>
      <w:r w:rsidRPr="00F73EF8">
        <w:rPr>
          <w:rFonts w:cstheme="minorHAnsi"/>
        </w:rPr>
        <w:t xml:space="preserve"> C. </w:t>
      </w:r>
      <w:r w:rsidRPr="00F73EF8">
        <w:rPr>
          <w:rFonts w:cstheme="minorHAnsi"/>
          <w:smallCaps/>
          <w:lang w:val="en-US"/>
        </w:rPr>
        <w:t>Delforge</w:t>
      </w:r>
      <w:r w:rsidRPr="00F73EF8">
        <w:rPr>
          <w:rFonts w:cstheme="minorHAnsi"/>
        </w:rPr>
        <w:t xml:space="preserve"> et Y. </w:t>
      </w:r>
      <w:r w:rsidRPr="00F73EF8">
        <w:rPr>
          <w:rFonts w:cstheme="minorHAnsi"/>
          <w:smallCaps/>
          <w:lang w:val="en-US"/>
        </w:rPr>
        <w:t>Ninane</w:t>
      </w:r>
      <w:r w:rsidRPr="00F73EF8">
        <w:rPr>
          <w:rFonts w:cstheme="minorHAnsi"/>
        </w:rPr>
        <w:t xml:space="preserve">, </w:t>
      </w:r>
      <w:r w:rsidRPr="00F73EF8">
        <w:rPr>
          <w:rFonts w:cstheme="minorHAnsi"/>
          <w:i/>
        </w:rPr>
        <w:t>op. cit.</w:t>
      </w:r>
      <w:r w:rsidRPr="00F73EF8">
        <w:rPr>
          <w:rFonts w:cstheme="minorHAnsi"/>
        </w:rPr>
        <w:t xml:space="preserve">, pp. 61-62, n° 14-15 ; A. </w:t>
      </w:r>
      <w:r w:rsidRPr="00F73EF8">
        <w:rPr>
          <w:rFonts w:cstheme="minorHAnsi"/>
          <w:smallCaps/>
          <w:lang w:val="en-US"/>
        </w:rPr>
        <w:t>Devreux</w:t>
      </w:r>
      <w:r w:rsidRPr="00F73EF8">
        <w:rPr>
          <w:rFonts w:cstheme="minorHAnsi"/>
        </w:rPr>
        <w:t xml:space="preserve">, « Durée du bail – Extinction du bail », </w:t>
      </w:r>
      <w:r w:rsidRPr="00F73EF8">
        <w:rPr>
          <w:rFonts w:cstheme="minorHAnsi"/>
          <w:i/>
        </w:rPr>
        <w:t>op. cit.</w:t>
      </w:r>
      <w:r w:rsidRPr="00F73EF8">
        <w:rPr>
          <w:rFonts w:cstheme="minorHAnsi"/>
        </w:rPr>
        <w:t>, p. 51.</w:t>
      </w:r>
    </w:p>
  </w:footnote>
  <w:footnote w:id="72">
    <w:p w14:paraId="4CF682FF" w14:textId="77777777" w:rsidR="00344520" w:rsidRPr="00F73EF8" w:rsidRDefault="00344520" w:rsidP="00F22435">
      <w:pPr>
        <w:pStyle w:val="Notedebasdepage"/>
        <w:rPr>
          <w:rFonts w:cstheme="minorHAnsi"/>
        </w:rPr>
      </w:pPr>
      <w:r w:rsidRPr="00F73EF8">
        <w:rPr>
          <w:rStyle w:val="Appelnotedebasdep"/>
          <w:rFonts w:cstheme="minorHAnsi"/>
        </w:rPr>
        <w:footnoteRef/>
      </w:r>
      <w:r w:rsidRPr="00F73EF8">
        <w:rPr>
          <w:rFonts w:cstheme="minorHAnsi"/>
        </w:rPr>
        <w:t xml:space="preserve"> </w:t>
      </w:r>
      <w:r w:rsidRPr="00F73EF8">
        <w:rPr>
          <w:rFonts w:cstheme="minorHAnsi"/>
          <w:i/>
        </w:rPr>
        <w:t>Ibidem</w:t>
      </w:r>
      <w:r w:rsidRPr="00F73EF8">
        <w:rPr>
          <w:rFonts w:cstheme="minorHAnsi"/>
        </w:rPr>
        <w:t xml:space="preserve"> ; Cass. 14 janvier 2008, </w:t>
      </w:r>
      <w:r w:rsidRPr="00F73EF8">
        <w:rPr>
          <w:rFonts w:cstheme="minorHAnsi"/>
          <w:i/>
        </w:rPr>
        <w:t>Pas.</w:t>
      </w:r>
      <w:r w:rsidRPr="00F73EF8">
        <w:rPr>
          <w:rFonts w:cstheme="minorHAnsi"/>
        </w:rPr>
        <w:t>, 2008, I, p. 85.</w:t>
      </w:r>
    </w:p>
  </w:footnote>
  <w:footnote w:id="73">
    <w:p w14:paraId="280C4D06" w14:textId="288B2402" w:rsidR="00344520" w:rsidRPr="00F73EF8" w:rsidRDefault="00344520" w:rsidP="00F22435">
      <w:pPr>
        <w:pStyle w:val="Notedebasdepage"/>
        <w:rPr>
          <w:rFonts w:cstheme="minorHAnsi"/>
        </w:rPr>
      </w:pPr>
      <w:r w:rsidRPr="00F73EF8">
        <w:rPr>
          <w:rStyle w:val="Appelnotedebasdep"/>
          <w:rFonts w:cstheme="minorHAnsi"/>
        </w:rPr>
        <w:footnoteRef/>
      </w:r>
      <w:r w:rsidRPr="00F73EF8">
        <w:rPr>
          <w:rFonts w:cstheme="minorHAnsi"/>
        </w:rPr>
        <w:t xml:space="preserve"> M. </w:t>
      </w:r>
      <w:r w:rsidRPr="00F73EF8">
        <w:rPr>
          <w:rFonts w:cstheme="minorHAnsi"/>
          <w:smallCaps/>
          <w:lang w:val="en-US"/>
        </w:rPr>
        <w:t>La</w:t>
      </w:r>
      <w:r w:rsidRPr="00F73EF8">
        <w:rPr>
          <w:rFonts w:cstheme="minorHAnsi"/>
        </w:rPr>
        <w:t xml:space="preserve"> </w:t>
      </w:r>
      <w:r w:rsidRPr="00F73EF8">
        <w:rPr>
          <w:rFonts w:cstheme="minorHAnsi"/>
          <w:smallCaps/>
          <w:lang w:val="en-US"/>
        </w:rPr>
        <w:t>Haye</w:t>
      </w:r>
      <w:r w:rsidRPr="00F73EF8">
        <w:rPr>
          <w:rFonts w:cstheme="minorHAnsi"/>
        </w:rPr>
        <w:t xml:space="preserve"> et J. </w:t>
      </w:r>
      <w:r w:rsidRPr="00F73EF8">
        <w:rPr>
          <w:rFonts w:cstheme="minorHAnsi"/>
          <w:smallCaps/>
          <w:lang w:val="en-US"/>
        </w:rPr>
        <w:t>Vankerckhove</w:t>
      </w:r>
      <w:r w:rsidRPr="00F73EF8">
        <w:rPr>
          <w:rFonts w:cstheme="minorHAnsi"/>
        </w:rPr>
        <w:t xml:space="preserve">, </w:t>
      </w:r>
      <w:r w:rsidRPr="00F73EF8">
        <w:rPr>
          <w:rFonts w:cstheme="minorHAnsi"/>
          <w:i/>
        </w:rPr>
        <w:t>op. cit.</w:t>
      </w:r>
      <w:r w:rsidRPr="00F73EF8">
        <w:rPr>
          <w:rFonts w:cstheme="minorHAnsi"/>
        </w:rPr>
        <w:t>,</w:t>
      </w:r>
      <w:r w:rsidRPr="00F73EF8">
        <w:rPr>
          <w:rFonts w:cstheme="minorHAnsi"/>
          <w:i/>
        </w:rPr>
        <w:t xml:space="preserve"> </w:t>
      </w:r>
      <w:r w:rsidRPr="00F73EF8">
        <w:rPr>
          <w:rFonts w:cstheme="minorHAnsi"/>
        </w:rPr>
        <w:t xml:space="preserve">p. 96, n° 1575 ; M. </w:t>
      </w:r>
      <w:r w:rsidRPr="00F73EF8">
        <w:rPr>
          <w:rFonts w:cstheme="minorHAnsi"/>
          <w:smallCaps/>
          <w:lang w:val="en-US"/>
        </w:rPr>
        <w:t>Dambre</w:t>
      </w:r>
      <w:r w:rsidRPr="00F73EF8">
        <w:rPr>
          <w:rFonts w:cstheme="minorHAnsi"/>
        </w:rPr>
        <w:t xml:space="preserve">, </w:t>
      </w:r>
      <w:r w:rsidRPr="00F73EF8">
        <w:rPr>
          <w:rFonts w:cstheme="minorHAnsi"/>
          <w:i/>
        </w:rPr>
        <w:t>op. cit.</w:t>
      </w:r>
      <w:r w:rsidRPr="00F73EF8">
        <w:rPr>
          <w:rFonts w:cstheme="minorHAnsi"/>
        </w:rPr>
        <w:t>, p. 34 ;.</w:t>
      </w:r>
    </w:p>
  </w:footnote>
  <w:footnote w:id="74">
    <w:p w14:paraId="453FAD81" w14:textId="77777777" w:rsidR="00344520" w:rsidRPr="00F73EF8" w:rsidRDefault="00344520" w:rsidP="00F22435">
      <w:pPr>
        <w:pStyle w:val="Notedebasdepage"/>
        <w:rPr>
          <w:rFonts w:cstheme="minorHAnsi"/>
        </w:rPr>
      </w:pPr>
      <w:r w:rsidRPr="00F73EF8">
        <w:rPr>
          <w:rStyle w:val="Appelnotedebasdep"/>
          <w:rFonts w:cstheme="minorHAnsi"/>
        </w:rPr>
        <w:footnoteRef/>
      </w:r>
      <w:r w:rsidRPr="00F73EF8">
        <w:rPr>
          <w:rFonts w:cstheme="minorHAnsi"/>
        </w:rPr>
        <w:t xml:space="preserve"> Voyez le Rapport des commissions réunies de de la Justice et des Affaires Economiques chargées d’examiner le projet de loi sur la protection du fonds de commerce, </w:t>
      </w:r>
      <w:r w:rsidRPr="00F73EF8">
        <w:rPr>
          <w:rFonts w:cstheme="minorHAnsi"/>
          <w:i/>
        </w:rPr>
        <w:t>Doc. Parl. Sénat</w:t>
      </w:r>
      <w:r w:rsidRPr="00F73EF8">
        <w:rPr>
          <w:rFonts w:cstheme="minorHAnsi"/>
        </w:rPr>
        <w:t xml:space="preserve">, sess. ord., 1948-1949, séance du 19 mai 1949, n° 384, p. 4 qui précise que « cette disposition, réclamée par un grand nombre d’intéressés, se justifie par le fait que le preneur peut, en cours de bail, mourir et que ses héritiers ou son épouse peuvent avoir cent raisons de ne plus continuer les affaires et aussi par le fait que le preneur peut, dans certaines circonstances, trouver trop lourde l’obligation de conserver son bail pendant neuf années ». Voyez aussi M. </w:t>
      </w:r>
      <w:r w:rsidRPr="00F73EF8">
        <w:rPr>
          <w:rFonts w:cstheme="minorHAnsi"/>
          <w:smallCaps/>
          <w:lang w:val="en-US"/>
        </w:rPr>
        <w:t>Dambre</w:t>
      </w:r>
      <w:r w:rsidRPr="00F73EF8">
        <w:rPr>
          <w:rFonts w:cstheme="minorHAnsi"/>
        </w:rPr>
        <w:t xml:space="preserve">, </w:t>
      </w:r>
      <w:r w:rsidRPr="00F73EF8">
        <w:rPr>
          <w:rFonts w:cstheme="minorHAnsi"/>
          <w:i/>
        </w:rPr>
        <w:t>op. cit.</w:t>
      </w:r>
      <w:r w:rsidRPr="00F73EF8">
        <w:rPr>
          <w:rFonts w:cstheme="minorHAnsi"/>
        </w:rPr>
        <w:t xml:space="preserve">, p. 41 ; Cass., 23 mai 1980, </w:t>
      </w:r>
      <w:r w:rsidRPr="00F73EF8">
        <w:rPr>
          <w:rFonts w:cstheme="minorHAnsi"/>
          <w:i/>
        </w:rPr>
        <w:t>Pas.</w:t>
      </w:r>
      <w:r w:rsidRPr="00F73EF8">
        <w:rPr>
          <w:rFonts w:cstheme="minorHAnsi"/>
        </w:rPr>
        <w:t>, 1980, I, p. 1171.</w:t>
      </w:r>
    </w:p>
  </w:footnote>
  <w:footnote w:id="75">
    <w:p w14:paraId="643D6AA2" w14:textId="67AA2CFD"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Cass., 14 janvier 1965, </w:t>
      </w:r>
      <w:r w:rsidRPr="00F73EF8">
        <w:rPr>
          <w:rFonts w:cstheme="minorHAnsi"/>
          <w:i/>
          <w:iCs/>
        </w:rPr>
        <w:t>Pas.</w:t>
      </w:r>
      <w:r w:rsidRPr="00F73EF8">
        <w:rPr>
          <w:rFonts w:cstheme="minorHAnsi"/>
        </w:rPr>
        <w:t>, 1965, I, p. 472.</w:t>
      </w:r>
    </w:p>
  </w:footnote>
  <w:footnote w:id="76">
    <w:p w14:paraId="455EEC27" w14:textId="37CE62EF" w:rsidR="00344520" w:rsidRPr="00F73EF8" w:rsidRDefault="00344520" w:rsidP="006403EF">
      <w:pPr>
        <w:pStyle w:val="Notedebasdepage"/>
        <w:rPr>
          <w:rFonts w:cstheme="minorHAnsi"/>
        </w:rPr>
      </w:pPr>
      <w:r w:rsidRPr="00F73EF8">
        <w:rPr>
          <w:rStyle w:val="Appelnotedebasdep"/>
          <w:rFonts w:cstheme="minorHAnsi"/>
        </w:rPr>
        <w:footnoteRef/>
      </w:r>
      <w:r w:rsidRPr="00F73EF8">
        <w:rPr>
          <w:rFonts w:cstheme="minorHAnsi"/>
        </w:rPr>
        <w:t xml:space="preserve"> M. </w:t>
      </w:r>
      <w:r w:rsidRPr="00F73EF8">
        <w:rPr>
          <w:rFonts w:cstheme="minorHAnsi"/>
          <w:smallCaps/>
          <w:lang w:val="en-US"/>
        </w:rPr>
        <w:t>La</w:t>
      </w:r>
      <w:r w:rsidRPr="00F73EF8">
        <w:rPr>
          <w:rFonts w:cstheme="minorHAnsi"/>
        </w:rPr>
        <w:t xml:space="preserve"> </w:t>
      </w:r>
      <w:r w:rsidRPr="00F73EF8">
        <w:rPr>
          <w:rFonts w:cstheme="minorHAnsi"/>
          <w:smallCaps/>
          <w:lang w:val="en-US"/>
        </w:rPr>
        <w:t>Haye</w:t>
      </w:r>
      <w:r w:rsidRPr="00F73EF8">
        <w:rPr>
          <w:rFonts w:cstheme="minorHAnsi"/>
        </w:rPr>
        <w:t xml:space="preserve"> et J. </w:t>
      </w:r>
      <w:r w:rsidRPr="00F73EF8">
        <w:rPr>
          <w:rFonts w:cstheme="minorHAnsi"/>
          <w:smallCaps/>
          <w:lang w:val="en-US"/>
        </w:rPr>
        <w:t>Vankerckhove</w:t>
      </w:r>
      <w:r w:rsidRPr="00F73EF8">
        <w:rPr>
          <w:rFonts w:cstheme="minorHAnsi"/>
        </w:rPr>
        <w:t xml:space="preserve">, </w:t>
      </w:r>
      <w:r w:rsidRPr="00F73EF8">
        <w:rPr>
          <w:rFonts w:cstheme="minorHAnsi"/>
          <w:i/>
        </w:rPr>
        <w:t>op. cit.</w:t>
      </w:r>
      <w:r w:rsidRPr="00F73EF8">
        <w:rPr>
          <w:rFonts w:cstheme="minorHAnsi"/>
        </w:rPr>
        <w:t>,</w:t>
      </w:r>
      <w:r w:rsidRPr="00F73EF8">
        <w:rPr>
          <w:rFonts w:cstheme="minorHAnsi"/>
          <w:i/>
        </w:rPr>
        <w:t xml:space="preserve"> </w:t>
      </w:r>
      <w:r w:rsidRPr="00F73EF8">
        <w:rPr>
          <w:rFonts w:cstheme="minorHAnsi"/>
        </w:rPr>
        <w:t>n° 1594 ; M. D</w:t>
      </w:r>
      <w:r w:rsidRPr="00F73EF8">
        <w:rPr>
          <w:rFonts w:cstheme="minorHAnsi"/>
          <w:smallCaps/>
          <w:lang w:val="en-US"/>
        </w:rPr>
        <w:t>ambre</w:t>
      </w:r>
      <w:r w:rsidRPr="00F73EF8">
        <w:rPr>
          <w:rFonts w:cstheme="minorHAnsi"/>
        </w:rPr>
        <w:t xml:space="preserve">, </w:t>
      </w:r>
      <w:r w:rsidRPr="00F73EF8">
        <w:rPr>
          <w:rFonts w:cstheme="minorHAnsi"/>
          <w:i/>
        </w:rPr>
        <w:t>op. cit.</w:t>
      </w:r>
      <w:r w:rsidRPr="00F73EF8">
        <w:rPr>
          <w:rFonts w:cstheme="minorHAnsi"/>
        </w:rPr>
        <w:t xml:space="preserve">, p. 41 ; C. </w:t>
      </w:r>
      <w:r w:rsidRPr="00F73EF8">
        <w:rPr>
          <w:rFonts w:cstheme="minorHAnsi"/>
          <w:smallCaps/>
          <w:lang w:val="en-US"/>
        </w:rPr>
        <w:t>Delforge</w:t>
      </w:r>
      <w:r w:rsidRPr="00F73EF8">
        <w:rPr>
          <w:rFonts w:cstheme="minorHAnsi"/>
        </w:rPr>
        <w:t xml:space="preserve"> et Y. </w:t>
      </w:r>
      <w:r w:rsidRPr="00F73EF8">
        <w:rPr>
          <w:rFonts w:cstheme="minorHAnsi"/>
          <w:smallCaps/>
          <w:lang w:val="en-US"/>
        </w:rPr>
        <w:t>Ninane</w:t>
      </w:r>
      <w:r w:rsidRPr="00F73EF8">
        <w:rPr>
          <w:rFonts w:cstheme="minorHAnsi"/>
        </w:rPr>
        <w:t xml:space="preserve">, </w:t>
      </w:r>
      <w:r w:rsidRPr="00F73EF8">
        <w:rPr>
          <w:rFonts w:cstheme="minorHAnsi"/>
          <w:i/>
          <w:iCs/>
        </w:rPr>
        <w:t>op. cit.</w:t>
      </w:r>
      <w:r w:rsidRPr="00F73EF8">
        <w:rPr>
          <w:rFonts w:cstheme="minorHAnsi"/>
        </w:rPr>
        <w:t xml:space="preserve">, p. 95, n°65 ; B. </w:t>
      </w:r>
      <w:r w:rsidRPr="00F73EF8">
        <w:rPr>
          <w:rFonts w:cstheme="minorHAnsi"/>
          <w:smallCaps/>
          <w:lang w:val="en-US"/>
        </w:rPr>
        <w:t>Louveaux</w:t>
      </w:r>
      <w:r w:rsidRPr="00F73EF8">
        <w:rPr>
          <w:rFonts w:cstheme="minorHAnsi"/>
        </w:rPr>
        <w:t xml:space="preserve">, </w:t>
      </w:r>
      <w:r w:rsidRPr="00F73EF8">
        <w:rPr>
          <w:rFonts w:cstheme="minorHAnsi"/>
          <w:i/>
          <w:iCs/>
        </w:rPr>
        <w:t>op. cit.</w:t>
      </w:r>
      <w:r w:rsidRPr="00F73EF8">
        <w:rPr>
          <w:rFonts w:cstheme="minorHAnsi"/>
        </w:rPr>
        <w:t xml:space="preserve">, pp. 222 et s ; M. </w:t>
      </w:r>
      <w:r w:rsidRPr="00F73EF8">
        <w:rPr>
          <w:rFonts w:cstheme="minorHAnsi"/>
          <w:smallCaps/>
          <w:lang w:val="en-US"/>
        </w:rPr>
        <w:t>Godhaird</w:t>
      </w:r>
      <w:r w:rsidRPr="00F73EF8">
        <w:rPr>
          <w:rFonts w:cstheme="minorHAnsi"/>
        </w:rPr>
        <w:t xml:space="preserve">, « Le bail commercial », tiré à part du </w:t>
      </w:r>
      <w:r w:rsidRPr="00F73EF8">
        <w:rPr>
          <w:rFonts w:cstheme="minorHAnsi"/>
          <w:i/>
          <w:iCs/>
        </w:rPr>
        <w:t>Répertoire notarial</w:t>
      </w:r>
      <w:r w:rsidRPr="00F73EF8">
        <w:rPr>
          <w:rFonts w:cstheme="minorHAnsi"/>
        </w:rPr>
        <w:t>, Bruxelles, Larcier, 2012, p. 182.</w:t>
      </w:r>
    </w:p>
  </w:footnote>
  <w:footnote w:id="77">
    <w:p w14:paraId="6D3F3D56" w14:textId="26D028C0"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C. </w:t>
      </w:r>
      <w:r w:rsidRPr="00F73EF8">
        <w:rPr>
          <w:rFonts w:cstheme="minorHAnsi"/>
          <w:smallCaps/>
          <w:lang w:val="en-US"/>
        </w:rPr>
        <w:t>Delforge</w:t>
      </w:r>
      <w:r w:rsidRPr="00F73EF8">
        <w:rPr>
          <w:rFonts w:cstheme="minorHAnsi"/>
        </w:rPr>
        <w:t xml:space="preserve"> et Y. </w:t>
      </w:r>
      <w:r w:rsidRPr="00F73EF8">
        <w:rPr>
          <w:rFonts w:cstheme="minorHAnsi"/>
          <w:smallCaps/>
          <w:lang w:val="en-US"/>
        </w:rPr>
        <w:t>Ninane</w:t>
      </w:r>
      <w:r w:rsidRPr="00F73EF8">
        <w:rPr>
          <w:rFonts w:cstheme="minorHAnsi"/>
        </w:rPr>
        <w:t xml:space="preserve">, </w:t>
      </w:r>
      <w:r w:rsidRPr="00F73EF8">
        <w:rPr>
          <w:rFonts w:cstheme="minorHAnsi"/>
          <w:i/>
          <w:iCs/>
        </w:rPr>
        <w:t>op. cit.</w:t>
      </w:r>
      <w:r w:rsidRPr="00F73EF8">
        <w:rPr>
          <w:rFonts w:cstheme="minorHAnsi"/>
        </w:rPr>
        <w:t>, p. 96, n°65.</w:t>
      </w:r>
    </w:p>
  </w:footnote>
  <w:footnote w:id="78">
    <w:p w14:paraId="223613B1" w14:textId="107AA5A4"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Y. </w:t>
      </w:r>
      <w:r w:rsidRPr="00F73EF8">
        <w:rPr>
          <w:rFonts w:cstheme="minorHAnsi"/>
          <w:smallCaps/>
          <w:lang w:val="en-US"/>
        </w:rPr>
        <w:t>Delacroix</w:t>
      </w:r>
      <w:r w:rsidRPr="00F73EF8">
        <w:rPr>
          <w:rFonts w:cstheme="minorHAnsi"/>
          <w:lang w:val="fr-FR"/>
        </w:rPr>
        <w:t xml:space="preserve"> et B. de </w:t>
      </w:r>
      <w:r w:rsidRPr="00F73EF8">
        <w:rPr>
          <w:rFonts w:cstheme="minorHAnsi"/>
          <w:smallCaps/>
          <w:lang w:val="en-US"/>
        </w:rPr>
        <w:t>Callataÿ</w:t>
      </w:r>
      <w:r w:rsidRPr="00F73EF8">
        <w:rPr>
          <w:rFonts w:cstheme="minorHAnsi"/>
          <w:lang w:val="fr-FR"/>
        </w:rPr>
        <w:t xml:space="preserve">, « Faculté de résiliation triennale du bail commercial au profit du preneur : plaidoyer pour un abandon du caractère impératif », </w:t>
      </w:r>
      <w:r w:rsidRPr="00F73EF8">
        <w:rPr>
          <w:rFonts w:cstheme="minorHAnsi"/>
          <w:i/>
          <w:iCs/>
          <w:lang w:val="fr-FR"/>
        </w:rPr>
        <w:t>J.T.</w:t>
      </w:r>
      <w:r w:rsidRPr="00F73EF8">
        <w:rPr>
          <w:rFonts w:cstheme="minorHAnsi"/>
          <w:lang w:val="fr-FR"/>
        </w:rPr>
        <w:t>, 2012, pp. 541 à 547.</w:t>
      </w:r>
    </w:p>
  </w:footnote>
  <w:footnote w:id="79">
    <w:p w14:paraId="54B40B16" w14:textId="7E89F107"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C’est-à-dire l’acte par lequel la partie protégée renonce à invoquer la nullité de l’acte contraire à une disposition impérative.</w:t>
      </w:r>
    </w:p>
  </w:footnote>
  <w:footnote w:id="80">
    <w:p w14:paraId="783FDBBD" w14:textId="2D40E666"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M. </w:t>
      </w:r>
      <w:r w:rsidRPr="00F73EF8">
        <w:rPr>
          <w:rFonts w:cstheme="minorHAnsi"/>
          <w:smallCaps/>
          <w:lang w:val="en-US"/>
        </w:rPr>
        <w:t>Dupont</w:t>
      </w:r>
      <w:r w:rsidRPr="00F73EF8">
        <w:rPr>
          <w:rFonts w:cstheme="minorHAnsi"/>
          <w:lang w:val="fr-FR"/>
        </w:rPr>
        <w:t xml:space="preserve">, « Nullité absolue et nullité relative », </w:t>
      </w:r>
      <w:r w:rsidRPr="00F73EF8">
        <w:rPr>
          <w:rFonts w:cstheme="minorHAnsi"/>
          <w:i/>
          <w:iCs/>
          <w:lang w:val="fr-FR"/>
        </w:rPr>
        <w:t>in La nullité des contrats</w:t>
      </w:r>
      <w:r w:rsidRPr="00F73EF8">
        <w:rPr>
          <w:rFonts w:cstheme="minorHAnsi"/>
          <w:lang w:val="fr-FR"/>
        </w:rPr>
        <w:t>, Bruxelles, Larcier, 2006, p. 77.</w:t>
      </w:r>
    </w:p>
  </w:footnote>
  <w:footnote w:id="81">
    <w:p w14:paraId="53C041DF" w14:textId="360A44E0"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Y. </w:t>
      </w:r>
      <w:r w:rsidRPr="00F73EF8">
        <w:rPr>
          <w:rFonts w:cstheme="minorHAnsi"/>
          <w:smallCaps/>
          <w:lang w:val="en-US"/>
        </w:rPr>
        <w:t>Delacroix</w:t>
      </w:r>
      <w:r w:rsidRPr="00F73EF8">
        <w:rPr>
          <w:rFonts w:cstheme="minorHAnsi"/>
          <w:lang w:val="fr-FR"/>
        </w:rPr>
        <w:t xml:space="preserve"> et B. de </w:t>
      </w:r>
      <w:r w:rsidRPr="00F73EF8">
        <w:rPr>
          <w:rFonts w:cstheme="minorHAnsi"/>
          <w:smallCaps/>
          <w:lang w:val="en-US"/>
        </w:rPr>
        <w:t>Callataÿ</w:t>
      </w:r>
      <w:r w:rsidRPr="00F73EF8">
        <w:rPr>
          <w:rFonts w:cstheme="minorHAnsi"/>
          <w:lang w:val="fr-FR"/>
        </w:rPr>
        <w:t xml:space="preserve">, </w:t>
      </w:r>
      <w:r w:rsidRPr="00F73EF8">
        <w:rPr>
          <w:rFonts w:cstheme="minorHAnsi"/>
          <w:i/>
          <w:iCs/>
          <w:lang w:val="fr-FR"/>
        </w:rPr>
        <w:t>op. cit.</w:t>
      </w:r>
      <w:r w:rsidRPr="00F73EF8">
        <w:rPr>
          <w:rFonts w:cstheme="minorHAnsi"/>
          <w:lang w:val="fr-FR"/>
        </w:rPr>
        <w:t>, p. 544, n°9.</w:t>
      </w:r>
    </w:p>
  </w:footnote>
  <w:footnote w:id="82">
    <w:p w14:paraId="345835F6" w14:textId="2F572E52"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Y. </w:t>
      </w:r>
      <w:r w:rsidRPr="00F73EF8">
        <w:rPr>
          <w:rFonts w:cstheme="minorHAnsi"/>
          <w:smallCaps/>
          <w:lang w:val="en-US"/>
        </w:rPr>
        <w:t>Delacroix</w:t>
      </w:r>
      <w:r w:rsidRPr="00F73EF8">
        <w:rPr>
          <w:rFonts w:cstheme="minorHAnsi"/>
          <w:lang w:val="fr-FR"/>
        </w:rPr>
        <w:t xml:space="preserve"> et B. de </w:t>
      </w:r>
      <w:r w:rsidRPr="00F73EF8">
        <w:rPr>
          <w:rFonts w:cstheme="minorHAnsi"/>
          <w:smallCaps/>
          <w:lang w:val="en-US"/>
        </w:rPr>
        <w:t>Callataÿ</w:t>
      </w:r>
      <w:r w:rsidRPr="00F73EF8">
        <w:rPr>
          <w:rFonts w:cstheme="minorHAnsi"/>
          <w:lang w:val="fr-FR"/>
        </w:rPr>
        <w:t xml:space="preserve">, </w:t>
      </w:r>
      <w:r w:rsidRPr="00F73EF8">
        <w:rPr>
          <w:rFonts w:cstheme="minorHAnsi"/>
          <w:i/>
          <w:iCs/>
          <w:lang w:val="fr-FR"/>
        </w:rPr>
        <w:t>op. cit.</w:t>
      </w:r>
      <w:r w:rsidRPr="00F73EF8">
        <w:rPr>
          <w:rFonts w:cstheme="minorHAnsi"/>
          <w:lang w:val="fr-FR"/>
        </w:rPr>
        <w:t>, pp. 544-545, n°10.</w:t>
      </w:r>
    </w:p>
  </w:footnote>
  <w:footnote w:id="83">
    <w:p w14:paraId="16BA1027" w14:textId="5C684BF2"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Que ce soit pour leur acquisition ou des travaux qui y seraient réalisés, même à la demande du preneur.</w:t>
      </w:r>
    </w:p>
  </w:footnote>
  <w:footnote w:id="84">
    <w:p w14:paraId="515061CC" w14:textId="2268185A"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Sauf si cette dérogation permet au preneur de résilier plus aisément le contrat, par exemple en l’autorisant à résilier le bail annuellement ou en prévoyant un préavis inférieur à trois mois (</w:t>
      </w:r>
      <w:r w:rsidRPr="00F73EF8">
        <w:rPr>
          <w:rFonts w:cstheme="minorHAnsi"/>
        </w:rPr>
        <w:t xml:space="preserve">C. </w:t>
      </w:r>
      <w:r w:rsidRPr="00F73EF8">
        <w:rPr>
          <w:rFonts w:cstheme="minorHAnsi"/>
          <w:smallCaps/>
          <w:lang w:val="en-US"/>
        </w:rPr>
        <w:t>Delforge</w:t>
      </w:r>
      <w:r w:rsidRPr="00F73EF8">
        <w:rPr>
          <w:rFonts w:cstheme="minorHAnsi"/>
        </w:rPr>
        <w:t xml:space="preserve"> et Y. </w:t>
      </w:r>
      <w:r w:rsidRPr="00F73EF8">
        <w:rPr>
          <w:rFonts w:cstheme="minorHAnsi"/>
          <w:smallCaps/>
          <w:lang w:val="en-US"/>
        </w:rPr>
        <w:t>Ninane</w:t>
      </w:r>
      <w:r w:rsidRPr="00F73EF8">
        <w:rPr>
          <w:rFonts w:cstheme="minorHAnsi"/>
        </w:rPr>
        <w:t xml:space="preserve">, </w:t>
      </w:r>
      <w:r w:rsidRPr="00F73EF8">
        <w:rPr>
          <w:rFonts w:cstheme="minorHAnsi"/>
          <w:i/>
          <w:iCs/>
        </w:rPr>
        <w:t>op. cit.</w:t>
      </w:r>
      <w:r w:rsidRPr="00F73EF8">
        <w:rPr>
          <w:rFonts w:cstheme="minorHAnsi"/>
        </w:rPr>
        <w:t>, p. 96, n°65).</w:t>
      </w:r>
    </w:p>
  </w:footnote>
  <w:footnote w:id="85">
    <w:p w14:paraId="4D8BAE11" w14:textId="6DA2E86D"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Cass., </w:t>
      </w:r>
      <w:r w:rsidRPr="00F73EF8">
        <w:rPr>
          <w:rFonts w:eastAsia="Times New Roman" w:cstheme="minorHAnsi"/>
        </w:rPr>
        <w:t xml:space="preserve">23 mai 1980, </w:t>
      </w:r>
      <w:r w:rsidRPr="00F73EF8">
        <w:rPr>
          <w:rFonts w:eastAsia="Times New Roman" w:cstheme="minorHAnsi"/>
          <w:i/>
          <w:iCs/>
        </w:rPr>
        <w:t>Pas.</w:t>
      </w:r>
      <w:r w:rsidRPr="00F73EF8">
        <w:rPr>
          <w:rFonts w:eastAsia="Times New Roman" w:cstheme="minorHAnsi"/>
        </w:rPr>
        <w:t>, 1980, I, p. 1171.</w:t>
      </w:r>
    </w:p>
  </w:footnote>
  <w:footnote w:id="86">
    <w:p w14:paraId="735C45E2" w14:textId="734CB321"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Il s’agissait d’une station-service.</w:t>
      </w:r>
    </w:p>
  </w:footnote>
  <w:footnote w:id="87">
    <w:p w14:paraId="1BFF1A6A" w14:textId="5CE2C64A"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Le Professeur Foriers faisait le même constat en ces termes : « </w:t>
      </w:r>
      <w:r w:rsidRPr="00F73EF8">
        <w:rPr>
          <w:rFonts w:cstheme="minorHAnsi"/>
          <w:i/>
          <w:iCs/>
          <w:lang w:val="fr-FR"/>
        </w:rPr>
        <w:t>Dans la négociation de certains baux importants, le futur locataire peut être, en fait, la partie forte</w:t>
      </w:r>
      <w:r w:rsidRPr="00F73EF8">
        <w:rPr>
          <w:rFonts w:cstheme="minorHAnsi"/>
          <w:lang w:val="fr-FR"/>
        </w:rPr>
        <w:t xml:space="preserve"> » (P.-A. </w:t>
      </w:r>
      <w:r w:rsidRPr="00F73EF8">
        <w:rPr>
          <w:rFonts w:cstheme="minorHAnsi"/>
          <w:smallCaps/>
          <w:lang w:val="fr-FR"/>
        </w:rPr>
        <w:t>Foriers</w:t>
      </w:r>
      <w:r w:rsidRPr="00F73EF8">
        <w:rPr>
          <w:rFonts w:cstheme="minorHAnsi"/>
          <w:lang w:val="fr-FR"/>
        </w:rPr>
        <w:t xml:space="preserve">, « Notion de bail et notions voisines », </w:t>
      </w:r>
      <w:r w:rsidRPr="00F73EF8">
        <w:rPr>
          <w:rFonts w:cstheme="minorHAnsi"/>
          <w:i/>
          <w:iCs/>
          <w:lang w:val="fr-FR"/>
        </w:rPr>
        <w:t>op. cit.</w:t>
      </w:r>
      <w:r w:rsidRPr="00F73EF8">
        <w:rPr>
          <w:rFonts w:cstheme="minorHAnsi"/>
          <w:lang w:val="fr-FR"/>
        </w:rPr>
        <w:t>, p. 9, n°1.</w:t>
      </w:r>
    </w:p>
  </w:footnote>
  <w:footnote w:id="88">
    <w:p w14:paraId="02B2823E" w14:textId="1C8DF725"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Y. </w:t>
      </w:r>
      <w:r w:rsidRPr="00F73EF8">
        <w:rPr>
          <w:rFonts w:cstheme="minorHAnsi"/>
          <w:smallCaps/>
          <w:lang w:val="en-US"/>
        </w:rPr>
        <w:t>Delacroix</w:t>
      </w:r>
      <w:r w:rsidRPr="00F73EF8">
        <w:rPr>
          <w:rFonts w:cstheme="minorHAnsi"/>
          <w:lang w:val="fr-FR"/>
        </w:rPr>
        <w:t xml:space="preserve"> et B. de </w:t>
      </w:r>
      <w:r w:rsidRPr="00F73EF8">
        <w:rPr>
          <w:rFonts w:cstheme="minorHAnsi"/>
          <w:smallCaps/>
          <w:lang w:val="en-US"/>
        </w:rPr>
        <w:t>Callataÿ</w:t>
      </w:r>
      <w:r w:rsidRPr="00F73EF8">
        <w:rPr>
          <w:rFonts w:cstheme="minorHAnsi"/>
          <w:lang w:val="fr-FR"/>
        </w:rPr>
        <w:t xml:space="preserve">, </w:t>
      </w:r>
      <w:r w:rsidRPr="00F73EF8">
        <w:rPr>
          <w:rFonts w:cstheme="minorHAnsi"/>
          <w:i/>
          <w:iCs/>
          <w:lang w:val="fr-FR"/>
        </w:rPr>
        <w:t>op. cit.</w:t>
      </w:r>
      <w:r w:rsidRPr="00F73EF8">
        <w:rPr>
          <w:rFonts w:cstheme="minorHAnsi"/>
          <w:lang w:val="fr-FR"/>
        </w:rPr>
        <w:t>, pp. 546-547, n°24.</w:t>
      </w:r>
    </w:p>
  </w:footnote>
  <w:footnote w:id="89">
    <w:p w14:paraId="066A085A" w14:textId="7C96CE61"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P.-A. </w:t>
      </w:r>
      <w:r w:rsidRPr="00F73EF8">
        <w:rPr>
          <w:rFonts w:cstheme="minorHAnsi"/>
          <w:smallCaps/>
          <w:lang w:val="fr-FR"/>
        </w:rPr>
        <w:t>Foriers</w:t>
      </w:r>
      <w:r w:rsidRPr="00F73EF8">
        <w:rPr>
          <w:rFonts w:cstheme="minorHAnsi"/>
          <w:lang w:val="fr-FR"/>
        </w:rPr>
        <w:t xml:space="preserve">, « Notion de bail et notions voisines », </w:t>
      </w:r>
      <w:r w:rsidRPr="00F73EF8">
        <w:rPr>
          <w:rFonts w:cstheme="minorHAnsi"/>
          <w:i/>
          <w:iCs/>
          <w:lang w:val="fr-FR"/>
        </w:rPr>
        <w:t>op. cit.</w:t>
      </w:r>
      <w:r w:rsidRPr="00F73EF8">
        <w:rPr>
          <w:rFonts w:cstheme="minorHAnsi"/>
          <w:lang w:val="fr-FR"/>
        </w:rPr>
        <w:t>, p. 26, n°26.</w:t>
      </w:r>
    </w:p>
  </w:footnote>
  <w:footnote w:id="90">
    <w:p w14:paraId="6534FBCB" w14:textId="09DC0F4E"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Loi du 10 janvier 1824 sur le droit d’emphytéose.</w:t>
      </w:r>
    </w:p>
  </w:footnote>
  <w:footnote w:id="91">
    <w:p w14:paraId="7E028624" w14:textId="4545E66A"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C. </w:t>
      </w:r>
      <w:r w:rsidRPr="00F73EF8">
        <w:rPr>
          <w:rFonts w:cstheme="minorHAnsi"/>
          <w:smallCaps/>
          <w:lang w:val="fr-FR"/>
        </w:rPr>
        <w:t>Mostin</w:t>
      </w:r>
      <w:r w:rsidRPr="00F73EF8">
        <w:rPr>
          <w:rFonts w:cstheme="minorHAnsi"/>
          <w:lang w:val="fr-FR"/>
        </w:rPr>
        <w:t xml:space="preserve">, « Emphytéose et superficie – aspects civils », </w:t>
      </w:r>
      <w:r w:rsidRPr="00F73EF8">
        <w:rPr>
          <w:rFonts w:cstheme="minorHAnsi"/>
          <w:i/>
          <w:iCs/>
          <w:lang w:val="fr-FR"/>
        </w:rPr>
        <w:t>Rep. Not.</w:t>
      </w:r>
      <w:r w:rsidRPr="00F73EF8">
        <w:rPr>
          <w:rFonts w:cstheme="minorHAnsi"/>
          <w:lang w:val="fr-FR"/>
        </w:rPr>
        <w:t>, t. II, livre 6, Bruxelles, Larcier, 2015, p. 82, n°15.</w:t>
      </w:r>
    </w:p>
  </w:footnote>
  <w:footnote w:id="92">
    <w:p w14:paraId="7326855D" w14:textId="20F88625"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i/>
          <w:iCs/>
          <w:lang w:val="fr-FR"/>
        </w:rPr>
        <w:t>Ibidem.</w:t>
      </w:r>
    </w:p>
  </w:footnote>
  <w:footnote w:id="93">
    <w:p w14:paraId="08D861A7" w14:textId="6E29F432"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Y. </w:t>
      </w:r>
      <w:r w:rsidRPr="00F73EF8">
        <w:rPr>
          <w:rFonts w:cstheme="minorHAnsi"/>
          <w:smallCaps/>
          <w:lang w:val="en-US"/>
        </w:rPr>
        <w:t>Delacroix</w:t>
      </w:r>
      <w:r w:rsidRPr="00F73EF8">
        <w:rPr>
          <w:rFonts w:cstheme="minorHAnsi"/>
          <w:lang w:val="fr-FR"/>
        </w:rPr>
        <w:t xml:space="preserve"> et B. de </w:t>
      </w:r>
      <w:r w:rsidRPr="00F73EF8">
        <w:rPr>
          <w:rFonts w:cstheme="minorHAnsi"/>
          <w:smallCaps/>
          <w:lang w:val="en-US"/>
        </w:rPr>
        <w:t>Callataÿ</w:t>
      </w:r>
      <w:r w:rsidRPr="00F73EF8">
        <w:rPr>
          <w:rFonts w:cstheme="minorHAnsi"/>
          <w:lang w:val="fr-FR"/>
        </w:rPr>
        <w:t xml:space="preserve">, </w:t>
      </w:r>
      <w:r w:rsidRPr="00F73EF8">
        <w:rPr>
          <w:rFonts w:cstheme="minorHAnsi"/>
          <w:i/>
          <w:iCs/>
          <w:lang w:val="fr-FR"/>
        </w:rPr>
        <w:t>op. cit.</w:t>
      </w:r>
      <w:r w:rsidRPr="00F73EF8">
        <w:rPr>
          <w:rFonts w:cstheme="minorHAnsi"/>
          <w:lang w:val="fr-FR"/>
        </w:rPr>
        <w:t>, p. 545, n°16.</w:t>
      </w:r>
    </w:p>
  </w:footnote>
  <w:footnote w:id="94">
    <w:p w14:paraId="42D3AECD" w14:textId="2D78A61F"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Proposition de loi portant insertion du livre 3 « Les biens » dans le nouveau Code civil, Introduction générale, </w:t>
      </w:r>
      <w:r w:rsidRPr="00F73EF8">
        <w:rPr>
          <w:rFonts w:cstheme="minorHAnsi"/>
          <w:i/>
          <w:iCs/>
          <w:lang w:val="fr-FR"/>
        </w:rPr>
        <w:t>Doc. Parl.</w:t>
      </w:r>
      <w:r w:rsidRPr="00F73EF8">
        <w:rPr>
          <w:rFonts w:cstheme="minorHAnsi"/>
          <w:lang w:val="fr-FR"/>
        </w:rPr>
        <w:t>, 2019, n°0173/001, p. 7.</w:t>
      </w:r>
    </w:p>
  </w:footnote>
  <w:footnote w:id="95">
    <w:p w14:paraId="39414A36" w14:textId="4369223B"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Proposition de loi portant insertion du livre 3 « Les biens » dans le nouveau Code civil, Commentaire des articles, </w:t>
      </w:r>
      <w:r w:rsidRPr="00F73EF8">
        <w:rPr>
          <w:rFonts w:cstheme="minorHAnsi"/>
          <w:i/>
          <w:iCs/>
          <w:lang w:val="fr-FR"/>
        </w:rPr>
        <w:t>Doc. Parl.</w:t>
      </w:r>
      <w:r w:rsidRPr="00F73EF8">
        <w:rPr>
          <w:rFonts w:cstheme="minorHAnsi"/>
          <w:lang w:val="fr-FR"/>
        </w:rPr>
        <w:t>, 2019, n°0173/001, p. 310.</w:t>
      </w:r>
    </w:p>
  </w:footnote>
  <w:footnote w:id="96">
    <w:p w14:paraId="2A6D7039" w14:textId="1DF56780"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C’est-à-dire le 1</w:t>
      </w:r>
      <w:r w:rsidRPr="00F73EF8">
        <w:rPr>
          <w:rFonts w:cstheme="minorHAnsi"/>
          <w:vertAlign w:val="superscript"/>
          <w:lang w:val="fr-FR"/>
        </w:rPr>
        <w:t>er</w:t>
      </w:r>
      <w:r w:rsidRPr="00F73EF8">
        <w:rPr>
          <w:rFonts w:cstheme="minorHAnsi"/>
          <w:lang w:val="fr-FR"/>
        </w:rPr>
        <w:t xml:space="preserve"> septembre 2021 conformément à </w:t>
      </w:r>
      <w:r w:rsidRPr="00F73EF8">
        <w:rPr>
          <w:rFonts w:cstheme="minorHAnsi"/>
        </w:rPr>
        <w:t>l’article 39 de la loi du 4 février 2020.</w:t>
      </w:r>
    </w:p>
  </w:footnote>
  <w:footnote w:id="97">
    <w:p w14:paraId="4E90FCC7" w14:textId="79AE03D8"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Article 3.167 </w:t>
      </w:r>
      <w:r w:rsidRPr="00F73EF8">
        <w:rPr>
          <w:rFonts w:cstheme="minorHAnsi"/>
        </w:rPr>
        <w:t>du (nouveau) Code civil.</w:t>
      </w:r>
    </w:p>
  </w:footnote>
  <w:footnote w:id="98">
    <w:p w14:paraId="2F837480" w14:textId="0F4EFDD1"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Voir l’article 3.1 du (nouveau) Code civil qui précise que « </w:t>
      </w:r>
      <w:r w:rsidRPr="00F73EF8">
        <w:rPr>
          <w:rFonts w:cstheme="minorHAnsi"/>
          <w:i/>
          <w:iCs/>
        </w:rPr>
        <w:t>les parties peuvent déroger aux dispositions du présent Livre, sauf s'il s'agit de définitions ou si la loi en dispose autrement</w:t>
      </w:r>
      <w:r w:rsidRPr="00F73EF8">
        <w:rPr>
          <w:rFonts w:cstheme="minorHAnsi"/>
        </w:rPr>
        <w:t> ».</w:t>
      </w:r>
    </w:p>
  </w:footnote>
  <w:footnote w:id="99">
    <w:p w14:paraId="587C0A52" w14:textId="3B3612F3"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Proposition de loi portant insertion du livre 3 « Les biens » dans le nouveau Code civil, Commentaire des articles, </w:t>
      </w:r>
      <w:r w:rsidRPr="00F73EF8">
        <w:rPr>
          <w:rFonts w:cstheme="minorHAnsi"/>
          <w:i/>
          <w:iCs/>
          <w:lang w:val="fr-FR"/>
        </w:rPr>
        <w:t>Doc. Parl.</w:t>
      </w:r>
      <w:r w:rsidRPr="00F73EF8">
        <w:rPr>
          <w:rFonts w:cstheme="minorHAnsi"/>
          <w:lang w:val="fr-FR"/>
        </w:rPr>
        <w:t>, 2019, n°0173/001, p. 316.</w:t>
      </w:r>
    </w:p>
  </w:footnote>
  <w:footnote w:id="100">
    <w:p w14:paraId="6B10AA9C" w14:textId="2A5278BC"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Article 3.169 </w:t>
      </w:r>
      <w:r w:rsidRPr="00F73EF8">
        <w:rPr>
          <w:rFonts w:cstheme="minorHAnsi"/>
        </w:rPr>
        <w:t>du (nouveau) Code civil. On le constate, cette définition n’élève plus l’obligation de payer une redevance (canon) au titre d’élément constitutif du droit d’emphytéose : « </w:t>
      </w:r>
      <w:r w:rsidRPr="00F73EF8">
        <w:rPr>
          <w:rFonts w:cstheme="minorHAnsi"/>
          <w:i/>
          <w:iCs/>
        </w:rPr>
        <w:t xml:space="preserve">la raison historique à ce caractère </w:t>
      </w:r>
      <w:r w:rsidRPr="00F73EF8">
        <w:rPr>
          <w:rFonts w:cstheme="minorHAnsi"/>
        </w:rPr>
        <w:t>[nécessairement onéreux de l’emphytéose]</w:t>
      </w:r>
      <w:r w:rsidRPr="00F73EF8">
        <w:rPr>
          <w:rFonts w:cstheme="minorHAnsi"/>
          <w:i/>
          <w:iCs/>
        </w:rPr>
        <w:t>, à savoir la reconnaissance du droit de propriété, a disparu depuis l’introduction des registres hypothécaires</w:t>
      </w:r>
      <w:r w:rsidRPr="00F73EF8">
        <w:rPr>
          <w:rFonts w:cstheme="minorHAnsi"/>
        </w:rPr>
        <w:t> » (</w:t>
      </w:r>
      <w:r w:rsidRPr="00F73EF8">
        <w:rPr>
          <w:rFonts w:cstheme="minorHAnsi"/>
          <w:lang w:val="fr-FR"/>
        </w:rPr>
        <w:t xml:space="preserve">Proposition de loi portant insertion du livre 3 « Les biens » dans le nouveau Code civil, Commentaire des articles, </w:t>
      </w:r>
      <w:r w:rsidRPr="00F73EF8">
        <w:rPr>
          <w:rFonts w:cstheme="minorHAnsi"/>
          <w:i/>
          <w:iCs/>
          <w:lang w:val="fr-FR"/>
        </w:rPr>
        <w:t>Doc. Parl.</w:t>
      </w:r>
      <w:r w:rsidRPr="00F73EF8">
        <w:rPr>
          <w:rFonts w:cstheme="minorHAnsi"/>
          <w:lang w:val="fr-FR"/>
        </w:rPr>
        <w:t>, 2019, n°0173/001, p. 310)</w:t>
      </w:r>
    </w:p>
  </w:footnote>
  <w:footnote w:id="101">
    <w:p w14:paraId="3B4FD86E" w14:textId="669C0386"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Article 3.174 </w:t>
      </w:r>
      <w:r w:rsidRPr="00F73EF8">
        <w:rPr>
          <w:rFonts w:cstheme="minorHAnsi"/>
        </w:rPr>
        <w:t>du (nouveau) Code civil.</w:t>
      </w:r>
    </w:p>
  </w:footnote>
  <w:footnote w:id="102">
    <w:p w14:paraId="7745866D" w14:textId="5FD403CD" w:rsidR="00344520" w:rsidRPr="00F73EF8" w:rsidRDefault="00344520" w:rsidP="00BE2F9D">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Proposition de loi portant insertion du livre 3 « Les biens » dans le nouveau Code civil, Introduction générale, </w:t>
      </w:r>
      <w:r w:rsidRPr="00F73EF8">
        <w:rPr>
          <w:rFonts w:cstheme="minorHAnsi"/>
          <w:i/>
          <w:iCs/>
          <w:lang w:val="fr-FR"/>
        </w:rPr>
        <w:t>Doc. Parl.</w:t>
      </w:r>
      <w:r w:rsidRPr="00F73EF8">
        <w:rPr>
          <w:rFonts w:cstheme="minorHAnsi"/>
          <w:lang w:val="fr-FR"/>
        </w:rPr>
        <w:t>, 2019, n°0173/001, p. 12.</w:t>
      </w:r>
    </w:p>
  </w:footnote>
  <w:footnote w:id="103">
    <w:p w14:paraId="3FDB8455" w14:textId="647CFF13"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Proposition de loi portant insertion du livre 3 « Les biens » dans le nouveau Code civil, Commentaire des articles, </w:t>
      </w:r>
      <w:r w:rsidRPr="00F73EF8">
        <w:rPr>
          <w:rFonts w:cstheme="minorHAnsi"/>
          <w:i/>
          <w:iCs/>
          <w:lang w:val="fr-FR"/>
        </w:rPr>
        <w:t>Doc. Parl.</w:t>
      </w:r>
      <w:r w:rsidRPr="00F73EF8">
        <w:rPr>
          <w:rFonts w:cstheme="minorHAnsi"/>
          <w:lang w:val="fr-FR"/>
        </w:rPr>
        <w:t>, 2019, n°0173/001, p. 324.</w:t>
      </w:r>
    </w:p>
  </w:footnote>
  <w:footnote w:id="104">
    <w:p w14:paraId="2CC1919F" w14:textId="6342B515" w:rsidR="00344520" w:rsidRPr="00F73EF8" w:rsidRDefault="00344520" w:rsidP="00224FD0">
      <w:pPr>
        <w:autoSpaceDE w:val="0"/>
        <w:autoSpaceDN w:val="0"/>
        <w:adjustRightInd w:val="0"/>
        <w:spacing w:after="0" w:line="240" w:lineRule="auto"/>
        <w:rPr>
          <w:rFonts w:cstheme="minorHAnsi"/>
          <w:sz w:val="20"/>
          <w:szCs w:val="20"/>
          <w:lang w:val="fr-FR"/>
        </w:rPr>
      </w:pPr>
      <w:r w:rsidRPr="00F73EF8">
        <w:rPr>
          <w:rStyle w:val="Appelnotedebasdep"/>
          <w:rFonts w:cstheme="minorHAnsi"/>
          <w:sz w:val="20"/>
          <w:szCs w:val="20"/>
        </w:rPr>
        <w:footnoteRef/>
      </w:r>
      <w:r w:rsidRPr="00F73EF8">
        <w:rPr>
          <w:rFonts w:cstheme="minorHAnsi"/>
          <w:sz w:val="20"/>
          <w:szCs w:val="20"/>
        </w:rPr>
        <w:t xml:space="preserve"> </w:t>
      </w:r>
      <w:r w:rsidRPr="00F73EF8">
        <w:rPr>
          <w:rFonts w:cstheme="minorHAnsi"/>
          <w:sz w:val="20"/>
          <w:szCs w:val="20"/>
          <w:lang w:val="fr-FR"/>
        </w:rPr>
        <w:t xml:space="preserve">Cass., 23 janvier 2015, C.13.0579.N., </w:t>
      </w:r>
      <w:r w:rsidRPr="00F73EF8">
        <w:rPr>
          <w:rFonts w:cstheme="minorHAnsi"/>
          <w:i/>
          <w:sz w:val="20"/>
          <w:szCs w:val="20"/>
          <w:lang w:val="fr-FR"/>
        </w:rPr>
        <w:t>J.T.</w:t>
      </w:r>
      <w:r w:rsidRPr="00F73EF8">
        <w:rPr>
          <w:rFonts w:cstheme="minorHAnsi"/>
          <w:sz w:val="20"/>
          <w:szCs w:val="20"/>
          <w:lang w:val="fr-FR"/>
        </w:rPr>
        <w:t xml:space="preserve">, 2015, p. 734 et note S. </w:t>
      </w:r>
      <w:r w:rsidRPr="00F73EF8">
        <w:rPr>
          <w:rFonts w:cstheme="minorHAnsi"/>
          <w:smallCaps/>
          <w:sz w:val="20"/>
          <w:szCs w:val="20"/>
          <w:lang w:val="fr-FR"/>
        </w:rPr>
        <w:t>Lagasse</w:t>
      </w:r>
      <w:r w:rsidRPr="00F73EF8">
        <w:rPr>
          <w:rFonts w:cstheme="minorHAnsi"/>
          <w:sz w:val="20"/>
          <w:szCs w:val="20"/>
          <w:lang w:val="fr-FR"/>
        </w:rPr>
        <w:t xml:space="preserve"> ; </w:t>
      </w:r>
      <w:r w:rsidRPr="00F73EF8">
        <w:rPr>
          <w:rFonts w:cstheme="minorHAnsi"/>
          <w:i/>
          <w:sz w:val="20"/>
          <w:szCs w:val="20"/>
          <w:lang w:val="fr-FR"/>
        </w:rPr>
        <w:t>D.A.O.R.</w:t>
      </w:r>
      <w:r w:rsidRPr="00F73EF8">
        <w:rPr>
          <w:rFonts w:cstheme="minorHAnsi"/>
          <w:sz w:val="20"/>
          <w:szCs w:val="20"/>
          <w:lang w:val="fr-FR"/>
        </w:rPr>
        <w:t xml:space="preserve">, 2015, p. 18 et note D. Mertens ; </w:t>
      </w:r>
      <w:r w:rsidRPr="00F73EF8">
        <w:rPr>
          <w:rFonts w:cstheme="minorHAnsi"/>
          <w:i/>
          <w:sz w:val="20"/>
          <w:szCs w:val="20"/>
          <w:lang w:val="fr-FR"/>
        </w:rPr>
        <w:t>R.W.</w:t>
      </w:r>
      <w:r w:rsidRPr="00F73EF8">
        <w:rPr>
          <w:rFonts w:cstheme="minorHAnsi"/>
          <w:sz w:val="20"/>
          <w:szCs w:val="20"/>
          <w:lang w:val="fr-FR"/>
        </w:rPr>
        <w:t xml:space="preserve">, 2015-2016, p. 1187 et note F. </w:t>
      </w:r>
      <w:r w:rsidRPr="00F73EF8">
        <w:rPr>
          <w:rFonts w:cstheme="minorHAnsi"/>
          <w:smallCaps/>
          <w:sz w:val="20"/>
          <w:szCs w:val="20"/>
          <w:lang w:val="fr-FR"/>
        </w:rPr>
        <w:t>Peeraer</w:t>
      </w:r>
      <w:r w:rsidRPr="00F73EF8">
        <w:rPr>
          <w:rFonts w:cstheme="minorHAnsi"/>
          <w:sz w:val="20"/>
          <w:szCs w:val="20"/>
          <w:lang w:val="fr-FR"/>
        </w:rPr>
        <w:t xml:space="preserve"> ; </w:t>
      </w:r>
      <w:r w:rsidRPr="00F73EF8">
        <w:rPr>
          <w:rFonts w:cstheme="minorHAnsi"/>
          <w:i/>
          <w:sz w:val="20"/>
          <w:szCs w:val="20"/>
          <w:lang w:val="fr-FR"/>
        </w:rPr>
        <w:t>R.D.C.</w:t>
      </w:r>
      <w:r w:rsidRPr="00F73EF8">
        <w:rPr>
          <w:rFonts w:cstheme="minorHAnsi"/>
          <w:sz w:val="20"/>
          <w:szCs w:val="20"/>
          <w:lang w:val="fr-FR"/>
        </w:rPr>
        <w:t xml:space="preserve">, 2016, p. 386 et note T. </w:t>
      </w:r>
      <w:r w:rsidRPr="00F73EF8">
        <w:rPr>
          <w:rFonts w:cstheme="minorHAnsi"/>
          <w:smallCaps/>
          <w:sz w:val="20"/>
          <w:szCs w:val="20"/>
          <w:lang w:val="fr-FR"/>
        </w:rPr>
        <w:t>Tanghe</w:t>
      </w:r>
      <w:r w:rsidRPr="00F73EF8">
        <w:rPr>
          <w:rFonts w:cstheme="minorHAnsi"/>
          <w:sz w:val="20"/>
          <w:szCs w:val="20"/>
          <w:lang w:val="fr-FR"/>
        </w:rPr>
        <w:t xml:space="preserve"> et note A. </w:t>
      </w:r>
      <w:r w:rsidRPr="00F73EF8">
        <w:rPr>
          <w:rFonts w:cstheme="minorHAnsi"/>
          <w:smallCaps/>
          <w:sz w:val="20"/>
          <w:szCs w:val="20"/>
          <w:lang w:val="fr-FR"/>
        </w:rPr>
        <w:t>Snyers</w:t>
      </w:r>
      <w:r w:rsidRPr="00F73EF8">
        <w:rPr>
          <w:rFonts w:cstheme="minorHAnsi"/>
          <w:sz w:val="20"/>
          <w:szCs w:val="20"/>
          <w:lang w:val="fr-FR"/>
        </w:rPr>
        <w:t xml:space="preserve"> ; Cass., 25 juin 2015, C.14.008.F., et concl. av. gén. T. Werquin, </w:t>
      </w:r>
      <w:r w:rsidRPr="00F73EF8">
        <w:rPr>
          <w:rFonts w:cstheme="minorHAnsi"/>
          <w:i/>
          <w:sz w:val="20"/>
          <w:szCs w:val="20"/>
          <w:lang w:val="fr-FR"/>
        </w:rPr>
        <w:t>J.T.</w:t>
      </w:r>
      <w:r w:rsidRPr="00F73EF8">
        <w:rPr>
          <w:rFonts w:cstheme="minorHAnsi"/>
          <w:sz w:val="20"/>
          <w:szCs w:val="20"/>
          <w:lang w:val="fr-FR"/>
        </w:rPr>
        <w:t xml:space="preserve">, 2015, p. 727 et note S. </w:t>
      </w:r>
      <w:r w:rsidRPr="00F73EF8">
        <w:rPr>
          <w:rFonts w:cstheme="minorHAnsi"/>
          <w:smallCaps/>
          <w:sz w:val="20"/>
          <w:szCs w:val="20"/>
          <w:lang w:val="fr-FR"/>
        </w:rPr>
        <w:t>Lagasse</w:t>
      </w:r>
      <w:r w:rsidRPr="00F73EF8">
        <w:rPr>
          <w:rFonts w:cstheme="minorHAnsi"/>
          <w:sz w:val="20"/>
          <w:szCs w:val="20"/>
          <w:lang w:val="fr-FR"/>
        </w:rPr>
        <w:t xml:space="preserve"> ; </w:t>
      </w:r>
      <w:r w:rsidRPr="00F73EF8">
        <w:rPr>
          <w:rFonts w:cstheme="minorHAnsi"/>
          <w:i/>
          <w:sz w:val="20"/>
          <w:szCs w:val="20"/>
          <w:lang w:val="fr-FR"/>
        </w:rPr>
        <w:t>J.L.M.B.</w:t>
      </w:r>
      <w:r w:rsidRPr="00F73EF8">
        <w:rPr>
          <w:rFonts w:cstheme="minorHAnsi"/>
          <w:sz w:val="20"/>
          <w:szCs w:val="20"/>
          <w:lang w:val="fr-FR"/>
        </w:rPr>
        <w:t xml:space="preserve">, 2015, p. 1305 ; </w:t>
      </w:r>
      <w:r w:rsidRPr="00F73EF8">
        <w:rPr>
          <w:rFonts w:cstheme="minorHAnsi"/>
          <w:i/>
          <w:sz w:val="20"/>
          <w:szCs w:val="20"/>
          <w:lang w:val="fr-FR"/>
        </w:rPr>
        <w:t>R.D.C.</w:t>
      </w:r>
      <w:r w:rsidRPr="00F73EF8">
        <w:rPr>
          <w:rFonts w:cstheme="minorHAnsi"/>
          <w:sz w:val="20"/>
          <w:szCs w:val="20"/>
          <w:lang w:val="fr-FR"/>
        </w:rPr>
        <w:t xml:space="preserve">, 2016, p. 382 et note T. </w:t>
      </w:r>
      <w:r w:rsidRPr="00F73EF8">
        <w:rPr>
          <w:rFonts w:cstheme="minorHAnsi"/>
          <w:smallCaps/>
          <w:sz w:val="20"/>
          <w:szCs w:val="20"/>
          <w:lang w:val="fr-FR"/>
        </w:rPr>
        <w:t>Tanghe</w:t>
      </w:r>
      <w:r w:rsidRPr="00F73EF8">
        <w:rPr>
          <w:rFonts w:cstheme="minorHAnsi"/>
          <w:sz w:val="20"/>
          <w:szCs w:val="20"/>
          <w:lang w:val="fr-FR"/>
        </w:rPr>
        <w:t xml:space="preserve"> et note A. </w:t>
      </w:r>
      <w:r w:rsidRPr="00F73EF8">
        <w:rPr>
          <w:rFonts w:cstheme="minorHAnsi"/>
          <w:smallCaps/>
          <w:sz w:val="20"/>
          <w:szCs w:val="20"/>
          <w:lang w:val="fr-FR"/>
        </w:rPr>
        <w:t>Snyers</w:t>
      </w:r>
      <w:r w:rsidRPr="00F73EF8">
        <w:rPr>
          <w:rFonts w:cstheme="minorHAnsi"/>
          <w:sz w:val="20"/>
          <w:szCs w:val="20"/>
          <w:lang w:val="fr-FR"/>
        </w:rPr>
        <w:t xml:space="preserve"> ; </w:t>
      </w:r>
      <w:r w:rsidRPr="00F73EF8">
        <w:rPr>
          <w:rFonts w:cstheme="minorHAnsi"/>
          <w:i/>
          <w:sz w:val="20"/>
          <w:szCs w:val="20"/>
          <w:lang w:val="fr-FR"/>
        </w:rPr>
        <w:t>R.C.J.B.</w:t>
      </w:r>
      <w:r w:rsidRPr="00F73EF8">
        <w:rPr>
          <w:rFonts w:cstheme="minorHAnsi"/>
          <w:sz w:val="20"/>
          <w:szCs w:val="20"/>
          <w:lang w:val="fr-FR"/>
        </w:rPr>
        <w:t xml:space="preserve">, 2016, p. 379 et note P. </w:t>
      </w:r>
      <w:r w:rsidRPr="00F73EF8">
        <w:rPr>
          <w:rFonts w:cstheme="minorHAnsi"/>
          <w:smallCaps/>
          <w:sz w:val="20"/>
          <w:szCs w:val="20"/>
          <w:lang w:val="fr-FR"/>
        </w:rPr>
        <w:t>Wéry</w:t>
      </w:r>
      <w:r w:rsidRPr="00F73EF8">
        <w:rPr>
          <w:rFonts w:cstheme="minorHAnsi"/>
          <w:sz w:val="20"/>
          <w:szCs w:val="20"/>
          <w:lang w:val="fr-FR"/>
        </w:rPr>
        <w:t>.</w:t>
      </w:r>
    </w:p>
  </w:footnote>
  <w:footnote w:id="105">
    <w:p w14:paraId="209A80BF" w14:textId="28B423A5" w:rsidR="00344520" w:rsidRPr="00F73EF8" w:rsidRDefault="00344520" w:rsidP="00224FD0">
      <w:pPr>
        <w:autoSpaceDE w:val="0"/>
        <w:autoSpaceDN w:val="0"/>
        <w:adjustRightInd w:val="0"/>
        <w:spacing w:after="0" w:line="240" w:lineRule="auto"/>
        <w:rPr>
          <w:rFonts w:cstheme="minorHAnsi"/>
          <w:sz w:val="20"/>
          <w:szCs w:val="20"/>
        </w:rPr>
      </w:pPr>
      <w:r w:rsidRPr="00F73EF8">
        <w:rPr>
          <w:rStyle w:val="Appelnotedebasdep"/>
          <w:rFonts w:cstheme="minorHAnsi"/>
          <w:sz w:val="20"/>
          <w:szCs w:val="20"/>
        </w:rPr>
        <w:footnoteRef/>
      </w:r>
      <w:r w:rsidRPr="00F73EF8">
        <w:rPr>
          <w:rFonts w:cstheme="minorHAnsi"/>
          <w:sz w:val="20"/>
          <w:szCs w:val="20"/>
        </w:rPr>
        <w:t xml:space="preserve"> Pour un aperçu de la question, voy. </w:t>
      </w:r>
      <w:r w:rsidRPr="00F73EF8">
        <w:rPr>
          <w:rFonts w:cstheme="minorHAnsi"/>
          <w:sz w:val="20"/>
          <w:szCs w:val="20"/>
          <w:lang w:val="fr-FR"/>
        </w:rPr>
        <w:t xml:space="preserve">Y. </w:t>
      </w:r>
      <w:r w:rsidRPr="00F73EF8">
        <w:rPr>
          <w:rFonts w:cstheme="minorHAnsi"/>
          <w:smallCaps/>
          <w:sz w:val="20"/>
          <w:szCs w:val="20"/>
          <w:lang w:val="fr-FR"/>
        </w:rPr>
        <w:t>Ninane</w:t>
      </w:r>
      <w:r w:rsidRPr="00F73EF8">
        <w:rPr>
          <w:rFonts w:cstheme="minorHAnsi"/>
          <w:sz w:val="20"/>
          <w:szCs w:val="20"/>
          <w:lang w:val="fr-FR"/>
        </w:rPr>
        <w:t xml:space="preserve"> et J-F </w:t>
      </w:r>
      <w:r w:rsidRPr="00F73EF8">
        <w:rPr>
          <w:rFonts w:cstheme="minorHAnsi"/>
          <w:smallCaps/>
          <w:sz w:val="20"/>
          <w:szCs w:val="20"/>
          <w:lang w:val="fr-FR"/>
        </w:rPr>
        <w:t>Germain</w:t>
      </w:r>
      <w:r w:rsidRPr="00F73EF8">
        <w:rPr>
          <w:rFonts w:cstheme="minorHAnsi"/>
          <w:sz w:val="20"/>
          <w:szCs w:val="20"/>
          <w:lang w:val="fr-FR"/>
        </w:rPr>
        <w:t>, « </w:t>
      </w:r>
      <w:r w:rsidRPr="00F73EF8">
        <w:rPr>
          <w:rFonts w:cstheme="minorHAnsi"/>
          <w:bCs/>
          <w:sz w:val="20"/>
          <w:szCs w:val="20"/>
          <w:lang w:val="fr-FR"/>
        </w:rPr>
        <w:t xml:space="preserve">Examen des mécanismes alternatifs a la nullité totale : nullité partielle, réduction et conversion », in </w:t>
      </w:r>
      <w:r w:rsidRPr="00F73EF8">
        <w:rPr>
          <w:rFonts w:cstheme="minorHAnsi"/>
          <w:sz w:val="20"/>
          <w:szCs w:val="20"/>
        </w:rPr>
        <w:t>C. Delforge et J. Van Meerbeeck (coord.), Les nullités en droit des contrats. État des lieux et perspectives, Limal, Anthemis, 2017, pp. 197 à 220.</w:t>
      </w:r>
    </w:p>
  </w:footnote>
  <w:footnote w:id="106">
    <w:p w14:paraId="32CFA554" w14:textId="204EB7A1"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b/>
          <w:bCs/>
        </w:rPr>
        <w:t> </w:t>
      </w:r>
      <w:r w:rsidRPr="00F73EF8">
        <w:rPr>
          <w:rFonts w:cstheme="minorHAnsi"/>
        </w:rPr>
        <w:t>L’article 3.174 précise que «</w:t>
      </w:r>
      <w:r w:rsidRPr="00F73EF8">
        <w:rPr>
          <w:rFonts w:cstheme="minorHAnsi"/>
          <w:b/>
          <w:bCs/>
        </w:rPr>
        <w:t> </w:t>
      </w:r>
      <w:r w:rsidRPr="00F73EF8">
        <w:rPr>
          <w:rFonts w:cstheme="minorHAnsi"/>
          <w:i/>
          <w:iCs/>
        </w:rPr>
        <w:t>le droit d'emphytéose s'éteint par les causes visées aux articles 3.15 et 3.16 même si elles se produisent avant le délai minimal de quinze ans</w:t>
      </w:r>
      <w:r w:rsidRPr="00F73EF8">
        <w:rPr>
          <w:rFonts w:cstheme="minorHAnsi"/>
        </w:rPr>
        <w:t> ».</w:t>
      </w:r>
    </w:p>
  </w:footnote>
  <w:footnote w:id="107">
    <w:p w14:paraId="5AF7BEC5" w14:textId="717AB315"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Proposition de loi portant insertion du livre 3 « Les biens » dans le nouveau Code civil, Commentaire des articles, </w:t>
      </w:r>
      <w:r w:rsidRPr="00F73EF8">
        <w:rPr>
          <w:rFonts w:cstheme="minorHAnsi"/>
          <w:i/>
          <w:iCs/>
          <w:lang w:val="fr-FR"/>
        </w:rPr>
        <w:t>Doc. Parl.</w:t>
      </w:r>
      <w:r w:rsidRPr="00F73EF8">
        <w:rPr>
          <w:rFonts w:cstheme="minorHAnsi"/>
          <w:lang w:val="fr-FR"/>
        </w:rPr>
        <w:t>, 2019, n°0173/001, p. 325.</w:t>
      </w:r>
    </w:p>
  </w:footnote>
  <w:footnote w:id="108">
    <w:p w14:paraId="4024E361" w14:textId="2E899628"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Concernant la contrariété de ce genre ce clauses avec l’article 3 de la loi relative aux baux commerciaux et/ou avec l’article 1762</w:t>
      </w:r>
      <w:r w:rsidRPr="00F73EF8">
        <w:rPr>
          <w:rFonts w:cstheme="minorHAnsi"/>
          <w:i/>
          <w:iCs/>
        </w:rPr>
        <w:t>bis</w:t>
      </w:r>
      <w:r w:rsidRPr="00F73EF8">
        <w:rPr>
          <w:rFonts w:cstheme="minorHAnsi"/>
        </w:rPr>
        <w:t xml:space="preserve"> du Code civil, voy. C. </w:t>
      </w:r>
      <w:r w:rsidRPr="00F73EF8">
        <w:rPr>
          <w:rFonts w:cstheme="minorHAnsi"/>
          <w:smallCaps/>
          <w:lang w:val="en-US"/>
        </w:rPr>
        <w:t>Delforge</w:t>
      </w:r>
      <w:r w:rsidRPr="00F73EF8">
        <w:rPr>
          <w:rFonts w:cstheme="minorHAnsi"/>
        </w:rPr>
        <w:t xml:space="preserve"> et Y. </w:t>
      </w:r>
      <w:r w:rsidRPr="00F73EF8">
        <w:rPr>
          <w:rFonts w:cstheme="minorHAnsi"/>
          <w:smallCaps/>
          <w:lang w:val="en-US"/>
        </w:rPr>
        <w:t>Ninane</w:t>
      </w:r>
      <w:r w:rsidRPr="00F73EF8">
        <w:rPr>
          <w:rFonts w:cstheme="minorHAnsi"/>
        </w:rPr>
        <w:t xml:space="preserve">, </w:t>
      </w:r>
      <w:r w:rsidRPr="00F73EF8">
        <w:rPr>
          <w:rFonts w:cstheme="minorHAnsi"/>
          <w:i/>
          <w:iCs/>
        </w:rPr>
        <w:t>op. cit.</w:t>
      </w:r>
      <w:r w:rsidRPr="00F73EF8">
        <w:rPr>
          <w:rFonts w:cstheme="minorHAnsi"/>
        </w:rPr>
        <w:t>, pp. 75 à 80, n°35 à 43.</w:t>
      </w:r>
    </w:p>
  </w:footnote>
  <w:footnote w:id="109">
    <w:p w14:paraId="51F2EDFD" w14:textId="585F2E9F"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Proposition de loi portant insertion du livre 3 « Les biens » dans le nouveau Code civil, Commentaire des articles, </w:t>
      </w:r>
      <w:r w:rsidRPr="00F73EF8">
        <w:rPr>
          <w:rFonts w:cstheme="minorHAnsi"/>
          <w:i/>
          <w:iCs/>
          <w:lang w:val="fr-FR"/>
        </w:rPr>
        <w:t>Doc. Parl.</w:t>
      </w:r>
      <w:r w:rsidRPr="00F73EF8">
        <w:rPr>
          <w:rFonts w:cstheme="minorHAnsi"/>
          <w:lang w:val="fr-FR"/>
        </w:rPr>
        <w:t>, 2019, n°0173/001, p. 325.</w:t>
      </w:r>
    </w:p>
  </w:footnote>
  <w:footnote w:id="110">
    <w:p w14:paraId="61ABE083" w14:textId="0C146770"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Qu’il s’agisse d’un bail de droit commun ou d’un bail relevant d’un régime organisé par une loi particulière, tel que le bail commercial (</w:t>
      </w:r>
      <w:r w:rsidRPr="00F73EF8">
        <w:rPr>
          <w:rFonts w:cstheme="minorHAnsi"/>
        </w:rPr>
        <w:t xml:space="preserve">M. </w:t>
      </w:r>
      <w:r w:rsidRPr="00F73EF8">
        <w:rPr>
          <w:rFonts w:cstheme="minorHAnsi"/>
          <w:smallCaps/>
          <w:lang w:val="en-US"/>
        </w:rPr>
        <w:t>Vanwijck</w:t>
      </w:r>
      <w:r w:rsidRPr="00F73EF8">
        <w:rPr>
          <w:rFonts w:cstheme="minorHAnsi"/>
        </w:rPr>
        <w:t>-</w:t>
      </w:r>
      <w:r w:rsidRPr="00F73EF8">
        <w:rPr>
          <w:rFonts w:cstheme="minorHAnsi"/>
          <w:smallCaps/>
          <w:lang w:val="en-US"/>
        </w:rPr>
        <w:t>Alexandre</w:t>
      </w:r>
      <w:r w:rsidRPr="00F73EF8">
        <w:rPr>
          <w:rFonts w:cstheme="minorHAnsi"/>
        </w:rPr>
        <w:t xml:space="preserve">, « Les clauses relatives à la prévision de l’inexécution », in </w:t>
      </w:r>
      <w:r w:rsidRPr="00F73EF8">
        <w:rPr>
          <w:rFonts w:cstheme="minorHAnsi"/>
          <w:i/>
        </w:rPr>
        <w:t>Les clauses applicables en cas d’inexécution des obligations contractuelles</w:t>
      </w:r>
      <w:r w:rsidRPr="00F73EF8">
        <w:rPr>
          <w:rFonts w:cstheme="minorHAnsi"/>
        </w:rPr>
        <w:t>, Bruxelles, La Charte, 2001, pp. 224-225, n° 29).</w:t>
      </w:r>
      <w:r w:rsidRPr="00F73EF8">
        <w:rPr>
          <w:rFonts w:cstheme="minorHAnsi"/>
          <w:lang w:val="fr-FR"/>
        </w:rPr>
        <w:t xml:space="preserve">  </w:t>
      </w:r>
    </w:p>
  </w:footnote>
  <w:footnote w:id="111">
    <w:p w14:paraId="105CF16A" w14:textId="4D77D8D7" w:rsidR="00344520" w:rsidRPr="00F73EF8" w:rsidRDefault="00344520" w:rsidP="0081715E">
      <w:pPr>
        <w:autoSpaceDE w:val="0"/>
        <w:autoSpaceDN w:val="0"/>
        <w:adjustRightInd w:val="0"/>
        <w:spacing w:after="0" w:line="240" w:lineRule="auto"/>
        <w:rPr>
          <w:rFonts w:cstheme="minorHAnsi"/>
          <w:sz w:val="20"/>
          <w:szCs w:val="20"/>
          <w:lang w:val="fr-FR"/>
        </w:rPr>
      </w:pPr>
      <w:r w:rsidRPr="00F73EF8">
        <w:rPr>
          <w:rStyle w:val="Appelnotedebasdep"/>
          <w:rFonts w:cstheme="minorHAnsi"/>
          <w:sz w:val="20"/>
          <w:szCs w:val="20"/>
        </w:rPr>
        <w:footnoteRef/>
      </w:r>
      <w:r w:rsidRPr="00F73EF8">
        <w:rPr>
          <w:rFonts w:cstheme="minorHAnsi"/>
          <w:sz w:val="20"/>
          <w:szCs w:val="20"/>
        </w:rPr>
        <w:t xml:space="preserve"> </w:t>
      </w:r>
      <w:r w:rsidRPr="00F73EF8">
        <w:rPr>
          <w:rFonts w:cstheme="minorHAnsi"/>
          <w:sz w:val="20"/>
          <w:szCs w:val="20"/>
          <w:lang w:val="fr-FR"/>
        </w:rPr>
        <w:t xml:space="preserve">B. </w:t>
      </w:r>
      <w:r w:rsidRPr="00F73EF8">
        <w:rPr>
          <w:rFonts w:cstheme="minorHAnsi"/>
          <w:smallCaps/>
          <w:sz w:val="20"/>
          <w:szCs w:val="20"/>
        </w:rPr>
        <w:t>Khol</w:t>
      </w:r>
      <w:r w:rsidRPr="00F73EF8">
        <w:rPr>
          <w:rFonts w:cstheme="minorHAnsi"/>
          <w:sz w:val="20"/>
          <w:szCs w:val="20"/>
          <w:lang w:val="fr-FR"/>
        </w:rPr>
        <w:t xml:space="preserve">, « La prorogation et la reconduction du contrat », in P. Wéry (dir.), </w:t>
      </w:r>
      <w:r w:rsidRPr="00F73EF8">
        <w:rPr>
          <w:rFonts w:cstheme="minorHAnsi"/>
          <w:i/>
          <w:iCs/>
          <w:sz w:val="20"/>
          <w:szCs w:val="20"/>
          <w:lang w:val="fr-FR"/>
        </w:rPr>
        <w:t>La fin du contrat</w:t>
      </w:r>
      <w:r w:rsidRPr="00F73EF8">
        <w:rPr>
          <w:rFonts w:cstheme="minorHAnsi"/>
          <w:sz w:val="20"/>
          <w:szCs w:val="20"/>
          <w:lang w:val="fr-FR"/>
        </w:rPr>
        <w:t>, Liège, Formation permanente CUP, vol. 51, 2001, p. 82, n°23 et p. 84, n°26.</w:t>
      </w:r>
    </w:p>
  </w:footnote>
  <w:footnote w:id="112">
    <w:p w14:paraId="315429C6" w14:textId="5868FDCF" w:rsidR="00344520" w:rsidRPr="00F73EF8" w:rsidRDefault="00344520" w:rsidP="00AF5C73">
      <w:pPr>
        <w:autoSpaceDE w:val="0"/>
        <w:autoSpaceDN w:val="0"/>
        <w:adjustRightInd w:val="0"/>
        <w:spacing w:after="0" w:line="240" w:lineRule="auto"/>
        <w:rPr>
          <w:rFonts w:cstheme="minorHAnsi"/>
          <w:sz w:val="20"/>
          <w:szCs w:val="20"/>
          <w:lang w:val="fr-FR"/>
        </w:rPr>
      </w:pPr>
      <w:r w:rsidRPr="00F73EF8">
        <w:rPr>
          <w:rStyle w:val="Appelnotedebasdep"/>
          <w:rFonts w:cstheme="minorHAnsi"/>
          <w:sz w:val="20"/>
          <w:szCs w:val="20"/>
        </w:rPr>
        <w:footnoteRef/>
      </w:r>
      <w:r w:rsidRPr="00F73EF8">
        <w:rPr>
          <w:rFonts w:cstheme="minorHAnsi"/>
          <w:sz w:val="20"/>
          <w:szCs w:val="20"/>
        </w:rPr>
        <w:t xml:space="preserve"> P. </w:t>
      </w:r>
      <w:r w:rsidRPr="00F73EF8">
        <w:rPr>
          <w:rFonts w:cstheme="minorHAnsi"/>
          <w:smallCaps/>
          <w:sz w:val="20"/>
          <w:szCs w:val="20"/>
        </w:rPr>
        <w:t>Lecocq, S. Boufflette, A. Salve</w:t>
      </w:r>
      <w:r w:rsidRPr="00F73EF8">
        <w:rPr>
          <w:rFonts w:cstheme="minorHAnsi"/>
          <w:sz w:val="20"/>
          <w:szCs w:val="20"/>
        </w:rPr>
        <w:t xml:space="preserve"> et R. </w:t>
      </w:r>
      <w:r w:rsidRPr="00F73EF8">
        <w:rPr>
          <w:rFonts w:cstheme="minorHAnsi"/>
          <w:smallCaps/>
          <w:sz w:val="20"/>
          <w:szCs w:val="20"/>
        </w:rPr>
        <w:t>Popa</w:t>
      </w:r>
      <w:r w:rsidRPr="00F73EF8">
        <w:rPr>
          <w:rFonts w:cstheme="minorHAnsi"/>
          <w:sz w:val="20"/>
          <w:szCs w:val="20"/>
        </w:rPr>
        <w:t xml:space="preserve">, </w:t>
      </w:r>
      <w:r w:rsidRPr="00F73EF8">
        <w:rPr>
          <w:rFonts w:cstheme="minorHAnsi"/>
          <w:i/>
          <w:iCs/>
          <w:sz w:val="20"/>
          <w:szCs w:val="20"/>
        </w:rPr>
        <w:t>Manuel de droit des biens. Droits réels principaux démembrés</w:t>
      </w:r>
      <w:r w:rsidRPr="00F73EF8">
        <w:rPr>
          <w:rFonts w:cstheme="minorHAnsi"/>
          <w:sz w:val="20"/>
          <w:szCs w:val="20"/>
        </w:rPr>
        <w:t>, t. 2</w:t>
      </w:r>
      <w:r w:rsidRPr="00F73EF8">
        <w:rPr>
          <w:rFonts w:cstheme="minorHAnsi"/>
          <w:i/>
          <w:iCs/>
          <w:sz w:val="20"/>
          <w:szCs w:val="20"/>
        </w:rPr>
        <w:t>, Bruxelles, Larcier, 2016,</w:t>
      </w:r>
      <w:r w:rsidRPr="00F73EF8">
        <w:rPr>
          <w:rFonts w:cstheme="minorHAnsi"/>
          <w:sz w:val="20"/>
          <w:szCs w:val="20"/>
        </w:rPr>
        <w:t xml:space="preserve"> p. 453 ; n° 4 ; V. </w:t>
      </w:r>
      <w:r w:rsidRPr="00F73EF8">
        <w:rPr>
          <w:rFonts w:cstheme="minorHAnsi"/>
          <w:smallCaps/>
          <w:sz w:val="20"/>
          <w:szCs w:val="20"/>
        </w:rPr>
        <w:t>Sagaert</w:t>
      </w:r>
      <w:r w:rsidRPr="00F73EF8">
        <w:rPr>
          <w:rFonts w:cstheme="minorHAnsi"/>
          <w:sz w:val="20"/>
          <w:szCs w:val="20"/>
        </w:rPr>
        <w:t xml:space="preserve">, </w:t>
      </w:r>
      <w:r w:rsidRPr="00F73EF8">
        <w:rPr>
          <w:rFonts w:cstheme="minorHAnsi"/>
          <w:i/>
          <w:iCs/>
          <w:sz w:val="20"/>
          <w:szCs w:val="20"/>
        </w:rPr>
        <w:t>Goederenrecht</w:t>
      </w:r>
      <w:r w:rsidRPr="00F73EF8">
        <w:rPr>
          <w:rFonts w:cstheme="minorHAnsi"/>
          <w:sz w:val="20"/>
          <w:szCs w:val="20"/>
        </w:rPr>
        <w:t>, nr. 693-694.</w:t>
      </w:r>
    </w:p>
  </w:footnote>
  <w:footnote w:id="113">
    <w:p w14:paraId="3307CE33" w14:textId="6F6F4EB1"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Proposition de loi portant insertion du livre 3 « Les biens » dans le nouveau Code civil, Commentaire des articles, </w:t>
      </w:r>
      <w:r w:rsidRPr="00F73EF8">
        <w:rPr>
          <w:rFonts w:cstheme="minorHAnsi"/>
          <w:i/>
          <w:iCs/>
          <w:lang w:val="fr-FR"/>
        </w:rPr>
        <w:t>Doc. Parl.</w:t>
      </w:r>
      <w:r w:rsidRPr="00F73EF8">
        <w:rPr>
          <w:rFonts w:cstheme="minorHAnsi"/>
          <w:lang w:val="fr-FR"/>
        </w:rPr>
        <w:t>, 2019, n°0173/001, p. 316.</w:t>
      </w:r>
    </w:p>
  </w:footnote>
  <w:footnote w:id="114">
    <w:p w14:paraId="07BE5736" w14:textId="2E81D6E5" w:rsidR="00344520" w:rsidRPr="00F73EF8" w:rsidRDefault="00344520" w:rsidP="004165B9">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N. Bernard et V. Defraiteur (</w:t>
      </w:r>
      <w:r w:rsidRPr="00F73EF8">
        <w:rPr>
          <w:rFonts w:cstheme="minorHAnsi"/>
          <w:i/>
          <w:iCs/>
          <w:lang w:val="fr-FR"/>
        </w:rPr>
        <w:t>op. cit.</w:t>
      </w:r>
      <w:r w:rsidRPr="00F73EF8">
        <w:rPr>
          <w:rFonts w:cstheme="minorHAnsi"/>
          <w:lang w:val="fr-FR"/>
        </w:rPr>
        <w:t>, p. 435, n°59) constatent cependant « </w:t>
      </w:r>
      <w:r w:rsidRPr="00F73EF8">
        <w:rPr>
          <w:rFonts w:cstheme="minorHAnsi"/>
          <w:i/>
          <w:iCs/>
          <w:lang w:val="fr-FR"/>
        </w:rPr>
        <w:t>qu’un certain flou demeure</w:t>
      </w:r>
      <w:r w:rsidRPr="00F73EF8">
        <w:rPr>
          <w:rFonts w:cstheme="minorHAnsi"/>
          <w:lang w:val="fr-FR"/>
        </w:rPr>
        <w:t> » dès lors qu’à la différence de ce qu’ils indiquent pour le droit d’emphytéose, les auteurs de la proposition de loi n’effectuent aucune distinction quant à la durée totale du droit de superficie lorsqu’il fait l’objet de renouvellement(s), selon que ceux-ci soient ou non prévus dès la conclusion du premier contrat : « </w:t>
      </w:r>
      <w:r w:rsidRPr="00F73EF8">
        <w:rPr>
          <w:rFonts w:cstheme="minorHAnsi"/>
          <w:i/>
          <w:iCs/>
        </w:rPr>
        <w:t>Le renouvellement du droit de superficie ne peut plus s’opérer que de l’accord exprès des parties et pour une durée maximale, en toutes hypothèses, de 99 ans</w:t>
      </w:r>
      <w:r w:rsidRPr="00F73EF8">
        <w:rPr>
          <w:rFonts w:cstheme="minorHAnsi"/>
        </w:rPr>
        <w:t> » (</w:t>
      </w:r>
      <w:r w:rsidRPr="00F73EF8">
        <w:rPr>
          <w:rFonts w:cstheme="minorHAnsi"/>
          <w:lang w:val="fr-FR"/>
        </w:rPr>
        <w:t xml:space="preserve">Proposition de loi portant insertion du livre 3 « Les biens » dans le nouveau Code civil, Commentaire des articles, </w:t>
      </w:r>
      <w:r w:rsidRPr="00F73EF8">
        <w:rPr>
          <w:rFonts w:cstheme="minorHAnsi"/>
          <w:i/>
          <w:iCs/>
          <w:lang w:val="fr-FR"/>
        </w:rPr>
        <w:t>Doc. Parl.</w:t>
      </w:r>
      <w:r w:rsidRPr="00F73EF8">
        <w:rPr>
          <w:rFonts w:cstheme="minorHAnsi"/>
          <w:lang w:val="fr-FR"/>
        </w:rPr>
        <w:t>, 2019, n°0173/001, p. 338).</w:t>
      </w:r>
    </w:p>
  </w:footnote>
  <w:footnote w:id="115">
    <w:p w14:paraId="16AC2DBC" w14:textId="1B3E5A84"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Y. </w:t>
      </w:r>
      <w:r w:rsidRPr="00F73EF8">
        <w:rPr>
          <w:rFonts w:cstheme="minorHAnsi"/>
          <w:smallCaps/>
          <w:lang w:val="fr-FR"/>
        </w:rPr>
        <w:t>Ninane</w:t>
      </w:r>
      <w:r w:rsidRPr="00F73EF8">
        <w:rPr>
          <w:rFonts w:cstheme="minorHAnsi"/>
        </w:rPr>
        <w:t xml:space="preserve"> et E. </w:t>
      </w:r>
      <w:r w:rsidRPr="00F73EF8">
        <w:rPr>
          <w:rFonts w:cstheme="minorHAnsi"/>
          <w:smallCaps/>
          <w:lang w:val="fr-FR"/>
        </w:rPr>
        <w:t>Cruysmans</w:t>
      </w:r>
      <w:r w:rsidRPr="00F73EF8">
        <w:rPr>
          <w:rFonts w:cstheme="minorHAnsi"/>
        </w:rPr>
        <w:t xml:space="preserve">, </w:t>
      </w:r>
      <w:r w:rsidRPr="00F73EF8">
        <w:rPr>
          <w:rFonts w:cstheme="minorHAnsi"/>
          <w:i/>
          <w:iCs/>
        </w:rPr>
        <w:t>op. cit.</w:t>
      </w:r>
      <w:r w:rsidRPr="00F73EF8">
        <w:rPr>
          <w:rFonts w:cstheme="minorHAnsi"/>
        </w:rPr>
        <w:t>, pp. 161 à 164, n°65 à 70.</w:t>
      </w:r>
    </w:p>
  </w:footnote>
  <w:footnote w:id="116">
    <w:p w14:paraId="28E2F0F8" w14:textId="5E8ADAB8"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Article 3.171 du (nouveau) Code civil.</w:t>
      </w:r>
    </w:p>
  </w:footnote>
  <w:footnote w:id="117">
    <w:p w14:paraId="2C2D5F2D" w14:textId="4F84CC78"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Proposition de loi portant insertion du livre 3 « Les biens » dans le nouveau Code civil, Commentaire des articles, </w:t>
      </w:r>
      <w:r w:rsidRPr="00F73EF8">
        <w:rPr>
          <w:rFonts w:cstheme="minorHAnsi"/>
          <w:i/>
          <w:iCs/>
          <w:lang w:val="fr-FR"/>
        </w:rPr>
        <w:t>Doc. Parl.</w:t>
      </w:r>
      <w:r w:rsidRPr="00F73EF8">
        <w:rPr>
          <w:rFonts w:cstheme="minorHAnsi"/>
          <w:lang w:val="fr-FR"/>
        </w:rPr>
        <w:t>, 2019, n°0173/001, p. 21.</w:t>
      </w:r>
    </w:p>
  </w:footnote>
  <w:footnote w:id="118">
    <w:p w14:paraId="1AF230D7" w14:textId="1C27C7B1"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B. </w:t>
      </w:r>
      <w:r w:rsidRPr="00F73EF8">
        <w:rPr>
          <w:rFonts w:cstheme="minorHAnsi"/>
          <w:smallCaps/>
          <w:lang w:val="en-US"/>
        </w:rPr>
        <w:t>Louveaux</w:t>
      </w:r>
      <w:r w:rsidRPr="00F73EF8">
        <w:rPr>
          <w:rFonts w:cstheme="minorHAnsi"/>
        </w:rPr>
        <w:t xml:space="preserve">, </w:t>
      </w:r>
      <w:r w:rsidRPr="00F73EF8">
        <w:rPr>
          <w:rFonts w:cstheme="minorHAnsi"/>
          <w:i/>
          <w:iCs/>
        </w:rPr>
        <w:t>op. cit.</w:t>
      </w:r>
      <w:r w:rsidRPr="00F73EF8">
        <w:rPr>
          <w:rFonts w:cstheme="minorHAnsi"/>
        </w:rPr>
        <w:t>, pp. 564 et 565. </w:t>
      </w:r>
    </w:p>
  </w:footnote>
  <w:footnote w:id="119">
    <w:p w14:paraId="1FB23765" w14:textId="52DD103C"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Voir </w:t>
      </w:r>
      <w:r w:rsidRPr="00F73EF8">
        <w:rPr>
          <w:rFonts w:cstheme="minorHAnsi"/>
          <w:i/>
          <w:iCs/>
          <w:lang w:val="fr-FR"/>
        </w:rPr>
        <w:t>supra</w:t>
      </w:r>
      <w:r w:rsidRPr="00F73EF8">
        <w:rPr>
          <w:rFonts w:cstheme="minorHAnsi"/>
          <w:lang w:val="fr-FR"/>
        </w:rPr>
        <w:t>, n°</w:t>
      </w:r>
      <w:r w:rsidRPr="00F73EF8">
        <w:rPr>
          <w:rFonts w:cstheme="minorHAnsi"/>
          <w:highlight w:val="yellow"/>
          <w:lang w:val="fr-FR"/>
        </w:rPr>
        <w:t>14</w:t>
      </w:r>
      <w:r w:rsidRPr="00F73EF8">
        <w:rPr>
          <w:rFonts w:cstheme="minorHAnsi"/>
          <w:lang w:val="fr-FR"/>
        </w:rPr>
        <w:t>.</w:t>
      </w:r>
    </w:p>
  </w:footnote>
  <w:footnote w:id="120">
    <w:p w14:paraId="6E2A1EE1" w14:textId="4DB2C6B2"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Article 3.1 du (nouveau) Code civil.</w:t>
      </w:r>
    </w:p>
  </w:footnote>
  <w:footnote w:id="121">
    <w:p w14:paraId="774DBD16" w14:textId="22D0A3B0" w:rsidR="00344520" w:rsidRPr="00F73EF8" w:rsidRDefault="00344520" w:rsidP="00725527">
      <w:pPr>
        <w:pStyle w:val="Notedebasdepage"/>
        <w:rPr>
          <w:rFonts w:cstheme="minorHAnsi"/>
          <w:vertAlign w:val="superscript"/>
        </w:rPr>
      </w:pPr>
      <w:r w:rsidRPr="00F73EF8">
        <w:rPr>
          <w:rStyle w:val="Appelnotedebasdep"/>
          <w:rFonts w:cstheme="minorHAnsi"/>
        </w:rPr>
        <w:footnoteRef/>
      </w:r>
      <w:r w:rsidRPr="00F73EF8">
        <w:rPr>
          <w:rStyle w:val="Appelnotedebasdep"/>
          <w:rFonts w:cstheme="minorHAnsi"/>
        </w:rPr>
        <w:t xml:space="preserve"> </w:t>
      </w:r>
      <w:r w:rsidRPr="00F73EF8">
        <w:rPr>
          <w:rStyle w:val="Appelnotedebasdep"/>
          <w:rFonts w:cstheme="minorHAnsi"/>
          <w:vertAlign w:val="baseline"/>
        </w:rPr>
        <w:t xml:space="preserve">Cass. 27 novembre 1959, </w:t>
      </w:r>
      <w:r w:rsidRPr="00F73EF8">
        <w:rPr>
          <w:rStyle w:val="Appelnotedebasdep"/>
          <w:rFonts w:cstheme="minorHAnsi"/>
          <w:i/>
          <w:iCs/>
          <w:vertAlign w:val="baseline"/>
        </w:rPr>
        <w:t>Pas.</w:t>
      </w:r>
      <w:r w:rsidRPr="00F73EF8">
        <w:rPr>
          <w:rStyle w:val="Appelnotedebasdep"/>
          <w:rFonts w:cstheme="minorHAnsi"/>
          <w:vertAlign w:val="baseline"/>
        </w:rPr>
        <w:t>, 1960, I, p. 371 ;</w:t>
      </w:r>
      <w:r w:rsidRPr="00F73EF8">
        <w:rPr>
          <w:rStyle w:val="Appelnotedebasdep"/>
          <w:rFonts w:cstheme="minorHAnsi"/>
        </w:rPr>
        <w:t xml:space="preserve"> </w:t>
      </w:r>
      <w:r w:rsidRPr="00F73EF8">
        <w:rPr>
          <w:rFonts w:cstheme="minorHAnsi"/>
        </w:rPr>
        <w:t xml:space="preserve">Cass. 6 décembre 1968, </w:t>
      </w:r>
      <w:r w:rsidRPr="00F73EF8">
        <w:rPr>
          <w:rFonts w:cstheme="minorHAnsi"/>
          <w:i/>
          <w:iCs/>
        </w:rPr>
        <w:t>Pas.</w:t>
      </w:r>
      <w:r w:rsidRPr="00F73EF8">
        <w:rPr>
          <w:rFonts w:cstheme="minorHAnsi"/>
        </w:rPr>
        <w:t xml:space="preserve">, 1969, I, p. 333 ; Cass. 15 février 1982, </w:t>
      </w:r>
      <w:r w:rsidRPr="00F73EF8">
        <w:rPr>
          <w:rFonts w:cstheme="minorHAnsi"/>
          <w:i/>
          <w:iCs/>
        </w:rPr>
        <w:t>Pas.</w:t>
      </w:r>
      <w:r w:rsidRPr="00F73EF8">
        <w:rPr>
          <w:rFonts w:cstheme="minorHAnsi"/>
        </w:rPr>
        <w:t xml:space="preserve">, 1982, I., p. 741 ; Cass. 6 décembre 1968, </w:t>
      </w:r>
      <w:r w:rsidRPr="00F73EF8">
        <w:rPr>
          <w:rFonts w:cstheme="minorHAnsi"/>
          <w:i/>
          <w:iCs/>
        </w:rPr>
        <w:t>Pas.</w:t>
      </w:r>
      <w:r w:rsidRPr="00F73EF8">
        <w:rPr>
          <w:rFonts w:cstheme="minorHAnsi"/>
        </w:rPr>
        <w:t xml:space="preserve">, 1969, I, p. 333 ; Cass. 15 février 1982, </w:t>
      </w:r>
      <w:r w:rsidRPr="00F73EF8">
        <w:rPr>
          <w:rFonts w:cstheme="minorHAnsi"/>
          <w:i/>
          <w:iCs/>
        </w:rPr>
        <w:t>Pas.</w:t>
      </w:r>
      <w:r w:rsidRPr="00F73EF8">
        <w:rPr>
          <w:rFonts w:cstheme="minorHAnsi"/>
        </w:rPr>
        <w:t xml:space="preserve">, 1982, I., p. 741 ; Cass. 22 octobre 1982, </w:t>
      </w:r>
      <w:r w:rsidRPr="00F73EF8">
        <w:rPr>
          <w:rFonts w:cstheme="minorHAnsi"/>
          <w:i/>
          <w:iCs/>
        </w:rPr>
        <w:t>Pas.</w:t>
      </w:r>
      <w:r w:rsidRPr="00F73EF8">
        <w:rPr>
          <w:rFonts w:cstheme="minorHAnsi"/>
        </w:rPr>
        <w:t xml:space="preserve">, 1983, I., p. 256 ; Cass. 7 septembre 1992, </w:t>
      </w:r>
      <w:r w:rsidRPr="00F73EF8">
        <w:rPr>
          <w:rFonts w:cstheme="minorHAnsi"/>
          <w:i/>
          <w:iCs/>
        </w:rPr>
        <w:t>Pas.</w:t>
      </w:r>
      <w:r w:rsidRPr="00F73EF8">
        <w:rPr>
          <w:rFonts w:cstheme="minorHAnsi"/>
        </w:rPr>
        <w:t xml:space="preserve">, 1992, I., p. 999 ; Cass. 3 janvier 1997, </w:t>
      </w:r>
      <w:r w:rsidRPr="00F73EF8">
        <w:rPr>
          <w:rFonts w:cstheme="minorHAnsi"/>
          <w:i/>
          <w:iCs/>
        </w:rPr>
        <w:t>Pas.</w:t>
      </w:r>
      <w:r w:rsidRPr="00F73EF8">
        <w:rPr>
          <w:rFonts w:cstheme="minorHAnsi"/>
        </w:rPr>
        <w:t>, 1997, I, p. 4</w:t>
      </w:r>
    </w:p>
  </w:footnote>
  <w:footnote w:id="122">
    <w:p w14:paraId="5D25B924" w14:textId="06C01865" w:rsidR="00344520" w:rsidRPr="00F73EF8" w:rsidRDefault="00344520" w:rsidP="00387C05">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Cass., 16 mars 2006, </w:t>
      </w:r>
      <w:r w:rsidRPr="00F73EF8">
        <w:rPr>
          <w:rFonts w:cstheme="minorHAnsi"/>
          <w:i/>
          <w:iCs/>
          <w:lang w:val="fr-FR"/>
        </w:rPr>
        <w:t>Pas.</w:t>
      </w:r>
      <w:r w:rsidRPr="00F73EF8">
        <w:rPr>
          <w:rFonts w:cstheme="minorHAnsi"/>
          <w:lang w:val="fr-FR"/>
        </w:rPr>
        <w:t>, 2006, n°155.</w:t>
      </w:r>
    </w:p>
  </w:footnote>
  <w:footnote w:id="123">
    <w:p w14:paraId="1D08D316" w14:textId="20CB9FD1"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Pour une présentation complète et précise du pouvoir du juge en la matière, voy. J.F. </w:t>
      </w:r>
      <w:r w:rsidRPr="00F73EF8">
        <w:rPr>
          <w:rFonts w:cstheme="minorHAnsi"/>
          <w:smallCaps/>
          <w:lang w:val="fr-FR"/>
        </w:rPr>
        <w:t>van Drooghenbroeck</w:t>
      </w:r>
      <w:r w:rsidRPr="00F73EF8">
        <w:rPr>
          <w:rFonts w:cstheme="minorHAnsi"/>
          <w:lang w:val="fr-FR"/>
        </w:rPr>
        <w:t xml:space="preserve">, « La requalification judiciaire du contrat et des prétentions qui en découlent », in S. Stijns et P. Wéry, </w:t>
      </w:r>
      <w:r w:rsidRPr="00F73EF8">
        <w:rPr>
          <w:rFonts w:cstheme="minorHAnsi"/>
          <w:i/>
          <w:iCs/>
          <w:lang w:val="fr-FR"/>
        </w:rPr>
        <w:t>Le juge et le contrat. De rol van de rechter in het contract.</w:t>
      </w:r>
      <w:r w:rsidRPr="00F73EF8">
        <w:rPr>
          <w:rFonts w:cstheme="minorHAnsi"/>
          <w:lang w:val="fr-FR"/>
        </w:rPr>
        <w:t>, Brugge, Bruxelles, die Keure, la Charte, 2014, pp. 1 à 73.</w:t>
      </w:r>
    </w:p>
  </w:footnote>
  <w:footnote w:id="124">
    <w:p w14:paraId="7C06E051" w14:textId="638F1458" w:rsidR="00344520" w:rsidRPr="00F73EF8" w:rsidRDefault="00344520">
      <w:pPr>
        <w:pStyle w:val="Notedebasdepage"/>
        <w:rPr>
          <w:rFonts w:cstheme="minorHAnsi"/>
          <w:lang w:val="fr-FR"/>
        </w:rPr>
      </w:pPr>
      <w:r w:rsidRPr="00F73EF8">
        <w:rPr>
          <w:rStyle w:val="Appelnotedebasdep"/>
          <w:rFonts w:cstheme="minorHAnsi"/>
        </w:rPr>
        <w:footnoteRef/>
      </w:r>
      <w:r w:rsidRPr="00F73EF8">
        <w:rPr>
          <w:rFonts w:cstheme="minorHAnsi"/>
        </w:rPr>
        <w:t xml:space="preserve"> </w:t>
      </w:r>
      <w:r w:rsidRPr="00F73EF8">
        <w:rPr>
          <w:rFonts w:cstheme="minorHAnsi"/>
          <w:lang w:val="fr-FR"/>
        </w:rPr>
        <w:t xml:space="preserve">Y. </w:t>
      </w:r>
      <w:r w:rsidRPr="00F73EF8">
        <w:rPr>
          <w:rFonts w:cstheme="minorHAnsi"/>
          <w:smallCaps/>
          <w:lang w:val="fr-FR"/>
        </w:rPr>
        <w:t>Ninane</w:t>
      </w:r>
      <w:r w:rsidRPr="00F73EF8">
        <w:rPr>
          <w:rFonts w:cstheme="minorHAnsi"/>
          <w:lang w:val="fr-FR"/>
        </w:rPr>
        <w:t xml:space="preserve">, « La requalification du contrat », </w:t>
      </w:r>
      <w:r w:rsidRPr="00F73EF8">
        <w:rPr>
          <w:rFonts w:cstheme="minorHAnsi"/>
          <w:i/>
          <w:iCs/>
          <w:lang w:val="fr-FR"/>
        </w:rPr>
        <w:t>Obligations. Traité théorique et pratique</w:t>
      </w:r>
      <w:r w:rsidRPr="00F73EF8">
        <w:rPr>
          <w:rFonts w:cstheme="minorHAnsi"/>
          <w:lang w:val="fr-FR"/>
        </w:rPr>
        <w:t>, Waterloo, Kluwer, 2007, pp. II.1.5 -53 à II.1.5 -56.</w:t>
      </w:r>
    </w:p>
  </w:footnote>
  <w:footnote w:id="125">
    <w:p w14:paraId="5241D891" w14:textId="77777777" w:rsidR="00344520" w:rsidRPr="00F73EF8" w:rsidRDefault="00344520" w:rsidP="009672EE">
      <w:pPr>
        <w:pStyle w:val="Notedebasdepage"/>
        <w:jc w:val="both"/>
        <w:rPr>
          <w:rFonts w:cstheme="minorHAnsi"/>
        </w:rPr>
      </w:pPr>
      <w:r w:rsidRPr="00F73EF8">
        <w:rPr>
          <w:rStyle w:val="Appelnotedebasdep"/>
          <w:rFonts w:cstheme="minorHAnsi"/>
        </w:rPr>
        <w:footnoteRef/>
      </w:r>
      <w:r w:rsidRPr="00F73EF8">
        <w:rPr>
          <w:rFonts w:cstheme="minorHAnsi"/>
        </w:rPr>
        <w:t xml:space="preserve"> A défaut de réunir les éléments constitutifs de celle-ci que sont la présence de deux accords contemporains dont l’un est ostensible et l’autre demeure secret et l’intention des parties de dissimuler la réalité de leurs accords.  </w:t>
      </w:r>
    </w:p>
  </w:footnote>
  <w:footnote w:id="126">
    <w:p w14:paraId="61381A30" w14:textId="2200082C" w:rsidR="00344520" w:rsidRPr="00F73EF8" w:rsidRDefault="00344520" w:rsidP="00EE13E9">
      <w:pPr>
        <w:pStyle w:val="Notedebasdepage"/>
        <w:jc w:val="both"/>
        <w:rPr>
          <w:rFonts w:cstheme="minorHAnsi"/>
        </w:rPr>
      </w:pPr>
      <w:r w:rsidRPr="00F73EF8">
        <w:rPr>
          <w:rStyle w:val="Appelnotedebasdep"/>
          <w:rFonts w:cstheme="minorHAnsi"/>
        </w:rPr>
        <w:footnoteRef/>
      </w:r>
      <w:r w:rsidRPr="00F73EF8">
        <w:rPr>
          <w:rFonts w:cstheme="minorHAnsi"/>
        </w:rPr>
        <w:t xml:space="preserve"> J.-F. R</w:t>
      </w:r>
      <w:r w:rsidRPr="00F73EF8">
        <w:rPr>
          <w:rFonts w:cstheme="minorHAnsi"/>
          <w:smallCaps/>
        </w:rPr>
        <w:t>omain</w:t>
      </w:r>
      <w:r w:rsidRPr="00F73EF8">
        <w:rPr>
          <w:rFonts w:cstheme="minorHAnsi"/>
        </w:rPr>
        <w:t xml:space="preserve">, </w:t>
      </w:r>
      <w:r w:rsidRPr="00F73EF8">
        <w:rPr>
          <w:rFonts w:cstheme="minorHAnsi"/>
          <w:i/>
          <w:iCs/>
        </w:rPr>
        <w:t xml:space="preserve">Théorie critique du principe général de bonne foi en droit privé – Des atteintes à la bonne foi, en général, et de la fraude en particulier </w:t>
      </w:r>
      <w:r w:rsidRPr="00F73EF8">
        <w:rPr>
          <w:rFonts w:cstheme="minorHAnsi"/>
        </w:rPr>
        <w:t>(</w:t>
      </w:r>
      <w:r w:rsidRPr="00F73EF8">
        <w:rPr>
          <w:rFonts w:cstheme="minorHAnsi"/>
          <w:i/>
          <w:iCs/>
        </w:rPr>
        <w:t>fraus omnia corumpit</w:t>
      </w:r>
      <w:r w:rsidRPr="00F73EF8">
        <w:rPr>
          <w:rFonts w:cstheme="minorHAnsi"/>
        </w:rPr>
        <w:t>), Bruxelles, Bruylant, 2000, n° 235.</w:t>
      </w:r>
    </w:p>
  </w:footnote>
  <w:footnote w:id="127">
    <w:p w14:paraId="4FFFBB60" w14:textId="44059FD5" w:rsidR="00344520" w:rsidRPr="00F73EF8" w:rsidRDefault="00344520" w:rsidP="00104E31">
      <w:pPr>
        <w:pStyle w:val="Notedebasdepage"/>
        <w:rPr>
          <w:rFonts w:cstheme="minorHAnsi"/>
        </w:rPr>
      </w:pPr>
      <w:r w:rsidRPr="00F73EF8">
        <w:rPr>
          <w:rStyle w:val="Appelnotedebasdep"/>
          <w:rFonts w:cstheme="minorHAnsi"/>
        </w:rPr>
        <w:footnoteRef/>
      </w:r>
      <w:r w:rsidRPr="00F73EF8">
        <w:rPr>
          <w:rFonts w:cstheme="minorHAnsi"/>
        </w:rPr>
        <w:t xml:space="preserve"> </w:t>
      </w:r>
      <w:r w:rsidRPr="00F73EF8">
        <w:rPr>
          <w:rFonts w:cstheme="minorHAnsi"/>
          <w:i/>
          <w:iCs/>
        </w:rPr>
        <w:t>Ibid.</w:t>
      </w:r>
      <w:r w:rsidRPr="00F73EF8">
        <w:rPr>
          <w:rFonts w:cstheme="minorHAnsi"/>
        </w:rPr>
        <w:t>, n° 236. La Cour de cassation a en effet rappelé dans un arrêt du 14 novembre 2005 (</w:t>
      </w:r>
      <w:r w:rsidRPr="00F73EF8">
        <w:rPr>
          <w:rFonts w:cstheme="minorHAnsi"/>
          <w:i/>
        </w:rPr>
        <w:t>J.T</w:t>
      </w:r>
      <w:r w:rsidRPr="00F73EF8">
        <w:rPr>
          <w:rFonts w:cstheme="minorHAnsi"/>
        </w:rPr>
        <w:t>, 2006, p. 62) que l’</w:t>
      </w:r>
      <w:r w:rsidRPr="00F73EF8">
        <w:rPr>
          <w:rFonts w:cstheme="minorHAnsi"/>
          <w:i/>
          <w:iCs/>
        </w:rPr>
        <w:t>intention</w:t>
      </w:r>
      <w:r w:rsidRPr="00F73EF8">
        <w:rPr>
          <w:rFonts w:cstheme="minorHAnsi"/>
        </w:rPr>
        <w:t xml:space="preserve"> de frauder la loi était un élément constitutif essentiel de cette institution. Voy. toutefois ; N. </w:t>
      </w:r>
      <w:r w:rsidRPr="00F73EF8">
        <w:rPr>
          <w:rFonts w:cstheme="minorHAnsi"/>
          <w:smallCaps/>
        </w:rPr>
        <w:t>Van Damme</w:t>
      </w:r>
      <w:r w:rsidRPr="00F73EF8">
        <w:rPr>
          <w:rFonts w:cstheme="minorHAnsi"/>
        </w:rPr>
        <w:t xml:space="preserve">, « La volumétrie en droit belge : une histoire de fraude à la loi », in A. Vandeburie et M. von Kuegelen (coord.), </w:t>
      </w:r>
      <w:r w:rsidRPr="00F73EF8">
        <w:rPr>
          <w:rFonts w:cstheme="minorHAnsi"/>
          <w:i/>
          <w:iCs/>
        </w:rPr>
        <w:t>Actualités récentes en droit immobilier</w:t>
      </w:r>
      <w:r w:rsidRPr="00F73EF8">
        <w:rPr>
          <w:rFonts w:cstheme="minorHAnsi"/>
        </w:rPr>
        <w:t>, col. UB³, vol. 80, Bruxelles, Larcier, 2019, pp.58 à 71 qui plaide pour un abandon de l’élément intenionnel (qu’il juge inutile ou « hasardeux ») et, partant, pour une « </w:t>
      </w:r>
      <w:r w:rsidRPr="00F73EF8">
        <w:rPr>
          <w:rFonts w:cstheme="minorHAnsi"/>
          <w:i/>
          <w:iCs/>
        </w:rPr>
        <w:t>approche objective de la fraude à la loi</w:t>
      </w:r>
      <w:r w:rsidRPr="00F73EF8">
        <w:rPr>
          <w:rFonts w:cstheme="minorHAnsi"/>
        </w:rPr>
        <w:t xml:space="preserve"> »). </w:t>
      </w:r>
    </w:p>
    <w:p w14:paraId="40519F98" w14:textId="20C427BF" w:rsidR="00344520" w:rsidRPr="00F73EF8" w:rsidRDefault="00344520" w:rsidP="00EE13E9">
      <w:pPr>
        <w:pStyle w:val="Notedebasdepage"/>
        <w:jc w:val="both"/>
        <w:rPr>
          <w:rFonts w:cstheme="minorHAnsi"/>
          <w:i/>
          <w:iCs/>
        </w:rPr>
      </w:pPr>
    </w:p>
  </w:footnote>
  <w:footnote w:id="128">
    <w:p w14:paraId="1664633D" w14:textId="2EBAD164" w:rsidR="00344520" w:rsidRPr="00F73EF8" w:rsidRDefault="00344520" w:rsidP="00EE13E9">
      <w:pPr>
        <w:pStyle w:val="Notedebasdepage"/>
        <w:jc w:val="both"/>
        <w:rPr>
          <w:rFonts w:cstheme="minorHAnsi"/>
        </w:rPr>
      </w:pPr>
      <w:r w:rsidRPr="00F73EF8">
        <w:rPr>
          <w:rStyle w:val="Appelnotedebasdep"/>
          <w:rFonts w:cstheme="minorHAnsi"/>
        </w:rPr>
        <w:footnoteRef/>
      </w:r>
      <w:r w:rsidRPr="00F73EF8">
        <w:rPr>
          <w:rFonts w:cstheme="minorHAnsi"/>
        </w:rPr>
        <w:t xml:space="preserve"> J.-F. R</w:t>
      </w:r>
      <w:r w:rsidRPr="00F73EF8">
        <w:rPr>
          <w:rFonts w:cstheme="minorHAnsi"/>
          <w:smallCaps/>
        </w:rPr>
        <w:t>omain</w:t>
      </w:r>
      <w:r w:rsidRPr="00F73EF8">
        <w:rPr>
          <w:rFonts w:cstheme="minorHAnsi"/>
        </w:rPr>
        <w:t xml:space="preserve">, </w:t>
      </w:r>
      <w:r w:rsidRPr="00F73EF8">
        <w:rPr>
          <w:rFonts w:cstheme="minorHAnsi"/>
          <w:i/>
          <w:iCs/>
        </w:rPr>
        <w:t>op. cit.</w:t>
      </w:r>
      <w:r w:rsidRPr="00F73EF8">
        <w:rPr>
          <w:rFonts w:cstheme="minorHAnsi"/>
        </w:rPr>
        <w:t>, n° 237. Tel est notamment le cas de nombreuses dispositions de la loi relative aux baux commerciaux, comme nous l’avons rappelé ci-dessus.</w:t>
      </w:r>
    </w:p>
  </w:footnote>
  <w:footnote w:id="129">
    <w:p w14:paraId="3DB0A2DB" w14:textId="77777777" w:rsidR="00344520" w:rsidRPr="00F73EF8" w:rsidRDefault="00344520" w:rsidP="00EE13E9">
      <w:pPr>
        <w:pStyle w:val="Notedebasdepage"/>
        <w:rPr>
          <w:rFonts w:cstheme="minorHAnsi"/>
        </w:rPr>
      </w:pPr>
      <w:r w:rsidRPr="00F73EF8">
        <w:rPr>
          <w:rStyle w:val="Appelnotedebasdep"/>
          <w:rFonts w:cstheme="minorHAnsi"/>
        </w:rPr>
        <w:footnoteRef/>
      </w:r>
      <w:r w:rsidRPr="00F73EF8">
        <w:rPr>
          <w:rFonts w:cstheme="minorHAnsi"/>
        </w:rPr>
        <w:t xml:space="preserve"> L’application de la fraude à la loi en droit international privé, consistant à simuler un élément d’extranéité de nature à se soumettre à une loi étrangère jugée plus favorable, n’a en effet jamais été contestée, même les détracteurs de cette théorie en droit interne (voy. not. . P. </w:t>
      </w:r>
      <w:r w:rsidRPr="00F73EF8">
        <w:rPr>
          <w:rFonts w:cstheme="minorHAnsi"/>
          <w:smallCaps/>
        </w:rPr>
        <w:t>Van Ommeslaghe</w:t>
      </w:r>
      <w:r w:rsidRPr="00F73EF8">
        <w:rPr>
          <w:rFonts w:cstheme="minorHAnsi"/>
        </w:rPr>
        <w:t xml:space="preserve">, « Un principe général du droit : </w:t>
      </w:r>
      <w:r w:rsidRPr="00F73EF8">
        <w:rPr>
          <w:rFonts w:cstheme="minorHAnsi"/>
          <w:i/>
        </w:rPr>
        <w:t>fraus omnia corumpit</w:t>
      </w:r>
      <w:r w:rsidRPr="00F73EF8">
        <w:rPr>
          <w:rFonts w:cstheme="minorHAnsi"/>
        </w:rPr>
        <w:t xml:space="preserve"> », in </w:t>
      </w:r>
      <w:r w:rsidRPr="00F73EF8">
        <w:rPr>
          <w:rFonts w:cstheme="minorHAnsi"/>
          <w:i/>
        </w:rPr>
        <w:t>Liber Amicorum Paul</w:t>
      </w:r>
      <w:r w:rsidRPr="00F73EF8">
        <w:rPr>
          <w:rFonts w:cstheme="minorHAnsi"/>
          <w:i/>
          <w:smallCaps/>
        </w:rPr>
        <w:t xml:space="preserve"> Martens</w:t>
      </w:r>
      <w:r w:rsidRPr="00F73EF8">
        <w:rPr>
          <w:rFonts w:cstheme="minorHAnsi"/>
        </w:rPr>
        <w:t>, Larcier, 2007, p. 598).</w:t>
      </w:r>
    </w:p>
  </w:footnote>
  <w:footnote w:id="130">
    <w:p w14:paraId="3C6475AA" w14:textId="59929081" w:rsidR="00344520" w:rsidRPr="00F73EF8" w:rsidRDefault="00344520" w:rsidP="00EE13E9">
      <w:pPr>
        <w:pStyle w:val="Notedebasdepage"/>
        <w:jc w:val="both"/>
        <w:rPr>
          <w:rFonts w:cstheme="minorHAnsi"/>
        </w:rPr>
      </w:pPr>
      <w:r w:rsidRPr="00F73EF8">
        <w:rPr>
          <w:rStyle w:val="Appelnotedebasdep"/>
          <w:rFonts w:cstheme="minorHAnsi"/>
        </w:rPr>
        <w:footnoteRef/>
      </w:r>
      <w:r w:rsidRPr="00F73EF8">
        <w:rPr>
          <w:rFonts w:cstheme="minorHAnsi"/>
        </w:rPr>
        <w:t xml:space="preserve"> Voy. not. L</w:t>
      </w:r>
      <w:r w:rsidRPr="00F73EF8">
        <w:rPr>
          <w:rFonts w:cstheme="minorHAnsi"/>
          <w:smallCaps/>
        </w:rPr>
        <w:t>. Simont</w:t>
      </w:r>
      <w:r w:rsidRPr="00F73EF8">
        <w:rPr>
          <w:rFonts w:cstheme="minorHAnsi"/>
        </w:rPr>
        <w:t xml:space="preserve">, « De overdracht van schuldevordering tot zekerheid » in </w:t>
      </w:r>
      <w:r w:rsidRPr="00F73EF8">
        <w:rPr>
          <w:rFonts w:cstheme="minorHAnsi"/>
          <w:i/>
          <w:iCs/>
        </w:rPr>
        <w:t>Liber Amicorum F</w:t>
      </w:r>
      <w:r w:rsidRPr="00F73EF8">
        <w:rPr>
          <w:rFonts w:cstheme="minorHAnsi"/>
          <w:i/>
          <w:iCs/>
          <w:smallCaps/>
        </w:rPr>
        <w:t xml:space="preserve">. </w:t>
      </w:r>
      <w:r w:rsidRPr="00F73EF8">
        <w:rPr>
          <w:rFonts w:cstheme="minorHAnsi"/>
          <w:i/>
          <w:iCs/>
        </w:rPr>
        <w:t>Dumon</w:t>
      </w:r>
      <w:r w:rsidRPr="00F73EF8">
        <w:rPr>
          <w:rFonts w:cstheme="minorHAnsi"/>
        </w:rPr>
        <w:t xml:space="preserve">, t. I, Anvers, Kluwer, 1983, p. 259 ; W. </w:t>
      </w:r>
      <w:r w:rsidRPr="00F73EF8">
        <w:rPr>
          <w:rFonts w:cstheme="minorHAnsi"/>
          <w:smallCaps/>
        </w:rPr>
        <w:t>Van Gerven</w:t>
      </w:r>
      <w:r w:rsidRPr="00F73EF8">
        <w:rPr>
          <w:rFonts w:cstheme="minorHAnsi"/>
        </w:rPr>
        <w:t xml:space="preserve">, </w:t>
      </w:r>
      <w:r w:rsidRPr="00F73EF8">
        <w:rPr>
          <w:rFonts w:cstheme="minorHAnsi"/>
          <w:i/>
          <w:iCs/>
        </w:rPr>
        <w:t>Beginsel van Belgisch privaatrecht</w:t>
      </w:r>
      <w:r w:rsidRPr="00F73EF8">
        <w:rPr>
          <w:rFonts w:cstheme="minorHAnsi"/>
        </w:rPr>
        <w:t xml:space="preserve">, I, </w:t>
      </w:r>
      <w:r w:rsidRPr="00F73EF8">
        <w:rPr>
          <w:rFonts w:cstheme="minorHAnsi"/>
          <w:i/>
          <w:iCs/>
        </w:rPr>
        <w:t>Algemeen deel</w:t>
      </w:r>
      <w:r w:rsidRPr="00F73EF8">
        <w:rPr>
          <w:rFonts w:cstheme="minorHAnsi"/>
        </w:rPr>
        <w:t>, Anvers, Story-scientia, 1987, n</w:t>
      </w:r>
      <w:r w:rsidRPr="00F73EF8">
        <w:rPr>
          <w:rFonts w:cstheme="minorHAnsi"/>
          <w:vertAlign w:val="superscript"/>
        </w:rPr>
        <w:t>o</w:t>
      </w:r>
      <w:r w:rsidRPr="00F73EF8">
        <w:rPr>
          <w:rFonts w:cstheme="minorHAnsi"/>
        </w:rPr>
        <w:t xml:space="preserve"> 74 et s. ; N.</w:t>
      </w:r>
      <w:r w:rsidRPr="00F73EF8">
        <w:rPr>
          <w:rFonts w:cstheme="minorHAnsi"/>
          <w:smallCaps/>
        </w:rPr>
        <w:t>Verheyden-Jeanmart</w:t>
      </w:r>
      <w:r w:rsidRPr="00F73EF8">
        <w:rPr>
          <w:rFonts w:cstheme="minorHAnsi"/>
        </w:rPr>
        <w:t xml:space="preserve">, « La loi du 20 février 1991 modifiant et complétant les dispositions du Code civil relatives aux baux à loyer. Champ d’application et durée du bail », in M Fontaine et P. Jadoul, (dir.), </w:t>
      </w:r>
      <w:r w:rsidRPr="00F73EF8">
        <w:rPr>
          <w:rFonts w:cstheme="minorHAnsi"/>
          <w:i/>
          <w:iCs/>
        </w:rPr>
        <w:t xml:space="preserve">La nouvelle réglementation des baux à loyer. Loi du 20 février 1991, </w:t>
      </w:r>
      <w:r w:rsidRPr="00F73EF8">
        <w:rPr>
          <w:rFonts w:cstheme="minorHAnsi"/>
        </w:rPr>
        <w:t>Louvain-la-Neuve, Académia-Bruylant, 1991, pp. 32 à 34 ; J.-F. R</w:t>
      </w:r>
      <w:r w:rsidRPr="00F73EF8">
        <w:rPr>
          <w:rFonts w:cstheme="minorHAnsi"/>
          <w:smallCaps/>
        </w:rPr>
        <w:t>omain</w:t>
      </w:r>
      <w:r w:rsidRPr="00F73EF8">
        <w:rPr>
          <w:rFonts w:cstheme="minorHAnsi"/>
        </w:rPr>
        <w:t xml:space="preserve">, </w:t>
      </w:r>
      <w:r w:rsidRPr="00F73EF8">
        <w:rPr>
          <w:rFonts w:cstheme="minorHAnsi"/>
          <w:i/>
          <w:iCs/>
        </w:rPr>
        <w:t>op. cit</w:t>
      </w:r>
      <w:r w:rsidRPr="00F73EF8">
        <w:rPr>
          <w:rFonts w:cstheme="minorHAnsi"/>
        </w:rPr>
        <w:t>.</w:t>
      </w:r>
    </w:p>
  </w:footnote>
  <w:footnote w:id="131">
    <w:p w14:paraId="7502C6E2" w14:textId="0F8F1F71" w:rsidR="00344520" w:rsidRPr="00F73EF8" w:rsidRDefault="00344520" w:rsidP="00EE13E9">
      <w:pPr>
        <w:pStyle w:val="Notedebasdepage"/>
        <w:jc w:val="both"/>
        <w:rPr>
          <w:rFonts w:cstheme="minorHAnsi"/>
        </w:rPr>
      </w:pPr>
      <w:r w:rsidRPr="00F73EF8">
        <w:rPr>
          <w:rStyle w:val="Appelnotedebasdep"/>
          <w:rFonts w:cstheme="minorHAnsi"/>
        </w:rPr>
        <w:footnoteRef/>
      </w:r>
      <w:r w:rsidRPr="00F73EF8">
        <w:rPr>
          <w:rFonts w:cstheme="minorHAnsi"/>
        </w:rPr>
        <w:t xml:space="preserve"> P.-A. </w:t>
      </w:r>
      <w:r w:rsidRPr="00F73EF8">
        <w:rPr>
          <w:rFonts w:cstheme="minorHAnsi"/>
          <w:smallCaps/>
        </w:rPr>
        <w:t>Foriers</w:t>
      </w:r>
      <w:r w:rsidRPr="00F73EF8">
        <w:rPr>
          <w:rFonts w:cstheme="minorHAnsi"/>
        </w:rPr>
        <w:t xml:space="preserve">, </w:t>
      </w:r>
      <w:r w:rsidRPr="00F73EF8">
        <w:rPr>
          <w:rFonts w:cstheme="minorHAnsi"/>
          <w:i/>
          <w:iCs/>
        </w:rPr>
        <w:t>op .cit.</w:t>
      </w:r>
      <w:r w:rsidRPr="00F73EF8">
        <w:rPr>
          <w:rFonts w:cstheme="minorHAnsi"/>
        </w:rPr>
        <w:t>, p. 15.</w:t>
      </w:r>
    </w:p>
  </w:footnote>
  <w:footnote w:id="132">
    <w:p w14:paraId="0694BAED" w14:textId="34F3E983" w:rsidR="00344520" w:rsidRPr="00F73EF8" w:rsidRDefault="00344520" w:rsidP="00EE13E9">
      <w:pPr>
        <w:pStyle w:val="Notedebasdepage"/>
        <w:jc w:val="both"/>
        <w:rPr>
          <w:rFonts w:cstheme="minorHAnsi"/>
        </w:rPr>
      </w:pPr>
      <w:r w:rsidRPr="00F73EF8">
        <w:rPr>
          <w:rStyle w:val="Appelnotedebasdep"/>
          <w:rFonts w:cstheme="minorHAnsi"/>
        </w:rPr>
        <w:footnoteRef/>
      </w:r>
      <w:r w:rsidRPr="00F73EF8">
        <w:rPr>
          <w:rFonts w:cstheme="minorHAnsi"/>
        </w:rPr>
        <w:t xml:space="preserve"> Voy. not. P. </w:t>
      </w:r>
      <w:r w:rsidRPr="00F73EF8">
        <w:rPr>
          <w:rFonts w:cstheme="minorHAnsi"/>
          <w:smallCaps/>
        </w:rPr>
        <w:t>Van Ommeslaghe</w:t>
      </w:r>
      <w:r w:rsidRPr="00F73EF8">
        <w:rPr>
          <w:rFonts w:cstheme="minorHAnsi"/>
        </w:rPr>
        <w:t xml:space="preserve">, « Abus de droit, fraude aux droits des tiers et fraude à la loi », </w:t>
      </w:r>
      <w:r w:rsidRPr="00F73EF8">
        <w:rPr>
          <w:rFonts w:cstheme="minorHAnsi"/>
          <w:i/>
          <w:iCs/>
        </w:rPr>
        <w:t>R.C.J.B.</w:t>
      </w:r>
      <w:r w:rsidRPr="00F73EF8">
        <w:rPr>
          <w:rFonts w:cstheme="minorHAnsi"/>
        </w:rPr>
        <w:t xml:space="preserve">, 1976, p. 303 ; X. </w:t>
      </w:r>
      <w:r w:rsidRPr="00F73EF8">
        <w:rPr>
          <w:rFonts w:cstheme="minorHAnsi"/>
          <w:smallCaps/>
        </w:rPr>
        <w:t xml:space="preserve">Dieux, </w:t>
      </w:r>
      <w:r w:rsidRPr="00F73EF8">
        <w:rPr>
          <w:rFonts w:cstheme="minorHAnsi"/>
        </w:rPr>
        <w:t xml:space="preserve">« Le contrat : objet et instrument de dirigisme » in </w:t>
      </w:r>
      <w:r w:rsidRPr="00F73EF8">
        <w:rPr>
          <w:rFonts w:cstheme="minorHAnsi"/>
          <w:i/>
          <w:iCs/>
        </w:rPr>
        <w:t>les obligations contractuelles</w:t>
      </w:r>
      <w:r w:rsidRPr="00F73EF8">
        <w:rPr>
          <w:rFonts w:cstheme="minorHAnsi"/>
        </w:rPr>
        <w:t xml:space="preserve">, Bruxelles, éd. Jeune Barreau, Bruxelles, 1984, pp. 287 à 289, n° 12 ; D. Devos, « Propos sur la répression de la fraude en droit privé », </w:t>
      </w:r>
      <w:r w:rsidRPr="00F73EF8">
        <w:rPr>
          <w:rFonts w:cstheme="minorHAnsi"/>
          <w:i/>
          <w:iCs/>
        </w:rPr>
        <w:t>R.D.C.</w:t>
      </w:r>
      <w:r w:rsidRPr="00F73EF8">
        <w:rPr>
          <w:rFonts w:cstheme="minorHAnsi"/>
        </w:rPr>
        <w:t xml:space="preserve">, 1985, p. 283. Plus récemment : P. </w:t>
      </w:r>
      <w:r w:rsidRPr="00F73EF8">
        <w:rPr>
          <w:rFonts w:cstheme="minorHAnsi"/>
          <w:smallCaps/>
        </w:rPr>
        <w:t>Van Ommeslaghe</w:t>
      </w:r>
      <w:r w:rsidRPr="00F73EF8">
        <w:rPr>
          <w:rFonts w:cstheme="minorHAnsi"/>
        </w:rPr>
        <w:t xml:space="preserve">, « La simulation en droit des obligations », » in </w:t>
      </w:r>
      <w:r w:rsidRPr="00F73EF8">
        <w:rPr>
          <w:rFonts w:cstheme="minorHAnsi"/>
          <w:i/>
          <w:iCs/>
        </w:rPr>
        <w:t>Les obligations contractuelles</w:t>
      </w:r>
      <w:r w:rsidRPr="00F73EF8">
        <w:rPr>
          <w:rFonts w:cstheme="minorHAnsi"/>
        </w:rPr>
        <w:t xml:space="preserve">, Bruxelles, Jeune Barreau, 2000, p. 167, n° 22 ; « Un principe général de droit : </w:t>
      </w:r>
      <w:r w:rsidRPr="00F73EF8">
        <w:rPr>
          <w:rFonts w:cstheme="minorHAnsi"/>
          <w:i/>
        </w:rPr>
        <w:t>fraus omnia corrumpit</w:t>
      </w:r>
      <w:r w:rsidRPr="00F73EF8">
        <w:rPr>
          <w:rFonts w:cstheme="minorHAnsi"/>
        </w:rPr>
        <w:t xml:space="preserve"> », in </w:t>
      </w:r>
      <w:r w:rsidRPr="00F73EF8">
        <w:rPr>
          <w:rFonts w:cstheme="minorHAnsi"/>
          <w:i/>
        </w:rPr>
        <w:t>Liber Amicorum Paul Martens</w:t>
      </w:r>
      <w:r w:rsidRPr="00F73EF8">
        <w:rPr>
          <w:rFonts w:cstheme="minorHAnsi"/>
        </w:rPr>
        <w:t xml:space="preserve">, Bruxelles, Larcier, 2007, pp. 596 à 605 ; M. Grégoire, </w:t>
      </w:r>
      <w:r w:rsidRPr="00F73EF8">
        <w:rPr>
          <w:rFonts w:cstheme="minorHAnsi"/>
          <w:i/>
          <w:iCs/>
        </w:rPr>
        <w:t>Publicité foncière, sûretés réelles et privilèges</w:t>
      </w:r>
      <w:r w:rsidRPr="00F73EF8">
        <w:rPr>
          <w:rFonts w:cstheme="minorHAnsi"/>
        </w:rPr>
        <w:t xml:space="preserve">, Bruxelles, Bruylant, 2006, n°1663 à 1670. </w:t>
      </w:r>
    </w:p>
  </w:footnote>
  <w:footnote w:id="133">
    <w:p w14:paraId="12D3BC17" w14:textId="23730C15" w:rsidR="00344520" w:rsidRPr="00F73EF8" w:rsidRDefault="00344520" w:rsidP="00EE13E9">
      <w:pPr>
        <w:pStyle w:val="Notedebasdepage"/>
        <w:jc w:val="both"/>
        <w:rPr>
          <w:rFonts w:cstheme="minorHAnsi"/>
        </w:rPr>
      </w:pPr>
      <w:r w:rsidRPr="00F73EF8">
        <w:rPr>
          <w:rStyle w:val="Appelnotedebasdep"/>
          <w:rFonts w:cstheme="minorHAnsi"/>
        </w:rPr>
        <w:footnoteRef/>
      </w:r>
      <w:r w:rsidRPr="00F73EF8">
        <w:rPr>
          <w:rFonts w:cstheme="minorHAnsi"/>
        </w:rPr>
        <w:t xml:space="preserve"> Pour un résumé des principales objections que suscite l’application de la théorie de la fraude à la loi en droit interne, voy. P. </w:t>
      </w:r>
      <w:r w:rsidRPr="00F73EF8">
        <w:rPr>
          <w:rFonts w:cstheme="minorHAnsi"/>
          <w:smallCaps/>
        </w:rPr>
        <w:t>Van Ommeslaghe</w:t>
      </w:r>
      <w:r w:rsidRPr="00F73EF8">
        <w:rPr>
          <w:rFonts w:cstheme="minorHAnsi"/>
        </w:rPr>
        <w:t xml:space="preserve">, « Un principe général de droit : </w:t>
      </w:r>
      <w:r w:rsidRPr="00F73EF8">
        <w:rPr>
          <w:rFonts w:cstheme="minorHAnsi"/>
          <w:i/>
        </w:rPr>
        <w:t>fraus omnia corrumpit</w:t>
      </w:r>
      <w:r w:rsidRPr="00F73EF8">
        <w:rPr>
          <w:rFonts w:cstheme="minorHAnsi"/>
        </w:rPr>
        <w:t xml:space="preserve"> », </w:t>
      </w:r>
      <w:r w:rsidRPr="00F73EF8">
        <w:rPr>
          <w:rFonts w:cstheme="minorHAnsi"/>
          <w:i/>
        </w:rPr>
        <w:t>op .cit.</w:t>
      </w:r>
      <w:r w:rsidRPr="00F73EF8">
        <w:rPr>
          <w:rFonts w:cstheme="minorHAnsi"/>
        </w:rPr>
        <w:t xml:space="preserve">, pp. 598 à 600, n°6. </w:t>
      </w:r>
    </w:p>
  </w:footnote>
  <w:footnote w:id="134">
    <w:p w14:paraId="5FE3755A" w14:textId="61F13533" w:rsidR="00344520" w:rsidRPr="00F73EF8" w:rsidRDefault="00344520" w:rsidP="00EE13E9">
      <w:pPr>
        <w:pStyle w:val="Notedebasdepage"/>
        <w:jc w:val="both"/>
        <w:rPr>
          <w:rFonts w:cstheme="minorHAnsi"/>
        </w:rPr>
      </w:pPr>
      <w:r w:rsidRPr="00F73EF8">
        <w:rPr>
          <w:rStyle w:val="Appelnotedebasdep"/>
          <w:rFonts w:cstheme="minorHAnsi"/>
        </w:rPr>
        <w:footnoteRef/>
      </w:r>
      <w:r w:rsidRPr="00F73EF8">
        <w:rPr>
          <w:rFonts w:cstheme="minorHAnsi"/>
        </w:rPr>
        <w:t xml:space="preserve"> P.-A. </w:t>
      </w:r>
      <w:r w:rsidRPr="00F73EF8">
        <w:rPr>
          <w:rFonts w:cstheme="minorHAnsi"/>
          <w:smallCaps/>
        </w:rPr>
        <w:t>Foriers</w:t>
      </w:r>
      <w:r w:rsidRPr="00F73EF8">
        <w:rPr>
          <w:rFonts w:cstheme="minorHAnsi"/>
        </w:rPr>
        <w:t xml:space="preserve">, </w:t>
      </w:r>
      <w:r w:rsidRPr="00F73EF8">
        <w:rPr>
          <w:rFonts w:cstheme="minorHAnsi"/>
          <w:i/>
          <w:iCs/>
        </w:rPr>
        <w:t>op. cit.</w:t>
      </w:r>
      <w:r w:rsidRPr="00F73EF8">
        <w:rPr>
          <w:rFonts w:cstheme="minorHAnsi"/>
        </w:rPr>
        <w:t>, p.14.</w:t>
      </w:r>
    </w:p>
  </w:footnote>
  <w:footnote w:id="135">
    <w:p w14:paraId="3419E3F9" w14:textId="77777777" w:rsidR="00344520" w:rsidRPr="00F73EF8" w:rsidRDefault="00344520" w:rsidP="00EE13E9">
      <w:pPr>
        <w:pStyle w:val="Notedebasdepage"/>
        <w:jc w:val="both"/>
        <w:rPr>
          <w:rFonts w:cstheme="minorHAnsi"/>
        </w:rPr>
      </w:pPr>
      <w:r w:rsidRPr="00F73EF8">
        <w:rPr>
          <w:rStyle w:val="Appelnotedebasdep"/>
          <w:rFonts w:cstheme="minorHAnsi"/>
        </w:rPr>
        <w:footnoteRef/>
      </w:r>
      <w:r w:rsidRPr="00F73EF8">
        <w:rPr>
          <w:rFonts w:cstheme="minorHAnsi"/>
        </w:rPr>
        <w:t xml:space="preserve"> Cass., 14 novembre 2005, </w:t>
      </w:r>
      <w:r w:rsidRPr="00F73EF8">
        <w:rPr>
          <w:rFonts w:cstheme="minorHAnsi"/>
          <w:i/>
          <w:iCs/>
        </w:rPr>
        <w:t>J.T.</w:t>
      </w:r>
      <w:r w:rsidRPr="00F73EF8">
        <w:rPr>
          <w:rFonts w:cstheme="minorHAnsi"/>
        </w:rPr>
        <w:t>, 2006, p. 62.</w:t>
      </w:r>
    </w:p>
  </w:footnote>
  <w:footnote w:id="136">
    <w:p w14:paraId="604B9EF9" w14:textId="0B132840" w:rsidR="00344520" w:rsidRPr="00F73EF8" w:rsidRDefault="00344520" w:rsidP="00EE13E9">
      <w:pPr>
        <w:pStyle w:val="Notedebasdepage"/>
        <w:rPr>
          <w:rFonts w:cstheme="minorHAnsi"/>
        </w:rPr>
      </w:pPr>
      <w:r w:rsidRPr="00F73EF8">
        <w:rPr>
          <w:rStyle w:val="Appelnotedebasdep"/>
          <w:rFonts w:cstheme="minorHAnsi"/>
        </w:rPr>
        <w:footnoteRef/>
      </w:r>
      <w:r w:rsidRPr="00F73EF8">
        <w:rPr>
          <w:rFonts w:cstheme="minorHAnsi"/>
        </w:rPr>
        <w:t xml:space="preserve"> Au contraire de P. Van Ommeslaghe qui considère « </w:t>
      </w:r>
      <w:r w:rsidRPr="00F73EF8">
        <w:rPr>
          <w:rFonts w:cstheme="minorHAnsi"/>
          <w:i/>
        </w:rPr>
        <w:t>que la Cour n’a consacré ou entériné aucune application de la fraude à la loi interne</w:t>
      </w:r>
      <w:r w:rsidRPr="00F73EF8">
        <w:rPr>
          <w:rFonts w:cstheme="minorHAnsi"/>
        </w:rPr>
        <w:t> » et que «</w:t>
      </w:r>
      <w:r w:rsidRPr="00F73EF8">
        <w:rPr>
          <w:rFonts w:cstheme="minorHAnsi"/>
          <w:i/>
        </w:rPr>
        <w:t> l’on ne peut guère trouver</w:t>
      </w:r>
      <w:r w:rsidRPr="00F73EF8">
        <w:rPr>
          <w:rFonts w:cstheme="minorHAnsi"/>
        </w:rPr>
        <w:t xml:space="preserve"> [dans cet arrêt] </w:t>
      </w:r>
      <w:r w:rsidRPr="00F73EF8">
        <w:rPr>
          <w:rFonts w:cstheme="minorHAnsi"/>
          <w:i/>
        </w:rPr>
        <w:t>une confirmation de l’accueil du concept dans notre droit positif </w:t>
      </w:r>
      <w:r w:rsidRPr="00F73EF8">
        <w:rPr>
          <w:rFonts w:cstheme="minorHAnsi"/>
        </w:rPr>
        <w:t>», il nous paraît difficile de ne pas y voir une consécration implicite mais certaine de la fraude à la loi interne, dès lors que cette décision précise que « </w:t>
      </w:r>
      <w:r w:rsidRPr="00F73EF8">
        <w:rPr>
          <w:rFonts w:cstheme="minorHAnsi"/>
          <w:i/>
        </w:rPr>
        <w:t>la fraude à la loi requiert un élément intentionnel, étant l’intention de frauder la loi impérative ou d’ordre public</w:t>
      </w:r>
      <w:r w:rsidRPr="00F73EF8">
        <w:rPr>
          <w:rFonts w:cstheme="minorHAnsi"/>
        </w:rPr>
        <w:t xml:space="preserve"> ».Dans le même sens : P. </w:t>
      </w:r>
      <w:r w:rsidRPr="00F73EF8">
        <w:rPr>
          <w:rFonts w:cstheme="minorHAnsi"/>
          <w:smallCaps/>
        </w:rPr>
        <w:t>Marchal</w:t>
      </w:r>
      <w:r w:rsidRPr="00F73EF8">
        <w:rPr>
          <w:rFonts w:cstheme="minorHAnsi"/>
        </w:rPr>
        <w:t xml:space="preserve">, </w:t>
      </w:r>
      <w:r w:rsidRPr="00F73EF8">
        <w:rPr>
          <w:rFonts w:cstheme="minorHAnsi"/>
          <w:i/>
          <w:iCs/>
        </w:rPr>
        <w:t>Principe généraux de droit</w:t>
      </w:r>
      <w:r w:rsidRPr="00F73EF8">
        <w:rPr>
          <w:rFonts w:cstheme="minorHAnsi"/>
        </w:rPr>
        <w:t xml:space="preserve">, col. RPDB, Bruxelles, Bruylant, 2014, p. 259 ; N. </w:t>
      </w:r>
      <w:r w:rsidRPr="00F73EF8">
        <w:rPr>
          <w:rFonts w:cstheme="minorHAnsi"/>
          <w:smallCaps/>
        </w:rPr>
        <w:t>Van Damme</w:t>
      </w:r>
      <w:r w:rsidRPr="00F73EF8">
        <w:rPr>
          <w:rFonts w:cstheme="minorHAnsi"/>
        </w:rPr>
        <w:t xml:space="preserve">, </w:t>
      </w:r>
      <w:r w:rsidRPr="00F73EF8">
        <w:rPr>
          <w:rFonts w:cstheme="minorHAnsi"/>
          <w:i/>
          <w:iCs/>
        </w:rPr>
        <w:t>op. cit.</w:t>
      </w:r>
      <w:r w:rsidRPr="00F73EF8">
        <w:rPr>
          <w:rFonts w:cstheme="minorHAnsi"/>
        </w:rPr>
        <w:t xml:space="preserve">, p. 54. </w:t>
      </w:r>
    </w:p>
  </w:footnote>
  <w:footnote w:id="137">
    <w:p w14:paraId="501E964A" w14:textId="77777777" w:rsidR="00344520" w:rsidRPr="00F73EF8" w:rsidRDefault="00344520" w:rsidP="00EE13E9">
      <w:pPr>
        <w:pStyle w:val="Notedebasdepage"/>
        <w:jc w:val="both"/>
        <w:rPr>
          <w:rFonts w:cstheme="minorHAnsi"/>
        </w:rPr>
      </w:pPr>
      <w:r w:rsidRPr="00F73EF8">
        <w:rPr>
          <w:rStyle w:val="Appelnotedebasdep"/>
          <w:rFonts w:cstheme="minorHAnsi"/>
        </w:rPr>
        <w:footnoteRef/>
      </w:r>
      <w:r w:rsidRPr="00F73EF8">
        <w:rPr>
          <w:rFonts w:cstheme="minorHAnsi"/>
        </w:rPr>
        <w:t xml:space="preserve"> P.-A</w:t>
      </w:r>
      <w:r w:rsidRPr="00F73EF8">
        <w:rPr>
          <w:rFonts w:cstheme="minorHAnsi"/>
          <w:smallCaps/>
        </w:rPr>
        <w:t>. Foriers</w:t>
      </w:r>
      <w:r w:rsidRPr="00F73EF8">
        <w:rPr>
          <w:rFonts w:cstheme="minorHAnsi"/>
        </w:rPr>
        <w:t xml:space="preserve">, « Notion de bail et notions voisines », </w:t>
      </w:r>
      <w:r w:rsidRPr="00F73EF8">
        <w:rPr>
          <w:rFonts w:cstheme="minorHAnsi"/>
          <w:i/>
          <w:iCs/>
        </w:rPr>
        <w:t>o.c.</w:t>
      </w:r>
      <w:r w:rsidRPr="00F73EF8">
        <w:rPr>
          <w:rFonts w:cstheme="minorHAnsi"/>
        </w:rPr>
        <w:t>, p. 31.</w:t>
      </w:r>
    </w:p>
  </w:footnote>
  <w:footnote w:id="138">
    <w:p w14:paraId="40787AEF" w14:textId="77777777" w:rsidR="00344520" w:rsidRPr="00F73EF8" w:rsidRDefault="00344520" w:rsidP="00EE13E9">
      <w:pPr>
        <w:pStyle w:val="Notedebasdepage"/>
        <w:jc w:val="both"/>
        <w:rPr>
          <w:rFonts w:cstheme="minorHAnsi"/>
          <w:smallCaps/>
        </w:rPr>
      </w:pPr>
      <w:r w:rsidRPr="00F73EF8">
        <w:rPr>
          <w:rStyle w:val="Appelnotedebasdep"/>
          <w:rFonts w:cstheme="minorHAnsi"/>
        </w:rPr>
        <w:footnoteRef/>
      </w:r>
      <w:r w:rsidRPr="00F73EF8">
        <w:rPr>
          <w:rFonts w:cstheme="minorHAnsi"/>
        </w:rPr>
        <w:t xml:space="preserve"> </w:t>
      </w:r>
      <w:r w:rsidRPr="00F73EF8">
        <w:rPr>
          <w:rFonts w:cstheme="minorHAnsi"/>
          <w:smallCaps/>
        </w:rPr>
        <w:t>J. Ghestin</w:t>
      </w:r>
      <w:r w:rsidRPr="00F73EF8">
        <w:rPr>
          <w:rFonts w:cstheme="minorHAnsi"/>
        </w:rPr>
        <w:t xml:space="preserve"> et </w:t>
      </w:r>
      <w:r w:rsidRPr="00F73EF8">
        <w:rPr>
          <w:rFonts w:cstheme="minorHAnsi"/>
          <w:smallCaps/>
        </w:rPr>
        <w:t>G. Goubeaux,</w:t>
      </w:r>
      <w:r w:rsidRPr="00F73EF8">
        <w:rPr>
          <w:rFonts w:cstheme="minorHAnsi"/>
        </w:rPr>
        <w:t xml:space="preserve"> </w:t>
      </w:r>
      <w:r w:rsidRPr="00F73EF8">
        <w:rPr>
          <w:rFonts w:cstheme="minorHAnsi"/>
          <w:i/>
          <w:iCs/>
        </w:rPr>
        <w:t>Traité de droit civil – Introduction générale</w:t>
      </w:r>
      <w:r w:rsidRPr="00F73EF8">
        <w:rPr>
          <w:rFonts w:cstheme="minorHAnsi"/>
        </w:rPr>
        <w:t>, 3</w:t>
      </w:r>
      <w:r w:rsidRPr="00F73EF8">
        <w:rPr>
          <w:rFonts w:cstheme="minorHAnsi"/>
          <w:vertAlign w:val="superscript"/>
        </w:rPr>
        <w:t>ème</w:t>
      </w:r>
      <w:r w:rsidRPr="00F73EF8">
        <w:rPr>
          <w:rFonts w:cstheme="minorHAnsi"/>
        </w:rPr>
        <w:t xml:space="preserve"> éd., Paris, L.G.D.J., 1990, n° 756.</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684992"/>
    <w:multiLevelType w:val="hybridMultilevel"/>
    <w:tmpl w:val="6D98E2E2"/>
    <w:lvl w:ilvl="0" w:tplc="2774170C">
      <w:start w:val="1"/>
      <w:numFmt w:val="decimal"/>
      <w:lvlText w:val="(%1)"/>
      <w:lvlJc w:val="left"/>
      <w:pPr>
        <w:ind w:left="1068" w:hanging="36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1" w15:restartNumberingAfterBreak="0">
    <w:nsid w:val="00806585"/>
    <w:multiLevelType w:val="hybridMultilevel"/>
    <w:tmpl w:val="992485AE"/>
    <w:lvl w:ilvl="0" w:tplc="080C0011">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 w15:restartNumberingAfterBreak="0">
    <w:nsid w:val="0BBE22C5"/>
    <w:multiLevelType w:val="hybridMultilevel"/>
    <w:tmpl w:val="9C6EBC6A"/>
    <w:lvl w:ilvl="0" w:tplc="B82CE096">
      <w:start w:val="35"/>
      <w:numFmt w:val="decimal"/>
      <w:lvlText w:val="%1. -"/>
      <w:lvlJc w:val="left"/>
      <w:pPr>
        <w:ind w:left="720" w:hanging="360"/>
      </w:pPr>
      <w:rPr>
        <w:rFonts w:cs="Times New Roman" w:hint="default"/>
        <w:b/>
        <w:i w:val="0"/>
        <w:color w:val="auto"/>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3" w15:restartNumberingAfterBreak="0">
    <w:nsid w:val="1369595C"/>
    <w:multiLevelType w:val="hybridMultilevel"/>
    <w:tmpl w:val="AB76378E"/>
    <w:lvl w:ilvl="0" w:tplc="071E73AA">
      <w:start w:val="1"/>
      <w:numFmt w:val="lowerRoman"/>
      <w:lvlText w:val="(%1)"/>
      <w:lvlJc w:val="left"/>
      <w:pPr>
        <w:ind w:left="1428" w:hanging="720"/>
      </w:pPr>
      <w:rPr>
        <w:rFonts w:hint="default"/>
      </w:rPr>
    </w:lvl>
    <w:lvl w:ilvl="1" w:tplc="080C0019" w:tentative="1">
      <w:start w:val="1"/>
      <w:numFmt w:val="lowerLetter"/>
      <w:lvlText w:val="%2."/>
      <w:lvlJc w:val="left"/>
      <w:pPr>
        <w:ind w:left="1788" w:hanging="360"/>
      </w:pPr>
    </w:lvl>
    <w:lvl w:ilvl="2" w:tplc="080C001B" w:tentative="1">
      <w:start w:val="1"/>
      <w:numFmt w:val="lowerRoman"/>
      <w:lvlText w:val="%3."/>
      <w:lvlJc w:val="right"/>
      <w:pPr>
        <w:ind w:left="2508" w:hanging="180"/>
      </w:pPr>
    </w:lvl>
    <w:lvl w:ilvl="3" w:tplc="080C000F" w:tentative="1">
      <w:start w:val="1"/>
      <w:numFmt w:val="decimal"/>
      <w:lvlText w:val="%4."/>
      <w:lvlJc w:val="left"/>
      <w:pPr>
        <w:ind w:left="3228" w:hanging="360"/>
      </w:pPr>
    </w:lvl>
    <w:lvl w:ilvl="4" w:tplc="080C0019" w:tentative="1">
      <w:start w:val="1"/>
      <w:numFmt w:val="lowerLetter"/>
      <w:lvlText w:val="%5."/>
      <w:lvlJc w:val="left"/>
      <w:pPr>
        <w:ind w:left="3948" w:hanging="360"/>
      </w:pPr>
    </w:lvl>
    <w:lvl w:ilvl="5" w:tplc="080C001B" w:tentative="1">
      <w:start w:val="1"/>
      <w:numFmt w:val="lowerRoman"/>
      <w:lvlText w:val="%6."/>
      <w:lvlJc w:val="right"/>
      <w:pPr>
        <w:ind w:left="4668" w:hanging="180"/>
      </w:pPr>
    </w:lvl>
    <w:lvl w:ilvl="6" w:tplc="080C000F" w:tentative="1">
      <w:start w:val="1"/>
      <w:numFmt w:val="decimal"/>
      <w:lvlText w:val="%7."/>
      <w:lvlJc w:val="left"/>
      <w:pPr>
        <w:ind w:left="5388" w:hanging="360"/>
      </w:pPr>
    </w:lvl>
    <w:lvl w:ilvl="7" w:tplc="080C0019" w:tentative="1">
      <w:start w:val="1"/>
      <w:numFmt w:val="lowerLetter"/>
      <w:lvlText w:val="%8."/>
      <w:lvlJc w:val="left"/>
      <w:pPr>
        <w:ind w:left="6108" w:hanging="360"/>
      </w:pPr>
    </w:lvl>
    <w:lvl w:ilvl="8" w:tplc="080C001B" w:tentative="1">
      <w:start w:val="1"/>
      <w:numFmt w:val="lowerRoman"/>
      <w:lvlText w:val="%9."/>
      <w:lvlJc w:val="right"/>
      <w:pPr>
        <w:ind w:left="6828" w:hanging="180"/>
      </w:pPr>
    </w:lvl>
  </w:abstractNum>
  <w:abstractNum w:abstractNumId="4" w15:restartNumberingAfterBreak="0">
    <w:nsid w:val="15A50047"/>
    <w:multiLevelType w:val="hybridMultilevel"/>
    <w:tmpl w:val="FA308B1C"/>
    <w:lvl w:ilvl="0" w:tplc="080C000F">
      <w:start w:val="1"/>
      <w:numFmt w:val="decimal"/>
      <w:lvlText w:val="%1."/>
      <w:lvlJc w:val="left"/>
      <w:pPr>
        <w:ind w:left="720" w:hanging="360"/>
      </w:pPr>
      <w:rPr>
        <w:rFonts w:hint="default"/>
      </w:rPr>
    </w:lvl>
    <w:lvl w:ilvl="1" w:tplc="080C0019">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5" w15:restartNumberingAfterBreak="0">
    <w:nsid w:val="211C64F2"/>
    <w:multiLevelType w:val="hybridMultilevel"/>
    <w:tmpl w:val="280CA09E"/>
    <w:lvl w:ilvl="0" w:tplc="080C0011">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6" w15:restartNumberingAfterBreak="0">
    <w:nsid w:val="32536140"/>
    <w:multiLevelType w:val="hybridMultilevel"/>
    <w:tmpl w:val="6186E410"/>
    <w:lvl w:ilvl="0" w:tplc="9808D72C">
      <w:start w:val="1"/>
      <w:numFmt w:val="lowerRoman"/>
      <w:lvlText w:val="(%1)"/>
      <w:lvlJc w:val="left"/>
      <w:pPr>
        <w:ind w:left="1440" w:hanging="720"/>
      </w:pPr>
      <w:rPr>
        <w:rFonts w:hint="default"/>
      </w:rPr>
    </w:lvl>
    <w:lvl w:ilvl="1" w:tplc="080C0019" w:tentative="1">
      <w:start w:val="1"/>
      <w:numFmt w:val="lowerLetter"/>
      <w:lvlText w:val="%2."/>
      <w:lvlJc w:val="left"/>
      <w:pPr>
        <w:ind w:left="1800" w:hanging="360"/>
      </w:pPr>
    </w:lvl>
    <w:lvl w:ilvl="2" w:tplc="080C001B" w:tentative="1">
      <w:start w:val="1"/>
      <w:numFmt w:val="lowerRoman"/>
      <w:lvlText w:val="%3."/>
      <w:lvlJc w:val="right"/>
      <w:pPr>
        <w:ind w:left="2520" w:hanging="180"/>
      </w:pPr>
    </w:lvl>
    <w:lvl w:ilvl="3" w:tplc="080C000F" w:tentative="1">
      <w:start w:val="1"/>
      <w:numFmt w:val="decimal"/>
      <w:lvlText w:val="%4."/>
      <w:lvlJc w:val="left"/>
      <w:pPr>
        <w:ind w:left="3240" w:hanging="360"/>
      </w:pPr>
    </w:lvl>
    <w:lvl w:ilvl="4" w:tplc="080C0019" w:tentative="1">
      <w:start w:val="1"/>
      <w:numFmt w:val="lowerLetter"/>
      <w:lvlText w:val="%5."/>
      <w:lvlJc w:val="left"/>
      <w:pPr>
        <w:ind w:left="3960" w:hanging="360"/>
      </w:pPr>
    </w:lvl>
    <w:lvl w:ilvl="5" w:tplc="080C001B" w:tentative="1">
      <w:start w:val="1"/>
      <w:numFmt w:val="lowerRoman"/>
      <w:lvlText w:val="%6."/>
      <w:lvlJc w:val="right"/>
      <w:pPr>
        <w:ind w:left="4680" w:hanging="180"/>
      </w:pPr>
    </w:lvl>
    <w:lvl w:ilvl="6" w:tplc="080C000F" w:tentative="1">
      <w:start w:val="1"/>
      <w:numFmt w:val="decimal"/>
      <w:lvlText w:val="%7."/>
      <w:lvlJc w:val="left"/>
      <w:pPr>
        <w:ind w:left="5400" w:hanging="360"/>
      </w:pPr>
    </w:lvl>
    <w:lvl w:ilvl="7" w:tplc="080C0019" w:tentative="1">
      <w:start w:val="1"/>
      <w:numFmt w:val="lowerLetter"/>
      <w:lvlText w:val="%8."/>
      <w:lvlJc w:val="left"/>
      <w:pPr>
        <w:ind w:left="6120" w:hanging="360"/>
      </w:pPr>
    </w:lvl>
    <w:lvl w:ilvl="8" w:tplc="080C001B" w:tentative="1">
      <w:start w:val="1"/>
      <w:numFmt w:val="lowerRoman"/>
      <w:lvlText w:val="%9."/>
      <w:lvlJc w:val="right"/>
      <w:pPr>
        <w:ind w:left="6840" w:hanging="180"/>
      </w:pPr>
    </w:lvl>
  </w:abstractNum>
  <w:abstractNum w:abstractNumId="7" w15:restartNumberingAfterBreak="0">
    <w:nsid w:val="332665C6"/>
    <w:multiLevelType w:val="hybridMultilevel"/>
    <w:tmpl w:val="75D252C2"/>
    <w:lvl w:ilvl="0" w:tplc="0682E24E">
      <w:start w:val="52"/>
      <w:numFmt w:val="decimal"/>
      <w:lvlText w:val="%1. -"/>
      <w:lvlJc w:val="left"/>
      <w:pPr>
        <w:ind w:left="1065" w:hanging="360"/>
      </w:pPr>
      <w:rPr>
        <w:rFonts w:cs="Times New Roman" w:hint="default"/>
        <w:b/>
        <w:i w:val="0"/>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8" w15:restartNumberingAfterBreak="0">
    <w:nsid w:val="37F74FC5"/>
    <w:multiLevelType w:val="hybridMultilevel"/>
    <w:tmpl w:val="13F62A0C"/>
    <w:lvl w:ilvl="0" w:tplc="301614A4">
      <w:start w:val="10"/>
      <w:numFmt w:val="bullet"/>
      <w:lvlText w:val="-"/>
      <w:lvlJc w:val="left"/>
      <w:pPr>
        <w:ind w:left="1068" w:hanging="360"/>
      </w:pPr>
      <w:rPr>
        <w:rFonts w:ascii="Calibri" w:eastAsia="Times New Roman" w:hAnsi="Calibri" w:cs="Calibri" w:hint="default"/>
      </w:rPr>
    </w:lvl>
    <w:lvl w:ilvl="1" w:tplc="080C0003" w:tentative="1">
      <w:start w:val="1"/>
      <w:numFmt w:val="bullet"/>
      <w:lvlText w:val="o"/>
      <w:lvlJc w:val="left"/>
      <w:pPr>
        <w:ind w:left="1788" w:hanging="360"/>
      </w:pPr>
      <w:rPr>
        <w:rFonts w:ascii="Courier New" w:hAnsi="Courier New" w:cs="Courier New" w:hint="default"/>
      </w:rPr>
    </w:lvl>
    <w:lvl w:ilvl="2" w:tplc="080C0005" w:tentative="1">
      <w:start w:val="1"/>
      <w:numFmt w:val="bullet"/>
      <w:lvlText w:val=""/>
      <w:lvlJc w:val="left"/>
      <w:pPr>
        <w:ind w:left="2508" w:hanging="360"/>
      </w:pPr>
      <w:rPr>
        <w:rFonts w:ascii="Wingdings" w:hAnsi="Wingdings" w:hint="default"/>
      </w:rPr>
    </w:lvl>
    <w:lvl w:ilvl="3" w:tplc="080C0001" w:tentative="1">
      <w:start w:val="1"/>
      <w:numFmt w:val="bullet"/>
      <w:lvlText w:val=""/>
      <w:lvlJc w:val="left"/>
      <w:pPr>
        <w:ind w:left="3228" w:hanging="360"/>
      </w:pPr>
      <w:rPr>
        <w:rFonts w:ascii="Symbol" w:hAnsi="Symbol" w:hint="default"/>
      </w:rPr>
    </w:lvl>
    <w:lvl w:ilvl="4" w:tplc="080C0003" w:tentative="1">
      <w:start w:val="1"/>
      <w:numFmt w:val="bullet"/>
      <w:lvlText w:val="o"/>
      <w:lvlJc w:val="left"/>
      <w:pPr>
        <w:ind w:left="3948" w:hanging="360"/>
      </w:pPr>
      <w:rPr>
        <w:rFonts w:ascii="Courier New" w:hAnsi="Courier New" w:cs="Courier New" w:hint="default"/>
      </w:rPr>
    </w:lvl>
    <w:lvl w:ilvl="5" w:tplc="080C0005" w:tentative="1">
      <w:start w:val="1"/>
      <w:numFmt w:val="bullet"/>
      <w:lvlText w:val=""/>
      <w:lvlJc w:val="left"/>
      <w:pPr>
        <w:ind w:left="4668" w:hanging="360"/>
      </w:pPr>
      <w:rPr>
        <w:rFonts w:ascii="Wingdings" w:hAnsi="Wingdings" w:hint="default"/>
      </w:rPr>
    </w:lvl>
    <w:lvl w:ilvl="6" w:tplc="080C0001" w:tentative="1">
      <w:start w:val="1"/>
      <w:numFmt w:val="bullet"/>
      <w:lvlText w:val=""/>
      <w:lvlJc w:val="left"/>
      <w:pPr>
        <w:ind w:left="5388" w:hanging="360"/>
      </w:pPr>
      <w:rPr>
        <w:rFonts w:ascii="Symbol" w:hAnsi="Symbol" w:hint="default"/>
      </w:rPr>
    </w:lvl>
    <w:lvl w:ilvl="7" w:tplc="080C0003" w:tentative="1">
      <w:start w:val="1"/>
      <w:numFmt w:val="bullet"/>
      <w:lvlText w:val="o"/>
      <w:lvlJc w:val="left"/>
      <w:pPr>
        <w:ind w:left="6108" w:hanging="360"/>
      </w:pPr>
      <w:rPr>
        <w:rFonts w:ascii="Courier New" w:hAnsi="Courier New" w:cs="Courier New" w:hint="default"/>
      </w:rPr>
    </w:lvl>
    <w:lvl w:ilvl="8" w:tplc="080C0005" w:tentative="1">
      <w:start w:val="1"/>
      <w:numFmt w:val="bullet"/>
      <w:lvlText w:val=""/>
      <w:lvlJc w:val="left"/>
      <w:pPr>
        <w:ind w:left="6828" w:hanging="360"/>
      </w:pPr>
      <w:rPr>
        <w:rFonts w:ascii="Wingdings" w:hAnsi="Wingdings" w:hint="default"/>
      </w:rPr>
    </w:lvl>
  </w:abstractNum>
  <w:abstractNum w:abstractNumId="9" w15:restartNumberingAfterBreak="0">
    <w:nsid w:val="4C1C1311"/>
    <w:multiLevelType w:val="hybridMultilevel"/>
    <w:tmpl w:val="739C96EA"/>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4C604FA7"/>
    <w:multiLevelType w:val="hybridMultilevel"/>
    <w:tmpl w:val="3E3E4BA4"/>
    <w:lvl w:ilvl="0" w:tplc="040C0015">
      <w:start w:val="1"/>
      <w:numFmt w:val="upperLetter"/>
      <w:lvlText w:val="%1."/>
      <w:lvlJc w:val="left"/>
      <w:pPr>
        <w:tabs>
          <w:tab w:val="num" w:pos="720"/>
        </w:tabs>
        <w:ind w:left="720" w:hanging="360"/>
      </w:pPr>
      <w:rPr>
        <w:rFonts w:hint="default"/>
      </w:rPr>
    </w:lvl>
    <w:lvl w:ilvl="1" w:tplc="4434E8CA">
      <w:start w:val="1"/>
      <w:numFmt w:val="decimal"/>
      <w:lvlText w:val="%2."/>
      <w:lvlJc w:val="left"/>
      <w:pPr>
        <w:tabs>
          <w:tab w:val="num" w:pos="0"/>
        </w:tabs>
        <w:ind w:left="567" w:hanging="567"/>
      </w:pPr>
      <w:rPr>
        <w:rFonts w:hint="default"/>
      </w:rPr>
    </w:lvl>
    <w:lvl w:ilvl="2" w:tplc="587C2376">
      <w:start w:val="5"/>
      <w:numFmt w:val="bullet"/>
      <w:lvlText w:val="-"/>
      <w:lvlJc w:val="left"/>
      <w:pPr>
        <w:tabs>
          <w:tab w:val="num" w:pos="2340"/>
        </w:tabs>
        <w:ind w:left="2340" w:hanging="360"/>
      </w:pPr>
      <w:rPr>
        <w:rFonts w:ascii="Times New Roman" w:eastAsia="Times New Roman" w:hAnsi="Times New Roman" w:cs="Times New Roman" w:hint="default"/>
      </w:rPr>
    </w:lvl>
    <w:lvl w:ilvl="3" w:tplc="FFE6A38A">
      <w:start w:val="6"/>
      <w:numFmt w:val="decimal"/>
      <w:lvlText w:val="%4."/>
      <w:lvlJc w:val="left"/>
      <w:pPr>
        <w:tabs>
          <w:tab w:val="num" w:pos="3087"/>
        </w:tabs>
        <w:ind w:left="3087" w:hanging="567"/>
      </w:pPr>
      <w:rPr>
        <w:rFonts w:hint="default"/>
      </w:r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1" w15:restartNumberingAfterBreak="0">
    <w:nsid w:val="5686249B"/>
    <w:multiLevelType w:val="hybridMultilevel"/>
    <w:tmpl w:val="F572D68C"/>
    <w:lvl w:ilvl="0" w:tplc="AB463A3E">
      <w:start w:val="51"/>
      <w:numFmt w:val="decimal"/>
      <w:lvlText w:val="%1. -"/>
      <w:lvlJc w:val="left"/>
      <w:pPr>
        <w:ind w:left="1065" w:hanging="360"/>
      </w:pPr>
      <w:rPr>
        <w:rFonts w:cs="Times New Roman" w:hint="default"/>
        <w:b/>
        <w:i w:val="0"/>
      </w:rPr>
    </w:lvl>
    <w:lvl w:ilvl="1" w:tplc="080C0019" w:tentative="1">
      <w:start w:val="1"/>
      <w:numFmt w:val="lowerLetter"/>
      <w:lvlText w:val="%2."/>
      <w:lvlJc w:val="left"/>
      <w:pPr>
        <w:ind w:left="1440" w:hanging="360"/>
      </w:pPr>
      <w:rPr>
        <w:rFonts w:cs="Times New Roman"/>
      </w:rPr>
    </w:lvl>
    <w:lvl w:ilvl="2" w:tplc="080C001B" w:tentative="1">
      <w:start w:val="1"/>
      <w:numFmt w:val="lowerRoman"/>
      <w:lvlText w:val="%3."/>
      <w:lvlJc w:val="right"/>
      <w:pPr>
        <w:ind w:left="2160" w:hanging="180"/>
      </w:pPr>
      <w:rPr>
        <w:rFonts w:cs="Times New Roman"/>
      </w:rPr>
    </w:lvl>
    <w:lvl w:ilvl="3" w:tplc="080C000F" w:tentative="1">
      <w:start w:val="1"/>
      <w:numFmt w:val="decimal"/>
      <w:lvlText w:val="%4."/>
      <w:lvlJc w:val="left"/>
      <w:pPr>
        <w:ind w:left="2880" w:hanging="360"/>
      </w:pPr>
      <w:rPr>
        <w:rFonts w:cs="Times New Roman"/>
      </w:rPr>
    </w:lvl>
    <w:lvl w:ilvl="4" w:tplc="080C0019" w:tentative="1">
      <w:start w:val="1"/>
      <w:numFmt w:val="lowerLetter"/>
      <w:lvlText w:val="%5."/>
      <w:lvlJc w:val="left"/>
      <w:pPr>
        <w:ind w:left="3600" w:hanging="360"/>
      </w:pPr>
      <w:rPr>
        <w:rFonts w:cs="Times New Roman"/>
      </w:rPr>
    </w:lvl>
    <w:lvl w:ilvl="5" w:tplc="080C001B" w:tentative="1">
      <w:start w:val="1"/>
      <w:numFmt w:val="lowerRoman"/>
      <w:lvlText w:val="%6."/>
      <w:lvlJc w:val="right"/>
      <w:pPr>
        <w:ind w:left="4320" w:hanging="180"/>
      </w:pPr>
      <w:rPr>
        <w:rFonts w:cs="Times New Roman"/>
      </w:rPr>
    </w:lvl>
    <w:lvl w:ilvl="6" w:tplc="080C000F" w:tentative="1">
      <w:start w:val="1"/>
      <w:numFmt w:val="decimal"/>
      <w:lvlText w:val="%7."/>
      <w:lvlJc w:val="left"/>
      <w:pPr>
        <w:ind w:left="5040" w:hanging="360"/>
      </w:pPr>
      <w:rPr>
        <w:rFonts w:cs="Times New Roman"/>
      </w:rPr>
    </w:lvl>
    <w:lvl w:ilvl="7" w:tplc="080C0019" w:tentative="1">
      <w:start w:val="1"/>
      <w:numFmt w:val="lowerLetter"/>
      <w:lvlText w:val="%8."/>
      <w:lvlJc w:val="left"/>
      <w:pPr>
        <w:ind w:left="5760" w:hanging="360"/>
      </w:pPr>
      <w:rPr>
        <w:rFonts w:cs="Times New Roman"/>
      </w:rPr>
    </w:lvl>
    <w:lvl w:ilvl="8" w:tplc="080C001B" w:tentative="1">
      <w:start w:val="1"/>
      <w:numFmt w:val="lowerRoman"/>
      <w:lvlText w:val="%9."/>
      <w:lvlJc w:val="right"/>
      <w:pPr>
        <w:ind w:left="6480" w:hanging="180"/>
      </w:pPr>
      <w:rPr>
        <w:rFonts w:cs="Times New Roman"/>
      </w:rPr>
    </w:lvl>
  </w:abstractNum>
  <w:abstractNum w:abstractNumId="12" w15:restartNumberingAfterBreak="0">
    <w:nsid w:val="77E968C8"/>
    <w:multiLevelType w:val="hybridMultilevel"/>
    <w:tmpl w:val="6CA44CD4"/>
    <w:lvl w:ilvl="0" w:tplc="080C0013">
      <w:start w:val="1"/>
      <w:numFmt w:val="upperRoman"/>
      <w:lvlText w:val="%1."/>
      <w:lvlJc w:val="right"/>
      <w:pPr>
        <w:ind w:left="1065" w:hanging="360"/>
      </w:pPr>
      <w:rPr>
        <w:rFonts w:cs="Times New Roman" w:hint="default"/>
      </w:rPr>
    </w:lvl>
    <w:lvl w:ilvl="1" w:tplc="080C0019" w:tentative="1">
      <w:start w:val="1"/>
      <w:numFmt w:val="lowerLetter"/>
      <w:lvlText w:val="%2."/>
      <w:lvlJc w:val="left"/>
      <w:pPr>
        <w:ind w:left="1785" w:hanging="360"/>
      </w:pPr>
      <w:rPr>
        <w:rFonts w:cs="Times New Roman"/>
      </w:rPr>
    </w:lvl>
    <w:lvl w:ilvl="2" w:tplc="080C001B" w:tentative="1">
      <w:start w:val="1"/>
      <w:numFmt w:val="lowerRoman"/>
      <w:lvlText w:val="%3."/>
      <w:lvlJc w:val="right"/>
      <w:pPr>
        <w:ind w:left="2505" w:hanging="180"/>
      </w:pPr>
      <w:rPr>
        <w:rFonts w:cs="Times New Roman"/>
      </w:rPr>
    </w:lvl>
    <w:lvl w:ilvl="3" w:tplc="080C000F" w:tentative="1">
      <w:start w:val="1"/>
      <w:numFmt w:val="decimal"/>
      <w:lvlText w:val="%4."/>
      <w:lvlJc w:val="left"/>
      <w:pPr>
        <w:ind w:left="3225" w:hanging="360"/>
      </w:pPr>
      <w:rPr>
        <w:rFonts w:cs="Times New Roman"/>
      </w:rPr>
    </w:lvl>
    <w:lvl w:ilvl="4" w:tplc="080C0019" w:tentative="1">
      <w:start w:val="1"/>
      <w:numFmt w:val="lowerLetter"/>
      <w:lvlText w:val="%5."/>
      <w:lvlJc w:val="left"/>
      <w:pPr>
        <w:ind w:left="3945" w:hanging="360"/>
      </w:pPr>
      <w:rPr>
        <w:rFonts w:cs="Times New Roman"/>
      </w:rPr>
    </w:lvl>
    <w:lvl w:ilvl="5" w:tplc="080C001B" w:tentative="1">
      <w:start w:val="1"/>
      <w:numFmt w:val="lowerRoman"/>
      <w:lvlText w:val="%6."/>
      <w:lvlJc w:val="right"/>
      <w:pPr>
        <w:ind w:left="4665" w:hanging="180"/>
      </w:pPr>
      <w:rPr>
        <w:rFonts w:cs="Times New Roman"/>
      </w:rPr>
    </w:lvl>
    <w:lvl w:ilvl="6" w:tplc="080C000F" w:tentative="1">
      <w:start w:val="1"/>
      <w:numFmt w:val="decimal"/>
      <w:lvlText w:val="%7."/>
      <w:lvlJc w:val="left"/>
      <w:pPr>
        <w:ind w:left="5385" w:hanging="360"/>
      </w:pPr>
      <w:rPr>
        <w:rFonts w:cs="Times New Roman"/>
      </w:rPr>
    </w:lvl>
    <w:lvl w:ilvl="7" w:tplc="080C0019" w:tentative="1">
      <w:start w:val="1"/>
      <w:numFmt w:val="lowerLetter"/>
      <w:lvlText w:val="%8."/>
      <w:lvlJc w:val="left"/>
      <w:pPr>
        <w:ind w:left="6105" w:hanging="360"/>
      </w:pPr>
      <w:rPr>
        <w:rFonts w:cs="Times New Roman"/>
      </w:rPr>
    </w:lvl>
    <w:lvl w:ilvl="8" w:tplc="080C001B" w:tentative="1">
      <w:start w:val="1"/>
      <w:numFmt w:val="lowerRoman"/>
      <w:lvlText w:val="%9."/>
      <w:lvlJc w:val="right"/>
      <w:pPr>
        <w:ind w:left="6825" w:hanging="180"/>
      </w:pPr>
      <w:rPr>
        <w:rFonts w:cs="Times New Roman"/>
      </w:rPr>
    </w:lvl>
  </w:abstractNum>
  <w:abstractNum w:abstractNumId="13" w15:restartNumberingAfterBreak="0">
    <w:nsid w:val="7A684496"/>
    <w:multiLevelType w:val="multilevel"/>
    <w:tmpl w:val="CE6EEF8A"/>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abstractNumId w:val="1"/>
  </w:num>
  <w:num w:numId="2">
    <w:abstractNumId w:val="4"/>
  </w:num>
  <w:num w:numId="3">
    <w:abstractNumId w:val="2"/>
  </w:num>
  <w:num w:numId="4">
    <w:abstractNumId w:val="11"/>
  </w:num>
  <w:num w:numId="5">
    <w:abstractNumId w:val="7"/>
  </w:num>
  <w:num w:numId="6">
    <w:abstractNumId w:val="12"/>
  </w:num>
  <w:num w:numId="7">
    <w:abstractNumId w:val="0"/>
  </w:num>
  <w:num w:numId="8">
    <w:abstractNumId w:val="3"/>
  </w:num>
  <w:num w:numId="9">
    <w:abstractNumId w:val="8"/>
  </w:num>
  <w:num w:numId="10">
    <w:abstractNumId w:val="6"/>
  </w:num>
  <w:num w:numId="11">
    <w:abstractNumId w:val="13"/>
  </w:num>
  <w:num w:numId="12">
    <w:abstractNumId w:val="10"/>
  </w:num>
  <w:num w:numId="13">
    <w:abstractNumId w:val="9"/>
  </w:num>
  <w:num w:numId="1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06A2"/>
    <w:rsid w:val="00014D5D"/>
    <w:rsid w:val="000673F8"/>
    <w:rsid w:val="00070DB4"/>
    <w:rsid w:val="000734CF"/>
    <w:rsid w:val="00087E42"/>
    <w:rsid w:val="000C0040"/>
    <w:rsid w:val="000C5707"/>
    <w:rsid w:val="000E7C7A"/>
    <w:rsid w:val="000F0CB4"/>
    <w:rsid w:val="00104E31"/>
    <w:rsid w:val="001329C0"/>
    <w:rsid w:val="001337CE"/>
    <w:rsid w:val="001A1C1A"/>
    <w:rsid w:val="001C4DA5"/>
    <w:rsid w:val="00224FD0"/>
    <w:rsid w:val="00243E28"/>
    <w:rsid w:val="00266731"/>
    <w:rsid w:val="00277936"/>
    <w:rsid w:val="00284ACE"/>
    <w:rsid w:val="002B7068"/>
    <w:rsid w:val="002E701C"/>
    <w:rsid w:val="00341DB6"/>
    <w:rsid w:val="00344520"/>
    <w:rsid w:val="00352215"/>
    <w:rsid w:val="0038145C"/>
    <w:rsid w:val="00387C05"/>
    <w:rsid w:val="00390857"/>
    <w:rsid w:val="003A432C"/>
    <w:rsid w:val="00407F5B"/>
    <w:rsid w:val="004165B9"/>
    <w:rsid w:val="0047405D"/>
    <w:rsid w:val="004A14B7"/>
    <w:rsid w:val="004A7C30"/>
    <w:rsid w:val="004C0EF7"/>
    <w:rsid w:val="004C31AC"/>
    <w:rsid w:val="004D11C2"/>
    <w:rsid w:val="004E2219"/>
    <w:rsid w:val="0052104B"/>
    <w:rsid w:val="005361E7"/>
    <w:rsid w:val="00567936"/>
    <w:rsid w:val="005903A9"/>
    <w:rsid w:val="005D37E7"/>
    <w:rsid w:val="005F573A"/>
    <w:rsid w:val="00611980"/>
    <w:rsid w:val="00612106"/>
    <w:rsid w:val="00632133"/>
    <w:rsid w:val="006403EF"/>
    <w:rsid w:val="00650972"/>
    <w:rsid w:val="00663D87"/>
    <w:rsid w:val="0068296D"/>
    <w:rsid w:val="006B1C80"/>
    <w:rsid w:val="0070704B"/>
    <w:rsid w:val="00725527"/>
    <w:rsid w:val="0074469D"/>
    <w:rsid w:val="007B794D"/>
    <w:rsid w:val="007D2748"/>
    <w:rsid w:val="008061D7"/>
    <w:rsid w:val="0081715E"/>
    <w:rsid w:val="00852CFE"/>
    <w:rsid w:val="0086666D"/>
    <w:rsid w:val="00870DBF"/>
    <w:rsid w:val="008B2AEE"/>
    <w:rsid w:val="008E4F9C"/>
    <w:rsid w:val="009011CF"/>
    <w:rsid w:val="009672EE"/>
    <w:rsid w:val="009E3E7F"/>
    <w:rsid w:val="009F06A3"/>
    <w:rsid w:val="00A1118C"/>
    <w:rsid w:val="00A36B7E"/>
    <w:rsid w:val="00A67C93"/>
    <w:rsid w:val="00A929F8"/>
    <w:rsid w:val="00AE442F"/>
    <w:rsid w:val="00AF5C73"/>
    <w:rsid w:val="00B62155"/>
    <w:rsid w:val="00B83917"/>
    <w:rsid w:val="00B85E29"/>
    <w:rsid w:val="00BC0E83"/>
    <w:rsid w:val="00BC6061"/>
    <w:rsid w:val="00BE15B0"/>
    <w:rsid w:val="00BE2F9D"/>
    <w:rsid w:val="00BF14F2"/>
    <w:rsid w:val="00C406A2"/>
    <w:rsid w:val="00C6753B"/>
    <w:rsid w:val="00D03CC3"/>
    <w:rsid w:val="00D61376"/>
    <w:rsid w:val="00E123BB"/>
    <w:rsid w:val="00E17D03"/>
    <w:rsid w:val="00E2656A"/>
    <w:rsid w:val="00E4262E"/>
    <w:rsid w:val="00E514EB"/>
    <w:rsid w:val="00E91D9F"/>
    <w:rsid w:val="00EB025C"/>
    <w:rsid w:val="00EE13E9"/>
    <w:rsid w:val="00F06721"/>
    <w:rsid w:val="00F12693"/>
    <w:rsid w:val="00F205E9"/>
    <w:rsid w:val="00F21258"/>
    <w:rsid w:val="00F22435"/>
    <w:rsid w:val="00F66C32"/>
    <w:rsid w:val="00F73EF8"/>
    <w:rsid w:val="00F956D1"/>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D958C"/>
  <w15:chartTrackingRefBased/>
  <w15:docId w15:val="{04930BA7-0A1B-4BD9-949F-2CFE7942B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E17D0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Notedebasdepage">
    <w:name w:val="footnote text"/>
    <w:basedOn w:val="Normal"/>
    <w:link w:val="NotedebasdepageCar"/>
    <w:unhideWhenUsed/>
    <w:rsid w:val="008061D7"/>
    <w:pPr>
      <w:spacing w:after="0" w:line="240" w:lineRule="auto"/>
    </w:pPr>
    <w:rPr>
      <w:sz w:val="20"/>
      <w:szCs w:val="20"/>
    </w:rPr>
  </w:style>
  <w:style w:type="character" w:customStyle="1" w:styleId="NotedebasdepageCar">
    <w:name w:val="Note de bas de page Car"/>
    <w:basedOn w:val="Policepardfaut"/>
    <w:link w:val="Notedebasdepage"/>
    <w:rsid w:val="008061D7"/>
    <w:rPr>
      <w:sz w:val="20"/>
      <w:szCs w:val="20"/>
    </w:rPr>
  </w:style>
  <w:style w:type="character" w:styleId="Appelnotedebasdep">
    <w:name w:val="footnote reference"/>
    <w:basedOn w:val="Policepardfaut"/>
    <w:semiHidden/>
    <w:unhideWhenUsed/>
    <w:rsid w:val="008061D7"/>
    <w:rPr>
      <w:vertAlign w:val="superscript"/>
    </w:rPr>
  </w:style>
  <w:style w:type="character" w:styleId="Marquedecommentaire">
    <w:name w:val="annotation reference"/>
    <w:basedOn w:val="Policepardfaut"/>
    <w:uiPriority w:val="99"/>
    <w:semiHidden/>
    <w:unhideWhenUsed/>
    <w:rsid w:val="001329C0"/>
    <w:rPr>
      <w:sz w:val="16"/>
      <w:szCs w:val="16"/>
    </w:rPr>
  </w:style>
  <w:style w:type="paragraph" w:styleId="Commentaire">
    <w:name w:val="annotation text"/>
    <w:basedOn w:val="Normal"/>
    <w:link w:val="CommentaireCar"/>
    <w:uiPriority w:val="99"/>
    <w:semiHidden/>
    <w:unhideWhenUsed/>
    <w:rsid w:val="001329C0"/>
    <w:pPr>
      <w:spacing w:line="240" w:lineRule="auto"/>
    </w:pPr>
    <w:rPr>
      <w:sz w:val="20"/>
      <w:szCs w:val="20"/>
    </w:rPr>
  </w:style>
  <w:style w:type="character" w:customStyle="1" w:styleId="CommentaireCar">
    <w:name w:val="Commentaire Car"/>
    <w:basedOn w:val="Policepardfaut"/>
    <w:link w:val="Commentaire"/>
    <w:uiPriority w:val="99"/>
    <w:semiHidden/>
    <w:rsid w:val="001329C0"/>
    <w:rPr>
      <w:sz w:val="20"/>
      <w:szCs w:val="20"/>
    </w:rPr>
  </w:style>
  <w:style w:type="paragraph" w:styleId="Objetducommentaire">
    <w:name w:val="annotation subject"/>
    <w:basedOn w:val="Commentaire"/>
    <w:next w:val="Commentaire"/>
    <w:link w:val="ObjetducommentaireCar"/>
    <w:uiPriority w:val="99"/>
    <w:semiHidden/>
    <w:unhideWhenUsed/>
    <w:rsid w:val="001329C0"/>
    <w:rPr>
      <w:b/>
      <w:bCs/>
    </w:rPr>
  </w:style>
  <w:style w:type="character" w:customStyle="1" w:styleId="ObjetducommentaireCar">
    <w:name w:val="Objet du commentaire Car"/>
    <w:basedOn w:val="CommentaireCar"/>
    <w:link w:val="Objetducommentaire"/>
    <w:uiPriority w:val="99"/>
    <w:semiHidden/>
    <w:rsid w:val="001329C0"/>
    <w:rPr>
      <w:b/>
      <w:bCs/>
      <w:sz w:val="20"/>
      <w:szCs w:val="20"/>
    </w:rPr>
  </w:style>
  <w:style w:type="paragraph" w:styleId="Textedebulles">
    <w:name w:val="Balloon Text"/>
    <w:basedOn w:val="Normal"/>
    <w:link w:val="TextedebullesCar"/>
    <w:uiPriority w:val="99"/>
    <w:semiHidden/>
    <w:unhideWhenUsed/>
    <w:rsid w:val="001329C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1329C0"/>
    <w:rPr>
      <w:rFonts w:ascii="Segoe UI" w:hAnsi="Segoe UI" w:cs="Segoe UI"/>
      <w:sz w:val="18"/>
      <w:szCs w:val="18"/>
    </w:rPr>
  </w:style>
  <w:style w:type="character" w:customStyle="1" w:styleId="Titre1Car">
    <w:name w:val="Titre 1 Car"/>
    <w:basedOn w:val="Policepardfaut"/>
    <w:link w:val="Titre1"/>
    <w:uiPriority w:val="9"/>
    <w:rsid w:val="00E17D03"/>
    <w:rPr>
      <w:rFonts w:asciiTheme="majorHAnsi" w:eastAsiaTheme="majorEastAsia" w:hAnsiTheme="majorHAnsi" w:cstheme="majorBidi"/>
      <w:color w:val="2F5496" w:themeColor="accent1" w:themeShade="BF"/>
      <w:sz w:val="32"/>
      <w:szCs w:val="32"/>
    </w:rPr>
  </w:style>
  <w:style w:type="paragraph" w:styleId="Paragraphedeliste">
    <w:name w:val="List Paragraph"/>
    <w:basedOn w:val="Normal"/>
    <w:uiPriority w:val="34"/>
    <w:qFormat/>
    <w:rsid w:val="00F21258"/>
    <w:pPr>
      <w:ind w:left="720"/>
      <w:contextualSpacing/>
    </w:pPr>
  </w:style>
  <w:style w:type="character" w:styleId="Lienhypertexte">
    <w:name w:val="Hyperlink"/>
    <w:basedOn w:val="Policepardfaut"/>
    <w:uiPriority w:val="99"/>
    <w:unhideWhenUsed/>
    <w:rsid w:val="0047405D"/>
    <w:rPr>
      <w:color w:val="0563C1" w:themeColor="hyperlink"/>
      <w:u w:val="single"/>
    </w:rPr>
  </w:style>
  <w:style w:type="character" w:styleId="Mentionnonrsolue">
    <w:name w:val="Unresolved Mention"/>
    <w:basedOn w:val="Policepardfaut"/>
    <w:uiPriority w:val="99"/>
    <w:semiHidden/>
    <w:unhideWhenUsed/>
    <w:rsid w:val="0047405D"/>
    <w:rPr>
      <w:color w:val="605E5C"/>
      <w:shd w:val="clear" w:color="auto" w:fill="E1DFDD"/>
    </w:rPr>
  </w:style>
  <w:style w:type="paragraph" w:styleId="Pieddepage">
    <w:name w:val="footer"/>
    <w:basedOn w:val="Normal"/>
    <w:link w:val="PieddepageCar"/>
    <w:rsid w:val="00725527"/>
    <w:pPr>
      <w:tabs>
        <w:tab w:val="center" w:pos="4536"/>
        <w:tab w:val="right" w:pos="9072"/>
      </w:tabs>
      <w:spacing w:after="0" w:line="240" w:lineRule="auto"/>
    </w:pPr>
    <w:rPr>
      <w:rFonts w:ascii="Times New Roman" w:eastAsia="Times New Roman" w:hAnsi="Times New Roman" w:cs="Times New Roman"/>
      <w:sz w:val="24"/>
      <w:szCs w:val="24"/>
      <w:lang w:val="fr-FR" w:eastAsia="fr-FR"/>
    </w:rPr>
  </w:style>
  <w:style w:type="character" w:customStyle="1" w:styleId="PieddepageCar">
    <w:name w:val="Pied de page Car"/>
    <w:basedOn w:val="Policepardfaut"/>
    <w:link w:val="Pieddepage"/>
    <w:rsid w:val="00725527"/>
    <w:rPr>
      <w:rFonts w:ascii="Times New Roman" w:eastAsia="Times New Roman" w:hAnsi="Times New Roman" w:cs="Times New Roman"/>
      <w:sz w:val="24"/>
      <w:szCs w:val="24"/>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94194110">
      <w:bodyDiv w:val="1"/>
      <w:marLeft w:val="0"/>
      <w:marRight w:val="0"/>
      <w:marTop w:val="0"/>
      <w:marBottom w:val="0"/>
      <w:divBdr>
        <w:top w:val="none" w:sz="0" w:space="0" w:color="auto"/>
        <w:left w:val="none" w:sz="0" w:space="0" w:color="auto"/>
        <w:bottom w:val="none" w:sz="0" w:space="0" w:color="auto"/>
        <w:right w:val="none" w:sz="0" w:space="0" w:color="auto"/>
      </w:divBdr>
    </w:div>
    <w:div w:id="1082332597">
      <w:bodyDiv w:val="1"/>
      <w:marLeft w:val="0"/>
      <w:marRight w:val="0"/>
      <w:marTop w:val="0"/>
      <w:marBottom w:val="0"/>
      <w:divBdr>
        <w:top w:val="none" w:sz="0" w:space="0" w:color="auto"/>
        <w:left w:val="none" w:sz="0" w:space="0" w:color="auto"/>
        <w:bottom w:val="none" w:sz="0" w:space="0" w:color="auto"/>
        <w:right w:val="none" w:sz="0" w:space="0" w:color="auto"/>
      </w:divBdr>
    </w:div>
    <w:div w:id="1190755600">
      <w:bodyDiv w:val="1"/>
      <w:marLeft w:val="0"/>
      <w:marRight w:val="0"/>
      <w:marTop w:val="0"/>
      <w:marBottom w:val="0"/>
      <w:divBdr>
        <w:top w:val="none" w:sz="0" w:space="0" w:color="auto"/>
        <w:left w:val="none" w:sz="0" w:space="0" w:color="auto"/>
        <w:bottom w:val="none" w:sz="0" w:space="0" w:color="auto"/>
        <w:right w:val="none" w:sz="0" w:space="0" w:color="auto"/>
      </w:divBdr>
      <w:divsChild>
        <w:div w:id="1720084334">
          <w:marLeft w:val="0"/>
          <w:marRight w:val="0"/>
          <w:marTop w:val="0"/>
          <w:marBottom w:val="0"/>
          <w:divBdr>
            <w:top w:val="none" w:sz="0" w:space="0" w:color="auto"/>
            <w:left w:val="none" w:sz="0" w:space="0" w:color="auto"/>
            <w:bottom w:val="none" w:sz="0" w:space="0" w:color="auto"/>
            <w:right w:val="none" w:sz="0" w:space="0" w:color="auto"/>
          </w:divBdr>
        </w:div>
        <w:div w:id="24520552">
          <w:marLeft w:val="0"/>
          <w:marRight w:val="0"/>
          <w:marTop w:val="0"/>
          <w:marBottom w:val="0"/>
          <w:divBdr>
            <w:top w:val="none" w:sz="0" w:space="0" w:color="auto"/>
            <w:left w:val="none" w:sz="0" w:space="0" w:color="auto"/>
            <w:bottom w:val="none" w:sz="0" w:space="0" w:color="auto"/>
            <w:right w:val="none" w:sz="0" w:space="0" w:color="auto"/>
          </w:divBdr>
        </w:div>
      </w:divsChild>
    </w:div>
    <w:div w:id="1699811228">
      <w:bodyDiv w:val="1"/>
      <w:marLeft w:val="0"/>
      <w:marRight w:val="0"/>
      <w:marTop w:val="0"/>
      <w:marBottom w:val="0"/>
      <w:divBdr>
        <w:top w:val="none" w:sz="0" w:space="0" w:color="auto"/>
        <w:left w:val="none" w:sz="0" w:space="0" w:color="auto"/>
        <w:bottom w:val="none" w:sz="0" w:space="0" w:color="auto"/>
        <w:right w:val="none" w:sz="0" w:space="0" w:color="auto"/>
      </w:divBdr>
    </w:div>
    <w:div w:id="1860122561">
      <w:bodyDiv w:val="1"/>
      <w:marLeft w:val="0"/>
      <w:marRight w:val="0"/>
      <w:marTop w:val="0"/>
      <w:marBottom w:val="0"/>
      <w:divBdr>
        <w:top w:val="none" w:sz="0" w:space="0" w:color="auto"/>
        <w:left w:val="none" w:sz="0" w:space="0" w:color="auto"/>
        <w:bottom w:val="none" w:sz="0" w:space="0" w:color="auto"/>
        <w:right w:val="none" w:sz="0" w:space="0" w:color="auto"/>
      </w:divBdr>
      <w:divsChild>
        <w:div w:id="152919300">
          <w:marLeft w:val="0"/>
          <w:marRight w:val="0"/>
          <w:marTop w:val="0"/>
          <w:marBottom w:val="0"/>
          <w:divBdr>
            <w:top w:val="none" w:sz="0" w:space="0" w:color="auto"/>
            <w:left w:val="none" w:sz="0" w:space="0" w:color="auto"/>
            <w:bottom w:val="none" w:sz="0" w:space="0" w:color="auto"/>
            <w:right w:val="none" w:sz="0" w:space="0" w:color="auto"/>
          </w:divBdr>
        </w:div>
        <w:div w:id="266815950">
          <w:marLeft w:val="0"/>
          <w:marRight w:val="0"/>
          <w:marTop w:val="0"/>
          <w:marBottom w:val="0"/>
          <w:divBdr>
            <w:top w:val="none" w:sz="0" w:space="0" w:color="auto"/>
            <w:left w:val="none" w:sz="0" w:space="0" w:color="auto"/>
            <w:bottom w:val="none" w:sz="0" w:space="0" w:color="auto"/>
            <w:right w:val="none" w:sz="0" w:space="0" w:color="auto"/>
          </w:divBdr>
        </w:div>
      </w:divsChild>
    </w:div>
    <w:div w:id="2114784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8768839-9C85-4F05-90D0-6D7E1E3B40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1261</TotalTime>
  <Pages>19</Pages>
  <Words>6852</Words>
  <Characters>37686</Characters>
  <Application>Microsoft Office Word</Application>
  <DocSecurity>0</DocSecurity>
  <Lines>314</Lines>
  <Paragraphs>88</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44450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Yannick</dc:creator>
  <cp:keywords/>
  <dc:description/>
  <cp:lastModifiedBy>User</cp:lastModifiedBy>
  <cp:revision>16</cp:revision>
  <dcterms:created xsi:type="dcterms:W3CDTF">2020-08-28T11:10:00Z</dcterms:created>
  <dcterms:modified xsi:type="dcterms:W3CDTF">2020-09-07T12:32:00Z</dcterms:modified>
</cp:coreProperties>
</file>