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DAF0A6" w14:textId="77777777" w:rsidR="005A4FB1" w:rsidRPr="005B01D2" w:rsidRDefault="00CB7638" w:rsidP="00F9665E">
      <w:pPr>
        <w:pStyle w:val="Kop1"/>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Samenwerkingsakkoorden als interne Belgische verdragen?</w:t>
      </w:r>
    </w:p>
    <w:p w14:paraId="754EB218" w14:textId="77777777" w:rsidR="00E608D8" w:rsidRPr="005B01D2" w:rsidRDefault="00A87036">
      <w:pPr>
        <w:pStyle w:val="Kop1"/>
        <w:jc w:val="both"/>
        <w:rPr>
          <w:rStyle w:val="Kop1Char"/>
          <w:rFonts w:ascii="Times New Roman" w:hAnsi="Times New Roman" w:cs="Times New Roman"/>
          <w:sz w:val="24"/>
          <w:szCs w:val="24"/>
          <w:lang w:val="nl-BE"/>
        </w:rPr>
      </w:pPr>
      <w:r w:rsidRPr="00A87036">
        <w:rPr>
          <w:rFonts w:ascii="Times New Roman" w:hAnsi="Times New Roman" w:cs="Times New Roman"/>
          <w:sz w:val="24"/>
          <w:szCs w:val="24"/>
          <w:lang w:val="nl-BE"/>
        </w:rPr>
        <w:t xml:space="preserve">Gelijkenissen en verschillen tussen samenwerkingsakkoorden en verdragen en hun constitutionele implicaties </w:t>
      </w:r>
    </w:p>
    <w:p w14:paraId="67133FD9" w14:textId="77777777" w:rsidR="00AA3335" w:rsidRPr="005B01D2" w:rsidRDefault="00AA3335" w:rsidP="00F9665E">
      <w:pPr>
        <w:rPr>
          <w:lang w:val="nl-BE" w:eastAsia="en-US"/>
        </w:rPr>
      </w:pPr>
    </w:p>
    <w:p w14:paraId="68854EDB" w14:textId="77777777" w:rsidR="000C1FED" w:rsidRPr="005B01D2" w:rsidRDefault="004E2783">
      <w:pPr>
        <w:jc w:val="both"/>
        <w:rPr>
          <w:lang w:val="nl-BE"/>
        </w:rPr>
      </w:pPr>
      <w:r w:rsidRPr="005B01D2">
        <w:rPr>
          <w:lang w:val="nl-BE"/>
        </w:rPr>
        <w:t xml:space="preserve">T. Corthaut en D. Van </w:t>
      </w:r>
      <w:proofErr w:type="spellStart"/>
      <w:r w:rsidRPr="005B01D2">
        <w:rPr>
          <w:lang w:val="nl-BE"/>
        </w:rPr>
        <w:t>Eeckhoutte</w:t>
      </w:r>
      <w:proofErr w:type="spellEnd"/>
      <w:r w:rsidR="00020B69" w:rsidRPr="005B01D2">
        <w:rPr>
          <w:rStyle w:val="Voetnootmarkering"/>
          <w:lang w:val="nl-BE"/>
        </w:rPr>
        <w:footnoteReference w:id="2"/>
      </w:r>
    </w:p>
    <w:p w14:paraId="5D2F1E65" w14:textId="77777777" w:rsidR="00BA2C33" w:rsidRPr="005B01D2" w:rsidRDefault="00BA2C33" w:rsidP="00F9665E">
      <w:pPr>
        <w:jc w:val="both"/>
        <w:rPr>
          <w:lang w:val="nl-BE"/>
        </w:rPr>
      </w:pPr>
    </w:p>
    <w:p w14:paraId="73ADE5AD" w14:textId="77777777" w:rsidR="004E2783" w:rsidRPr="005B01D2" w:rsidRDefault="004E2783" w:rsidP="00F9665E">
      <w:pPr>
        <w:pStyle w:val="Kop1"/>
        <w:numPr>
          <w:ilvl w:val="0"/>
          <w:numId w:val="5"/>
        </w:numPr>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Inleiding</w:t>
      </w:r>
    </w:p>
    <w:p w14:paraId="715107A5" w14:textId="77777777" w:rsidR="00B80034" w:rsidRPr="005B01D2" w:rsidRDefault="00B80034" w:rsidP="00F9665E">
      <w:pPr>
        <w:jc w:val="both"/>
        <w:rPr>
          <w:lang w:val="nl-BE"/>
        </w:rPr>
      </w:pPr>
    </w:p>
    <w:p w14:paraId="4C9F3110" w14:textId="160821A9" w:rsidR="00D52BAF" w:rsidRPr="005B01D2" w:rsidRDefault="00D52BAF" w:rsidP="00F9665E">
      <w:pPr>
        <w:jc w:val="both"/>
        <w:rPr>
          <w:lang w:val="nl-BE"/>
        </w:rPr>
      </w:pPr>
      <w:r w:rsidRPr="005B01D2">
        <w:rPr>
          <w:lang w:val="nl-BE"/>
        </w:rPr>
        <w:t xml:space="preserve">1. </w:t>
      </w:r>
      <w:r w:rsidRPr="005B01D2">
        <w:rPr>
          <w:lang w:val="nl-BE"/>
        </w:rPr>
        <w:tab/>
        <w:t xml:space="preserve">We hebben als auditeurs werkzaam in de afdeling Wetgeving van de Raad van State al </w:t>
      </w:r>
      <w:r w:rsidR="0067608F" w:rsidRPr="005B01D2">
        <w:rPr>
          <w:lang w:val="nl-BE"/>
        </w:rPr>
        <w:t xml:space="preserve">vele </w:t>
      </w:r>
      <w:r w:rsidRPr="005B01D2">
        <w:rPr>
          <w:lang w:val="nl-BE"/>
        </w:rPr>
        <w:t xml:space="preserve">jaren het genoegen om </w:t>
      </w:r>
      <w:bookmarkStart w:id="0" w:name="_GoBack"/>
      <w:bookmarkEnd w:id="0"/>
      <w:r w:rsidRPr="005B01D2">
        <w:rPr>
          <w:lang w:val="nl-BE"/>
        </w:rPr>
        <w:t xml:space="preserve">nauw te mogen samenwerken met Kamervoorzitter Marnix Van Damme. We kennen Marnix als een vriendelijke en begripvolle Kamervoorzitter die met zachte hand sturing geeft aan zijn Kamer en aan allen die ermee samenwerken. We kennen Marnix tevens als een uitmuntend jurist, een harde werker en een verfijnde penhouder. Herhaaldelijke </w:t>
      </w:r>
      <w:r w:rsidR="0067608F" w:rsidRPr="005B01D2">
        <w:rPr>
          <w:lang w:val="nl-BE"/>
        </w:rPr>
        <w:t xml:space="preserve">boetseerde </w:t>
      </w:r>
      <w:r w:rsidRPr="005B01D2">
        <w:rPr>
          <w:lang w:val="nl-BE"/>
        </w:rPr>
        <w:t xml:space="preserve">hij nog wat ruw geformuleerde opmerkingen uit onze verslagen in verfijnde en eloquente aanwijzingen in adviezen van de Raad van State. Maar vergis je niet, deze verfijnde aanwijzingen kunnen even goed zacht milderend als dodelijk kritisch </w:t>
      </w:r>
      <w:r w:rsidR="00E40C47" w:rsidRPr="005B01D2">
        <w:rPr>
          <w:lang w:val="nl-BE"/>
        </w:rPr>
        <w:t xml:space="preserve">zijn </w:t>
      </w:r>
      <w:r w:rsidRPr="005B01D2">
        <w:rPr>
          <w:lang w:val="nl-BE"/>
        </w:rPr>
        <w:t>voor de ontwerptekst waarover advies w</w:t>
      </w:r>
      <w:r w:rsidR="00B80034" w:rsidRPr="005B01D2">
        <w:rPr>
          <w:lang w:val="nl-BE"/>
        </w:rPr>
        <w:t>e</w:t>
      </w:r>
      <w:r w:rsidRPr="005B01D2">
        <w:rPr>
          <w:lang w:val="nl-BE"/>
        </w:rPr>
        <w:t xml:space="preserve">rd gevraagd. </w:t>
      </w:r>
      <w:r w:rsidR="0067608F" w:rsidRPr="005B01D2">
        <w:rPr>
          <w:lang w:val="nl-BE"/>
        </w:rPr>
        <w:t>Die ontwerpteksten kunnen wetten of besluiten zijn, maar ook verdragen of samenwerkingsakkoorden</w:t>
      </w:r>
      <w:r w:rsidR="000B6349">
        <w:rPr>
          <w:lang w:val="nl-BE"/>
        </w:rPr>
        <w:t xml:space="preserve"> en de bijhorende instemmingsinstrumenten</w:t>
      </w:r>
      <w:r w:rsidR="0067608F" w:rsidRPr="005B01D2">
        <w:rPr>
          <w:lang w:val="nl-BE"/>
        </w:rPr>
        <w:t xml:space="preserve">. In deze bijdrage gaan we het hebben over </w:t>
      </w:r>
      <w:r w:rsidR="000B6349">
        <w:rPr>
          <w:lang w:val="nl-BE"/>
        </w:rPr>
        <w:t>de gelijkenissen en verschillen tussen die</w:t>
      </w:r>
      <w:r w:rsidR="000B6349" w:rsidRPr="005B01D2">
        <w:rPr>
          <w:lang w:val="nl-BE"/>
        </w:rPr>
        <w:t xml:space="preserve"> </w:t>
      </w:r>
      <w:r w:rsidR="000B6349">
        <w:rPr>
          <w:lang w:val="nl-BE"/>
        </w:rPr>
        <w:t xml:space="preserve">verdragen en </w:t>
      </w:r>
      <w:r w:rsidR="0067608F" w:rsidRPr="005B01D2">
        <w:rPr>
          <w:lang w:val="nl-BE"/>
        </w:rPr>
        <w:t>samenwerkingsakkoorden.</w:t>
      </w:r>
    </w:p>
    <w:p w14:paraId="122A10DA" w14:textId="77777777" w:rsidR="00D52BAF" w:rsidRPr="005B01D2" w:rsidRDefault="00D52BAF" w:rsidP="00F9665E">
      <w:pPr>
        <w:jc w:val="both"/>
        <w:rPr>
          <w:lang w:val="nl-BE"/>
        </w:rPr>
      </w:pPr>
    </w:p>
    <w:p w14:paraId="72D52D18" w14:textId="77777777" w:rsidR="000A033E" w:rsidRPr="005B01D2" w:rsidRDefault="00D52BAF" w:rsidP="00F9665E">
      <w:pPr>
        <w:jc w:val="both"/>
        <w:rPr>
          <w:lang w:val="nl-BE"/>
        </w:rPr>
      </w:pPr>
      <w:r w:rsidRPr="005B01D2">
        <w:rPr>
          <w:lang w:val="nl-BE"/>
        </w:rPr>
        <w:t xml:space="preserve">2. </w:t>
      </w:r>
      <w:r w:rsidRPr="005B01D2">
        <w:rPr>
          <w:lang w:val="nl-BE"/>
        </w:rPr>
        <w:tab/>
      </w:r>
      <w:r w:rsidR="00ED53EA" w:rsidRPr="005B01D2">
        <w:rPr>
          <w:lang w:val="nl-BE"/>
        </w:rPr>
        <w:t>Overeenkomstig artikel 92</w:t>
      </w:r>
      <w:r w:rsidR="00ED53EA" w:rsidRPr="005B01D2">
        <w:rPr>
          <w:i/>
          <w:lang w:val="nl-BE"/>
        </w:rPr>
        <w:t>bis</w:t>
      </w:r>
      <w:r w:rsidR="00A836E7" w:rsidRPr="005B01D2">
        <w:rPr>
          <w:lang w:val="nl-BE"/>
        </w:rPr>
        <w:t>, §1, eerste lid,</w:t>
      </w:r>
      <w:r w:rsidR="00ED53EA" w:rsidRPr="005B01D2">
        <w:rPr>
          <w:lang w:val="nl-BE"/>
        </w:rPr>
        <w:t xml:space="preserve"> van de bijzondere wet van 8 augustus 1980 ‘tot hervorming der instellingen’ (hierna: BWHI) kunnen de federale overheid, de gemeenschappen en de gewesten samenwerkingsakkoorden sluiten “die onder meer betrekking hebben op het gezamenlijk beheer van gemeenschappelijke diensten en instellingen, op het gezamenlijk uitoefenen van eigen bevoegdheden, of op de gemeenschappelijke ontwikkeling van initiatieven”.</w:t>
      </w:r>
      <w:r w:rsidR="006431FE" w:rsidRPr="005B01D2">
        <w:rPr>
          <w:rStyle w:val="Voetnootmarkering"/>
          <w:lang w:val="nl-BE"/>
        </w:rPr>
        <w:footnoteReference w:id="3"/>
      </w:r>
      <w:r w:rsidR="00A836E7" w:rsidRPr="005B01D2">
        <w:rPr>
          <w:lang w:val="nl-BE"/>
        </w:rPr>
        <w:t xml:space="preserve"> </w:t>
      </w:r>
    </w:p>
    <w:p w14:paraId="772FF0DE" w14:textId="77777777" w:rsidR="000A033E" w:rsidRPr="005B01D2" w:rsidRDefault="000A033E" w:rsidP="00F9665E">
      <w:pPr>
        <w:jc w:val="both"/>
        <w:rPr>
          <w:lang w:val="nl-BE"/>
        </w:rPr>
      </w:pPr>
    </w:p>
    <w:p w14:paraId="05387E4C" w14:textId="51001C85" w:rsidR="000A033E" w:rsidRPr="005B01D2" w:rsidRDefault="00A836E7" w:rsidP="00F9665E">
      <w:pPr>
        <w:jc w:val="both"/>
        <w:rPr>
          <w:lang w:val="nl-BE"/>
        </w:rPr>
      </w:pPr>
      <w:r w:rsidRPr="005B01D2">
        <w:rPr>
          <w:lang w:val="nl-BE"/>
        </w:rPr>
        <w:lastRenderedPageBreak/>
        <w:t xml:space="preserve">Samenwerkingsakkoorden zijn </w:t>
      </w:r>
      <w:r w:rsidR="00F53E61">
        <w:rPr>
          <w:lang w:val="nl-BE"/>
        </w:rPr>
        <w:t>slechts</w:t>
      </w:r>
      <w:r w:rsidRPr="00E93D19">
        <w:rPr>
          <w:lang w:val="nl-BE"/>
        </w:rPr>
        <w:t xml:space="preserve"> </w:t>
      </w:r>
      <w:r w:rsidRPr="005B01D2">
        <w:rPr>
          <w:lang w:val="nl-BE"/>
        </w:rPr>
        <w:t xml:space="preserve">één van de vele mogelijke vormen van samenwerking tussen </w:t>
      </w:r>
      <w:r w:rsidR="000A033E" w:rsidRPr="005B01D2">
        <w:rPr>
          <w:lang w:val="nl-BE"/>
        </w:rPr>
        <w:t>de autonoom bevoegde overheden in het federale België.</w:t>
      </w:r>
      <w:r w:rsidR="00E935FA" w:rsidRPr="005B01D2">
        <w:rPr>
          <w:rStyle w:val="Voetnootmarkering"/>
          <w:lang w:val="nl-BE"/>
        </w:rPr>
        <w:footnoteReference w:id="4"/>
      </w:r>
      <w:r w:rsidR="000A033E" w:rsidRPr="005B01D2">
        <w:rPr>
          <w:lang w:val="nl-BE"/>
        </w:rPr>
        <w:t xml:space="preserve"> Ze worden </w:t>
      </w:r>
      <w:r w:rsidR="00F53E61">
        <w:rPr>
          <w:lang w:val="nl-BE"/>
        </w:rPr>
        <w:t>niettemin</w:t>
      </w:r>
      <w:r w:rsidR="00F53E61" w:rsidRPr="00E93D19">
        <w:rPr>
          <w:lang w:val="nl-BE"/>
        </w:rPr>
        <w:t xml:space="preserve"> </w:t>
      </w:r>
      <w:r w:rsidR="000A033E" w:rsidRPr="005B01D2">
        <w:rPr>
          <w:lang w:val="nl-BE"/>
        </w:rPr>
        <w:t xml:space="preserve">aanzien als </w:t>
      </w:r>
      <w:r w:rsidR="000A033E" w:rsidRPr="005B01D2">
        <w:rPr>
          <w:i/>
          <w:iCs/>
          <w:lang w:val="nl-BE"/>
        </w:rPr>
        <w:t>hét</w:t>
      </w:r>
      <w:r w:rsidR="000A033E" w:rsidRPr="005B01D2">
        <w:rPr>
          <w:lang w:val="nl-BE"/>
        </w:rPr>
        <w:t xml:space="preserve"> instrument bij uitstek van het Belgisch </w:t>
      </w:r>
      <w:r w:rsidR="000532BD" w:rsidRPr="005B01D2">
        <w:rPr>
          <w:lang w:val="nl-BE"/>
        </w:rPr>
        <w:t>samenwerkings</w:t>
      </w:r>
      <w:r w:rsidR="000A033E" w:rsidRPr="005B01D2">
        <w:rPr>
          <w:lang w:val="nl-BE"/>
        </w:rPr>
        <w:t>federalisme. Het instrument kent immers een aantal voordelen:</w:t>
      </w:r>
    </w:p>
    <w:p w14:paraId="6351D0A5" w14:textId="77777777" w:rsidR="00891F0B" w:rsidRPr="005B01D2" w:rsidRDefault="000A033E" w:rsidP="00F9665E">
      <w:pPr>
        <w:pStyle w:val="Lijstalinea"/>
        <w:numPr>
          <w:ilvl w:val="0"/>
          <w:numId w:val="10"/>
        </w:numPr>
        <w:jc w:val="both"/>
        <w:rPr>
          <w:rFonts w:ascii="Times New Roman" w:hAnsi="Times New Roman" w:cs="Times New Roman"/>
          <w:lang w:val="nl-BE"/>
        </w:rPr>
      </w:pPr>
      <w:r w:rsidRPr="005B01D2">
        <w:rPr>
          <w:rFonts w:ascii="Times New Roman" w:hAnsi="Times New Roman" w:cs="Times New Roman"/>
          <w:lang w:val="nl-BE"/>
        </w:rPr>
        <w:t xml:space="preserve">Het </w:t>
      </w:r>
      <w:r w:rsidR="00B80034" w:rsidRPr="005B01D2">
        <w:rPr>
          <w:rFonts w:ascii="Times New Roman" w:hAnsi="Times New Roman" w:cs="Times New Roman"/>
          <w:lang w:val="nl-BE"/>
        </w:rPr>
        <w:t xml:space="preserve">is </w:t>
      </w:r>
      <w:r w:rsidRPr="005B01D2">
        <w:rPr>
          <w:rFonts w:ascii="Times New Roman" w:hAnsi="Times New Roman" w:cs="Times New Roman"/>
          <w:lang w:val="nl-BE"/>
        </w:rPr>
        <w:t>een juridisch instrument</w:t>
      </w:r>
    </w:p>
    <w:p w14:paraId="54BE3C22" w14:textId="77777777" w:rsidR="00891F0B" w:rsidRPr="005B01D2" w:rsidRDefault="000A033E" w:rsidP="00F9665E">
      <w:pPr>
        <w:pStyle w:val="Lijstalinea"/>
        <w:numPr>
          <w:ilvl w:val="1"/>
          <w:numId w:val="10"/>
        </w:numPr>
        <w:jc w:val="both"/>
        <w:rPr>
          <w:rFonts w:ascii="Times New Roman" w:hAnsi="Times New Roman" w:cs="Times New Roman"/>
          <w:lang w:val="nl-BE"/>
        </w:rPr>
      </w:pPr>
      <w:r w:rsidRPr="005B01D2">
        <w:rPr>
          <w:rFonts w:ascii="Times New Roman" w:hAnsi="Times New Roman" w:cs="Times New Roman"/>
          <w:lang w:val="nl-BE"/>
        </w:rPr>
        <w:t>waarbij de verschillende partijen zich tegenover elkaar engageren, maar die ook normen van wet- en regelgevende aard k</w:t>
      </w:r>
      <w:r w:rsidR="00B80034" w:rsidRPr="005B01D2">
        <w:rPr>
          <w:rFonts w:ascii="Times New Roman" w:hAnsi="Times New Roman" w:cs="Times New Roman"/>
          <w:lang w:val="nl-BE"/>
        </w:rPr>
        <w:t>unnen</w:t>
      </w:r>
      <w:r w:rsidRPr="005B01D2">
        <w:rPr>
          <w:rFonts w:ascii="Times New Roman" w:hAnsi="Times New Roman" w:cs="Times New Roman"/>
          <w:lang w:val="nl-BE"/>
        </w:rPr>
        <w:t xml:space="preserve"> bevatten</w:t>
      </w:r>
      <w:r w:rsidR="00891F0B" w:rsidRPr="005B01D2">
        <w:rPr>
          <w:rFonts w:ascii="Times New Roman" w:hAnsi="Times New Roman" w:cs="Times New Roman"/>
          <w:lang w:val="nl-BE"/>
        </w:rPr>
        <w:t>,</w:t>
      </w:r>
    </w:p>
    <w:p w14:paraId="2115B74D" w14:textId="77777777" w:rsidR="00891F0B" w:rsidRPr="005B01D2" w:rsidRDefault="00891F0B" w:rsidP="00F9665E">
      <w:pPr>
        <w:pStyle w:val="Lijstalinea"/>
        <w:numPr>
          <w:ilvl w:val="1"/>
          <w:numId w:val="10"/>
        </w:numPr>
        <w:jc w:val="both"/>
        <w:rPr>
          <w:rFonts w:ascii="Times New Roman" w:hAnsi="Times New Roman" w:cs="Times New Roman"/>
          <w:lang w:val="nl-BE"/>
        </w:rPr>
      </w:pPr>
      <w:r w:rsidRPr="005B01D2">
        <w:rPr>
          <w:rFonts w:ascii="Times New Roman" w:hAnsi="Times New Roman" w:cs="Times New Roman"/>
          <w:lang w:val="nl-BE"/>
        </w:rPr>
        <w:t xml:space="preserve">ze kunnen particulieren persoonlijk binden, </w:t>
      </w:r>
    </w:p>
    <w:p w14:paraId="5925BB5F" w14:textId="77777777" w:rsidR="00891F0B" w:rsidRPr="005B01D2" w:rsidRDefault="00891F0B" w:rsidP="00F9665E">
      <w:pPr>
        <w:pStyle w:val="Lijstalinea"/>
        <w:numPr>
          <w:ilvl w:val="1"/>
          <w:numId w:val="10"/>
        </w:numPr>
        <w:jc w:val="both"/>
        <w:rPr>
          <w:rFonts w:ascii="Times New Roman" w:hAnsi="Times New Roman" w:cs="Times New Roman"/>
          <w:lang w:val="nl-BE"/>
        </w:rPr>
      </w:pPr>
      <w:r w:rsidRPr="005B01D2">
        <w:rPr>
          <w:rFonts w:ascii="Times New Roman" w:hAnsi="Times New Roman" w:cs="Times New Roman"/>
          <w:lang w:val="nl-BE"/>
        </w:rPr>
        <w:t>en zelfs direct wettelijke normen wijzigen (</w:t>
      </w:r>
      <w:r w:rsidRPr="005B01D2">
        <w:rPr>
          <w:rFonts w:ascii="Times New Roman" w:hAnsi="Times New Roman" w:cs="Times New Roman"/>
          <w:i/>
          <w:lang w:val="nl-BE"/>
        </w:rPr>
        <w:t>infra</w:t>
      </w:r>
      <w:r w:rsidRPr="005B01D2">
        <w:rPr>
          <w:rFonts w:ascii="Times New Roman" w:hAnsi="Times New Roman" w:cs="Times New Roman"/>
          <w:lang w:val="nl-BE"/>
        </w:rPr>
        <w:t xml:space="preserve"> </w:t>
      </w:r>
      <w:r w:rsidR="000C428C" w:rsidRPr="00B2070B">
        <w:rPr>
          <w:rFonts w:ascii="Times New Roman" w:hAnsi="Times New Roman"/>
          <w:lang w:val="nl-BE"/>
        </w:rPr>
        <w:t>hoofdstuk VII</w:t>
      </w:r>
      <w:r w:rsidRPr="005B01D2">
        <w:rPr>
          <w:rFonts w:ascii="Times New Roman" w:hAnsi="Times New Roman" w:cs="Times New Roman"/>
          <w:lang w:val="nl-BE"/>
        </w:rPr>
        <w:t>)</w:t>
      </w:r>
      <w:r w:rsidR="00C93803" w:rsidRPr="005B01D2">
        <w:rPr>
          <w:rFonts w:ascii="Times New Roman" w:hAnsi="Times New Roman" w:cs="Times New Roman"/>
          <w:lang w:val="nl-BE"/>
        </w:rPr>
        <w:t>;</w:t>
      </w:r>
    </w:p>
    <w:p w14:paraId="17920069" w14:textId="77777777" w:rsidR="00710610" w:rsidRPr="005B01D2" w:rsidRDefault="00710610" w:rsidP="00F9665E">
      <w:pPr>
        <w:pStyle w:val="Lijstalinea"/>
        <w:numPr>
          <w:ilvl w:val="0"/>
          <w:numId w:val="10"/>
        </w:numPr>
        <w:jc w:val="both"/>
        <w:rPr>
          <w:rFonts w:ascii="Times New Roman" w:hAnsi="Times New Roman" w:cs="Times New Roman"/>
          <w:lang w:val="nl-BE"/>
        </w:rPr>
      </w:pPr>
      <w:r w:rsidRPr="005B01D2">
        <w:rPr>
          <w:rFonts w:ascii="Times New Roman" w:hAnsi="Times New Roman" w:cs="Times New Roman"/>
          <w:lang w:val="nl-BE"/>
        </w:rPr>
        <w:t>Het is gebaseerd op een consensus tussen de betrokken overheden;</w:t>
      </w:r>
    </w:p>
    <w:p w14:paraId="572667E7" w14:textId="0C530924" w:rsidR="00710610" w:rsidRPr="005B01D2" w:rsidRDefault="0067608F" w:rsidP="00F9665E">
      <w:pPr>
        <w:pStyle w:val="Lijstalinea"/>
        <w:numPr>
          <w:ilvl w:val="0"/>
          <w:numId w:val="10"/>
        </w:numPr>
        <w:jc w:val="both"/>
        <w:rPr>
          <w:rFonts w:ascii="Times New Roman" w:hAnsi="Times New Roman" w:cs="Times New Roman"/>
          <w:lang w:val="nl-BE"/>
        </w:rPr>
      </w:pPr>
      <w:r w:rsidRPr="005B01D2">
        <w:rPr>
          <w:rFonts w:ascii="Times New Roman" w:hAnsi="Times New Roman" w:cs="Times New Roman"/>
          <w:lang w:val="nl-BE"/>
        </w:rPr>
        <w:t xml:space="preserve">Het </w:t>
      </w:r>
      <w:r w:rsidR="00710610" w:rsidRPr="005B01D2">
        <w:rPr>
          <w:rFonts w:ascii="Times New Roman" w:hAnsi="Times New Roman" w:cs="Times New Roman"/>
          <w:lang w:val="nl-BE"/>
        </w:rPr>
        <w:t>vereis</w:t>
      </w:r>
      <w:r w:rsidRPr="005B01D2">
        <w:rPr>
          <w:rFonts w:ascii="Times New Roman" w:hAnsi="Times New Roman" w:cs="Times New Roman"/>
          <w:lang w:val="nl-BE"/>
        </w:rPr>
        <w:t>t</w:t>
      </w:r>
      <w:r w:rsidR="00710610" w:rsidRPr="005B01D2">
        <w:rPr>
          <w:rFonts w:ascii="Times New Roman" w:hAnsi="Times New Roman" w:cs="Times New Roman"/>
          <w:lang w:val="nl-BE"/>
        </w:rPr>
        <w:t xml:space="preserve"> geen precieze afbakening van de bevoegdheden van elk van de betrokken overheden</w:t>
      </w:r>
      <w:r w:rsidR="00B80034" w:rsidRPr="005B01D2">
        <w:rPr>
          <w:rFonts w:ascii="Times New Roman" w:hAnsi="Times New Roman" w:cs="Times New Roman"/>
          <w:lang w:val="nl-BE"/>
        </w:rPr>
        <w:t>,</w:t>
      </w:r>
      <w:r w:rsidR="00710610" w:rsidRPr="005B01D2">
        <w:rPr>
          <w:rFonts w:ascii="Times New Roman" w:hAnsi="Times New Roman" w:cs="Times New Roman"/>
          <w:lang w:val="nl-BE"/>
        </w:rPr>
        <w:t xml:space="preserve"> aangezien het instrument net voorziet dat de bevoegdheden van de betrokken overheden gezamenlijk worden uitgeoefend</w:t>
      </w:r>
      <w:r w:rsidR="00CC532B" w:rsidRPr="005B01D2">
        <w:rPr>
          <w:rFonts w:ascii="Times New Roman" w:hAnsi="Times New Roman" w:cs="Times New Roman"/>
          <w:lang w:val="nl-BE"/>
        </w:rPr>
        <w:t xml:space="preserve">, of met andere woorden </w:t>
      </w:r>
      <w:r w:rsidR="00B80034" w:rsidRPr="005B01D2">
        <w:rPr>
          <w:rFonts w:ascii="Times New Roman" w:hAnsi="Times New Roman" w:cs="Times New Roman"/>
          <w:lang w:val="nl-BE"/>
        </w:rPr>
        <w:t xml:space="preserve">worden </w:t>
      </w:r>
      <w:r w:rsidR="00CC532B" w:rsidRPr="005B01D2">
        <w:rPr>
          <w:rFonts w:ascii="Times New Roman" w:hAnsi="Times New Roman" w:cs="Times New Roman"/>
          <w:lang w:val="nl-BE"/>
        </w:rPr>
        <w:t>“</w:t>
      </w:r>
      <w:r w:rsidR="0040541D" w:rsidRPr="005B01D2">
        <w:rPr>
          <w:rFonts w:ascii="Times New Roman" w:hAnsi="Times New Roman" w:cs="Times New Roman"/>
          <w:lang w:val="nl-BE"/>
        </w:rPr>
        <w:t>gepoold</w:t>
      </w:r>
      <w:r w:rsidR="00CC532B" w:rsidRPr="005B01D2">
        <w:rPr>
          <w:rFonts w:ascii="Times New Roman" w:hAnsi="Times New Roman" w:cs="Times New Roman"/>
          <w:lang w:val="nl-BE"/>
        </w:rPr>
        <w:t>”.</w:t>
      </w:r>
    </w:p>
    <w:p w14:paraId="776CE5C0" w14:textId="77777777" w:rsidR="00CC532B" w:rsidRPr="005B01D2" w:rsidRDefault="00CC532B" w:rsidP="00F9665E">
      <w:pPr>
        <w:ind w:left="360"/>
        <w:jc w:val="both"/>
        <w:rPr>
          <w:lang w:val="nl-BE"/>
        </w:rPr>
      </w:pPr>
    </w:p>
    <w:p w14:paraId="27B6F8FA" w14:textId="1DFD5B37" w:rsidR="005B233D" w:rsidRPr="005B01D2" w:rsidRDefault="00CC532B" w:rsidP="00F9665E">
      <w:pPr>
        <w:jc w:val="both"/>
        <w:rPr>
          <w:lang w:val="nl-BE"/>
        </w:rPr>
      </w:pPr>
      <w:r w:rsidRPr="005B01D2">
        <w:rPr>
          <w:lang w:val="nl-BE"/>
        </w:rPr>
        <w:t>Dit staat in s</w:t>
      </w:r>
      <w:r w:rsidR="005B233D" w:rsidRPr="005B01D2">
        <w:rPr>
          <w:lang w:val="nl-BE"/>
        </w:rPr>
        <w:t>chril contrast met verschillende andere instrumenten van samenwerking</w:t>
      </w:r>
      <w:r w:rsidR="00B80034" w:rsidRPr="005B01D2">
        <w:rPr>
          <w:lang w:val="nl-BE"/>
        </w:rPr>
        <w:t>,</w:t>
      </w:r>
      <w:r w:rsidR="005B233D" w:rsidRPr="005B01D2">
        <w:rPr>
          <w:lang w:val="nl-BE"/>
        </w:rPr>
        <w:t xml:space="preserve"> </w:t>
      </w:r>
      <w:r w:rsidR="00B80034" w:rsidRPr="005B01D2">
        <w:rPr>
          <w:lang w:val="nl-BE"/>
        </w:rPr>
        <w:t xml:space="preserve">bv. </w:t>
      </w:r>
      <w:r w:rsidR="005B233D" w:rsidRPr="005B01D2">
        <w:rPr>
          <w:lang w:val="nl-BE"/>
        </w:rPr>
        <w:t xml:space="preserve">waarbij een </w:t>
      </w:r>
      <w:r w:rsidR="000B6349">
        <w:rPr>
          <w:lang w:val="nl-BE"/>
        </w:rPr>
        <w:t>belanghebbende</w:t>
      </w:r>
      <w:r w:rsidR="000B6349" w:rsidRPr="005B01D2">
        <w:rPr>
          <w:lang w:val="nl-BE"/>
        </w:rPr>
        <w:t xml:space="preserve"> </w:t>
      </w:r>
      <w:r w:rsidR="005B233D" w:rsidRPr="005B01D2">
        <w:rPr>
          <w:lang w:val="nl-BE"/>
        </w:rPr>
        <w:t xml:space="preserve">overheid </w:t>
      </w:r>
      <w:r w:rsidR="00B80034" w:rsidRPr="005B01D2">
        <w:rPr>
          <w:lang w:val="nl-BE"/>
        </w:rPr>
        <w:t>slechts inspraak heeft, en dus geen instemming</w:t>
      </w:r>
      <w:r w:rsidR="005B233D" w:rsidRPr="005B01D2">
        <w:rPr>
          <w:lang w:val="nl-BE"/>
        </w:rPr>
        <w:t xml:space="preserve"> (bv. de verschillende vormen van overleg en betrokkenheid), waarbij </w:t>
      </w:r>
      <w:r w:rsidR="00B80034" w:rsidRPr="005B01D2">
        <w:rPr>
          <w:lang w:val="nl-BE"/>
        </w:rPr>
        <w:t xml:space="preserve">elke betrokken overheid </w:t>
      </w:r>
      <w:r w:rsidR="005568BF">
        <w:rPr>
          <w:lang w:val="nl-BE"/>
        </w:rPr>
        <w:t>haar</w:t>
      </w:r>
      <w:r w:rsidR="005568BF" w:rsidRPr="00E93D19">
        <w:rPr>
          <w:lang w:val="nl-BE"/>
        </w:rPr>
        <w:t xml:space="preserve"> </w:t>
      </w:r>
      <w:r w:rsidR="00B80034" w:rsidRPr="005B01D2">
        <w:rPr>
          <w:lang w:val="nl-BE"/>
        </w:rPr>
        <w:t>b</w:t>
      </w:r>
      <w:r w:rsidR="005B233D" w:rsidRPr="005B01D2">
        <w:rPr>
          <w:lang w:val="nl-BE"/>
        </w:rPr>
        <w:t>evoegdheden nauwkeurig</w:t>
      </w:r>
      <w:r w:rsidR="00B80034" w:rsidRPr="005B01D2">
        <w:rPr>
          <w:lang w:val="nl-BE"/>
        </w:rPr>
        <w:t xml:space="preserve"> moet afbakenen</w:t>
      </w:r>
      <w:r w:rsidR="008319AE">
        <w:rPr>
          <w:lang w:val="nl-BE"/>
        </w:rPr>
        <w:t xml:space="preserve"> (bv. een op elkaar afgestemd regelgevend kader), </w:t>
      </w:r>
      <w:r w:rsidR="008319AE" w:rsidRPr="005B01D2">
        <w:rPr>
          <w:lang w:val="nl-BE"/>
        </w:rPr>
        <w:t xml:space="preserve">waarbij er geen sprake is van </w:t>
      </w:r>
      <w:r w:rsidR="008319AE" w:rsidRPr="005B01D2">
        <w:rPr>
          <w:i/>
          <w:iCs/>
          <w:lang w:val="nl-BE"/>
        </w:rPr>
        <w:t xml:space="preserve">juridische </w:t>
      </w:r>
      <w:r w:rsidR="008319AE" w:rsidRPr="00A87036">
        <w:rPr>
          <w:iCs/>
          <w:lang w:val="nl-BE"/>
        </w:rPr>
        <w:t>binding</w:t>
      </w:r>
      <w:r w:rsidR="008319AE" w:rsidRPr="005B01D2">
        <w:rPr>
          <w:lang w:val="nl-BE"/>
        </w:rPr>
        <w:t xml:space="preserve"> (bv. de beslissingen van het Overlegcomité of een interministeriële conferentie)</w:t>
      </w:r>
      <w:r w:rsidR="00B80034" w:rsidRPr="005B01D2">
        <w:rPr>
          <w:lang w:val="nl-BE"/>
        </w:rPr>
        <w:t xml:space="preserve"> en waarbij </w:t>
      </w:r>
      <w:r w:rsidR="000B6349">
        <w:rPr>
          <w:lang w:val="nl-BE"/>
        </w:rPr>
        <w:t>de verschillende overheden</w:t>
      </w:r>
      <w:r w:rsidR="000B6349" w:rsidRPr="005B01D2">
        <w:rPr>
          <w:lang w:val="nl-BE"/>
        </w:rPr>
        <w:t xml:space="preserve"> </w:t>
      </w:r>
      <w:r w:rsidR="00B80034" w:rsidRPr="005B01D2">
        <w:rPr>
          <w:lang w:val="nl-BE"/>
        </w:rPr>
        <w:t>zich niet juridisch ten opzichte van elkaar engageren</w:t>
      </w:r>
      <w:r w:rsidR="005B233D" w:rsidRPr="005B01D2">
        <w:rPr>
          <w:lang w:val="nl-BE"/>
        </w:rPr>
        <w:t xml:space="preserve"> (bv. </w:t>
      </w:r>
      <w:r w:rsidR="008319AE">
        <w:rPr>
          <w:lang w:val="nl-BE"/>
        </w:rPr>
        <w:t xml:space="preserve">een </w:t>
      </w:r>
      <w:r w:rsidR="005B233D" w:rsidRPr="005B01D2">
        <w:rPr>
          <w:lang w:val="nl-BE"/>
        </w:rPr>
        <w:t xml:space="preserve">op elkaar afgestemde </w:t>
      </w:r>
      <w:r w:rsidR="008319AE">
        <w:rPr>
          <w:lang w:val="nl-BE"/>
        </w:rPr>
        <w:t>regelgevend kader</w:t>
      </w:r>
      <w:r w:rsidR="005B233D" w:rsidRPr="005B01D2">
        <w:rPr>
          <w:lang w:val="nl-BE"/>
        </w:rPr>
        <w:t>)</w:t>
      </w:r>
      <w:r w:rsidR="00B80034" w:rsidRPr="005B01D2">
        <w:rPr>
          <w:lang w:val="nl-BE"/>
        </w:rPr>
        <w:t>.</w:t>
      </w:r>
    </w:p>
    <w:p w14:paraId="317A5CF9" w14:textId="77777777" w:rsidR="005B233D" w:rsidRPr="005B01D2" w:rsidRDefault="005B233D" w:rsidP="00F9665E">
      <w:pPr>
        <w:jc w:val="both"/>
        <w:rPr>
          <w:lang w:val="nl-BE"/>
        </w:rPr>
      </w:pPr>
    </w:p>
    <w:p w14:paraId="3E4D813E" w14:textId="1467318F" w:rsidR="007328D0" w:rsidRPr="005B01D2" w:rsidRDefault="00F53E61" w:rsidP="00F9665E">
      <w:pPr>
        <w:jc w:val="both"/>
        <w:rPr>
          <w:lang w:val="nl-BE"/>
        </w:rPr>
      </w:pPr>
      <w:r>
        <w:rPr>
          <w:lang w:val="nl-BE"/>
        </w:rPr>
        <w:t>D</w:t>
      </w:r>
      <w:r w:rsidRPr="00E93D19">
        <w:rPr>
          <w:lang w:val="nl-BE"/>
        </w:rPr>
        <w:t>e door de Zesde Staatshervorming in artikel</w:t>
      </w:r>
      <w:r w:rsidRPr="00E93D19">
        <w:rPr>
          <w:lang w:val="nl-NL"/>
        </w:rPr>
        <w:t xml:space="preserve"> 92</w:t>
      </w:r>
      <w:r w:rsidRPr="00E93D19">
        <w:rPr>
          <w:i/>
          <w:lang w:val="nl-NL"/>
        </w:rPr>
        <w:t>bis</w:t>
      </w:r>
      <w:r w:rsidRPr="00E93D19">
        <w:rPr>
          <w:lang w:val="nl-NL"/>
        </w:rPr>
        <w:t>/1, BWHI</w:t>
      </w:r>
      <w:r w:rsidRPr="00E93D19">
        <w:rPr>
          <w:lang w:val="nl-BE"/>
        </w:rPr>
        <w:t xml:space="preserve"> ingevoerde gemeenschappelijk decreten (en ordonnanties) en besluiten </w:t>
      </w:r>
      <w:r>
        <w:rPr>
          <w:lang w:val="nl-BE"/>
        </w:rPr>
        <w:t>zijn h</w:t>
      </w:r>
      <w:r w:rsidR="007328D0" w:rsidRPr="005B01D2">
        <w:rPr>
          <w:lang w:val="nl-BE"/>
        </w:rPr>
        <w:t xml:space="preserve">et enige </w:t>
      </w:r>
      <w:r w:rsidR="009A0BBF" w:rsidRPr="005B01D2">
        <w:rPr>
          <w:lang w:val="nl-BE"/>
        </w:rPr>
        <w:t>samenwerkings</w:t>
      </w:r>
      <w:r w:rsidR="007328D0" w:rsidRPr="005B01D2">
        <w:rPr>
          <w:lang w:val="nl-BE"/>
        </w:rPr>
        <w:t>instrument dat de</w:t>
      </w:r>
      <w:r w:rsidR="00B80034" w:rsidRPr="005B01D2">
        <w:rPr>
          <w:lang w:val="nl-BE"/>
        </w:rPr>
        <w:t xml:space="preserve"> voormelde</w:t>
      </w:r>
      <w:r w:rsidR="007328D0" w:rsidRPr="005B01D2">
        <w:rPr>
          <w:lang w:val="nl-BE"/>
        </w:rPr>
        <w:t xml:space="preserve"> kenmerken </w:t>
      </w:r>
      <w:r w:rsidR="00B80034" w:rsidRPr="005B01D2">
        <w:rPr>
          <w:lang w:val="nl-BE"/>
        </w:rPr>
        <w:t xml:space="preserve">wel </w:t>
      </w:r>
      <w:r w:rsidR="007328D0" w:rsidRPr="005B01D2">
        <w:rPr>
          <w:lang w:val="nl-BE"/>
        </w:rPr>
        <w:t>deelt</w:t>
      </w:r>
      <w:r w:rsidR="00045B7D">
        <w:rPr>
          <w:lang w:val="nl-BE"/>
        </w:rPr>
        <w:t>.</w:t>
      </w:r>
      <w:r w:rsidR="00001D60" w:rsidRPr="005B01D2">
        <w:rPr>
          <w:rStyle w:val="Voetnootmarkering"/>
          <w:lang w:val="nl-BE"/>
        </w:rPr>
        <w:footnoteReference w:id="5"/>
      </w:r>
      <w:r w:rsidR="00045B7D">
        <w:rPr>
          <w:vertAlign w:val="superscript"/>
          <w:lang w:val="nl-BE"/>
        </w:rPr>
        <w:t>-</w:t>
      </w:r>
      <w:r w:rsidR="00820A4B" w:rsidRPr="005B01D2">
        <w:rPr>
          <w:rStyle w:val="Voetnootmarkering"/>
          <w:lang w:val="nl-BE"/>
        </w:rPr>
        <w:footnoteReference w:id="6"/>
      </w:r>
      <w:r w:rsidR="007328D0" w:rsidRPr="005B01D2">
        <w:rPr>
          <w:lang w:val="nl-BE"/>
        </w:rPr>
        <w:t xml:space="preserve"> </w:t>
      </w:r>
      <w:r w:rsidR="00B80034" w:rsidRPr="005B01D2">
        <w:rPr>
          <w:lang w:val="nl-BE"/>
        </w:rPr>
        <w:t>D</w:t>
      </w:r>
      <w:r w:rsidR="007328D0" w:rsidRPr="005B01D2">
        <w:rPr>
          <w:lang w:val="nl-BE"/>
        </w:rPr>
        <w:t xml:space="preserve">it </w:t>
      </w:r>
      <w:r w:rsidR="00396043" w:rsidRPr="005B01D2">
        <w:rPr>
          <w:lang w:val="nl-BE"/>
        </w:rPr>
        <w:t xml:space="preserve">instrument werd door de </w:t>
      </w:r>
      <w:r w:rsidR="007328D0" w:rsidRPr="005B01D2">
        <w:rPr>
          <w:lang w:val="nl-BE"/>
        </w:rPr>
        <w:t xml:space="preserve">afdeling Wetgeving van de Raad van State </w:t>
      </w:r>
      <w:r w:rsidR="0011463A" w:rsidRPr="005B01D2">
        <w:rPr>
          <w:lang w:val="nl-BE"/>
        </w:rPr>
        <w:t xml:space="preserve">evenwel </w:t>
      </w:r>
      <w:r w:rsidR="00396043" w:rsidRPr="005B01D2">
        <w:rPr>
          <w:lang w:val="nl-BE"/>
        </w:rPr>
        <w:t xml:space="preserve">beschouwd als een </w:t>
      </w:r>
      <w:r w:rsidR="007328D0" w:rsidRPr="005B01D2">
        <w:rPr>
          <w:i/>
          <w:lang w:val="nl-BE"/>
        </w:rPr>
        <w:t>soort</w:t>
      </w:r>
      <w:r w:rsidR="007328D0" w:rsidRPr="005B01D2">
        <w:rPr>
          <w:lang w:val="nl-BE"/>
        </w:rPr>
        <w:t xml:space="preserve"> samenwerkingsakkoord of </w:t>
      </w:r>
      <w:r w:rsidR="00396043" w:rsidRPr="005B01D2">
        <w:rPr>
          <w:lang w:val="nl-BE"/>
        </w:rPr>
        <w:t xml:space="preserve">op zijn minst als </w:t>
      </w:r>
      <w:r w:rsidR="00377B1F" w:rsidRPr="005B01D2">
        <w:rPr>
          <w:lang w:val="nl-BE"/>
        </w:rPr>
        <w:t>een er</w:t>
      </w:r>
      <w:r w:rsidR="00396043" w:rsidRPr="005B01D2">
        <w:rPr>
          <w:lang w:val="nl-BE"/>
        </w:rPr>
        <w:t xml:space="preserve">van </w:t>
      </w:r>
      <w:r w:rsidR="007328D0" w:rsidRPr="005B01D2">
        <w:rPr>
          <w:i/>
          <w:lang w:val="nl-BE"/>
        </w:rPr>
        <w:t>afgeleid</w:t>
      </w:r>
      <w:r w:rsidR="007328D0" w:rsidRPr="005B01D2">
        <w:rPr>
          <w:lang w:val="nl-BE"/>
        </w:rPr>
        <w:t xml:space="preserve"> instrument teneinde </w:t>
      </w:r>
      <w:r w:rsidR="00396043" w:rsidRPr="005B01D2">
        <w:rPr>
          <w:lang w:val="nl-BE"/>
        </w:rPr>
        <w:t xml:space="preserve">tot de conformiteit ervan met onze Grondwet te </w:t>
      </w:r>
      <w:r w:rsidR="00396043" w:rsidRPr="005B01D2">
        <w:rPr>
          <w:lang w:val="nl-BE"/>
        </w:rPr>
        <w:lastRenderedPageBreak/>
        <w:t>kunnen besluiten.</w:t>
      </w:r>
      <w:r w:rsidR="00396043" w:rsidRPr="005B01D2">
        <w:rPr>
          <w:rStyle w:val="Voetnootmarkering"/>
          <w:lang w:val="nl-BE"/>
        </w:rPr>
        <w:footnoteReference w:id="7"/>
      </w:r>
      <w:r w:rsidR="00211524" w:rsidRPr="005B01D2">
        <w:rPr>
          <w:lang w:val="nl-BE"/>
        </w:rPr>
        <w:t xml:space="preserve"> In deze bijdrage zullen we gezamenlijke decreten (en ordonnantie)</w:t>
      </w:r>
      <w:r w:rsidR="00B80034" w:rsidRPr="005B01D2">
        <w:rPr>
          <w:rStyle w:val="Voetnootmarkering"/>
          <w:lang w:val="nl-BE"/>
        </w:rPr>
        <w:footnoteReference w:id="8"/>
      </w:r>
      <w:r w:rsidR="00211524" w:rsidRPr="005B01D2">
        <w:rPr>
          <w:lang w:val="nl-BE"/>
        </w:rPr>
        <w:t xml:space="preserve"> dan ook als een bijzondere vorm van samenwerkingsakkoord</w:t>
      </w:r>
      <w:r w:rsidR="00001D60" w:rsidRPr="005B01D2">
        <w:rPr>
          <w:lang w:val="nl-BE"/>
        </w:rPr>
        <w:t>en</w:t>
      </w:r>
      <w:r w:rsidR="00211524" w:rsidRPr="005B01D2">
        <w:rPr>
          <w:lang w:val="nl-BE"/>
        </w:rPr>
        <w:t xml:space="preserve"> beschouwen.</w:t>
      </w:r>
      <w:r w:rsidR="00052CA0">
        <w:rPr>
          <w:rStyle w:val="Voetnootmarkering"/>
          <w:lang w:val="nl-BE"/>
        </w:rPr>
        <w:footnoteReference w:id="9"/>
      </w:r>
    </w:p>
    <w:p w14:paraId="3E63F79F" w14:textId="77777777" w:rsidR="00396043" w:rsidRPr="005B01D2" w:rsidRDefault="00396043" w:rsidP="00F9665E">
      <w:pPr>
        <w:jc w:val="both"/>
        <w:rPr>
          <w:lang w:val="nl-BE"/>
        </w:rPr>
      </w:pPr>
    </w:p>
    <w:p w14:paraId="1C1F6F46" w14:textId="77777777" w:rsidR="00396043" w:rsidRPr="005B01D2" w:rsidRDefault="00396043" w:rsidP="00F9665E">
      <w:pPr>
        <w:jc w:val="both"/>
        <w:rPr>
          <w:lang w:val="nl-BE"/>
        </w:rPr>
      </w:pPr>
      <w:r w:rsidRPr="005B01D2">
        <w:rPr>
          <w:lang w:val="nl-BE"/>
        </w:rPr>
        <w:t xml:space="preserve">Een </w:t>
      </w:r>
      <w:r w:rsidR="00B80034" w:rsidRPr="005B01D2">
        <w:rPr>
          <w:lang w:val="nl-BE"/>
        </w:rPr>
        <w:t xml:space="preserve">ander </w:t>
      </w:r>
      <w:r w:rsidRPr="005B01D2">
        <w:rPr>
          <w:lang w:val="nl-BE"/>
        </w:rPr>
        <w:t>instrument dat</w:t>
      </w:r>
      <w:r w:rsidR="00377B1F" w:rsidRPr="005B01D2">
        <w:rPr>
          <w:lang w:val="nl-BE"/>
        </w:rPr>
        <w:t xml:space="preserve"> duidelijk de</w:t>
      </w:r>
      <w:r w:rsidR="00B80034" w:rsidRPr="005B01D2">
        <w:rPr>
          <w:lang w:val="nl-BE"/>
        </w:rPr>
        <w:t xml:space="preserve"> voormelde</w:t>
      </w:r>
      <w:r w:rsidR="00377B1F" w:rsidRPr="005B01D2">
        <w:rPr>
          <w:lang w:val="nl-BE"/>
        </w:rPr>
        <w:t xml:space="preserve"> kenmerken deelt</w:t>
      </w:r>
      <w:r w:rsidR="00B80034" w:rsidRPr="005B01D2">
        <w:rPr>
          <w:lang w:val="nl-BE"/>
        </w:rPr>
        <w:t>, is een internationaal verdrag</w:t>
      </w:r>
      <w:r w:rsidR="00377B1F" w:rsidRPr="005B01D2">
        <w:rPr>
          <w:lang w:val="nl-BE"/>
        </w:rPr>
        <w:t xml:space="preserve">. Ook hier gaat het om </w:t>
      </w:r>
      <w:r w:rsidRPr="005B01D2">
        <w:rPr>
          <w:lang w:val="nl-BE"/>
        </w:rPr>
        <w:t>een consensueel instrument tussen autono</w:t>
      </w:r>
      <w:r w:rsidR="00377B1F" w:rsidRPr="005B01D2">
        <w:rPr>
          <w:lang w:val="nl-BE"/>
        </w:rPr>
        <w:t>o</w:t>
      </w:r>
      <w:r w:rsidRPr="005B01D2">
        <w:rPr>
          <w:lang w:val="nl-BE"/>
        </w:rPr>
        <w:t>m bevoegde overheden, waar</w:t>
      </w:r>
      <w:r w:rsidR="00377B1F" w:rsidRPr="005B01D2">
        <w:rPr>
          <w:lang w:val="nl-BE"/>
        </w:rPr>
        <w:t xml:space="preserve">mee eigen bevoegdheden van de partijen </w:t>
      </w:r>
      <w:r w:rsidRPr="005B01D2">
        <w:rPr>
          <w:lang w:val="nl-BE"/>
        </w:rPr>
        <w:t>op een gemeenschappeli</w:t>
      </w:r>
      <w:r w:rsidR="00377B1F" w:rsidRPr="005B01D2">
        <w:rPr>
          <w:lang w:val="nl-BE"/>
        </w:rPr>
        <w:t>jke wijze worden uitgeoefend,</w:t>
      </w:r>
      <w:r w:rsidRPr="005B01D2">
        <w:rPr>
          <w:lang w:val="nl-BE"/>
        </w:rPr>
        <w:t xml:space="preserve"> dat juridisch verbindend is tussen de partijen onderling</w:t>
      </w:r>
      <w:r w:rsidR="00377B1F" w:rsidRPr="005B01D2">
        <w:rPr>
          <w:lang w:val="nl-BE"/>
        </w:rPr>
        <w:t xml:space="preserve">, maar tevens maatregen van </w:t>
      </w:r>
      <w:r w:rsidR="00B80034" w:rsidRPr="005B01D2">
        <w:rPr>
          <w:lang w:val="nl-BE"/>
        </w:rPr>
        <w:t xml:space="preserve">wet- en </w:t>
      </w:r>
      <w:r w:rsidR="00377B1F" w:rsidRPr="005B01D2">
        <w:rPr>
          <w:lang w:val="nl-BE"/>
        </w:rPr>
        <w:t>regelgevende aard kan bevatten en aldus particulieren zou kunnen verbinden.</w:t>
      </w:r>
    </w:p>
    <w:p w14:paraId="7CFC821B" w14:textId="77777777" w:rsidR="00377B1F" w:rsidRPr="005B01D2" w:rsidRDefault="00377B1F" w:rsidP="00F9665E">
      <w:pPr>
        <w:jc w:val="both"/>
        <w:rPr>
          <w:lang w:val="nl-BE"/>
        </w:rPr>
      </w:pPr>
    </w:p>
    <w:p w14:paraId="7E18300E" w14:textId="77777777" w:rsidR="00F81527" w:rsidRPr="005B01D2" w:rsidRDefault="00377B1F" w:rsidP="00F9665E">
      <w:pPr>
        <w:jc w:val="both"/>
        <w:rPr>
          <w:lang w:val="nl-BE"/>
        </w:rPr>
      </w:pPr>
      <w:r w:rsidRPr="005B01D2">
        <w:rPr>
          <w:lang w:val="nl-BE"/>
        </w:rPr>
        <w:t>3.</w:t>
      </w:r>
      <w:r w:rsidRPr="005B01D2">
        <w:rPr>
          <w:lang w:val="nl-BE"/>
        </w:rPr>
        <w:tab/>
      </w:r>
      <w:r w:rsidR="00B80034" w:rsidRPr="005B01D2">
        <w:rPr>
          <w:lang w:val="nl-BE"/>
        </w:rPr>
        <w:t>Een ver</w:t>
      </w:r>
      <w:r w:rsidRPr="005B01D2">
        <w:rPr>
          <w:lang w:val="nl-BE"/>
        </w:rPr>
        <w:t xml:space="preserve">gelijking van samenwerkingsakkoorden als interne, Belgische verdragen ligt dan ook voor de hand. </w:t>
      </w:r>
    </w:p>
    <w:p w14:paraId="00F878CF" w14:textId="77777777" w:rsidR="00B80034" w:rsidRPr="005B01D2" w:rsidRDefault="00B80034" w:rsidP="00F9665E">
      <w:pPr>
        <w:jc w:val="both"/>
        <w:rPr>
          <w:lang w:val="nl-BE"/>
        </w:rPr>
      </w:pPr>
    </w:p>
    <w:p w14:paraId="573F4A15" w14:textId="4E811065" w:rsidR="00F81527" w:rsidRPr="005B01D2" w:rsidRDefault="00B80034" w:rsidP="00F9665E">
      <w:pPr>
        <w:jc w:val="both"/>
        <w:rPr>
          <w:lang w:val="nl-BE"/>
        </w:rPr>
      </w:pPr>
      <w:r w:rsidRPr="005B01D2">
        <w:rPr>
          <w:lang w:val="nl-BE"/>
        </w:rPr>
        <w:t>De vraag of samenwerkingsakkoorden met verdragen kunnen worden vergel</w:t>
      </w:r>
      <w:r w:rsidR="00052CA0">
        <w:rPr>
          <w:lang w:val="nl-BE"/>
        </w:rPr>
        <w:t>e</w:t>
      </w:r>
      <w:r w:rsidRPr="005B01D2">
        <w:rPr>
          <w:lang w:val="nl-BE"/>
        </w:rPr>
        <w:t>ken is niet louter academisch, maar heeft een praktische, juridische relevantie. D</w:t>
      </w:r>
      <w:r w:rsidR="00F81527" w:rsidRPr="005B01D2">
        <w:rPr>
          <w:lang w:val="nl-BE"/>
        </w:rPr>
        <w:t xml:space="preserve">e bijzondere wetgever </w:t>
      </w:r>
      <w:r w:rsidRPr="005B01D2">
        <w:rPr>
          <w:lang w:val="nl-BE"/>
        </w:rPr>
        <w:t xml:space="preserve">heeft </w:t>
      </w:r>
      <w:r w:rsidR="00F81527" w:rsidRPr="005B01D2">
        <w:rPr>
          <w:lang w:val="nl-BE"/>
        </w:rPr>
        <w:t xml:space="preserve">het rechtskader voor het zgn. instrument </w:t>
      </w:r>
      <w:r w:rsidRPr="005B01D2">
        <w:rPr>
          <w:lang w:val="nl-BE"/>
        </w:rPr>
        <w:t>‘</w:t>
      </w:r>
      <w:r w:rsidR="00F81527" w:rsidRPr="005B01D2">
        <w:rPr>
          <w:lang w:val="nl-BE"/>
        </w:rPr>
        <w:t>bij uitstek</w:t>
      </w:r>
      <w:r w:rsidRPr="005B01D2">
        <w:rPr>
          <w:lang w:val="nl-BE"/>
        </w:rPr>
        <w:t>’</w:t>
      </w:r>
      <w:r w:rsidR="00F81527" w:rsidRPr="005B01D2">
        <w:rPr>
          <w:lang w:val="nl-BE"/>
        </w:rPr>
        <w:t xml:space="preserve"> van het Belgische samenwerkingsfederalisme slechts</w:t>
      </w:r>
      <w:r w:rsidRPr="005B01D2">
        <w:rPr>
          <w:lang w:val="nl-BE"/>
        </w:rPr>
        <w:t xml:space="preserve"> heel summier geregeld</w:t>
      </w:r>
      <w:r w:rsidR="00F81527" w:rsidRPr="005B01D2">
        <w:rPr>
          <w:lang w:val="nl-BE"/>
        </w:rPr>
        <w:t>.</w:t>
      </w:r>
      <w:r w:rsidR="00090EA3" w:rsidRPr="005B01D2">
        <w:rPr>
          <w:rStyle w:val="Voetnootmarkering"/>
          <w:lang w:val="nl-BE"/>
        </w:rPr>
        <w:footnoteReference w:id="10"/>
      </w:r>
      <w:r w:rsidR="00F81527" w:rsidRPr="005B01D2">
        <w:rPr>
          <w:lang w:val="nl-BE"/>
        </w:rPr>
        <w:t xml:space="preserve"> Vele aspecten in de totstandkoming, het leven en het juridische effect van samenwerkingsakkoorden zijn niet</w:t>
      </w:r>
      <w:r w:rsidRPr="005B01D2">
        <w:rPr>
          <w:lang w:val="nl-BE"/>
        </w:rPr>
        <w:t xml:space="preserve"> of althans niet</w:t>
      </w:r>
      <w:r w:rsidR="00F81527" w:rsidRPr="005B01D2">
        <w:rPr>
          <w:lang w:val="nl-BE"/>
        </w:rPr>
        <w:t xml:space="preserve"> duidelijk in de bijzondere wet geregeld. De vraag rijst dan ook of de grijze zones en lacunes kunnen worden </w:t>
      </w:r>
      <w:r w:rsidRPr="005B01D2">
        <w:rPr>
          <w:lang w:val="nl-BE"/>
        </w:rPr>
        <w:t xml:space="preserve">opgevuld of </w:t>
      </w:r>
      <w:r w:rsidR="00F81527" w:rsidRPr="005B01D2">
        <w:rPr>
          <w:lang w:val="nl-BE"/>
        </w:rPr>
        <w:t xml:space="preserve">uitgeklaard </w:t>
      </w:r>
      <w:r w:rsidRPr="005B01D2">
        <w:rPr>
          <w:lang w:val="nl-BE"/>
        </w:rPr>
        <w:t xml:space="preserve">naar analogie met de </w:t>
      </w:r>
      <w:r w:rsidR="00F81527" w:rsidRPr="005B01D2">
        <w:rPr>
          <w:lang w:val="nl-BE"/>
        </w:rPr>
        <w:t>regeling voor internationale verdragen.</w:t>
      </w:r>
      <w:r w:rsidR="00260F8E" w:rsidRPr="005B01D2">
        <w:rPr>
          <w:rStyle w:val="Voetnootmarkering"/>
          <w:lang w:val="nl-BE"/>
        </w:rPr>
        <w:footnoteReference w:id="11"/>
      </w:r>
      <w:r w:rsidR="001B7B24" w:rsidRPr="005B01D2">
        <w:rPr>
          <w:lang w:val="nl-BE"/>
        </w:rPr>
        <w:t xml:space="preserve"> Dit is de onderzoeksvraag van</w:t>
      </w:r>
      <w:r w:rsidR="00117432" w:rsidRPr="005B01D2">
        <w:rPr>
          <w:lang w:val="nl-BE"/>
        </w:rPr>
        <w:t xml:space="preserve"> deze bijdrage: in welke mate kan voor het rechtskader van samenwerkingsakkoorden de analogie worden gemaakt met internationale verdragen?</w:t>
      </w:r>
      <w:r w:rsidR="001F66EC" w:rsidRPr="005B01D2">
        <w:rPr>
          <w:lang w:val="nl-BE"/>
        </w:rPr>
        <w:t xml:space="preserve"> </w:t>
      </w:r>
    </w:p>
    <w:p w14:paraId="3209D9E7" w14:textId="77777777" w:rsidR="00453F49" w:rsidRPr="005B01D2" w:rsidRDefault="00453F49" w:rsidP="00F9665E">
      <w:pPr>
        <w:jc w:val="both"/>
        <w:rPr>
          <w:lang w:val="nl-BE"/>
        </w:rPr>
      </w:pPr>
    </w:p>
    <w:p w14:paraId="3EF942CB" w14:textId="75FF5A99" w:rsidR="00465057" w:rsidRPr="00B2070B" w:rsidRDefault="001B7B24" w:rsidP="00F9665E">
      <w:pPr>
        <w:jc w:val="both"/>
        <w:rPr>
          <w:lang w:val="nl-BE"/>
        </w:rPr>
      </w:pPr>
      <w:r w:rsidRPr="005B01D2">
        <w:rPr>
          <w:lang w:val="nl-BE"/>
        </w:rPr>
        <w:t>4.</w:t>
      </w:r>
      <w:r w:rsidRPr="005B01D2">
        <w:rPr>
          <w:lang w:val="nl-BE"/>
        </w:rPr>
        <w:tab/>
      </w:r>
      <w:r w:rsidR="00117432" w:rsidRPr="005B01D2">
        <w:rPr>
          <w:lang w:val="nl-BE"/>
        </w:rPr>
        <w:t xml:space="preserve">Voor het beantwoorden van deze rechtsvraag </w:t>
      </w:r>
      <w:r w:rsidR="00465057" w:rsidRPr="005B01D2">
        <w:rPr>
          <w:lang w:val="nl-BE"/>
        </w:rPr>
        <w:t xml:space="preserve">focussen we </w:t>
      </w:r>
      <w:r w:rsidR="00052CA0">
        <w:rPr>
          <w:lang w:val="nl-BE"/>
        </w:rPr>
        <w:t xml:space="preserve">in het bijzonder </w:t>
      </w:r>
      <w:r w:rsidR="00465057" w:rsidRPr="005B01D2">
        <w:rPr>
          <w:lang w:val="nl-BE"/>
        </w:rPr>
        <w:t>op</w:t>
      </w:r>
      <w:r w:rsidR="00117432" w:rsidRPr="005B01D2">
        <w:rPr>
          <w:lang w:val="nl-BE"/>
        </w:rPr>
        <w:t xml:space="preserve"> de adviezen van de afdeling Wetgeving van de Raad van State.</w:t>
      </w:r>
      <w:r w:rsidR="00F374BC" w:rsidRPr="005B01D2">
        <w:rPr>
          <w:rStyle w:val="Voetnootmarkering"/>
          <w:lang w:val="nl-BE"/>
        </w:rPr>
        <w:footnoteReference w:id="12"/>
      </w:r>
      <w:r w:rsidR="00117432" w:rsidRPr="005B01D2">
        <w:rPr>
          <w:lang w:val="nl-BE"/>
        </w:rPr>
        <w:t xml:space="preserve"> </w:t>
      </w:r>
      <w:r w:rsidR="00D91767" w:rsidRPr="005B01D2">
        <w:rPr>
          <w:lang w:val="nl-BE"/>
        </w:rPr>
        <w:t>Recente u</w:t>
      </w:r>
      <w:r w:rsidR="00371104" w:rsidRPr="005B01D2">
        <w:rPr>
          <w:lang w:val="nl-BE"/>
        </w:rPr>
        <w:t xml:space="preserve">itspraken van andere </w:t>
      </w:r>
      <w:r w:rsidR="00371104" w:rsidRPr="00E93D19">
        <w:rPr>
          <w:lang w:val="nl-BE"/>
        </w:rPr>
        <w:lastRenderedPageBreak/>
        <w:t>rechter</w:t>
      </w:r>
      <w:r w:rsidR="006766F7">
        <w:rPr>
          <w:lang w:val="nl-BE"/>
        </w:rPr>
        <w:t>lijke instanties</w:t>
      </w:r>
      <w:r w:rsidR="00371104" w:rsidRPr="00E93D19">
        <w:rPr>
          <w:lang w:val="nl-BE"/>
        </w:rPr>
        <w:t xml:space="preserve"> </w:t>
      </w:r>
      <w:r w:rsidR="00371104" w:rsidRPr="005B01D2">
        <w:rPr>
          <w:lang w:val="nl-BE"/>
        </w:rPr>
        <w:t xml:space="preserve">die het rechtskader van samenwerkingsakkoorden verduidelijken zijn eerder schaars of </w:t>
      </w:r>
      <w:r w:rsidR="00D91767" w:rsidRPr="005B01D2">
        <w:rPr>
          <w:lang w:val="nl-BE"/>
        </w:rPr>
        <w:t>de verduidelijking</w:t>
      </w:r>
      <w:r w:rsidR="00B80034" w:rsidRPr="005B01D2">
        <w:rPr>
          <w:lang w:val="nl-BE"/>
        </w:rPr>
        <w:t>en</w:t>
      </w:r>
      <w:r w:rsidR="00D91767" w:rsidRPr="005B01D2">
        <w:rPr>
          <w:lang w:val="nl-BE"/>
        </w:rPr>
        <w:t xml:space="preserve"> die ze aanbrengen </w:t>
      </w:r>
      <w:r w:rsidR="00B80034" w:rsidRPr="005B01D2">
        <w:rPr>
          <w:lang w:val="nl-BE"/>
        </w:rPr>
        <w:t>zijn</w:t>
      </w:r>
      <w:r w:rsidR="00D91767" w:rsidRPr="005B01D2">
        <w:rPr>
          <w:lang w:val="nl-BE"/>
        </w:rPr>
        <w:t xml:space="preserve"> eerder beperkt</w:t>
      </w:r>
      <w:r w:rsidR="00371104" w:rsidRPr="005B01D2">
        <w:rPr>
          <w:lang w:val="nl-BE"/>
        </w:rPr>
        <w:t>.</w:t>
      </w:r>
      <w:r w:rsidR="00371104" w:rsidRPr="005B01D2">
        <w:rPr>
          <w:rStyle w:val="Voetnootmarkering"/>
          <w:lang w:val="nl-BE"/>
        </w:rPr>
        <w:footnoteReference w:id="13"/>
      </w:r>
      <w:r w:rsidR="00371104" w:rsidRPr="005B01D2">
        <w:rPr>
          <w:lang w:val="nl-BE"/>
        </w:rPr>
        <w:t xml:space="preserve"> </w:t>
      </w:r>
      <w:r w:rsidR="00117432" w:rsidRPr="005B01D2">
        <w:rPr>
          <w:lang w:val="nl-BE"/>
        </w:rPr>
        <w:t>De</w:t>
      </w:r>
      <w:r w:rsidR="00F374BC" w:rsidRPr="005B01D2">
        <w:rPr>
          <w:lang w:val="nl-BE"/>
        </w:rPr>
        <w:t xml:space="preserve"> </w:t>
      </w:r>
      <w:r w:rsidR="000C428C" w:rsidRPr="00B2070B">
        <w:rPr>
          <w:lang w:val="nl-BE"/>
        </w:rPr>
        <w:t>verenigde kamers</w:t>
      </w:r>
      <w:r w:rsidR="00F374BC" w:rsidRPr="005B01D2">
        <w:rPr>
          <w:rStyle w:val="Voetnootmarkering"/>
          <w:lang w:val="nl-BE"/>
        </w:rPr>
        <w:footnoteReference w:id="14"/>
      </w:r>
      <w:r w:rsidR="00F374BC" w:rsidRPr="005B01D2">
        <w:rPr>
          <w:lang w:val="nl-BE"/>
        </w:rPr>
        <w:t xml:space="preserve"> van de afdeling Wetgeving </w:t>
      </w:r>
      <w:r w:rsidR="00465057" w:rsidRPr="005B01D2">
        <w:rPr>
          <w:lang w:val="nl-BE"/>
        </w:rPr>
        <w:t xml:space="preserve">werd de voorbije jaren </w:t>
      </w:r>
      <w:r w:rsidR="00371104" w:rsidRPr="005B01D2">
        <w:rPr>
          <w:lang w:val="nl-BE"/>
        </w:rPr>
        <w:t xml:space="preserve">daarentegen </w:t>
      </w:r>
      <w:r w:rsidR="00465057" w:rsidRPr="005B01D2">
        <w:rPr>
          <w:lang w:val="nl-BE"/>
        </w:rPr>
        <w:t xml:space="preserve">herhaaldelijk verzocht om het rechtskader voor samenwerkingsakkoorden </w:t>
      </w:r>
      <w:r w:rsidR="00F374BC" w:rsidRPr="005B01D2">
        <w:rPr>
          <w:lang w:val="nl-BE"/>
        </w:rPr>
        <w:t xml:space="preserve">nader </w:t>
      </w:r>
      <w:r w:rsidR="00465057" w:rsidRPr="005B01D2">
        <w:rPr>
          <w:lang w:val="nl-BE"/>
        </w:rPr>
        <w:t>te verduidelijken.</w:t>
      </w:r>
      <w:r w:rsidR="003F5CA0" w:rsidRPr="005B01D2">
        <w:rPr>
          <w:lang w:val="nl-BE"/>
        </w:rPr>
        <w:t xml:space="preserve"> </w:t>
      </w:r>
      <w:r w:rsidR="001F66EC" w:rsidRPr="005B01D2">
        <w:rPr>
          <w:lang w:val="nl-BE"/>
        </w:rPr>
        <w:t>De vergelijking tussen verdragen en samenwerkingsakkoorden is op zich niet nieuw,</w:t>
      </w:r>
      <w:r w:rsidR="001F66EC" w:rsidRPr="005B01D2">
        <w:rPr>
          <w:rStyle w:val="Voetnootmarkering"/>
          <w:lang w:val="nl-BE"/>
        </w:rPr>
        <w:footnoteReference w:id="15"/>
      </w:r>
      <w:r w:rsidR="001F66EC" w:rsidRPr="005B01D2">
        <w:rPr>
          <w:lang w:val="nl-BE"/>
        </w:rPr>
        <w:t xml:space="preserve"> maar de recente adviespraktijk van de Raad van State biedt </w:t>
      </w:r>
      <w:r w:rsidR="0040541D">
        <w:rPr>
          <w:lang w:val="nl-BE"/>
        </w:rPr>
        <w:t>volgens ons</w:t>
      </w:r>
      <w:r w:rsidR="001F66EC" w:rsidRPr="005B01D2">
        <w:rPr>
          <w:lang w:val="nl-BE"/>
        </w:rPr>
        <w:t xml:space="preserve"> wel nieuwe perspectieven.</w:t>
      </w:r>
    </w:p>
    <w:p w14:paraId="7B843158" w14:textId="77777777" w:rsidR="00465057" w:rsidRPr="00B2070B" w:rsidRDefault="00465057" w:rsidP="00F9665E">
      <w:pPr>
        <w:jc w:val="both"/>
        <w:rPr>
          <w:lang w:val="nl-BE"/>
        </w:rPr>
      </w:pPr>
    </w:p>
    <w:p w14:paraId="196607BD" w14:textId="09FB3883" w:rsidR="00ED53EA" w:rsidRPr="005B01D2" w:rsidRDefault="00D91767" w:rsidP="00F9665E">
      <w:pPr>
        <w:jc w:val="both"/>
        <w:rPr>
          <w:lang w:val="nl-BE"/>
        </w:rPr>
      </w:pPr>
      <w:r w:rsidRPr="005B01D2">
        <w:rPr>
          <w:lang w:val="nl-BE"/>
        </w:rPr>
        <w:t>5.</w:t>
      </w:r>
      <w:r w:rsidRPr="005B01D2">
        <w:rPr>
          <w:lang w:val="nl-BE"/>
        </w:rPr>
        <w:tab/>
        <w:t xml:space="preserve">In deze bijdrage zullen we eerst de aard van samenwerkingsakkoord schetsen, </w:t>
      </w:r>
      <w:r w:rsidRPr="00E93D19">
        <w:rPr>
          <w:lang w:val="nl-BE"/>
        </w:rPr>
        <w:t>waar</w:t>
      </w:r>
      <w:r w:rsidR="009F4FCE">
        <w:rPr>
          <w:lang w:val="nl-BE"/>
        </w:rPr>
        <w:t>bij</w:t>
      </w:r>
      <w:r w:rsidRPr="005B01D2">
        <w:rPr>
          <w:lang w:val="nl-BE"/>
        </w:rPr>
        <w:t xml:space="preserve"> we al beknopt aangeven op welke punten samenwerkingsakkoorden en verdragen </w:t>
      </w:r>
      <w:r w:rsidR="00B80034" w:rsidRPr="005B01D2">
        <w:rPr>
          <w:lang w:val="nl-BE"/>
        </w:rPr>
        <w:t xml:space="preserve">op het eerste </w:t>
      </w:r>
      <w:r w:rsidR="009F4FCE">
        <w:rPr>
          <w:lang w:val="nl-BE"/>
        </w:rPr>
        <w:t>ge</w:t>
      </w:r>
      <w:r w:rsidR="00B80034" w:rsidRPr="00E93D19">
        <w:rPr>
          <w:lang w:val="nl-BE"/>
        </w:rPr>
        <w:t>zicht</w:t>
      </w:r>
      <w:r w:rsidR="00B80034" w:rsidRPr="005B01D2">
        <w:rPr>
          <w:lang w:val="nl-BE"/>
        </w:rPr>
        <w:t xml:space="preserve"> </w:t>
      </w:r>
      <w:r w:rsidRPr="005B01D2">
        <w:rPr>
          <w:lang w:val="nl-BE"/>
        </w:rPr>
        <w:t xml:space="preserve">op elkaar lijken en van elkaar verschillen (II). Daarna overlopen we de verschillende fasen in het </w:t>
      </w:r>
      <w:r w:rsidR="00B80034" w:rsidRPr="005B01D2">
        <w:rPr>
          <w:lang w:val="nl-BE"/>
        </w:rPr>
        <w:t xml:space="preserve">ontstaan en </w:t>
      </w:r>
      <w:r w:rsidR="0011463A" w:rsidRPr="005B01D2">
        <w:rPr>
          <w:lang w:val="nl-BE"/>
        </w:rPr>
        <w:t xml:space="preserve">het </w:t>
      </w:r>
      <w:r w:rsidRPr="005B01D2">
        <w:rPr>
          <w:lang w:val="nl-BE"/>
        </w:rPr>
        <w:t>leven van een samenwerkingsakkoord waarbij we nagaan of het rechtskader voor samenwerkingsakkoorden overeenkomstig de bijzondere wet en de adviespraktijk van de Raad van State</w:t>
      </w:r>
      <w:r w:rsidR="000D6D1B" w:rsidRPr="005B01D2">
        <w:rPr>
          <w:rStyle w:val="Voetnootmarkering"/>
          <w:lang w:val="nl-BE"/>
        </w:rPr>
        <w:footnoteReference w:id="16"/>
      </w:r>
      <w:r w:rsidRPr="005B01D2">
        <w:rPr>
          <w:lang w:val="nl-BE"/>
        </w:rPr>
        <w:t xml:space="preserve"> analoog is, dan wel </w:t>
      </w:r>
      <w:r w:rsidR="009F4FCE">
        <w:rPr>
          <w:lang w:val="nl-BE"/>
        </w:rPr>
        <w:t>of het ervan</w:t>
      </w:r>
      <w:r w:rsidRPr="00E93D19">
        <w:rPr>
          <w:lang w:val="nl-BE"/>
        </w:rPr>
        <w:t xml:space="preserve"> </w:t>
      </w:r>
      <w:r w:rsidRPr="005B01D2">
        <w:rPr>
          <w:lang w:val="nl-BE"/>
        </w:rPr>
        <w:t xml:space="preserve">afwijkt voor internationale verdragen. Achtereenvolgens bespreken we hierbij de totstandkoming en </w:t>
      </w:r>
      <w:r w:rsidR="0040541D" w:rsidRPr="005B01D2">
        <w:rPr>
          <w:lang w:val="nl-BE"/>
        </w:rPr>
        <w:t>de</w:t>
      </w:r>
      <w:r w:rsidR="0011463A" w:rsidRPr="005B01D2">
        <w:rPr>
          <w:lang w:val="nl-BE"/>
        </w:rPr>
        <w:t xml:space="preserve"> </w:t>
      </w:r>
      <w:r w:rsidRPr="005B01D2">
        <w:rPr>
          <w:lang w:val="nl-BE"/>
        </w:rPr>
        <w:t>sluiting van samenwerkingsakkoorden (III), de parlementaire instemming (IV), hun temporele werking (V), het afgeleid (</w:t>
      </w:r>
      <w:proofErr w:type="spellStart"/>
      <w:r w:rsidRPr="005B01D2">
        <w:rPr>
          <w:lang w:val="nl-BE"/>
        </w:rPr>
        <w:t>samenwerkings</w:t>
      </w:r>
      <w:proofErr w:type="spellEnd"/>
      <w:r w:rsidRPr="005B01D2">
        <w:rPr>
          <w:lang w:val="nl-BE"/>
        </w:rPr>
        <w:t>)recht (</w:t>
      </w:r>
      <w:r w:rsidR="005F3751" w:rsidRPr="005B01D2">
        <w:rPr>
          <w:lang w:val="nl-BE"/>
        </w:rPr>
        <w:t xml:space="preserve">VI), de wijziging van samenwerkingsakkoorden (VII), de naleving en handhaving </w:t>
      </w:r>
      <w:r w:rsidR="00B80034" w:rsidRPr="005B01D2">
        <w:rPr>
          <w:lang w:val="nl-BE"/>
        </w:rPr>
        <w:t xml:space="preserve">ervan </w:t>
      </w:r>
      <w:r w:rsidR="005F3751" w:rsidRPr="005B01D2">
        <w:rPr>
          <w:lang w:val="nl-BE"/>
        </w:rPr>
        <w:t>(</w:t>
      </w:r>
      <w:r w:rsidR="000532BD" w:rsidRPr="005B01D2">
        <w:rPr>
          <w:lang w:val="nl-BE"/>
        </w:rPr>
        <w:t>VIII</w:t>
      </w:r>
      <w:r w:rsidR="005F3751" w:rsidRPr="005B01D2">
        <w:rPr>
          <w:lang w:val="nl-BE"/>
        </w:rPr>
        <w:t xml:space="preserve">), </w:t>
      </w:r>
      <w:r w:rsidR="00B80034" w:rsidRPr="005B01D2">
        <w:rPr>
          <w:lang w:val="nl-BE"/>
        </w:rPr>
        <w:t>hun</w:t>
      </w:r>
      <w:r w:rsidR="005F3751" w:rsidRPr="005B01D2">
        <w:rPr>
          <w:lang w:val="nl-BE"/>
        </w:rPr>
        <w:t xml:space="preserve"> bekendmaking en registratie (</w:t>
      </w:r>
      <w:r w:rsidR="000532BD" w:rsidRPr="005B01D2">
        <w:rPr>
          <w:lang w:val="nl-BE"/>
        </w:rPr>
        <w:t>I</w:t>
      </w:r>
      <w:r w:rsidR="005F3751" w:rsidRPr="005B01D2">
        <w:rPr>
          <w:lang w:val="nl-BE"/>
        </w:rPr>
        <w:t>X) en hun beëindiging (X). We eindigen met een besluit (XI).</w:t>
      </w:r>
      <w:r w:rsidRPr="005B01D2">
        <w:rPr>
          <w:lang w:val="nl-BE"/>
        </w:rPr>
        <w:t xml:space="preserve"> </w:t>
      </w:r>
    </w:p>
    <w:p w14:paraId="7A43A06B" w14:textId="77777777" w:rsidR="005A4FB1" w:rsidRPr="005B01D2" w:rsidRDefault="005A4FB1" w:rsidP="00F9665E">
      <w:pPr>
        <w:jc w:val="both"/>
        <w:rPr>
          <w:lang w:val="nl-BE"/>
        </w:rPr>
      </w:pPr>
    </w:p>
    <w:p w14:paraId="0F6E2302" w14:textId="77777777" w:rsidR="00784E6D" w:rsidRPr="005B01D2" w:rsidRDefault="00784E6D" w:rsidP="00F9665E">
      <w:pPr>
        <w:pStyle w:val="Kop1"/>
        <w:numPr>
          <w:ilvl w:val="0"/>
          <w:numId w:val="5"/>
        </w:numPr>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De aard van samenwerkingsakkoorden</w:t>
      </w:r>
    </w:p>
    <w:p w14:paraId="0F41BA34" w14:textId="77777777" w:rsidR="00784E6D" w:rsidRPr="005B01D2" w:rsidRDefault="00784E6D" w:rsidP="00F9665E">
      <w:pPr>
        <w:jc w:val="both"/>
        <w:rPr>
          <w:lang w:val="nl-BE"/>
        </w:rPr>
      </w:pPr>
    </w:p>
    <w:p w14:paraId="67911263" w14:textId="77777777" w:rsidR="00BE6B66" w:rsidRPr="005B01D2" w:rsidRDefault="00CB0C59" w:rsidP="00F9665E">
      <w:pPr>
        <w:jc w:val="both"/>
        <w:rPr>
          <w:lang w:val="nl-BE"/>
        </w:rPr>
      </w:pPr>
      <w:r w:rsidRPr="005B01D2">
        <w:rPr>
          <w:lang w:val="nl-BE"/>
        </w:rPr>
        <w:lastRenderedPageBreak/>
        <w:t>6.</w:t>
      </w:r>
      <w:r w:rsidRPr="005B01D2">
        <w:rPr>
          <w:lang w:val="nl-BE"/>
        </w:rPr>
        <w:tab/>
      </w:r>
      <w:r w:rsidR="000E276D" w:rsidRPr="005B01D2">
        <w:rPr>
          <w:lang w:val="nl-BE"/>
        </w:rPr>
        <w:t>Zoals hiervoor opgemerkt</w:t>
      </w:r>
      <w:r w:rsidR="00E9643A" w:rsidRPr="005B01D2">
        <w:rPr>
          <w:lang w:val="nl-BE"/>
        </w:rPr>
        <w:t xml:space="preserve"> (</w:t>
      </w:r>
      <w:r w:rsidR="00E9643A" w:rsidRPr="005B01D2">
        <w:rPr>
          <w:i/>
          <w:lang w:val="nl-BE"/>
        </w:rPr>
        <w:t>supra</w:t>
      </w:r>
      <w:r w:rsidR="00E9643A" w:rsidRPr="005B01D2">
        <w:rPr>
          <w:lang w:val="nl-BE"/>
        </w:rPr>
        <w:t xml:space="preserve"> </w:t>
      </w:r>
      <w:r w:rsidR="00B02A54" w:rsidRPr="005B01D2">
        <w:rPr>
          <w:lang w:val="nl-BE"/>
        </w:rPr>
        <w:t>nr. 2</w:t>
      </w:r>
      <w:r w:rsidR="00E9643A" w:rsidRPr="005B01D2">
        <w:rPr>
          <w:lang w:val="nl-BE"/>
        </w:rPr>
        <w:t>)</w:t>
      </w:r>
      <w:r w:rsidR="000E276D" w:rsidRPr="005B01D2">
        <w:rPr>
          <w:lang w:val="nl-BE"/>
        </w:rPr>
        <w:t xml:space="preserve">, </w:t>
      </w:r>
      <w:r w:rsidR="00E9643A" w:rsidRPr="005B01D2">
        <w:rPr>
          <w:lang w:val="nl-BE"/>
        </w:rPr>
        <w:t xml:space="preserve">vertrekt deze bijdrage van de </w:t>
      </w:r>
      <w:r w:rsidR="00BE6B66" w:rsidRPr="005B01D2">
        <w:rPr>
          <w:lang w:val="nl-BE"/>
        </w:rPr>
        <w:t>opmerkelijk</w:t>
      </w:r>
      <w:r w:rsidR="00B80034" w:rsidRPr="005B01D2">
        <w:rPr>
          <w:lang w:val="nl-BE"/>
        </w:rPr>
        <w:t>e</w:t>
      </w:r>
      <w:r w:rsidR="00BE6B66" w:rsidRPr="005B01D2">
        <w:rPr>
          <w:lang w:val="nl-BE"/>
        </w:rPr>
        <w:t xml:space="preserve"> gelijkenis </w:t>
      </w:r>
      <w:r w:rsidR="00E9643A" w:rsidRPr="005B01D2">
        <w:rPr>
          <w:lang w:val="nl-BE"/>
        </w:rPr>
        <w:t xml:space="preserve">tussen </w:t>
      </w:r>
      <w:r w:rsidR="00BE6B66" w:rsidRPr="005B01D2">
        <w:rPr>
          <w:lang w:val="nl-BE"/>
        </w:rPr>
        <w:t xml:space="preserve">samenwerkingsakkoorden </w:t>
      </w:r>
      <w:r w:rsidR="00E9643A" w:rsidRPr="005B01D2">
        <w:rPr>
          <w:lang w:val="nl-BE"/>
        </w:rPr>
        <w:t xml:space="preserve">en </w:t>
      </w:r>
      <w:r w:rsidR="00BE6B66" w:rsidRPr="005B01D2">
        <w:rPr>
          <w:lang w:val="nl-BE"/>
        </w:rPr>
        <w:t xml:space="preserve">verdragen </w:t>
      </w:r>
      <w:r w:rsidR="00E9643A" w:rsidRPr="005B01D2">
        <w:rPr>
          <w:lang w:val="nl-BE"/>
        </w:rPr>
        <w:t>d</w:t>
      </w:r>
      <w:r w:rsidR="00B80034" w:rsidRPr="005B01D2">
        <w:rPr>
          <w:lang w:val="nl-BE"/>
        </w:rPr>
        <w:t>ie</w:t>
      </w:r>
      <w:r w:rsidR="00E9643A" w:rsidRPr="005B01D2">
        <w:rPr>
          <w:lang w:val="nl-BE"/>
        </w:rPr>
        <w:t xml:space="preserve"> beide </w:t>
      </w:r>
      <w:r w:rsidR="00BE6B66" w:rsidRPr="005B01D2">
        <w:rPr>
          <w:i/>
          <w:lang w:val="nl-BE"/>
        </w:rPr>
        <w:t>overeenkomsten</w:t>
      </w:r>
      <w:r w:rsidR="00BE6B66" w:rsidRPr="005B01D2">
        <w:rPr>
          <w:lang w:val="nl-BE"/>
        </w:rPr>
        <w:t xml:space="preserve"> zijn gesloten tussen autonome bevoegde overheden, die </w:t>
      </w:r>
      <w:r w:rsidR="00BE6B66" w:rsidRPr="005B01D2">
        <w:rPr>
          <w:i/>
          <w:lang w:val="nl-BE"/>
        </w:rPr>
        <w:t>juridisch</w:t>
      </w:r>
      <w:r w:rsidR="00BE6B66" w:rsidRPr="005B01D2">
        <w:rPr>
          <w:lang w:val="nl-BE"/>
        </w:rPr>
        <w:t xml:space="preserve"> verbindend zijn en die </w:t>
      </w:r>
      <w:r w:rsidR="00E9643A" w:rsidRPr="005B01D2">
        <w:rPr>
          <w:lang w:val="nl-BE"/>
        </w:rPr>
        <w:t xml:space="preserve">zelfs </w:t>
      </w:r>
      <w:r w:rsidR="00BE6B66" w:rsidRPr="005B01D2">
        <w:rPr>
          <w:lang w:val="nl-BE"/>
        </w:rPr>
        <w:t xml:space="preserve">normatieve werking kunnen hebben voor </w:t>
      </w:r>
      <w:r w:rsidR="00BE6B66" w:rsidRPr="005B01D2">
        <w:rPr>
          <w:i/>
          <w:lang w:val="nl-BE"/>
        </w:rPr>
        <w:t>particulieren</w:t>
      </w:r>
      <w:r w:rsidR="00BE6B66" w:rsidRPr="005B01D2">
        <w:rPr>
          <w:lang w:val="nl-BE"/>
        </w:rPr>
        <w:t>.</w:t>
      </w:r>
      <w:r w:rsidR="00FE13E8" w:rsidRPr="005B01D2">
        <w:rPr>
          <w:lang w:val="nl-BE"/>
        </w:rPr>
        <w:t xml:space="preserve"> </w:t>
      </w:r>
      <w:r w:rsidR="00316639" w:rsidRPr="005B01D2">
        <w:rPr>
          <w:lang w:val="nl-BE"/>
        </w:rPr>
        <w:t>Met andere woorden, b</w:t>
      </w:r>
      <w:r w:rsidR="00FE13E8" w:rsidRPr="005B01D2">
        <w:rPr>
          <w:lang w:val="nl-BE"/>
        </w:rPr>
        <w:t xml:space="preserve">eide instrumenten kunnen bijgevolg verordenende bepalingen bevatten </w:t>
      </w:r>
      <w:r w:rsidR="0071188A" w:rsidRPr="005B01D2">
        <w:rPr>
          <w:lang w:val="nl-BE"/>
        </w:rPr>
        <w:t xml:space="preserve">met </w:t>
      </w:r>
      <w:r w:rsidR="00FE13E8" w:rsidRPr="005B01D2">
        <w:rPr>
          <w:lang w:val="nl-BE"/>
        </w:rPr>
        <w:t>directe werking.</w:t>
      </w:r>
      <w:r w:rsidR="00FE13E8" w:rsidRPr="005B01D2">
        <w:rPr>
          <w:rStyle w:val="Voetnootmarkering"/>
          <w:lang w:val="nl-BE"/>
        </w:rPr>
        <w:footnoteReference w:id="17"/>
      </w:r>
      <w:r w:rsidR="00FE13E8" w:rsidRPr="005B01D2">
        <w:rPr>
          <w:lang w:val="nl-BE"/>
        </w:rPr>
        <w:t xml:space="preserve"> </w:t>
      </w:r>
    </w:p>
    <w:p w14:paraId="437B5454" w14:textId="77777777" w:rsidR="00BE6B66" w:rsidRPr="005B01D2" w:rsidRDefault="00BE6B66" w:rsidP="00F9665E">
      <w:pPr>
        <w:jc w:val="both"/>
        <w:rPr>
          <w:lang w:val="nl-BE"/>
        </w:rPr>
      </w:pPr>
    </w:p>
    <w:p w14:paraId="6D5EF7B9" w14:textId="4013BADE" w:rsidR="00E9643A" w:rsidRPr="005B01D2" w:rsidRDefault="00E9643A" w:rsidP="00F9665E">
      <w:pPr>
        <w:jc w:val="both"/>
        <w:rPr>
          <w:lang w:val="nl-BE"/>
        </w:rPr>
      </w:pPr>
      <w:r w:rsidRPr="005B01D2">
        <w:rPr>
          <w:lang w:val="nl-BE"/>
        </w:rPr>
        <w:t xml:space="preserve">In dit opzicht onderscheiden ze zich van de meeste andere normatieve instrumenten doordat het </w:t>
      </w:r>
      <w:r w:rsidRPr="005B01D2">
        <w:rPr>
          <w:i/>
          <w:lang w:val="nl-BE"/>
        </w:rPr>
        <w:t>geen</w:t>
      </w:r>
      <w:r w:rsidRPr="005B01D2">
        <w:rPr>
          <w:lang w:val="nl-BE"/>
        </w:rPr>
        <w:t xml:space="preserve"> </w:t>
      </w:r>
      <w:r w:rsidR="00E340B6">
        <w:rPr>
          <w:lang w:val="nl-BE"/>
        </w:rPr>
        <w:t>ee</w:t>
      </w:r>
      <w:r w:rsidR="00BE6B66" w:rsidRPr="005B01D2">
        <w:rPr>
          <w:lang w:val="nl-BE"/>
        </w:rPr>
        <w:t xml:space="preserve">nzijdige </w:t>
      </w:r>
      <w:r w:rsidR="00B10D05" w:rsidRPr="005B01D2">
        <w:rPr>
          <w:lang w:val="nl-BE"/>
        </w:rPr>
        <w:t xml:space="preserve">bestuurshandelingen </w:t>
      </w:r>
      <w:r w:rsidR="00B80034" w:rsidRPr="005B01D2">
        <w:rPr>
          <w:lang w:val="nl-BE"/>
        </w:rPr>
        <w:t>zijn</w:t>
      </w:r>
      <w:r w:rsidR="00B10D05" w:rsidRPr="005B01D2">
        <w:rPr>
          <w:lang w:val="nl-BE"/>
        </w:rPr>
        <w:t>, maar instrumenten van een eerder contractuele aard</w:t>
      </w:r>
      <w:r w:rsidRPr="005B01D2">
        <w:rPr>
          <w:lang w:val="nl-BE"/>
        </w:rPr>
        <w:t xml:space="preserve">. Dit heeft verstrekkende juridische gevolgen voor beide instrumenten doordat de juridische effecten ervan ook niet </w:t>
      </w:r>
      <w:r w:rsidRPr="00B2070B">
        <w:rPr>
          <w:lang w:val="nl-BE"/>
        </w:rPr>
        <w:t xml:space="preserve">op </w:t>
      </w:r>
      <w:r w:rsidR="000C428C" w:rsidRPr="00B2070B">
        <w:rPr>
          <w:lang w:val="nl-BE"/>
        </w:rPr>
        <w:t>eenzijdige</w:t>
      </w:r>
      <w:r w:rsidRPr="00B2070B">
        <w:rPr>
          <w:lang w:val="nl-BE"/>
        </w:rPr>
        <w:t xml:space="preserve"> wijze kunnen worden bepaald en evenmin op </w:t>
      </w:r>
      <w:r w:rsidR="00B80034" w:rsidRPr="00B2070B">
        <w:rPr>
          <w:lang w:val="nl-BE"/>
        </w:rPr>
        <w:t xml:space="preserve">een </w:t>
      </w:r>
      <w:r w:rsidR="006766F7" w:rsidRPr="00B2070B">
        <w:rPr>
          <w:lang w:val="nl-BE"/>
        </w:rPr>
        <w:t>ee</w:t>
      </w:r>
      <w:r w:rsidR="000C428C" w:rsidRPr="00B2070B">
        <w:rPr>
          <w:lang w:val="nl-BE"/>
        </w:rPr>
        <w:t>nzijdige</w:t>
      </w:r>
      <w:r w:rsidR="006766F7" w:rsidRPr="00B2070B">
        <w:rPr>
          <w:lang w:val="nl-BE"/>
        </w:rPr>
        <w:t xml:space="preserve"> </w:t>
      </w:r>
      <w:r w:rsidRPr="00B2070B">
        <w:rPr>
          <w:lang w:val="nl-BE"/>
        </w:rPr>
        <w:t xml:space="preserve">wijze kunnen worden gewijzigd. </w:t>
      </w:r>
      <w:r w:rsidR="00B02A54" w:rsidRPr="00B2070B">
        <w:rPr>
          <w:lang w:val="nl-BE"/>
        </w:rPr>
        <w:t>Zo kan bv. de inwerkingtreding</w:t>
      </w:r>
      <w:r w:rsidR="00090EA3" w:rsidRPr="00B2070B">
        <w:rPr>
          <w:rStyle w:val="Voetnootmarkering"/>
          <w:lang w:val="nl-BE"/>
        </w:rPr>
        <w:footnoteReference w:id="18"/>
      </w:r>
      <w:r w:rsidR="00B02A54" w:rsidRPr="00B2070B">
        <w:rPr>
          <w:lang w:val="nl-BE"/>
        </w:rPr>
        <w:t xml:space="preserve"> </w:t>
      </w:r>
      <w:r w:rsidR="00090EA3" w:rsidRPr="00B2070B">
        <w:rPr>
          <w:lang w:val="nl-BE"/>
        </w:rPr>
        <w:t>of de rechtskracht</w:t>
      </w:r>
      <w:r w:rsidR="00090EA3" w:rsidRPr="00B2070B">
        <w:rPr>
          <w:rStyle w:val="Voetnootmarkering"/>
          <w:lang w:val="nl-BE"/>
        </w:rPr>
        <w:footnoteReference w:id="19"/>
      </w:r>
      <w:r w:rsidR="00090EA3" w:rsidRPr="00B2070B">
        <w:rPr>
          <w:lang w:val="nl-BE"/>
        </w:rPr>
        <w:t xml:space="preserve"> </w:t>
      </w:r>
      <w:r w:rsidR="00B02A54" w:rsidRPr="00B2070B">
        <w:rPr>
          <w:lang w:val="nl-BE"/>
        </w:rPr>
        <w:t>ervan niet</w:t>
      </w:r>
      <w:r w:rsidR="00090EA3" w:rsidRPr="00B2070B">
        <w:rPr>
          <w:lang w:val="nl-BE"/>
        </w:rPr>
        <w:t xml:space="preserve"> </w:t>
      </w:r>
      <w:r w:rsidR="000C428C" w:rsidRPr="00B2070B">
        <w:rPr>
          <w:lang w:val="nl-BE"/>
        </w:rPr>
        <w:t>eenzijdig</w:t>
      </w:r>
      <w:r w:rsidR="00B02A54" w:rsidRPr="00B2070B">
        <w:rPr>
          <w:lang w:val="nl-BE"/>
        </w:rPr>
        <w:t xml:space="preserve"> door één van de partijen worden bepaald, </w:t>
      </w:r>
      <w:r w:rsidR="00090EA3" w:rsidRPr="00B2070B">
        <w:rPr>
          <w:lang w:val="nl-BE"/>
        </w:rPr>
        <w:t xml:space="preserve">horen louter </w:t>
      </w:r>
      <w:r w:rsidR="000C428C" w:rsidRPr="00B2070B">
        <w:rPr>
          <w:lang w:val="nl-BE"/>
        </w:rPr>
        <w:t>eenzijdige</w:t>
      </w:r>
      <w:r w:rsidR="00090EA3" w:rsidRPr="00B2070B">
        <w:rPr>
          <w:lang w:val="nl-BE"/>
        </w:rPr>
        <w:t xml:space="preserve"> engagementen er niet in thuis</w:t>
      </w:r>
      <w:r w:rsidR="00090EA3" w:rsidRPr="00B2070B">
        <w:rPr>
          <w:rStyle w:val="Voetnootmarkering"/>
          <w:lang w:val="nl-BE"/>
        </w:rPr>
        <w:footnoteReference w:id="20"/>
      </w:r>
      <w:r w:rsidR="00B02A54" w:rsidRPr="00B2070B">
        <w:rPr>
          <w:lang w:val="nl-BE"/>
        </w:rPr>
        <w:t xml:space="preserve"> en kunnen ze niet op </w:t>
      </w:r>
      <w:r w:rsidR="000C428C" w:rsidRPr="00B2070B">
        <w:rPr>
          <w:lang w:val="nl-BE"/>
        </w:rPr>
        <w:t>eenzijdige</w:t>
      </w:r>
      <w:r w:rsidR="00B02A54" w:rsidRPr="00B2070B">
        <w:rPr>
          <w:lang w:val="nl-BE"/>
        </w:rPr>
        <w:t xml:space="preserve"> wijze</w:t>
      </w:r>
      <w:r w:rsidR="00B02A54" w:rsidRPr="005B01D2">
        <w:rPr>
          <w:lang w:val="nl-BE"/>
        </w:rPr>
        <w:t xml:space="preserve"> worden geïnterpreteerd,</w:t>
      </w:r>
      <w:r w:rsidR="00090EA3" w:rsidRPr="005B01D2">
        <w:rPr>
          <w:rStyle w:val="Voetnootmarkering"/>
          <w:lang w:val="nl-BE"/>
        </w:rPr>
        <w:footnoteReference w:id="21"/>
      </w:r>
      <w:r w:rsidR="00B02A54" w:rsidRPr="005B01D2">
        <w:rPr>
          <w:lang w:val="nl-BE"/>
        </w:rPr>
        <w:t xml:space="preserve"> aangevuld of gewijzigd.</w:t>
      </w:r>
      <w:r w:rsidR="00B02A54" w:rsidRPr="005B01D2">
        <w:rPr>
          <w:rStyle w:val="Voetnootmarkering"/>
          <w:lang w:val="nl-BE"/>
        </w:rPr>
        <w:footnoteReference w:id="22"/>
      </w:r>
      <w:r w:rsidR="00B02A54" w:rsidRPr="005B01D2">
        <w:rPr>
          <w:lang w:val="nl-BE"/>
        </w:rPr>
        <w:t xml:space="preserve"> Wenst één van de partijen een </w:t>
      </w:r>
      <w:r w:rsidR="00463D0B">
        <w:rPr>
          <w:lang w:val="nl-BE"/>
        </w:rPr>
        <w:t>ermee tegenstrijdige</w:t>
      </w:r>
      <w:r w:rsidR="00B02A54" w:rsidRPr="005B01D2">
        <w:rPr>
          <w:lang w:val="nl-BE"/>
        </w:rPr>
        <w:t xml:space="preserve"> regeling uit te vaardigen, dan zal ook eerst het bestaande verdrag of samenwerkingsakkoord moeten worden gewijzigd of opgezegd.</w:t>
      </w:r>
      <w:r w:rsidR="00B02A54" w:rsidRPr="005B01D2">
        <w:rPr>
          <w:rStyle w:val="Voetnootmarkering"/>
          <w:lang w:val="nl-BE"/>
        </w:rPr>
        <w:footnoteReference w:id="23"/>
      </w:r>
      <w:r w:rsidR="00B10D05" w:rsidRPr="005B01D2">
        <w:rPr>
          <w:lang w:val="nl-BE"/>
        </w:rPr>
        <w:t xml:space="preserve"> Wegens zijn contractuele aard kan tegen een samenwerkingsakkoord (dat geen wettelijke instemming behoeft) geen </w:t>
      </w:r>
      <w:r w:rsidR="00B10D05" w:rsidRPr="005B01D2">
        <w:rPr>
          <w:lang w:val="nl-BE"/>
        </w:rPr>
        <w:lastRenderedPageBreak/>
        <w:t xml:space="preserve">beroep worden ingesteld bij de Raad van State. Dit kan enkel tegen de bestuurshandeling waarmee de betrokken overheid zijn instemming </w:t>
      </w:r>
      <w:r w:rsidR="00254250" w:rsidRPr="005B01D2">
        <w:rPr>
          <w:lang w:val="nl-BE"/>
        </w:rPr>
        <w:t>verleent</w:t>
      </w:r>
      <w:r w:rsidR="00B10D05" w:rsidRPr="005B01D2">
        <w:rPr>
          <w:lang w:val="nl-BE"/>
        </w:rPr>
        <w:t xml:space="preserve"> </w:t>
      </w:r>
      <w:r w:rsidR="00E07037">
        <w:rPr>
          <w:lang w:val="nl-BE"/>
        </w:rPr>
        <w:t>aan</w:t>
      </w:r>
      <w:r w:rsidR="00E07037" w:rsidRPr="00E93D19">
        <w:rPr>
          <w:lang w:val="nl-BE"/>
        </w:rPr>
        <w:t xml:space="preserve"> </w:t>
      </w:r>
      <w:r w:rsidR="00B10D05" w:rsidRPr="005B01D2">
        <w:rPr>
          <w:lang w:val="nl-BE"/>
        </w:rPr>
        <w:t>het samenwerkingsakkoord.</w:t>
      </w:r>
      <w:r w:rsidR="00B10D05" w:rsidRPr="005B01D2">
        <w:rPr>
          <w:rStyle w:val="Voetnootmarkering"/>
          <w:lang w:val="nl-BE"/>
        </w:rPr>
        <w:footnoteReference w:id="24"/>
      </w:r>
    </w:p>
    <w:p w14:paraId="6F5272E9" w14:textId="77777777" w:rsidR="00E9643A" w:rsidRPr="005B01D2" w:rsidRDefault="00E9643A" w:rsidP="00F9665E">
      <w:pPr>
        <w:jc w:val="both"/>
        <w:rPr>
          <w:lang w:val="nl-BE"/>
        </w:rPr>
      </w:pPr>
    </w:p>
    <w:p w14:paraId="490F347A" w14:textId="77777777" w:rsidR="00B02A54" w:rsidRPr="005B01D2" w:rsidRDefault="00B02A54" w:rsidP="00F9665E">
      <w:pPr>
        <w:jc w:val="both"/>
        <w:rPr>
          <w:lang w:val="nl-BE"/>
        </w:rPr>
      </w:pPr>
      <w:r w:rsidRPr="005B01D2">
        <w:rPr>
          <w:lang w:val="nl-BE"/>
        </w:rPr>
        <w:t>7.</w:t>
      </w:r>
      <w:r w:rsidRPr="005B01D2">
        <w:rPr>
          <w:lang w:val="nl-BE"/>
        </w:rPr>
        <w:tab/>
        <w:t xml:space="preserve">Anderzijds zijn er ook een aantal belangrijke verschillen tussen samenwerkingsakkoorden en verdragen die ervoor </w:t>
      </w:r>
      <w:r w:rsidR="00593EB5" w:rsidRPr="005B01D2">
        <w:rPr>
          <w:lang w:val="nl-BE"/>
        </w:rPr>
        <w:t>zorg</w:t>
      </w:r>
      <w:r w:rsidR="00593EB5">
        <w:rPr>
          <w:lang w:val="nl-BE"/>
        </w:rPr>
        <w:t>en</w:t>
      </w:r>
      <w:r w:rsidR="00593EB5" w:rsidRPr="005B01D2">
        <w:rPr>
          <w:lang w:val="nl-BE"/>
        </w:rPr>
        <w:t xml:space="preserve"> </w:t>
      </w:r>
      <w:r w:rsidRPr="005B01D2">
        <w:rPr>
          <w:lang w:val="nl-BE"/>
        </w:rPr>
        <w:t xml:space="preserve">dat de analogie </w:t>
      </w:r>
      <w:r w:rsidR="00D33189" w:rsidRPr="005B01D2">
        <w:rPr>
          <w:lang w:val="nl-BE"/>
        </w:rPr>
        <w:t xml:space="preserve">soms moet worden </w:t>
      </w:r>
      <w:r w:rsidR="00593EB5" w:rsidRPr="005B01D2">
        <w:rPr>
          <w:lang w:val="nl-BE"/>
        </w:rPr>
        <w:t>ge</w:t>
      </w:r>
      <w:r w:rsidR="00593EB5">
        <w:rPr>
          <w:lang w:val="nl-BE"/>
        </w:rPr>
        <w:t>nuanc</w:t>
      </w:r>
      <w:r w:rsidR="00593EB5" w:rsidRPr="005B01D2">
        <w:rPr>
          <w:lang w:val="nl-BE"/>
        </w:rPr>
        <w:t xml:space="preserve">eerd </w:t>
      </w:r>
      <w:r w:rsidR="004133A6" w:rsidRPr="005B01D2">
        <w:rPr>
          <w:lang w:val="nl-BE"/>
        </w:rPr>
        <w:t>of zelfs doorbroken</w:t>
      </w:r>
      <w:r w:rsidR="00D33189" w:rsidRPr="005B01D2">
        <w:rPr>
          <w:lang w:val="nl-BE"/>
        </w:rPr>
        <w:t>.</w:t>
      </w:r>
    </w:p>
    <w:p w14:paraId="675D1272" w14:textId="77777777" w:rsidR="00D33189" w:rsidRPr="005B01D2" w:rsidRDefault="00D33189" w:rsidP="00F9665E">
      <w:pPr>
        <w:jc w:val="both"/>
        <w:rPr>
          <w:lang w:val="nl-BE"/>
        </w:rPr>
      </w:pPr>
    </w:p>
    <w:p w14:paraId="78998F5B" w14:textId="23A81058" w:rsidR="00D33189" w:rsidRPr="005B01D2" w:rsidRDefault="002A097B" w:rsidP="00F9665E">
      <w:pPr>
        <w:jc w:val="both"/>
        <w:rPr>
          <w:lang w:val="nl-BE"/>
        </w:rPr>
      </w:pPr>
      <w:r w:rsidRPr="005B01D2">
        <w:rPr>
          <w:lang w:val="nl-BE"/>
        </w:rPr>
        <w:t>Ten eerste verschilt het toepasselijke recht en rechtskader. Verdragen worden geregeld door het internationaal recht</w:t>
      </w:r>
      <w:r w:rsidR="004133A6" w:rsidRPr="005B01D2">
        <w:rPr>
          <w:rStyle w:val="Voetnootmarkering"/>
          <w:lang w:val="nl-BE"/>
        </w:rPr>
        <w:footnoteReference w:id="25"/>
      </w:r>
      <w:r w:rsidRPr="005B01D2">
        <w:rPr>
          <w:lang w:val="nl-BE"/>
        </w:rPr>
        <w:t xml:space="preserve"> en hun rechtskader wordt bepaald </w:t>
      </w:r>
      <w:r w:rsidR="00B80034" w:rsidRPr="005B01D2">
        <w:rPr>
          <w:lang w:val="nl-BE"/>
        </w:rPr>
        <w:t xml:space="preserve">in </w:t>
      </w:r>
      <w:r w:rsidRPr="005B01D2">
        <w:rPr>
          <w:lang w:val="nl-BE"/>
        </w:rPr>
        <w:t xml:space="preserve">het </w:t>
      </w:r>
      <w:r w:rsidRPr="00E93D19">
        <w:rPr>
          <w:lang w:val="nl-BE"/>
        </w:rPr>
        <w:t>international</w:t>
      </w:r>
      <w:r w:rsidR="00E07037">
        <w:rPr>
          <w:lang w:val="nl-BE"/>
        </w:rPr>
        <w:t>e</w:t>
      </w:r>
      <w:r w:rsidRPr="005B01D2">
        <w:rPr>
          <w:lang w:val="nl-BE"/>
        </w:rPr>
        <w:t xml:space="preserve"> verdragsrecht, terwijl samenwerkingsakkoorden worden geregeld door het interne, </w:t>
      </w:r>
      <w:r w:rsidRPr="00E93D19">
        <w:rPr>
          <w:lang w:val="nl-BE"/>
        </w:rPr>
        <w:t>Belgisch</w:t>
      </w:r>
      <w:r w:rsidR="00E07037">
        <w:rPr>
          <w:lang w:val="nl-BE"/>
        </w:rPr>
        <w:t>e</w:t>
      </w:r>
      <w:r w:rsidRPr="005B01D2">
        <w:rPr>
          <w:lang w:val="nl-BE"/>
        </w:rPr>
        <w:t xml:space="preserve"> recht en hun </w:t>
      </w:r>
      <w:r w:rsidR="006E6CC1" w:rsidRPr="005B01D2">
        <w:rPr>
          <w:lang w:val="nl-BE"/>
        </w:rPr>
        <w:t xml:space="preserve">– </w:t>
      </w:r>
      <w:r w:rsidRPr="005B01D2">
        <w:rPr>
          <w:lang w:val="nl-BE"/>
        </w:rPr>
        <w:t xml:space="preserve">weliswaar </w:t>
      </w:r>
      <w:r w:rsidRPr="00E93D19">
        <w:rPr>
          <w:lang w:val="nl-BE"/>
        </w:rPr>
        <w:t>karig</w:t>
      </w:r>
      <w:r w:rsidR="00E07037">
        <w:rPr>
          <w:lang w:val="nl-BE"/>
        </w:rPr>
        <w:t>e</w:t>
      </w:r>
      <w:r w:rsidR="006E6CC1" w:rsidRPr="005B01D2">
        <w:rPr>
          <w:lang w:val="nl-BE"/>
        </w:rPr>
        <w:t xml:space="preserve"> –</w:t>
      </w:r>
      <w:r w:rsidRPr="005B01D2">
        <w:rPr>
          <w:lang w:val="nl-BE"/>
        </w:rPr>
        <w:t xml:space="preserve"> rechtskader is bepaald door de bijzondere wet.</w:t>
      </w:r>
      <w:r w:rsidR="00316639" w:rsidRPr="005B01D2">
        <w:rPr>
          <w:lang w:val="nl-BE"/>
        </w:rPr>
        <w:t xml:space="preserve"> Met andere woorden, een Belgische jurist mag de internationale oorsprong van </w:t>
      </w:r>
      <w:r w:rsidR="00B80034" w:rsidRPr="005B01D2">
        <w:rPr>
          <w:lang w:val="nl-BE"/>
        </w:rPr>
        <w:t xml:space="preserve">een </w:t>
      </w:r>
      <w:r w:rsidR="00316639" w:rsidRPr="005B01D2">
        <w:rPr>
          <w:lang w:val="nl-BE"/>
        </w:rPr>
        <w:t>verdrag niet uit het oog verliezen</w:t>
      </w:r>
      <w:r w:rsidR="00316639" w:rsidRPr="005B01D2">
        <w:rPr>
          <w:rStyle w:val="Voetnootmarkering"/>
          <w:lang w:val="nl-BE"/>
        </w:rPr>
        <w:footnoteReference w:id="26"/>
      </w:r>
      <w:r w:rsidR="00316639" w:rsidRPr="005B01D2">
        <w:rPr>
          <w:lang w:val="nl-BE"/>
        </w:rPr>
        <w:t>.</w:t>
      </w:r>
    </w:p>
    <w:p w14:paraId="361D7E23" w14:textId="77777777" w:rsidR="002A097B" w:rsidRPr="005B01D2" w:rsidRDefault="002A097B" w:rsidP="00F9665E">
      <w:pPr>
        <w:jc w:val="both"/>
        <w:rPr>
          <w:lang w:val="nl-BE"/>
        </w:rPr>
      </w:pPr>
    </w:p>
    <w:p w14:paraId="247CC3BB" w14:textId="710FD374" w:rsidR="006E6CC1" w:rsidRPr="005B01D2" w:rsidRDefault="002A097B" w:rsidP="00F9665E">
      <w:pPr>
        <w:jc w:val="both"/>
        <w:rPr>
          <w:lang w:val="nl-BE"/>
        </w:rPr>
      </w:pPr>
      <w:r w:rsidRPr="005B01D2">
        <w:rPr>
          <w:lang w:val="nl-BE"/>
        </w:rPr>
        <w:t xml:space="preserve">Ten tweede verschilt de context. Samenwerkingsakkoorden worden </w:t>
      </w:r>
      <w:r w:rsidR="00B80034" w:rsidRPr="005B01D2">
        <w:rPr>
          <w:lang w:val="nl-BE"/>
        </w:rPr>
        <w:t xml:space="preserve">weliswaar </w:t>
      </w:r>
      <w:r w:rsidRPr="005B01D2">
        <w:rPr>
          <w:lang w:val="nl-BE"/>
        </w:rPr>
        <w:t>gesloten door partijen die allemaal over verdragsluitende bevoegdheid beschikken</w:t>
      </w:r>
      <w:r w:rsidRPr="005B01D2">
        <w:rPr>
          <w:rStyle w:val="Voetnootmarkering"/>
          <w:lang w:val="nl-BE"/>
        </w:rPr>
        <w:footnoteReference w:id="27"/>
      </w:r>
      <w:r w:rsidRPr="005B01D2">
        <w:rPr>
          <w:lang w:val="nl-BE"/>
        </w:rPr>
        <w:t xml:space="preserve"> en </w:t>
      </w:r>
      <w:r w:rsidR="006E6CC1" w:rsidRPr="005B01D2">
        <w:rPr>
          <w:lang w:val="nl-BE"/>
        </w:rPr>
        <w:t xml:space="preserve">strikt </w:t>
      </w:r>
      <w:r w:rsidRPr="005B01D2">
        <w:rPr>
          <w:lang w:val="nl-BE"/>
        </w:rPr>
        <w:t>juridisch gezien dus evengoed onderling een verdrag zouden kunnen sluiten.</w:t>
      </w:r>
      <w:r w:rsidR="00090EA3" w:rsidRPr="005B01D2">
        <w:rPr>
          <w:rStyle w:val="Voetnootmarkering"/>
          <w:lang w:val="nl-BE"/>
        </w:rPr>
        <w:footnoteReference w:id="28"/>
      </w:r>
      <w:r w:rsidRPr="005B01D2">
        <w:rPr>
          <w:lang w:val="nl-BE"/>
        </w:rPr>
        <w:t xml:space="preserve"> </w:t>
      </w:r>
      <w:r w:rsidRPr="00E93D19">
        <w:rPr>
          <w:lang w:val="nl-BE"/>
        </w:rPr>
        <w:t xml:space="preserve"> </w:t>
      </w:r>
      <w:r w:rsidR="009C773F" w:rsidRPr="005B01D2">
        <w:rPr>
          <w:lang w:val="nl-BE"/>
        </w:rPr>
        <w:t xml:space="preserve">Bij deze </w:t>
      </w:r>
      <w:r w:rsidR="006E6CC1" w:rsidRPr="005B01D2">
        <w:rPr>
          <w:lang w:val="nl-BE"/>
        </w:rPr>
        <w:t xml:space="preserve">juridische </w:t>
      </w:r>
      <w:r w:rsidR="009C773F" w:rsidRPr="005B01D2">
        <w:rPr>
          <w:lang w:val="nl-BE"/>
        </w:rPr>
        <w:t xml:space="preserve">vaststelling, </w:t>
      </w:r>
      <w:r w:rsidR="00B80034" w:rsidRPr="005B01D2">
        <w:rPr>
          <w:lang w:val="nl-BE"/>
        </w:rPr>
        <w:t xml:space="preserve">kunnen evenwel </w:t>
      </w:r>
      <w:r w:rsidR="009C773F" w:rsidRPr="005B01D2">
        <w:rPr>
          <w:lang w:val="nl-BE"/>
        </w:rPr>
        <w:t>twee bedenkingen</w:t>
      </w:r>
      <w:r w:rsidR="00B80034" w:rsidRPr="005B01D2">
        <w:rPr>
          <w:lang w:val="nl-BE"/>
        </w:rPr>
        <w:t xml:space="preserve"> worden gemaakt</w:t>
      </w:r>
      <w:r w:rsidR="009C773F" w:rsidRPr="005B01D2">
        <w:rPr>
          <w:lang w:val="nl-BE"/>
        </w:rPr>
        <w:t>.</w:t>
      </w:r>
      <w:r w:rsidR="006E6CC1" w:rsidRPr="005B01D2">
        <w:rPr>
          <w:lang w:val="nl-BE"/>
        </w:rPr>
        <w:t xml:space="preserve"> </w:t>
      </w:r>
      <w:r w:rsidR="000532BD" w:rsidRPr="005B01D2">
        <w:rPr>
          <w:lang w:val="nl-BE"/>
        </w:rPr>
        <w:t>Enerzijds</w:t>
      </w:r>
      <w:r w:rsidR="006E6CC1" w:rsidRPr="005B01D2">
        <w:rPr>
          <w:lang w:val="nl-BE"/>
        </w:rPr>
        <w:t xml:space="preserve">, rijst de vraag wat de meerwaarde zou zijn voor de partijen om een overeenkomst te sluiten beheerst door </w:t>
      </w:r>
      <w:r w:rsidR="00B80034" w:rsidRPr="005B01D2">
        <w:rPr>
          <w:lang w:val="nl-BE"/>
        </w:rPr>
        <w:t xml:space="preserve">vreemd recht (meer bepaald </w:t>
      </w:r>
      <w:r w:rsidR="006E6CC1" w:rsidRPr="005B01D2">
        <w:rPr>
          <w:lang w:val="nl-BE"/>
        </w:rPr>
        <w:t>het internationaal recht</w:t>
      </w:r>
      <w:r w:rsidR="00B80034" w:rsidRPr="005B01D2">
        <w:rPr>
          <w:lang w:val="nl-BE"/>
        </w:rPr>
        <w:t>)</w:t>
      </w:r>
      <w:r w:rsidR="006E6CC1" w:rsidRPr="005B01D2">
        <w:rPr>
          <w:lang w:val="nl-BE"/>
        </w:rPr>
        <w:t xml:space="preserve">, </w:t>
      </w:r>
      <w:r w:rsidR="00633D76">
        <w:rPr>
          <w:lang w:val="nl-BE"/>
        </w:rPr>
        <w:t>terwijl</w:t>
      </w:r>
      <w:r w:rsidR="006E6CC1" w:rsidRPr="005B01D2">
        <w:rPr>
          <w:lang w:val="nl-BE"/>
        </w:rPr>
        <w:t xml:space="preserve"> ze een gemeenschappelijk</w:t>
      </w:r>
      <w:r w:rsidR="009C773F" w:rsidRPr="005B01D2">
        <w:rPr>
          <w:lang w:val="nl-BE"/>
        </w:rPr>
        <w:t>e</w:t>
      </w:r>
      <w:r w:rsidR="006E6CC1" w:rsidRPr="005B01D2">
        <w:rPr>
          <w:lang w:val="nl-BE"/>
        </w:rPr>
        <w:t xml:space="preserve"> </w:t>
      </w:r>
      <w:r w:rsidR="006E6CC1" w:rsidRPr="005B01D2">
        <w:rPr>
          <w:lang w:val="nl-BE"/>
        </w:rPr>
        <w:lastRenderedPageBreak/>
        <w:t xml:space="preserve">rechtsorde en rechtsstelsel </w:t>
      </w:r>
      <w:r w:rsidR="00B80034" w:rsidRPr="005B01D2">
        <w:rPr>
          <w:lang w:val="nl-BE"/>
        </w:rPr>
        <w:t>delen</w:t>
      </w:r>
      <w:r w:rsidR="006E6CC1" w:rsidRPr="005B01D2">
        <w:rPr>
          <w:lang w:val="nl-BE"/>
        </w:rPr>
        <w:t>.</w:t>
      </w:r>
      <w:r w:rsidR="006E6CC1" w:rsidRPr="005B01D2">
        <w:rPr>
          <w:rStyle w:val="Voetnootmarkering"/>
          <w:lang w:val="nl-BE"/>
        </w:rPr>
        <w:footnoteReference w:id="29"/>
      </w:r>
      <w:r w:rsidR="009C773F" w:rsidRPr="005B01D2">
        <w:rPr>
          <w:lang w:val="nl-BE"/>
        </w:rPr>
        <w:t xml:space="preserve"> </w:t>
      </w:r>
      <w:r w:rsidR="000532BD" w:rsidRPr="005B01D2">
        <w:rPr>
          <w:lang w:val="nl-BE"/>
        </w:rPr>
        <w:t>Anderzijds</w:t>
      </w:r>
      <w:r w:rsidR="009C773F" w:rsidRPr="005B01D2">
        <w:rPr>
          <w:lang w:val="nl-BE"/>
        </w:rPr>
        <w:t xml:space="preserve"> wordt het samenwerkingsakkoord </w:t>
      </w:r>
      <w:r w:rsidR="007D4BF0" w:rsidRPr="005B01D2">
        <w:rPr>
          <w:lang w:val="nl-BE"/>
        </w:rPr>
        <w:t xml:space="preserve">thans </w:t>
      </w:r>
      <w:r w:rsidR="009C773F" w:rsidRPr="005B01D2">
        <w:rPr>
          <w:lang w:val="nl-BE"/>
        </w:rPr>
        <w:t xml:space="preserve">verankerd in het concept van het </w:t>
      </w:r>
      <w:r w:rsidR="00B80034" w:rsidRPr="005B01D2">
        <w:rPr>
          <w:lang w:val="nl-BE"/>
        </w:rPr>
        <w:t>‘</w:t>
      </w:r>
      <w:r w:rsidR="009C773F" w:rsidRPr="005B01D2">
        <w:rPr>
          <w:lang w:val="nl-BE"/>
        </w:rPr>
        <w:t>samenwerkingsfederalisme</w:t>
      </w:r>
      <w:r w:rsidR="00B80034" w:rsidRPr="005B01D2">
        <w:rPr>
          <w:lang w:val="nl-BE"/>
        </w:rPr>
        <w:t>’</w:t>
      </w:r>
      <w:r w:rsidR="009C773F" w:rsidRPr="005B01D2">
        <w:rPr>
          <w:lang w:val="nl-BE"/>
        </w:rPr>
        <w:t>,</w:t>
      </w:r>
      <w:r w:rsidR="00B80034" w:rsidRPr="005B01D2">
        <w:rPr>
          <w:rStyle w:val="Voetnootmarkering"/>
          <w:lang w:val="nl-BE"/>
        </w:rPr>
        <w:footnoteReference w:id="30"/>
      </w:r>
      <w:r w:rsidR="009C773F" w:rsidRPr="005B01D2">
        <w:rPr>
          <w:lang w:val="nl-BE"/>
        </w:rPr>
        <w:t xml:space="preserve"> terwijl </w:t>
      </w:r>
      <w:r w:rsidR="007D4BF0" w:rsidRPr="005B01D2">
        <w:rPr>
          <w:lang w:val="nl-BE"/>
        </w:rPr>
        <w:t xml:space="preserve">met een keuze voor ‘verdragen’ </w:t>
      </w:r>
      <w:r w:rsidR="009C773F" w:rsidRPr="005B01D2">
        <w:rPr>
          <w:lang w:val="nl-BE"/>
        </w:rPr>
        <w:t xml:space="preserve">er semantisch, ideologisch en politiek een </w:t>
      </w:r>
      <w:r w:rsidR="00633D76">
        <w:rPr>
          <w:lang w:val="nl-BE"/>
        </w:rPr>
        <w:t>verdere</w:t>
      </w:r>
      <w:r w:rsidR="009C773F" w:rsidRPr="00E93D19">
        <w:rPr>
          <w:lang w:val="nl-BE"/>
        </w:rPr>
        <w:t xml:space="preserve"> </w:t>
      </w:r>
      <w:r w:rsidR="009C773F" w:rsidRPr="005B01D2">
        <w:rPr>
          <w:lang w:val="nl-BE"/>
        </w:rPr>
        <w:t xml:space="preserve">stap </w:t>
      </w:r>
      <w:r w:rsidR="00B80034" w:rsidRPr="005B01D2">
        <w:rPr>
          <w:lang w:val="nl-BE"/>
        </w:rPr>
        <w:t xml:space="preserve">zou worden gezet </w:t>
      </w:r>
      <w:r w:rsidR="007D4BF0" w:rsidRPr="005B01D2">
        <w:rPr>
          <w:lang w:val="nl-BE"/>
        </w:rPr>
        <w:t xml:space="preserve">naar het </w:t>
      </w:r>
      <w:r w:rsidR="009C773F" w:rsidRPr="005B01D2">
        <w:rPr>
          <w:lang w:val="nl-BE"/>
        </w:rPr>
        <w:t>concept van</w:t>
      </w:r>
      <w:r w:rsidR="00B80034" w:rsidRPr="005B01D2">
        <w:rPr>
          <w:lang w:val="nl-BE"/>
        </w:rPr>
        <w:t xml:space="preserve"> het</w:t>
      </w:r>
      <w:r w:rsidR="009C773F" w:rsidRPr="005B01D2">
        <w:rPr>
          <w:lang w:val="nl-BE"/>
        </w:rPr>
        <w:t xml:space="preserve"> </w:t>
      </w:r>
      <w:r w:rsidR="00B80034" w:rsidRPr="005B01D2">
        <w:rPr>
          <w:lang w:val="nl-BE"/>
        </w:rPr>
        <w:t>‘</w:t>
      </w:r>
      <w:r w:rsidR="009C773F" w:rsidRPr="005B01D2">
        <w:rPr>
          <w:lang w:val="nl-BE"/>
        </w:rPr>
        <w:t>confederalisme</w:t>
      </w:r>
      <w:r w:rsidR="00B80034" w:rsidRPr="005B01D2">
        <w:rPr>
          <w:lang w:val="nl-BE"/>
        </w:rPr>
        <w:t>’</w:t>
      </w:r>
      <w:r w:rsidR="009C773F" w:rsidRPr="005B01D2">
        <w:rPr>
          <w:lang w:val="nl-BE"/>
        </w:rPr>
        <w:t xml:space="preserve">. </w:t>
      </w:r>
    </w:p>
    <w:p w14:paraId="616DAD8E" w14:textId="77777777" w:rsidR="006E6CC1" w:rsidRPr="005B01D2" w:rsidRDefault="006E6CC1" w:rsidP="00F9665E">
      <w:pPr>
        <w:jc w:val="both"/>
        <w:rPr>
          <w:lang w:val="nl-BE"/>
        </w:rPr>
      </w:pPr>
    </w:p>
    <w:p w14:paraId="47A80B82" w14:textId="072FF617" w:rsidR="00C5761B" w:rsidRDefault="007D4BF0" w:rsidP="00F9665E">
      <w:pPr>
        <w:jc w:val="both"/>
        <w:rPr>
          <w:lang w:val="nl-BE"/>
        </w:rPr>
      </w:pPr>
      <w:r w:rsidRPr="005B01D2">
        <w:rPr>
          <w:lang w:val="nl-BE"/>
        </w:rPr>
        <w:t>Uit deze verschillende context vloeien heel wat verschillen voort. Dat samenwerkingsakkoorde</w:t>
      </w:r>
      <w:r w:rsidR="00C5761B" w:rsidRPr="005B01D2">
        <w:rPr>
          <w:lang w:val="nl-BE"/>
        </w:rPr>
        <w:t>n worden</w:t>
      </w:r>
      <w:r w:rsidRPr="005B01D2">
        <w:rPr>
          <w:lang w:val="nl-BE"/>
        </w:rPr>
        <w:t xml:space="preserve"> gesloten door partijen die </w:t>
      </w:r>
      <w:r w:rsidR="000D6EFF" w:rsidRPr="005B01D2">
        <w:rPr>
          <w:lang w:val="nl-BE"/>
        </w:rPr>
        <w:t xml:space="preserve">o.m. </w:t>
      </w:r>
      <w:r w:rsidRPr="005B01D2">
        <w:rPr>
          <w:lang w:val="nl-BE"/>
        </w:rPr>
        <w:t xml:space="preserve">een gemeenschappelijke rechtsorde en rechtsstelsel delen, </w:t>
      </w:r>
      <w:r w:rsidR="000D6EFF" w:rsidRPr="005B01D2">
        <w:rPr>
          <w:lang w:val="nl-BE"/>
        </w:rPr>
        <w:t>biedt op zich o.m. de mogelijkheid om tot veel duidelijkere en nauwkeurigere onderlinge afspraken te komen</w:t>
      </w:r>
      <w:r w:rsidR="00B80034" w:rsidRPr="005B01D2">
        <w:rPr>
          <w:lang w:val="nl-BE"/>
        </w:rPr>
        <w:t>,</w:t>
      </w:r>
      <w:r w:rsidR="000D6EFF" w:rsidRPr="005B01D2">
        <w:rPr>
          <w:rStyle w:val="Voetnootmarkering"/>
          <w:lang w:val="nl-BE"/>
        </w:rPr>
        <w:footnoteReference w:id="31"/>
      </w:r>
      <w:r w:rsidR="000D6EFF" w:rsidRPr="005B01D2">
        <w:rPr>
          <w:lang w:val="nl-BE"/>
        </w:rPr>
        <w:t xml:space="preserve"> van een ruimere inroepbaarheid</w:t>
      </w:r>
      <w:r w:rsidR="00B80034" w:rsidRPr="005B01D2">
        <w:rPr>
          <w:lang w:val="nl-BE"/>
        </w:rPr>
        <w:t xml:space="preserve"> voor de rechter,</w:t>
      </w:r>
      <w:r w:rsidR="008C3FCA" w:rsidRPr="005B01D2">
        <w:rPr>
          <w:rStyle w:val="Voetnootmarkering"/>
          <w:lang w:val="nl-BE"/>
        </w:rPr>
        <w:footnoteReference w:id="32"/>
      </w:r>
      <w:r w:rsidR="000D6EFF" w:rsidRPr="005B01D2">
        <w:rPr>
          <w:lang w:val="nl-BE"/>
        </w:rPr>
        <w:t xml:space="preserve"> en </w:t>
      </w:r>
      <w:r w:rsidR="00B80034" w:rsidRPr="005B01D2">
        <w:rPr>
          <w:lang w:val="nl-BE"/>
        </w:rPr>
        <w:t xml:space="preserve">van meer mogelijkheden tot naleving en handhaving van </w:t>
      </w:r>
      <w:r w:rsidR="000D6EFF" w:rsidRPr="005B01D2">
        <w:rPr>
          <w:lang w:val="nl-BE"/>
        </w:rPr>
        <w:t>dit samenwerkingsrecht.</w:t>
      </w:r>
      <w:r w:rsidR="008C3FCA" w:rsidRPr="005B01D2">
        <w:rPr>
          <w:rStyle w:val="Voetnootmarkering"/>
          <w:lang w:val="nl-BE"/>
        </w:rPr>
        <w:footnoteReference w:id="33"/>
      </w:r>
      <w:r w:rsidR="00B80034" w:rsidRPr="005B01D2">
        <w:rPr>
          <w:vertAlign w:val="superscript"/>
          <w:lang w:val="nl-BE"/>
        </w:rPr>
        <w:t>-</w:t>
      </w:r>
      <w:r w:rsidR="00B80034" w:rsidRPr="005B01D2">
        <w:rPr>
          <w:rStyle w:val="Voetnootmarkering"/>
          <w:lang w:val="nl-BE"/>
        </w:rPr>
        <w:footnoteReference w:id="34"/>
      </w:r>
      <w:r w:rsidR="000D6EFF" w:rsidRPr="005B01D2">
        <w:rPr>
          <w:lang w:val="nl-BE"/>
        </w:rPr>
        <w:t xml:space="preserve"> </w:t>
      </w:r>
      <w:r w:rsidR="00C5761B" w:rsidRPr="005B01D2">
        <w:rPr>
          <w:lang w:val="nl-BE"/>
        </w:rPr>
        <w:t xml:space="preserve">Het biedt ook ruimte </w:t>
      </w:r>
      <w:r w:rsidR="00B80034" w:rsidRPr="005B01D2">
        <w:rPr>
          <w:lang w:val="nl-BE"/>
        </w:rPr>
        <w:t>voor</w:t>
      </w:r>
      <w:r w:rsidR="00C5761B" w:rsidRPr="005B01D2">
        <w:rPr>
          <w:lang w:val="nl-BE"/>
        </w:rPr>
        <w:t xml:space="preserve"> vertrouwen zodat </w:t>
      </w:r>
      <w:r w:rsidR="00B80034" w:rsidRPr="005B01D2">
        <w:rPr>
          <w:lang w:val="nl-BE"/>
        </w:rPr>
        <w:t xml:space="preserve">bv. </w:t>
      </w:r>
      <w:r w:rsidR="0031686C" w:rsidRPr="005B01D2">
        <w:rPr>
          <w:lang w:val="nl-BE"/>
        </w:rPr>
        <w:t xml:space="preserve">partijen </w:t>
      </w:r>
      <w:r w:rsidR="00B80034" w:rsidRPr="005B01D2">
        <w:rPr>
          <w:lang w:val="nl-BE"/>
        </w:rPr>
        <w:t xml:space="preserve">ook </w:t>
      </w:r>
      <w:r w:rsidR="00C5761B" w:rsidRPr="005B01D2">
        <w:rPr>
          <w:lang w:val="nl-BE"/>
        </w:rPr>
        <w:lastRenderedPageBreak/>
        <w:t xml:space="preserve">gemakkelijk </w:t>
      </w:r>
      <w:r w:rsidR="004110DC" w:rsidRPr="005B01D2">
        <w:rPr>
          <w:lang w:val="nl-BE"/>
        </w:rPr>
        <w:t xml:space="preserve">overeenkomen om </w:t>
      </w:r>
      <w:r w:rsidR="0031686C" w:rsidRPr="005B01D2">
        <w:rPr>
          <w:lang w:val="nl-BE"/>
        </w:rPr>
        <w:t xml:space="preserve">door middel van </w:t>
      </w:r>
      <w:r w:rsidR="00C5761B" w:rsidRPr="005B01D2">
        <w:rPr>
          <w:lang w:val="nl-BE"/>
        </w:rPr>
        <w:t>samenwerkingsakkoorden direct wetten</w:t>
      </w:r>
      <w:r w:rsidR="00B80034" w:rsidRPr="005B01D2">
        <w:rPr>
          <w:rStyle w:val="Voetnootmarkering"/>
          <w:lang w:val="nl-BE"/>
        </w:rPr>
        <w:footnoteReference w:id="35"/>
      </w:r>
      <w:r w:rsidR="00C5761B" w:rsidRPr="005B01D2">
        <w:rPr>
          <w:lang w:val="nl-BE"/>
        </w:rPr>
        <w:t xml:space="preserve"> </w:t>
      </w:r>
      <w:r w:rsidR="0031686C" w:rsidRPr="005B01D2">
        <w:rPr>
          <w:lang w:val="nl-BE"/>
        </w:rPr>
        <w:t xml:space="preserve">te </w:t>
      </w:r>
      <w:r w:rsidR="00C5761B" w:rsidRPr="005B01D2">
        <w:rPr>
          <w:lang w:val="nl-BE"/>
        </w:rPr>
        <w:t>wijzigen.</w:t>
      </w:r>
      <w:r w:rsidR="008C3FCA" w:rsidRPr="005B01D2">
        <w:rPr>
          <w:rStyle w:val="Voetnootmarkering"/>
          <w:lang w:val="nl-BE"/>
        </w:rPr>
        <w:footnoteReference w:id="36"/>
      </w:r>
      <w:r w:rsidR="008C3FCA" w:rsidRPr="005B01D2">
        <w:rPr>
          <w:vertAlign w:val="superscript"/>
          <w:lang w:val="nl-BE"/>
        </w:rPr>
        <w:t>-</w:t>
      </w:r>
      <w:r w:rsidR="00C5761B" w:rsidRPr="005B01D2">
        <w:rPr>
          <w:rStyle w:val="Voetnootmarkering"/>
          <w:lang w:val="nl-BE"/>
        </w:rPr>
        <w:footnoteReference w:id="37"/>
      </w:r>
      <w:r w:rsidR="00C5761B" w:rsidRPr="005B01D2">
        <w:rPr>
          <w:lang w:val="nl-BE"/>
        </w:rPr>
        <w:t xml:space="preserve"> </w:t>
      </w:r>
    </w:p>
    <w:p w14:paraId="14CE5BC9" w14:textId="77777777" w:rsidR="00251294" w:rsidRPr="005B01D2" w:rsidRDefault="00251294" w:rsidP="00F9665E">
      <w:pPr>
        <w:jc w:val="both"/>
        <w:rPr>
          <w:lang w:val="nl-BE"/>
        </w:rPr>
      </w:pPr>
    </w:p>
    <w:p w14:paraId="6BE8B5F5" w14:textId="486EC231" w:rsidR="00B80034" w:rsidRPr="005B01D2" w:rsidRDefault="00707ED0" w:rsidP="00F9665E">
      <w:pPr>
        <w:jc w:val="both"/>
        <w:rPr>
          <w:lang w:val="nl-BE"/>
        </w:rPr>
      </w:pPr>
      <w:r w:rsidRPr="005B01D2">
        <w:rPr>
          <w:lang w:val="nl-BE"/>
        </w:rPr>
        <w:t xml:space="preserve">8. </w:t>
      </w:r>
      <w:r w:rsidRPr="005B01D2">
        <w:rPr>
          <w:lang w:val="nl-BE"/>
        </w:rPr>
        <w:tab/>
      </w:r>
      <w:r w:rsidR="00453F49" w:rsidRPr="005B01D2">
        <w:rPr>
          <w:lang w:val="nl-BE"/>
        </w:rPr>
        <w:t xml:space="preserve">Als we samenwerkingsakkoorden kunnen vergelijken met verdragen moeten we dan ook opmerken dat het dan wel gaat om </w:t>
      </w:r>
      <w:r w:rsidR="00B22FF2" w:rsidRPr="005B01D2">
        <w:rPr>
          <w:lang w:val="nl-BE"/>
        </w:rPr>
        <w:t>‘</w:t>
      </w:r>
      <w:r w:rsidR="00453F49" w:rsidRPr="005B01D2">
        <w:rPr>
          <w:lang w:val="nl-BE"/>
        </w:rPr>
        <w:t>bilaterale</w:t>
      </w:r>
      <w:r w:rsidR="00B22FF2" w:rsidRPr="005B01D2">
        <w:rPr>
          <w:lang w:val="nl-BE"/>
        </w:rPr>
        <w:t>’</w:t>
      </w:r>
      <w:r w:rsidR="00453F49" w:rsidRPr="005B01D2">
        <w:rPr>
          <w:lang w:val="nl-BE"/>
        </w:rPr>
        <w:t xml:space="preserve"> of </w:t>
      </w:r>
      <w:r w:rsidR="00B80034" w:rsidRPr="005B01D2">
        <w:rPr>
          <w:lang w:val="nl-BE"/>
        </w:rPr>
        <w:t xml:space="preserve">- </w:t>
      </w:r>
      <w:r w:rsidR="00453F49" w:rsidRPr="005B01D2">
        <w:rPr>
          <w:lang w:val="nl-BE"/>
        </w:rPr>
        <w:t>ten hoogste</w:t>
      </w:r>
      <w:r w:rsidR="00090EA3" w:rsidRPr="005B01D2">
        <w:rPr>
          <w:lang w:val="nl-BE"/>
        </w:rPr>
        <w:t xml:space="preserve"> om </w:t>
      </w:r>
      <w:r w:rsidR="00B80034" w:rsidRPr="005B01D2">
        <w:rPr>
          <w:lang w:val="nl-BE"/>
        </w:rPr>
        <w:t xml:space="preserve">- </w:t>
      </w:r>
      <w:r w:rsidR="00B22FF2" w:rsidRPr="005B01D2">
        <w:rPr>
          <w:lang w:val="nl-BE"/>
        </w:rPr>
        <w:t>‘</w:t>
      </w:r>
      <w:r w:rsidR="00453F49" w:rsidRPr="005B01D2">
        <w:rPr>
          <w:lang w:val="nl-BE"/>
        </w:rPr>
        <w:t>regionale</w:t>
      </w:r>
      <w:r w:rsidR="00B22FF2" w:rsidRPr="005B01D2">
        <w:rPr>
          <w:lang w:val="nl-BE"/>
        </w:rPr>
        <w:t>’</w:t>
      </w:r>
      <w:r w:rsidR="00453F49" w:rsidRPr="005B01D2">
        <w:rPr>
          <w:lang w:val="nl-BE"/>
        </w:rPr>
        <w:t xml:space="preserve"> verdragen.</w:t>
      </w:r>
      <w:r w:rsidR="006235C4" w:rsidRPr="005B01D2">
        <w:rPr>
          <w:rStyle w:val="Voetnootmarkering"/>
          <w:lang w:val="nl-BE"/>
        </w:rPr>
        <w:footnoteReference w:id="38"/>
      </w:r>
      <w:r w:rsidR="00453F49" w:rsidRPr="005B01D2">
        <w:rPr>
          <w:lang w:val="nl-BE"/>
        </w:rPr>
        <w:t xml:space="preserve"> Dit </w:t>
      </w:r>
      <w:r w:rsidR="00593EB5">
        <w:rPr>
          <w:lang w:val="nl-BE"/>
        </w:rPr>
        <w:t xml:space="preserve">is zo </w:t>
      </w:r>
      <w:r w:rsidR="00453F49" w:rsidRPr="005B01D2">
        <w:rPr>
          <w:lang w:val="nl-BE"/>
        </w:rPr>
        <w:t>wegens het per definitie beperktere aantal partijen en de nauwe – niet alleen geografische – band tussen hen.</w:t>
      </w:r>
      <w:r w:rsidR="00B22FF2" w:rsidRPr="005B01D2">
        <w:rPr>
          <w:lang w:val="nl-BE"/>
        </w:rPr>
        <w:t xml:space="preserve"> Een </w:t>
      </w:r>
      <w:r w:rsidR="007C4675" w:rsidRPr="005B01D2">
        <w:rPr>
          <w:lang w:val="nl-BE"/>
        </w:rPr>
        <w:t xml:space="preserve">vergelijking met </w:t>
      </w:r>
      <w:r w:rsidR="00B80034" w:rsidRPr="005B01D2">
        <w:rPr>
          <w:lang w:val="nl-BE"/>
        </w:rPr>
        <w:t>zuivere</w:t>
      </w:r>
      <w:r w:rsidR="00B22FF2" w:rsidRPr="005B01D2">
        <w:rPr>
          <w:lang w:val="nl-BE"/>
        </w:rPr>
        <w:t xml:space="preserve"> multilaterale verdragen gaat in de </w:t>
      </w:r>
      <w:r w:rsidR="00B80034" w:rsidRPr="005B01D2">
        <w:rPr>
          <w:lang w:val="nl-BE"/>
        </w:rPr>
        <w:t>intra-Belgische</w:t>
      </w:r>
      <w:r w:rsidR="00B22FF2" w:rsidRPr="005B01D2">
        <w:rPr>
          <w:lang w:val="nl-BE"/>
        </w:rPr>
        <w:t xml:space="preserve"> context niet op.</w:t>
      </w:r>
    </w:p>
    <w:p w14:paraId="59996CD1" w14:textId="77777777" w:rsidR="00707ED0" w:rsidRPr="005B01D2" w:rsidRDefault="0017775E" w:rsidP="00F9665E">
      <w:pPr>
        <w:pStyle w:val="Kop1"/>
        <w:numPr>
          <w:ilvl w:val="0"/>
          <w:numId w:val="5"/>
        </w:numPr>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 xml:space="preserve">Totstandkoming </w:t>
      </w:r>
      <w:r w:rsidR="00B80034" w:rsidRPr="005B01D2">
        <w:rPr>
          <w:rFonts w:ascii="Times New Roman" w:hAnsi="Times New Roman" w:cs="Times New Roman"/>
          <w:sz w:val="24"/>
          <w:szCs w:val="24"/>
          <w:lang w:val="nl-BE"/>
        </w:rPr>
        <w:t>en</w:t>
      </w:r>
      <w:r w:rsidRPr="005B01D2">
        <w:rPr>
          <w:rFonts w:ascii="Times New Roman" w:hAnsi="Times New Roman" w:cs="Times New Roman"/>
          <w:sz w:val="24"/>
          <w:szCs w:val="24"/>
          <w:lang w:val="nl-BE"/>
        </w:rPr>
        <w:t xml:space="preserve"> sluiting</w:t>
      </w:r>
    </w:p>
    <w:p w14:paraId="6DF06EA8" w14:textId="77777777" w:rsidR="00707ED0" w:rsidRPr="005B01D2" w:rsidRDefault="00707ED0" w:rsidP="00F9665E">
      <w:pPr>
        <w:jc w:val="both"/>
        <w:rPr>
          <w:lang w:val="nl-BE"/>
        </w:rPr>
      </w:pPr>
    </w:p>
    <w:p w14:paraId="3BD20FFA" w14:textId="77777777" w:rsidR="00F55063" w:rsidRPr="005B01D2" w:rsidRDefault="00707ED0" w:rsidP="00F9665E">
      <w:pPr>
        <w:jc w:val="both"/>
        <w:rPr>
          <w:lang w:val="nl-NL"/>
        </w:rPr>
      </w:pPr>
      <w:r w:rsidRPr="005B01D2">
        <w:rPr>
          <w:lang w:val="nl-BE"/>
        </w:rPr>
        <w:t xml:space="preserve">9. </w:t>
      </w:r>
      <w:r w:rsidRPr="005B01D2">
        <w:rPr>
          <w:lang w:val="nl-BE"/>
        </w:rPr>
        <w:tab/>
      </w:r>
      <w:r w:rsidR="00F55063" w:rsidRPr="005B01D2">
        <w:rPr>
          <w:lang w:val="nl-BE"/>
        </w:rPr>
        <w:t>Artikel 92</w:t>
      </w:r>
      <w:r w:rsidR="00F55063" w:rsidRPr="005B01D2">
        <w:rPr>
          <w:i/>
          <w:iCs/>
          <w:lang w:val="nl-BE"/>
        </w:rPr>
        <w:t>bis</w:t>
      </w:r>
      <w:r w:rsidR="00F55063" w:rsidRPr="005B01D2">
        <w:rPr>
          <w:lang w:val="nl-BE"/>
        </w:rPr>
        <w:t xml:space="preserve">, §1, tweede lid, eerste zin, BWHI bepaalt nogal enigmatisch: “Over samenwerkingsakkoorden wordt onderhandeld en zij worden gesloten door de </w:t>
      </w:r>
      <w:r w:rsidR="00A87036" w:rsidRPr="00A87036">
        <w:rPr>
          <w:lang w:val="nl-BE"/>
        </w:rPr>
        <w:t>bevoegde</w:t>
      </w:r>
      <w:r w:rsidR="00F55063" w:rsidRPr="005B01D2">
        <w:rPr>
          <w:b/>
          <w:lang w:val="nl-BE"/>
        </w:rPr>
        <w:t xml:space="preserve"> </w:t>
      </w:r>
      <w:r w:rsidR="00A87036" w:rsidRPr="00A87036">
        <w:rPr>
          <w:lang w:val="nl-BE"/>
        </w:rPr>
        <w:t>overheid</w:t>
      </w:r>
      <w:r w:rsidR="00F55063" w:rsidRPr="005B01D2">
        <w:rPr>
          <w:lang w:val="nl-BE"/>
        </w:rPr>
        <w:t>”. Deze bepaling werd aanvankelijk geïnterpreteerd en toegepast naar analogie met de regeling voor verdragen, waar overeenkomstig artikel 167, §§2-3, van de Grondwet de sluiten van verdragen</w:t>
      </w:r>
      <w:r w:rsidR="00F93B3B" w:rsidRPr="005B01D2">
        <w:rPr>
          <w:rStyle w:val="Voetnootmarkering"/>
          <w:lang w:val="nl-BE"/>
        </w:rPr>
        <w:footnoteReference w:id="39"/>
      </w:r>
      <w:r w:rsidR="00F55063" w:rsidRPr="005B01D2">
        <w:rPr>
          <w:lang w:val="nl-BE"/>
        </w:rPr>
        <w:t xml:space="preserve"> een prerogatief is van de uitvoerende macht.</w:t>
      </w:r>
      <w:r w:rsidR="00F55063" w:rsidRPr="005B01D2">
        <w:rPr>
          <w:rStyle w:val="Voetnootmarkering"/>
          <w:lang w:val="nl-BE"/>
        </w:rPr>
        <w:footnoteReference w:id="40"/>
      </w:r>
      <w:r w:rsidR="00F55063" w:rsidRPr="005B01D2">
        <w:rPr>
          <w:lang w:val="nl-BE"/>
        </w:rPr>
        <w:t xml:space="preserve"> De Raad van State merkte weliswaar op dat de bijzondere wet niet als dusdanig verwijst naar de uitvoerende macht, maar oordeelde dat er niettemin </w:t>
      </w:r>
      <w:r w:rsidR="00F55063" w:rsidRPr="005B01D2">
        <w:rPr>
          <w:lang w:val="nl-NL"/>
        </w:rPr>
        <w:t xml:space="preserve">vragen rezen over de juridische geldigheid van interparlementaire samenwerkingsakkoorden. Het drong er daarom op aan om een uitdrukkelijke juridische basis voor dergelijke </w:t>
      </w:r>
      <w:r w:rsidR="00B80034" w:rsidRPr="005B01D2">
        <w:rPr>
          <w:lang w:val="nl-NL"/>
        </w:rPr>
        <w:t xml:space="preserve">interparlementaire </w:t>
      </w:r>
      <w:r w:rsidR="00F55063" w:rsidRPr="005B01D2">
        <w:rPr>
          <w:lang w:val="nl-NL"/>
        </w:rPr>
        <w:t xml:space="preserve">samenwerkingsakkoorden </w:t>
      </w:r>
      <w:r w:rsidR="00F55063" w:rsidRPr="005B01D2">
        <w:rPr>
          <w:lang w:val="nl-NL"/>
        </w:rPr>
        <w:lastRenderedPageBreak/>
        <w:t>in de bijzondere wet van 8 augustus 1980 in te voegen “waarbij desgevallend zou kunnen worden bepaald dat deze rechtstreeks door de betrokken parlementen worden gesloten”.</w:t>
      </w:r>
      <w:r w:rsidR="00F55063" w:rsidRPr="005B01D2">
        <w:rPr>
          <w:rStyle w:val="Voetnootmarkering"/>
          <w:lang w:val="nl-NL"/>
        </w:rPr>
        <w:footnoteReference w:id="41"/>
      </w:r>
      <w:r w:rsidR="00F55063" w:rsidRPr="005B01D2">
        <w:rPr>
          <w:lang w:val="nl-NL"/>
        </w:rPr>
        <w:t xml:space="preserve"> </w:t>
      </w:r>
    </w:p>
    <w:p w14:paraId="04BBC7DC" w14:textId="77777777" w:rsidR="00F55063" w:rsidRPr="005B01D2" w:rsidRDefault="00F55063" w:rsidP="00F9665E">
      <w:pPr>
        <w:jc w:val="both"/>
        <w:rPr>
          <w:lang w:val="nl-NL"/>
        </w:rPr>
      </w:pPr>
    </w:p>
    <w:p w14:paraId="32EEF4D3" w14:textId="5C1C9F20" w:rsidR="00F55063" w:rsidRPr="005B01D2" w:rsidRDefault="00F55063" w:rsidP="00F9665E">
      <w:pPr>
        <w:jc w:val="both"/>
        <w:rPr>
          <w:lang w:val="nl-BE"/>
        </w:rPr>
      </w:pPr>
      <w:r w:rsidRPr="005B01D2">
        <w:rPr>
          <w:lang w:val="nl-NL"/>
        </w:rPr>
        <w:t>Het is slechts wegens het stilzitten van de bijzondere wetgever dat de Algemene Vergadering van de Raad van State overstag ging</w:t>
      </w:r>
      <w:r w:rsidR="0031686C" w:rsidRPr="005B01D2">
        <w:rPr>
          <w:lang w:val="nl-NL"/>
        </w:rPr>
        <w:t xml:space="preserve">. </w:t>
      </w:r>
      <w:r w:rsidR="0077373B">
        <w:rPr>
          <w:lang w:val="nl-NL"/>
        </w:rPr>
        <w:t>De Algemene Vergadering</w:t>
      </w:r>
      <w:r w:rsidR="0077373B" w:rsidRPr="005B01D2">
        <w:rPr>
          <w:lang w:val="nl-NL"/>
        </w:rPr>
        <w:t xml:space="preserve"> </w:t>
      </w:r>
      <w:r w:rsidRPr="005B01D2">
        <w:rPr>
          <w:lang w:val="nl-NL"/>
        </w:rPr>
        <w:t xml:space="preserve">verklaarde dat hoewel het voor de rechtszekerheid beter zou zijn </w:t>
      </w:r>
      <w:r w:rsidR="00B80034" w:rsidRPr="005B01D2">
        <w:rPr>
          <w:lang w:val="nl-NL"/>
        </w:rPr>
        <w:t xml:space="preserve">geweest </w:t>
      </w:r>
      <w:r w:rsidRPr="005B01D2">
        <w:rPr>
          <w:lang w:val="nl-NL"/>
        </w:rPr>
        <w:t xml:space="preserve">dat de bijzondere wet hiertoe </w:t>
      </w:r>
      <w:r w:rsidR="00B80034" w:rsidRPr="005B01D2">
        <w:rPr>
          <w:lang w:val="nl-NL"/>
        </w:rPr>
        <w:t xml:space="preserve">in een </w:t>
      </w:r>
      <w:r w:rsidRPr="005B01D2">
        <w:rPr>
          <w:lang w:val="nl-NL"/>
        </w:rPr>
        <w:t xml:space="preserve">uitdrukkelijk </w:t>
      </w:r>
      <w:r w:rsidR="00B80034" w:rsidRPr="005B01D2">
        <w:rPr>
          <w:lang w:val="nl-NL"/>
        </w:rPr>
        <w:t>rechtskader voorzag</w:t>
      </w:r>
      <w:r w:rsidRPr="005B01D2">
        <w:rPr>
          <w:lang w:val="nl-NL"/>
        </w:rPr>
        <w:t xml:space="preserve">, het duidelijk is dat </w:t>
      </w:r>
      <w:r w:rsidR="00A87036" w:rsidRPr="00A87036">
        <w:rPr>
          <w:lang w:val="nl-NL"/>
        </w:rPr>
        <w:t>parlementen</w:t>
      </w:r>
      <w:r w:rsidRPr="005B01D2">
        <w:rPr>
          <w:lang w:val="nl-NL"/>
        </w:rPr>
        <w:t xml:space="preserve"> thans reeds onderling samenwerkingsakkoorden kunnen sluiten. Het begrip “bevoegde overheid”, die overeenkomstig art. 92</w:t>
      </w:r>
      <w:r w:rsidRPr="005B01D2">
        <w:rPr>
          <w:i/>
          <w:iCs/>
          <w:lang w:val="nl-NL"/>
        </w:rPr>
        <w:t>bis</w:t>
      </w:r>
      <w:r w:rsidRPr="005B01D2">
        <w:rPr>
          <w:lang w:val="nl-NL"/>
        </w:rPr>
        <w:t xml:space="preserve">, § 1, BWHI bevoegd is om samenwerkingsakkoorden te sluiten en te onderhandelen, is voldoende ruim om hieronder ook de parlementen te rekenen, in het bijzonder voor aangelegenheden die onder de prerogatieven van </w:t>
      </w:r>
      <w:r w:rsidR="00F93B3B" w:rsidRPr="005B01D2">
        <w:rPr>
          <w:lang w:val="nl-NL"/>
        </w:rPr>
        <w:t>h</w:t>
      </w:r>
      <w:r w:rsidR="009E4D87" w:rsidRPr="005B01D2">
        <w:rPr>
          <w:lang w:val="nl-NL"/>
        </w:rPr>
        <w:t>et parlement ressorteren</w:t>
      </w:r>
      <w:r w:rsidRPr="005B01D2">
        <w:rPr>
          <w:lang w:val="nl-NL"/>
        </w:rPr>
        <w:t>. Voor de praktische uitvoering is het dan wel aan elk parlement afzonderlijk, om de modaliteiten voor het sluiten van een dergelijk samenwerkingsakkoord te regelen.</w:t>
      </w:r>
      <w:r w:rsidR="009E4D87" w:rsidRPr="005B01D2">
        <w:rPr>
          <w:rStyle w:val="Voetnootmarkering"/>
          <w:lang w:val="nl-NL"/>
        </w:rPr>
        <w:footnoteReference w:id="42"/>
      </w:r>
      <w:r w:rsidR="00F93B3B" w:rsidRPr="005B01D2">
        <w:rPr>
          <w:vertAlign w:val="superscript"/>
          <w:lang w:val="nl-NL"/>
        </w:rPr>
        <w:t>-</w:t>
      </w:r>
      <w:r w:rsidRPr="005B01D2">
        <w:rPr>
          <w:rStyle w:val="Voetnootmarkering"/>
          <w:lang w:val="nl-NL"/>
        </w:rPr>
        <w:footnoteReference w:id="43"/>
      </w:r>
      <w:r w:rsidRPr="005B01D2">
        <w:rPr>
          <w:lang w:val="nl-NL"/>
        </w:rPr>
        <w:t xml:space="preserve"> </w:t>
      </w:r>
    </w:p>
    <w:p w14:paraId="14331B72" w14:textId="77777777" w:rsidR="00905809" w:rsidRPr="005B01D2" w:rsidRDefault="00905809" w:rsidP="00F9665E">
      <w:pPr>
        <w:jc w:val="both"/>
        <w:rPr>
          <w:lang w:val="nl-NL"/>
        </w:rPr>
      </w:pPr>
    </w:p>
    <w:p w14:paraId="07B0A142" w14:textId="77777777" w:rsidR="00F55063" w:rsidRPr="005B01D2" w:rsidRDefault="00F55063" w:rsidP="00F9665E">
      <w:pPr>
        <w:jc w:val="both"/>
        <w:rPr>
          <w:lang w:val="nl-BE"/>
        </w:rPr>
      </w:pPr>
      <w:r w:rsidRPr="005B01D2">
        <w:rPr>
          <w:lang w:val="nl-BE"/>
        </w:rPr>
        <w:t xml:space="preserve">10. </w:t>
      </w:r>
      <w:r w:rsidRPr="005B01D2">
        <w:rPr>
          <w:lang w:val="nl-BE"/>
        </w:rPr>
        <w:tab/>
        <w:t xml:space="preserve">Het is net de gebrekkige </w:t>
      </w:r>
      <w:r w:rsidR="00B80034" w:rsidRPr="005B01D2">
        <w:rPr>
          <w:lang w:val="nl-BE"/>
        </w:rPr>
        <w:t xml:space="preserve">of ontbrekende praktijk van </w:t>
      </w:r>
      <w:r w:rsidRPr="005B01D2">
        <w:rPr>
          <w:lang w:val="nl-BE"/>
        </w:rPr>
        <w:t xml:space="preserve">betrokkenheid van </w:t>
      </w:r>
      <w:r w:rsidR="00B80034" w:rsidRPr="005B01D2">
        <w:rPr>
          <w:lang w:val="nl-BE"/>
        </w:rPr>
        <w:t>de</w:t>
      </w:r>
      <w:r w:rsidRPr="005B01D2">
        <w:rPr>
          <w:lang w:val="nl-BE"/>
        </w:rPr>
        <w:t xml:space="preserve"> parlement</w:t>
      </w:r>
      <w:r w:rsidR="00B80034" w:rsidRPr="005B01D2">
        <w:rPr>
          <w:lang w:val="nl-BE"/>
        </w:rPr>
        <w:t>en</w:t>
      </w:r>
      <w:r w:rsidRPr="005B01D2">
        <w:rPr>
          <w:lang w:val="nl-BE"/>
        </w:rPr>
        <w:t xml:space="preserve"> in de totstandkoming van samenwerkingsakkoorden</w:t>
      </w:r>
      <w:r w:rsidR="00DF2F1C" w:rsidRPr="005B01D2">
        <w:rPr>
          <w:rStyle w:val="Voetnootmarkering"/>
          <w:lang w:val="nl-BE"/>
        </w:rPr>
        <w:footnoteReference w:id="44"/>
      </w:r>
      <w:r w:rsidRPr="005B01D2">
        <w:rPr>
          <w:lang w:val="nl-BE"/>
        </w:rPr>
        <w:t xml:space="preserve"> (naast de stroefheid om akkoorden uit te voeren of te wijzigen) die de bijzondere wetgever er met de Zesde Staatshervorming toe heeft aangezet om het instrument van het gezamenlijke decreet in te voeren.</w:t>
      </w:r>
      <w:r w:rsidRPr="005B01D2">
        <w:rPr>
          <w:rStyle w:val="Voetnootmarkering"/>
          <w:lang w:val="nl-BE"/>
        </w:rPr>
        <w:footnoteReference w:id="45"/>
      </w:r>
      <w:r w:rsidRPr="005B01D2">
        <w:rPr>
          <w:rFonts w:eastAsiaTheme="majorEastAsia"/>
          <w:color w:val="2F5496" w:themeColor="accent1" w:themeShade="BF"/>
          <w:lang w:val="nl-BE"/>
        </w:rPr>
        <w:t xml:space="preserve"> </w:t>
      </w:r>
      <w:r w:rsidRPr="005B01D2">
        <w:rPr>
          <w:lang w:val="nl-BE"/>
        </w:rPr>
        <w:t xml:space="preserve">Een opmerkelijk verschil tussen samenwerkingsakkoorden en de gezamenlijke decreten is </w:t>
      </w:r>
      <w:r w:rsidR="00B80034" w:rsidRPr="005B01D2">
        <w:rPr>
          <w:lang w:val="nl-BE"/>
        </w:rPr>
        <w:t xml:space="preserve">immers </w:t>
      </w:r>
      <w:r w:rsidRPr="005B01D2">
        <w:rPr>
          <w:lang w:val="nl-BE"/>
        </w:rPr>
        <w:t xml:space="preserve">de nadrukkelijke actieve rol die aan de parlementen wordt verleend: deze </w:t>
      </w:r>
      <w:r w:rsidR="00AC4D0B" w:rsidRPr="005B01D2">
        <w:rPr>
          <w:lang w:val="nl-BE"/>
        </w:rPr>
        <w:t>he</w:t>
      </w:r>
      <w:r w:rsidR="00B80034" w:rsidRPr="005B01D2">
        <w:rPr>
          <w:lang w:val="nl-BE"/>
        </w:rPr>
        <w:t>bben</w:t>
      </w:r>
      <w:r w:rsidR="00AC4D0B" w:rsidRPr="005B01D2">
        <w:rPr>
          <w:lang w:val="nl-BE"/>
        </w:rPr>
        <w:t xml:space="preserve"> een </w:t>
      </w:r>
      <w:r w:rsidRPr="005B01D2">
        <w:rPr>
          <w:lang w:val="nl-BE"/>
        </w:rPr>
        <w:t>initiatiefrecht,</w:t>
      </w:r>
      <w:r w:rsidRPr="005B01D2">
        <w:rPr>
          <w:vertAlign w:val="superscript"/>
        </w:rPr>
        <w:footnoteReference w:id="46"/>
      </w:r>
      <w:r w:rsidRPr="005B01D2">
        <w:rPr>
          <w:lang w:val="nl-BE"/>
        </w:rPr>
        <w:t xml:space="preserve"> deze k</w:t>
      </w:r>
      <w:r w:rsidR="00B80034" w:rsidRPr="005B01D2">
        <w:rPr>
          <w:lang w:val="nl-BE"/>
        </w:rPr>
        <w:t>unnen</w:t>
      </w:r>
      <w:r w:rsidR="00AC4D0B" w:rsidRPr="005B01D2">
        <w:rPr>
          <w:lang w:val="nl-BE"/>
        </w:rPr>
        <w:t xml:space="preserve"> een</w:t>
      </w:r>
      <w:r w:rsidRPr="005B01D2">
        <w:rPr>
          <w:lang w:val="nl-BE"/>
        </w:rPr>
        <w:t xml:space="preserve"> ontwerp of voorstel van gezamenlijk decreet amenderen</w:t>
      </w:r>
      <w:r w:rsidRPr="005B01D2">
        <w:rPr>
          <w:vertAlign w:val="superscript"/>
          <w:lang w:val="nl-BE"/>
        </w:rPr>
        <w:t xml:space="preserve"> </w:t>
      </w:r>
      <w:r w:rsidRPr="005B01D2">
        <w:rPr>
          <w:lang w:val="nl-BE"/>
        </w:rPr>
        <w:t xml:space="preserve">en voorafgaand aan de behandeling en de aanneming ervan wordt het ontwerp of voorstel van gezamenlijk decreet eerst behandeld en aangenomen door een interparlementaire commissie die is samengesteld uit een gelijk aantal vertegenwoordigers van de </w:t>
      </w:r>
      <w:r w:rsidR="00AC4D0B" w:rsidRPr="005B01D2">
        <w:rPr>
          <w:lang w:val="nl-BE"/>
        </w:rPr>
        <w:t xml:space="preserve">verschillende </w:t>
      </w:r>
      <w:r w:rsidRPr="005B01D2">
        <w:rPr>
          <w:lang w:val="nl-BE"/>
        </w:rPr>
        <w:t>betrokken parlementen.</w:t>
      </w:r>
      <w:r w:rsidRPr="005B01D2">
        <w:rPr>
          <w:vertAlign w:val="superscript"/>
        </w:rPr>
        <w:footnoteReference w:id="47"/>
      </w:r>
      <w:r w:rsidRPr="005B01D2">
        <w:rPr>
          <w:lang w:val="nl-BE"/>
        </w:rPr>
        <w:t xml:space="preserve"> </w:t>
      </w:r>
    </w:p>
    <w:p w14:paraId="1E272756" w14:textId="77777777" w:rsidR="00F55063" w:rsidRPr="005B01D2" w:rsidRDefault="00F55063" w:rsidP="00F9665E">
      <w:pPr>
        <w:jc w:val="both"/>
        <w:rPr>
          <w:lang w:val="nl-BE"/>
        </w:rPr>
      </w:pPr>
    </w:p>
    <w:p w14:paraId="5F1CD739" w14:textId="267C50E7" w:rsidR="00AC4D0B" w:rsidRPr="005B01D2" w:rsidRDefault="000C428C" w:rsidP="00F9665E">
      <w:pPr>
        <w:jc w:val="both"/>
        <w:rPr>
          <w:lang w:val="nl-BE"/>
        </w:rPr>
      </w:pPr>
      <w:r w:rsidRPr="00B2070B">
        <w:rPr>
          <w:lang w:val="nl-BE"/>
        </w:rPr>
        <w:t>De Raad van State vond het onbegrijpelijk dat de bijzondere wetgever de door hem gepercipieerde gebreken in het instrument van samenwerkingsakkoorden niet poogde te corrigeren door het rechtskader van samenwerkingsakkoorden zelf aan te passen</w:t>
      </w:r>
      <w:r w:rsidR="00AC4D0B" w:rsidRPr="00B2070B">
        <w:rPr>
          <w:lang w:val="nl-BE"/>
        </w:rPr>
        <w:t xml:space="preserve">, maar </w:t>
      </w:r>
      <w:r w:rsidR="00B80034" w:rsidRPr="00B2070B">
        <w:rPr>
          <w:lang w:val="nl-BE"/>
        </w:rPr>
        <w:lastRenderedPageBreak/>
        <w:t xml:space="preserve">hiervoor </w:t>
      </w:r>
      <w:r w:rsidR="00AC4D0B" w:rsidRPr="00B2070B">
        <w:rPr>
          <w:lang w:val="nl-BE"/>
        </w:rPr>
        <w:t>daarentegen een nieuw instrument creëerde (waar</w:t>
      </w:r>
      <w:r w:rsidR="00254640" w:rsidRPr="00B2070B">
        <w:rPr>
          <w:lang w:val="nl-BE"/>
        </w:rPr>
        <w:t>mee het rechtskader wordt gecompliceerd</w:t>
      </w:r>
      <w:r w:rsidR="00AC4D0B" w:rsidRPr="00B2070B">
        <w:rPr>
          <w:lang w:val="nl-BE"/>
        </w:rPr>
        <w:t>)</w:t>
      </w:r>
      <w:r w:rsidR="00B80034" w:rsidRPr="00B2070B">
        <w:rPr>
          <w:lang w:val="nl-BE"/>
        </w:rPr>
        <w:t>,</w:t>
      </w:r>
      <w:r w:rsidR="00AC4D0B" w:rsidRPr="00B2070B">
        <w:rPr>
          <w:lang w:val="nl-BE"/>
        </w:rPr>
        <w:t xml:space="preserve"> waarvan de federale overheid dan nog eens nadrukkelijk werd uitgesloten van deelname (waardoor het instrument</w:t>
      </w:r>
      <w:r w:rsidR="00254640" w:rsidRPr="00B2070B">
        <w:rPr>
          <w:lang w:val="nl-BE"/>
        </w:rPr>
        <w:t xml:space="preserve"> niet eens een volwaardig alternatief is voor </w:t>
      </w:r>
      <w:r w:rsidR="00AC4D0B" w:rsidRPr="00B2070B">
        <w:rPr>
          <w:lang w:val="nl-BE"/>
        </w:rPr>
        <w:t>s</w:t>
      </w:r>
      <w:r w:rsidRPr="00B2070B">
        <w:rPr>
          <w:lang w:val="nl-BE"/>
        </w:rPr>
        <w:t>amenwerkingsakkoorden).</w:t>
      </w:r>
      <w:r w:rsidRPr="00B2070B">
        <w:rPr>
          <w:rStyle w:val="Voetnootmarkering"/>
          <w:lang w:val="nl-BE"/>
        </w:rPr>
        <w:footnoteReference w:id="48"/>
      </w:r>
      <w:r w:rsidRPr="00B2070B">
        <w:rPr>
          <w:lang w:val="nl-BE"/>
        </w:rPr>
        <w:t xml:space="preserve"> In</w:t>
      </w:r>
      <w:r w:rsidR="00AC4D0B" w:rsidRPr="00B2070B">
        <w:rPr>
          <w:lang w:val="nl-BE"/>
        </w:rPr>
        <w:t xml:space="preserve"> </w:t>
      </w:r>
      <w:r w:rsidR="00254640" w:rsidRPr="00B2070B">
        <w:rPr>
          <w:lang w:val="nl-BE"/>
        </w:rPr>
        <w:t xml:space="preserve">antwoord </w:t>
      </w:r>
      <w:r w:rsidR="00B80034" w:rsidRPr="00B2070B">
        <w:rPr>
          <w:lang w:val="nl-BE"/>
        </w:rPr>
        <w:t xml:space="preserve">op de </w:t>
      </w:r>
      <w:r w:rsidRPr="00B2070B">
        <w:rPr>
          <w:lang w:val="nl-BE"/>
        </w:rPr>
        <w:t>opmerkingen van de Raad van State</w:t>
      </w:r>
      <w:r w:rsidR="00B80034" w:rsidRPr="00B2070B">
        <w:rPr>
          <w:lang w:val="nl-BE"/>
        </w:rPr>
        <w:t xml:space="preserve">, </w:t>
      </w:r>
      <w:r w:rsidR="00254640" w:rsidRPr="00B2070B">
        <w:rPr>
          <w:lang w:val="nl-BE"/>
        </w:rPr>
        <w:t xml:space="preserve">paste de </w:t>
      </w:r>
      <w:r w:rsidR="00AC4D0B" w:rsidRPr="00B2070B">
        <w:rPr>
          <w:lang w:val="nl-BE"/>
        </w:rPr>
        <w:t xml:space="preserve">bijzondere wetgever </w:t>
      </w:r>
      <w:r w:rsidR="00254640" w:rsidRPr="00B2070B">
        <w:rPr>
          <w:lang w:val="nl-BE"/>
        </w:rPr>
        <w:t>weliswaar</w:t>
      </w:r>
      <w:r w:rsidR="00AC4D0B" w:rsidRPr="00B2070B">
        <w:rPr>
          <w:lang w:val="nl-BE"/>
        </w:rPr>
        <w:t xml:space="preserve"> het rechtskader voor samenwerkingsakkoorden</w:t>
      </w:r>
      <w:r w:rsidR="00254640" w:rsidRPr="00B2070B">
        <w:rPr>
          <w:lang w:val="nl-BE"/>
        </w:rPr>
        <w:t xml:space="preserve"> </w:t>
      </w:r>
      <w:r w:rsidR="00AC4D0B" w:rsidRPr="00B2070B">
        <w:rPr>
          <w:lang w:val="nl-BE"/>
        </w:rPr>
        <w:t>aan</w:t>
      </w:r>
      <w:r w:rsidR="00045B7D">
        <w:rPr>
          <w:lang w:val="nl-BE"/>
        </w:rPr>
        <w:t>, m</w:t>
      </w:r>
      <w:r w:rsidR="00AC4D0B" w:rsidRPr="00B2070B">
        <w:rPr>
          <w:lang w:val="nl-BE"/>
        </w:rPr>
        <w:t>aar hierbij werd</w:t>
      </w:r>
      <w:r w:rsidR="00B80034" w:rsidRPr="00B2070B">
        <w:rPr>
          <w:lang w:val="nl-BE"/>
        </w:rPr>
        <w:t xml:space="preserve"> </w:t>
      </w:r>
      <w:r w:rsidR="00AC4D0B" w:rsidRPr="00B2070B">
        <w:rPr>
          <w:lang w:val="nl-BE"/>
        </w:rPr>
        <w:t>voorrang gegeven aan het vergemakkelijken van de mogelijkheid om samenwerkingsakkoorden uit te voeren door enkel te voorzien in de mogelijkheid van uitvoerende samenwerkingsakkoorden die niet ter instemming aan de wetgevers moeten worden voorgelegd.</w:t>
      </w:r>
      <w:r w:rsidR="00AC4D0B" w:rsidRPr="00B2070B">
        <w:rPr>
          <w:rStyle w:val="Voetnootmarkering"/>
          <w:lang w:val="nl-BE"/>
        </w:rPr>
        <w:footnoteReference w:id="49"/>
      </w:r>
      <w:r w:rsidR="00AC4D0B" w:rsidRPr="00B2070B">
        <w:rPr>
          <w:lang w:val="nl-BE"/>
        </w:rPr>
        <w:t xml:space="preserve"> Van </w:t>
      </w:r>
      <w:r w:rsidR="00254640" w:rsidRPr="00B2070B">
        <w:rPr>
          <w:lang w:val="nl-BE"/>
        </w:rPr>
        <w:t xml:space="preserve">een nood tot </w:t>
      </w:r>
      <w:r w:rsidR="00AC4D0B" w:rsidRPr="00B2070B">
        <w:rPr>
          <w:lang w:val="nl-BE"/>
        </w:rPr>
        <w:t xml:space="preserve">het uitbreiden van de rol van het parlement in de totstandkoming van samenwerkingsakkoorden was </w:t>
      </w:r>
      <w:r w:rsidR="00254640" w:rsidRPr="00B2070B">
        <w:rPr>
          <w:lang w:val="nl-BE"/>
        </w:rPr>
        <w:t>op dat ogenblik geen sprake meer.</w:t>
      </w:r>
      <w:r w:rsidR="00A20A5A" w:rsidRPr="00B2070B">
        <w:rPr>
          <w:lang w:val="nl-BE"/>
        </w:rPr>
        <w:t xml:space="preserve"> Door een vergetelheid van de wetgever werd ook niet voorzien in een adviesbevoegdheid voor de Raad van State over die uitvoerende samenwerkingsakkoorde</w:t>
      </w:r>
      <w:r w:rsidRPr="00B2070B">
        <w:rPr>
          <w:lang w:val="nl-BE"/>
        </w:rPr>
        <w:t>n.</w:t>
      </w:r>
      <w:r w:rsidRPr="00B2070B">
        <w:rPr>
          <w:vertAlign w:val="superscript"/>
        </w:rPr>
        <w:footnoteReference w:id="50"/>
      </w:r>
    </w:p>
    <w:p w14:paraId="70797C65" w14:textId="77777777" w:rsidR="00AC4D0B" w:rsidRPr="005B01D2" w:rsidRDefault="00AC4D0B" w:rsidP="00F9665E">
      <w:pPr>
        <w:jc w:val="both"/>
        <w:rPr>
          <w:lang w:val="nl-BE"/>
        </w:rPr>
      </w:pPr>
    </w:p>
    <w:p w14:paraId="7FA634F6" w14:textId="0A3863F2" w:rsidR="00504761" w:rsidRPr="005B01D2" w:rsidRDefault="00254640" w:rsidP="00AB2E0C">
      <w:pPr>
        <w:jc w:val="both"/>
        <w:rPr>
          <w:lang w:val="nl-BE"/>
        </w:rPr>
      </w:pPr>
      <w:r w:rsidRPr="005B01D2">
        <w:rPr>
          <w:lang w:val="nl-BE"/>
        </w:rPr>
        <w:t xml:space="preserve">Het ontbreken van een </w:t>
      </w:r>
      <w:r w:rsidR="00AC4D0B" w:rsidRPr="005B01D2">
        <w:rPr>
          <w:i/>
          <w:iCs/>
          <w:lang w:val="nl-BE"/>
        </w:rPr>
        <w:t>formele</w:t>
      </w:r>
      <w:r w:rsidR="00AC4D0B" w:rsidRPr="005B01D2">
        <w:rPr>
          <w:lang w:val="nl-BE"/>
        </w:rPr>
        <w:t xml:space="preserve"> rol in de totstandkoming van </w:t>
      </w:r>
      <w:r w:rsidR="00B80034" w:rsidRPr="005B01D2">
        <w:rPr>
          <w:lang w:val="nl-BE"/>
        </w:rPr>
        <w:t xml:space="preserve">(niet-interparlementaire) </w:t>
      </w:r>
      <w:r w:rsidR="00AC4D0B" w:rsidRPr="005B01D2">
        <w:rPr>
          <w:lang w:val="nl-BE"/>
        </w:rPr>
        <w:t xml:space="preserve">samenwerkingsakkoorden en van verdragen </w:t>
      </w:r>
      <w:r w:rsidR="00A8482E" w:rsidRPr="005B01D2">
        <w:rPr>
          <w:lang w:val="nl-BE"/>
        </w:rPr>
        <w:t>is</w:t>
      </w:r>
      <w:r w:rsidRPr="005B01D2">
        <w:rPr>
          <w:lang w:val="nl-BE"/>
        </w:rPr>
        <w:t xml:space="preserve"> op zich geen belemmering </w:t>
      </w:r>
      <w:r w:rsidR="00504761" w:rsidRPr="005B01D2">
        <w:rPr>
          <w:lang w:val="nl-BE"/>
        </w:rPr>
        <w:t xml:space="preserve">om een </w:t>
      </w:r>
      <w:r w:rsidR="007003C9" w:rsidRPr="005B01D2">
        <w:rPr>
          <w:lang w:val="nl-BE"/>
        </w:rPr>
        <w:t>–</w:t>
      </w:r>
      <w:r w:rsidRPr="005B01D2">
        <w:rPr>
          <w:lang w:val="nl-BE"/>
        </w:rPr>
        <w:t xml:space="preserve"> zelfs ver</w:t>
      </w:r>
      <w:r w:rsidR="00B80034" w:rsidRPr="005B01D2">
        <w:rPr>
          <w:lang w:val="nl-BE"/>
        </w:rPr>
        <w:t>re</w:t>
      </w:r>
      <w:r w:rsidRPr="005B01D2">
        <w:rPr>
          <w:lang w:val="nl-BE"/>
        </w:rPr>
        <w:t xml:space="preserve">gaande </w:t>
      </w:r>
      <w:r w:rsidR="007003C9" w:rsidRPr="005B01D2">
        <w:rPr>
          <w:lang w:val="nl-BE"/>
        </w:rPr>
        <w:t>–</w:t>
      </w:r>
      <w:r w:rsidRPr="005B01D2">
        <w:rPr>
          <w:lang w:val="nl-BE"/>
        </w:rPr>
        <w:t xml:space="preserve"> </w:t>
      </w:r>
      <w:r w:rsidRPr="005B01D2">
        <w:rPr>
          <w:i/>
          <w:iCs/>
          <w:lang w:val="nl-BE"/>
        </w:rPr>
        <w:t>de facto</w:t>
      </w:r>
      <w:r w:rsidRPr="005B01D2">
        <w:rPr>
          <w:lang w:val="nl-BE"/>
        </w:rPr>
        <w:t xml:space="preserve"> rol</w:t>
      </w:r>
      <w:r w:rsidR="00504761" w:rsidRPr="005B01D2">
        <w:rPr>
          <w:lang w:val="nl-BE"/>
        </w:rPr>
        <w:t xml:space="preserve"> op te eisen.</w:t>
      </w:r>
      <w:r w:rsidR="00C91924" w:rsidRPr="005B01D2">
        <w:rPr>
          <w:rStyle w:val="Voetnootmarkering"/>
          <w:lang w:val="nl-BE"/>
        </w:rPr>
        <w:footnoteReference w:id="51"/>
      </w:r>
      <w:r w:rsidR="00504761" w:rsidRPr="005B01D2">
        <w:rPr>
          <w:lang w:val="nl-BE"/>
        </w:rPr>
        <w:t xml:space="preserve"> Het parlement beschikt</w:t>
      </w:r>
      <w:r w:rsidRPr="005B01D2">
        <w:rPr>
          <w:lang w:val="nl-BE"/>
        </w:rPr>
        <w:t xml:space="preserve"> finaal</w:t>
      </w:r>
      <w:r w:rsidR="00504761" w:rsidRPr="005B01D2">
        <w:rPr>
          <w:lang w:val="nl-BE"/>
        </w:rPr>
        <w:t xml:space="preserve"> immers</w:t>
      </w:r>
      <w:r w:rsidRPr="005B01D2">
        <w:rPr>
          <w:lang w:val="nl-BE"/>
        </w:rPr>
        <w:t xml:space="preserve"> over een vetorech</w:t>
      </w:r>
      <w:r w:rsidR="00A8482E" w:rsidRPr="005B01D2">
        <w:rPr>
          <w:lang w:val="nl-BE"/>
        </w:rPr>
        <w:t>t</w:t>
      </w:r>
      <w:r w:rsidR="00B80034" w:rsidRPr="005B01D2">
        <w:rPr>
          <w:lang w:val="nl-BE"/>
        </w:rPr>
        <w:t>:</w:t>
      </w:r>
      <w:r w:rsidR="00A8482E" w:rsidRPr="005B01D2">
        <w:rPr>
          <w:rStyle w:val="Voetnootmarkering"/>
          <w:lang w:val="nl-BE"/>
        </w:rPr>
        <w:footnoteReference w:id="52"/>
      </w:r>
      <w:r w:rsidR="00A8482E" w:rsidRPr="005B01D2">
        <w:rPr>
          <w:lang w:val="nl-BE"/>
        </w:rPr>
        <w:t xml:space="preserve"> </w:t>
      </w:r>
      <w:r w:rsidR="00B80034" w:rsidRPr="005B01D2">
        <w:rPr>
          <w:lang w:val="nl-BE"/>
        </w:rPr>
        <w:t xml:space="preserve">zonder instemming kunnen samenwerkingsakkoorden en verdragen </w:t>
      </w:r>
      <w:r w:rsidR="00A8482E" w:rsidRPr="005B01D2">
        <w:rPr>
          <w:i/>
          <w:iCs/>
          <w:lang w:val="nl-BE"/>
        </w:rPr>
        <w:t xml:space="preserve">überhaupt </w:t>
      </w:r>
      <w:r w:rsidR="00B80034" w:rsidRPr="005B01D2">
        <w:rPr>
          <w:lang w:val="nl-BE"/>
        </w:rPr>
        <w:lastRenderedPageBreak/>
        <w:t xml:space="preserve">geen </w:t>
      </w:r>
      <w:r w:rsidR="00504761" w:rsidRPr="005B01D2">
        <w:rPr>
          <w:lang w:val="nl-BE"/>
        </w:rPr>
        <w:t>werking hebben in de Belgische rechtsorde</w:t>
      </w:r>
      <w:r w:rsidR="002C2DAE" w:rsidRPr="005B01D2">
        <w:rPr>
          <w:lang w:val="nl-BE"/>
        </w:rPr>
        <w:t>.</w:t>
      </w:r>
      <w:r w:rsidR="002C2DAE" w:rsidRPr="005B01D2">
        <w:rPr>
          <w:rStyle w:val="Voetnootmarkering"/>
          <w:lang w:val="nl-BE"/>
        </w:rPr>
        <w:footnoteReference w:id="53"/>
      </w:r>
      <w:r w:rsidR="00A76168" w:rsidRPr="005B01D2">
        <w:rPr>
          <w:lang w:val="nl-BE"/>
        </w:rPr>
        <w:t xml:space="preserve"> </w:t>
      </w:r>
      <w:r w:rsidR="00B80034" w:rsidRPr="005B01D2">
        <w:rPr>
          <w:lang w:val="nl-BE"/>
        </w:rPr>
        <w:t xml:space="preserve">In het licht hiervan zouden de parlementen verschillende </w:t>
      </w:r>
      <w:r w:rsidR="00504761" w:rsidRPr="005B01D2">
        <w:rPr>
          <w:lang w:val="nl-BE"/>
        </w:rPr>
        <w:t xml:space="preserve">nuttige inspraak- en controle-instrumenten </w:t>
      </w:r>
      <w:r w:rsidR="00B80034" w:rsidRPr="005B01D2">
        <w:rPr>
          <w:lang w:val="nl-BE"/>
        </w:rPr>
        <w:t xml:space="preserve">aan de uitvoerende macht kunnen opdringen </w:t>
      </w:r>
      <w:r w:rsidR="00504761" w:rsidRPr="005B01D2">
        <w:rPr>
          <w:lang w:val="nl-BE"/>
        </w:rPr>
        <w:t>die</w:t>
      </w:r>
      <w:r w:rsidR="00B80034" w:rsidRPr="005B01D2">
        <w:rPr>
          <w:lang w:val="nl-BE"/>
        </w:rPr>
        <w:t xml:space="preserve"> </w:t>
      </w:r>
      <w:r w:rsidR="00504761" w:rsidRPr="005B01D2">
        <w:rPr>
          <w:lang w:val="nl-BE"/>
        </w:rPr>
        <w:t>de efficiëntie van onderhandelingen niet onnodig in het gedrang hoe</w:t>
      </w:r>
      <w:r w:rsidR="00B80034" w:rsidRPr="005B01D2">
        <w:rPr>
          <w:lang w:val="nl-BE"/>
        </w:rPr>
        <w:t>ven</w:t>
      </w:r>
      <w:r w:rsidR="00504761" w:rsidRPr="005B01D2">
        <w:rPr>
          <w:lang w:val="nl-BE"/>
        </w:rPr>
        <w:t xml:space="preserve"> te brengen.</w:t>
      </w:r>
      <w:r w:rsidR="00B80034" w:rsidRPr="005B01D2">
        <w:rPr>
          <w:rStyle w:val="Voetnootmarkering"/>
          <w:lang w:val="nl-BE"/>
        </w:rPr>
        <w:footnoteReference w:id="54"/>
      </w:r>
      <w:r w:rsidR="00504761" w:rsidRPr="005B01D2">
        <w:rPr>
          <w:lang w:val="nl-BE"/>
        </w:rPr>
        <w:t xml:space="preserve"> </w:t>
      </w:r>
    </w:p>
    <w:p w14:paraId="264AAE64" w14:textId="77777777" w:rsidR="00B80034" w:rsidRPr="005B01D2" w:rsidRDefault="00B80034" w:rsidP="00F9665E">
      <w:pPr>
        <w:jc w:val="both"/>
        <w:rPr>
          <w:lang w:val="nl-BE"/>
        </w:rPr>
      </w:pPr>
    </w:p>
    <w:p w14:paraId="1A10F0E5" w14:textId="77777777" w:rsidR="00D23B17" w:rsidRPr="005B01D2" w:rsidRDefault="00504761">
      <w:pPr>
        <w:pStyle w:val="Normaalweb"/>
        <w:spacing w:before="2" w:after="2"/>
        <w:rPr>
          <w:rFonts w:ascii="Times New Roman" w:eastAsia="Times New Roman" w:hAnsi="Times New Roman"/>
          <w:sz w:val="24"/>
          <w:szCs w:val="24"/>
          <w:lang w:val="nl-BE" w:eastAsia="en-GB"/>
        </w:rPr>
      </w:pPr>
      <w:r w:rsidRPr="005B01D2">
        <w:rPr>
          <w:rFonts w:ascii="Times New Roman" w:hAnsi="Times New Roman"/>
          <w:sz w:val="24"/>
          <w:szCs w:val="24"/>
          <w:lang w:val="nl-BE"/>
        </w:rPr>
        <w:t xml:space="preserve">De bewoordingen van de bijzondere wet lijken ons overigens </w:t>
      </w:r>
      <w:r w:rsidR="00A8482E" w:rsidRPr="005B01D2">
        <w:rPr>
          <w:rFonts w:ascii="Times New Roman" w:hAnsi="Times New Roman"/>
          <w:sz w:val="24"/>
          <w:szCs w:val="24"/>
          <w:lang w:val="nl-BE"/>
        </w:rPr>
        <w:t xml:space="preserve">zelfs </w:t>
      </w:r>
      <w:r w:rsidRPr="005B01D2">
        <w:rPr>
          <w:rFonts w:ascii="Times New Roman" w:hAnsi="Times New Roman"/>
          <w:sz w:val="24"/>
          <w:szCs w:val="24"/>
          <w:lang w:val="nl-BE"/>
        </w:rPr>
        <w:t xml:space="preserve">ruimte te laten voor formele instrumenten van </w:t>
      </w:r>
      <w:r w:rsidR="00A8482E" w:rsidRPr="005B01D2">
        <w:rPr>
          <w:rFonts w:ascii="Times New Roman" w:hAnsi="Times New Roman"/>
          <w:sz w:val="24"/>
          <w:szCs w:val="24"/>
          <w:lang w:val="nl-BE"/>
        </w:rPr>
        <w:t>controle en betrokkenheid,</w:t>
      </w:r>
      <w:r w:rsidRPr="005B01D2">
        <w:rPr>
          <w:rFonts w:ascii="Times New Roman" w:hAnsi="Times New Roman"/>
          <w:sz w:val="24"/>
          <w:szCs w:val="24"/>
          <w:lang w:val="nl-BE"/>
        </w:rPr>
        <w:t xml:space="preserve"> naast de </w:t>
      </w:r>
      <w:r w:rsidR="00B80034" w:rsidRPr="005B01D2">
        <w:rPr>
          <w:rFonts w:ascii="Times New Roman" w:hAnsi="Times New Roman"/>
          <w:sz w:val="24"/>
          <w:szCs w:val="24"/>
          <w:lang w:val="nl-BE"/>
        </w:rPr>
        <w:t xml:space="preserve">beperkte categorie van </w:t>
      </w:r>
      <w:r w:rsidRPr="005B01D2">
        <w:rPr>
          <w:rFonts w:ascii="Times New Roman" w:hAnsi="Times New Roman"/>
          <w:sz w:val="24"/>
          <w:szCs w:val="24"/>
          <w:lang w:val="nl-BE"/>
        </w:rPr>
        <w:t>interparlementaire samenwerkingsakkoorden in de aangelegenheden die tot de prerogatieven van de wetgever behoren.</w:t>
      </w:r>
      <w:r w:rsidR="00A8482E" w:rsidRPr="005B01D2">
        <w:rPr>
          <w:rStyle w:val="Voetnootmarkering"/>
          <w:rFonts w:ascii="Times New Roman" w:hAnsi="Times New Roman"/>
          <w:sz w:val="24"/>
          <w:szCs w:val="24"/>
          <w:lang w:val="nl-BE"/>
        </w:rPr>
        <w:footnoteReference w:id="55"/>
      </w:r>
      <w:r w:rsidRPr="005B01D2">
        <w:rPr>
          <w:rFonts w:ascii="Times New Roman" w:hAnsi="Times New Roman"/>
          <w:sz w:val="24"/>
          <w:szCs w:val="24"/>
          <w:lang w:val="nl-BE"/>
        </w:rPr>
        <w:t xml:space="preserve"> </w:t>
      </w:r>
      <w:r w:rsidR="00D23B17" w:rsidRPr="005B01D2">
        <w:rPr>
          <w:rFonts w:ascii="Times New Roman" w:hAnsi="Times New Roman"/>
          <w:sz w:val="24"/>
          <w:szCs w:val="24"/>
          <w:lang w:val="nl-BE"/>
        </w:rPr>
        <w:t xml:space="preserve">Zo zien we niet in hoe de term ‘bevoegde overheid’ in het licht van de Belgische </w:t>
      </w:r>
      <w:r w:rsidR="00D23B17" w:rsidRPr="005B01D2">
        <w:rPr>
          <w:rFonts w:ascii="Times New Roman" w:eastAsia="Times New Roman" w:hAnsi="Times New Roman"/>
          <w:sz w:val="24"/>
          <w:szCs w:val="24"/>
          <w:lang w:val="nl-BE" w:eastAsia="en-GB"/>
        </w:rPr>
        <w:t>beginselen die de verhouding tussen de wetgevende en de uitvoerende macht regelen</w:t>
      </w:r>
      <w:r w:rsidR="00A8482E" w:rsidRPr="005B01D2">
        <w:rPr>
          <w:rStyle w:val="Voetnootmarkering"/>
          <w:rFonts w:ascii="Times New Roman" w:eastAsia="Times New Roman" w:hAnsi="Times New Roman"/>
          <w:sz w:val="24"/>
          <w:szCs w:val="24"/>
          <w:lang w:val="nl-BE" w:eastAsia="en-GB"/>
        </w:rPr>
        <w:footnoteReference w:id="56"/>
      </w:r>
      <w:r w:rsidR="00D23B17" w:rsidRPr="005B01D2">
        <w:rPr>
          <w:rFonts w:ascii="Times New Roman" w:eastAsia="Times New Roman" w:hAnsi="Times New Roman"/>
          <w:sz w:val="24"/>
          <w:szCs w:val="24"/>
          <w:lang w:val="nl-BE" w:eastAsia="en-GB"/>
        </w:rPr>
        <w:t xml:space="preserve"> zich er</w:t>
      </w:r>
      <w:r w:rsidR="00A8482E" w:rsidRPr="005B01D2">
        <w:rPr>
          <w:rFonts w:ascii="Times New Roman" w:eastAsia="Times New Roman" w:hAnsi="Times New Roman"/>
          <w:sz w:val="24"/>
          <w:szCs w:val="24"/>
          <w:lang w:val="nl-BE" w:eastAsia="en-GB"/>
        </w:rPr>
        <w:t xml:space="preserve"> bv. </w:t>
      </w:r>
      <w:r w:rsidR="00D23B17" w:rsidRPr="005B01D2">
        <w:rPr>
          <w:rFonts w:ascii="Times New Roman" w:eastAsia="Times New Roman" w:hAnsi="Times New Roman"/>
          <w:sz w:val="24"/>
          <w:szCs w:val="24"/>
          <w:lang w:val="nl-BE" w:eastAsia="en-GB"/>
        </w:rPr>
        <w:t xml:space="preserve">tegen zou verzetten dat analoge instrumenten van parlementaire betrokkenheid zouden worden ingericht </w:t>
      </w:r>
      <w:r w:rsidR="00A8482E" w:rsidRPr="005B01D2">
        <w:rPr>
          <w:rFonts w:ascii="Times New Roman" w:eastAsia="Times New Roman" w:hAnsi="Times New Roman"/>
          <w:sz w:val="24"/>
          <w:szCs w:val="24"/>
          <w:lang w:val="nl-BE" w:eastAsia="en-GB"/>
        </w:rPr>
        <w:t>en toegepast zo</w:t>
      </w:r>
      <w:r w:rsidR="00D23B17" w:rsidRPr="005B01D2">
        <w:rPr>
          <w:rFonts w:ascii="Times New Roman" w:eastAsia="Times New Roman" w:hAnsi="Times New Roman"/>
          <w:sz w:val="24"/>
          <w:szCs w:val="24"/>
          <w:lang w:val="nl-BE" w:eastAsia="en-GB"/>
        </w:rPr>
        <w:t>als voorzien voor gemeenschappelijke decreten</w:t>
      </w:r>
      <w:r w:rsidR="00210376">
        <w:rPr>
          <w:rFonts w:ascii="Times New Roman" w:eastAsia="Times New Roman" w:hAnsi="Times New Roman"/>
          <w:sz w:val="24"/>
          <w:szCs w:val="24"/>
          <w:lang w:val="nl-BE" w:eastAsia="en-GB"/>
        </w:rPr>
        <w:t>, zoals bv. het parlementaire initiatief- en amenderingsrecht</w:t>
      </w:r>
      <w:r w:rsidR="00D23B17" w:rsidRPr="005B01D2">
        <w:rPr>
          <w:rFonts w:ascii="Times New Roman" w:eastAsia="Times New Roman" w:hAnsi="Times New Roman"/>
          <w:sz w:val="24"/>
          <w:szCs w:val="24"/>
          <w:lang w:val="nl-BE" w:eastAsia="en-GB"/>
        </w:rPr>
        <w:t>.</w:t>
      </w:r>
      <w:r w:rsidR="00D23B17" w:rsidRPr="005B01D2">
        <w:rPr>
          <w:rStyle w:val="Voetnootmarkering"/>
          <w:rFonts w:ascii="Times New Roman" w:eastAsia="Times New Roman" w:hAnsi="Times New Roman"/>
          <w:sz w:val="24"/>
          <w:szCs w:val="24"/>
          <w:lang w:val="nl-BE" w:eastAsia="en-GB"/>
        </w:rPr>
        <w:footnoteReference w:id="57"/>
      </w:r>
      <w:r w:rsidR="00D23B17" w:rsidRPr="005B01D2">
        <w:rPr>
          <w:rFonts w:ascii="Times New Roman" w:eastAsia="Times New Roman" w:hAnsi="Times New Roman"/>
          <w:sz w:val="24"/>
          <w:szCs w:val="24"/>
          <w:lang w:val="nl-BE" w:eastAsia="en-GB"/>
        </w:rPr>
        <w:t xml:space="preserve"> </w:t>
      </w:r>
    </w:p>
    <w:p w14:paraId="16F64E5F" w14:textId="77777777" w:rsidR="00D23B17" w:rsidRPr="005B01D2" w:rsidRDefault="00D23B17">
      <w:pPr>
        <w:pStyle w:val="Normaalweb"/>
        <w:spacing w:before="2" w:after="2"/>
        <w:rPr>
          <w:rFonts w:ascii="Times New Roman" w:eastAsia="Times New Roman" w:hAnsi="Times New Roman"/>
          <w:sz w:val="24"/>
          <w:szCs w:val="24"/>
          <w:lang w:val="nl-BE" w:eastAsia="en-GB"/>
        </w:rPr>
      </w:pPr>
    </w:p>
    <w:p w14:paraId="02294970" w14:textId="305EECF8" w:rsidR="00A8482E" w:rsidRPr="005B01D2" w:rsidRDefault="00A8482E">
      <w:pPr>
        <w:pStyle w:val="Normaalweb"/>
        <w:spacing w:before="2" w:after="2"/>
        <w:rPr>
          <w:rFonts w:ascii="Times New Roman" w:eastAsia="Times New Roman" w:hAnsi="Times New Roman"/>
          <w:sz w:val="24"/>
          <w:szCs w:val="24"/>
          <w:lang w:val="nl-BE" w:eastAsia="en-GB"/>
        </w:rPr>
      </w:pPr>
      <w:r w:rsidRPr="005B01D2">
        <w:rPr>
          <w:rFonts w:ascii="Times New Roman" w:eastAsia="Times New Roman" w:hAnsi="Times New Roman"/>
          <w:sz w:val="24"/>
          <w:szCs w:val="24"/>
          <w:lang w:val="nl-BE" w:eastAsia="en-GB"/>
        </w:rPr>
        <w:t>De bijzondere wet verzet zich er al helemaal niet tegen dat de mogelijkheid tot het sluiten van uitvoerende samenwerkingsakkoorden afhankelijk zou worden gemaakt van een procedure van parlementaire controle of betrokkenheid</w:t>
      </w:r>
      <w:r w:rsidR="00232416">
        <w:rPr>
          <w:rFonts w:ascii="Times New Roman" w:eastAsia="Times New Roman" w:hAnsi="Times New Roman"/>
          <w:sz w:val="24"/>
          <w:szCs w:val="24"/>
          <w:lang w:val="nl-BE" w:eastAsia="en-GB"/>
        </w:rPr>
        <w:t>. In elk geval rust er op het parlement de verplichting om zelf de essentiële elementen van de gedelegeerde aangelegenheid zelf te bepalen.</w:t>
      </w:r>
      <w:r w:rsidRPr="005B01D2">
        <w:rPr>
          <w:rStyle w:val="Voetnootmarkering"/>
          <w:rFonts w:ascii="Times New Roman" w:eastAsia="Times New Roman" w:hAnsi="Times New Roman"/>
          <w:sz w:val="24"/>
          <w:szCs w:val="24"/>
          <w:lang w:val="nl-BE" w:eastAsia="en-GB"/>
        </w:rPr>
        <w:footnoteReference w:id="58"/>
      </w:r>
      <w:r w:rsidRPr="005B01D2">
        <w:rPr>
          <w:rFonts w:ascii="Times New Roman" w:eastAsia="Times New Roman" w:hAnsi="Times New Roman"/>
          <w:sz w:val="24"/>
          <w:szCs w:val="24"/>
          <w:lang w:val="nl-BE" w:eastAsia="en-GB"/>
        </w:rPr>
        <w:t xml:space="preserve"> </w:t>
      </w:r>
      <w:r w:rsidR="00232416">
        <w:rPr>
          <w:rFonts w:ascii="Times New Roman" w:eastAsia="Times New Roman" w:hAnsi="Times New Roman"/>
          <w:sz w:val="24"/>
          <w:szCs w:val="24"/>
          <w:lang w:val="nl-BE" w:eastAsia="en-GB"/>
        </w:rPr>
        <w:t xml:space="preserve">Niets belet dat het aannemen van uitvoerende samenwerkingsakkoorden afhankelijk zou worden gesteld van parlementaire controle-instrumenten die worden gehanteerd bij andere gedelegeerde handelingen, </w:t>
      </w:r>
      <w:r w:rsidRPr="005B01D2">
        <w:rPr>
          <w:rFonts w:ascii="Times New Roman" w:eastAsia="Times New Roman" w:hAnsi="Times New Roman"/>
          <w:sz w:val="24"/>
          <w:szCs w:val="24"/>
          <w:lang w:val="nl-BE" w:eastAsia="en-GB"/>
        </w:rPr>
        <w:t xml:space="preserve">zoals bv. de in Nederland toegepaste voorhang- of </w:t>
      </w:r>
      <w:proofErr w:type="spellStart"/>
      <w:r w:rsidRPr="005B01D2">
        <w:rPr>
          <w:rFonts w:ascii="Times New Roman" w:eastAsia="Times New Roman" w:hAnsi="Times New Roman"/>
          <w:sz w:val="24"/>
          <w:szCs w:val="24"/>
          <w:lang w:val="nl-BE" w:eastAsia="en-GB"/>
        </w:rPr>
        <w:t>nahangprocedures</w:t>
      </w:r>
      <w:proofErr w:type="spellEnd"/>
      <w:r w:rsidRPr="005B01D2">
        <w:rPr>
          <w:rStyle w:val="Voetnootmarkering"/>
          <w:rFonts w:ascii="Times New Roman" w:hAnsi="Times New Roman"/>
          <w:sz w:val="24"/>
          <w:szCs w:val="24"/>
          <w:lang w:val="nl-BE"/>
        </w:rPr>
        <w:footnoteReference w:id="59"/>
      </w:r>
      <w:r w:rsidRPr="005B01D2">
        <w:rPr>
          <w:rFonts w:ascii="Times New Roman" w:eastAsia="Times New Roman" w:hAnsi="Times New Roman"/>
          <w:sz w:val="24"/>
          <w:szCs w:val="24"/>
          <w:lang w:val="nl-BE" w:eastAsia="en-GB"/>
        </w:rPr>
        <w:t xml:space="preserve">, of de op Europees niveau </w:t>
      </w:r>
      <w:r w:rsidR="00CB3B7F" w:rsidRPr="005B01D2">
        <w:rPr>
          <w:rFonts w:ascii="Times New Roman" w:eastAsia="Times New Roman" w:hAnsi="Times New Roman"/>
          <w:sz w:val="24"/>
          <w:szCs w:val="24"/>
          <w:lang w:val="nl-BE" w:eastAsia="en-GB"/>
        </w:rPr>
        <w:t xml:space="preserve">voor gedelegeerde handelingen </w:t>
      </w:r>
      <w:r w:rsidRPr="005B01D2">
        <w:rPr>
          <w:rFonts w:ascii="Times New Roman" w:eastAsia="Times New Roman" w:hAnsi="Times New Roman"/>
          <w:sz w:val="24"/>
          <w:szCs w:val="24"/>
          <w:lang w:val="nl-BE" w:eastAsia="en-GB"/>
        </w:rPr>
        <w:t xml:space="preserve">toegepaste procedures van intrekking van delegatie of </w:t>
      </w:r>
      <w:r w:rsidR="00B80034" w:rsidRPr="005B01D2">
        <w:rPr>
          <w:rFonts w:ascii="Times New Roman" w:eastAsia="Times New Roman" w:hAnsi="Times New Roman"/>
          <w:sz w:val="24"/>
          <w:szCs w:val="24"/>
          <w:lang w:val="nl-BE" w:eastAsia="en-GB"/>
        </w:rPr>
        <w:t xml:space="preserve">van </w:t>
      </w:r>
      <w:r w:rsidR="00CB3B7F" w:rsidRPr="005B01D2">
        <w:rPr>
          <w:rFonts w:ascii="Times New Roman" w:eastAsia="Times New Roman" w:hAnsi="Times New Roman"/>
          <w:sz w:val="24"/>
          <w:szCs w:val="24"/>
          <w:lang w:val="nl-BE" w:eastAsia="en-GB"/>
        </w:rPr>
        <w:t>bezwaar tegen de ontworpen handeling</w:t>
      </w:r>
      <w:r w:rsidRPr="005B01D2">
        <w:rPr>
          <w:rFonts w:ascii="Times New Roman" w:eastAsia="Times New Roman" w:hAnsi="Times New Roman"/>
          <w:sz w:val="24"/>
          <w:szCs w:val="24"/>
          <w:lang w:val="nl-BE" w:eastAsia="en-GB"/>
        </w:rPr>
        <w:t>.</w:t>
      </w:r>
      <w:r w:rsidRPr="005B01D2">
        <w:rPr>
          <w:rStyle w:val="Voetnootmarkering"/>
          <w:rFonts w:ascii="Times New Roman" w:eastAsia="Times New Roman" w:hAnsi="Times New Roman"/>
          <w:sz w:val="24"/>
          <w:szCs w:val="24"/>
          <w:lang w:val="nl-BE" w:eastAsia="en-GB"/>
        </w:rPr>
        <w:footnoteReference w:id="60"/>
      </w:r>
      <w:r w:rsidR="00210376">
        <w:rPr>
          <w:rFonts w:ascii="Times New Roman" w:eastAsia="Times New Roman" w:hAnsi="Times New Roman"/>
          <w:sz w:val="24"/>
          <w:szCs w:val="24"/>
          <w:lang w:val="nl-BE" w:eastAsia="en-GB"/>
        </w:rPr>
        <w:t xml:space="preserve"> </w:t>
      </w:r>
    </w:p>
    <w:p w14:paraId="04F306A3" w14:textId="77777777" w:rsidR="00D23B17" w:rsidRPr="005B01D2" w:rsidRDefault="00D23B17">
      <w:pPr>
        <w:pStyle w:val="Normaalweb"/>
        <w:spacing w:before="2" w:after="2"/>
        <w:rPr>
          <w:rFonts w:ascii="Times New Roman" w:eastAsia="Times New Roman" w:hAnsi="Times New Roman"/>
          <w:sz w:val="24"/>
          <w:szCs w:val="24"/>
          <w:lang w:val="nl-BE" w:eastAsia="en-GB"/>
        </w:rPr>
      </w:pPr>
    </w:p>
    <w:p w14:paraId="7A52507D" w14:textId="44B5A675" w:rsidR="00905809" w:rsidRPr="005B01D2" w:rsidRDefault="00A8482E" w:rsidP="00F9665E">
      <w:pPr>
        <w:jc w:val="both"/>
        <w:rPr>
          <w:lang w:val="nl-BE"/>
        </w:rPr>
      </w:pPr>
      <w:r w:rsidRPr="005B01D2">
        <w:rPr>
          <w:lang w:val="nl-BE"/>
        </w:rPr>
        <w:t>11.</w:t>
      </w:r>
      <w:r w:rsidRPr="005B01D2">
        <w:rPr>
          <w:lang w:val="nl-BE"/>
        </w:rPr>
        <w:tab/>
      </w:r>
      <w:r w:rsidR="00B80034" w:rsidRPr="005B01D2">
        <w:rPr>
          <w:lang w:val="nl-BE"/>
        </w:rPr>
        <w:t xml:space="preserve">Dat gezegd zijnde, de huidige rol van de parlementen in de totstandkoming van samenwerkingsakkoorden, in de vorm van interparlementaire samenwerkingsakkoorden, </w:t>
      </w:r>
      <w:r w:rsidR="006B3527">
        <w:rPr>
          <w:lang w:val="nl-BE"/>
        </w:rPr>
        <w:t xml:space="preserve">verschilt op zich niet </w:t>
      </w:r>
      <w:r w:rsidR="00210376">
        <w:rPr>
          <w:lang w:val="nl-BE"/>
        </w:rPr>
        <w:t xml:space="preserve">zoveel </w:t>
      </w:r>
      <w:r w:rsidR="006B3527">
        <w:rPr>
          <w:lang w:val="nl-BE"/>
        </w:rPr>
        <w:t xml:space="preserve">met hun rol in de totstandkoming van </w:t>
      </w:r>
      <w:r w:rsidR="00B80034" w:rsidRPr="005B01D2">
        <w:rPr>
          <w:lang w:val="nl-BE"/>
        </w:rPr>
        <w:t xml:space="preserve">verdragen. </w:t>
      </w:r>
      <w:r w:rsidR="00CB3B7F" w:rsidRPr="005B01D2">
        <w:rPr>
          <w:lang w:val="nl-BE"/>
        </w:rPr>
        <w:t xml:space="preserve">Binnen zijn eigen prerogatieven, beschikt elk parlement overigens niet enkel over de mogelijkheid om interparlementaire samenwerkingsakkoorden te sluiten, maar ook om </w:t>
      </w:r>
      <w:r w:rsidR="00A87036" w:rsidRPr="00A87036">
        <w:rPr>
          <w:lang w:val="nl-BE"/>
        </w:rPr>
        <w:t>grensoverschrijdende betrekkingen</w:t>
      </w:r>
      <w:r w:rsidR="00CB3B7F" w:rsidRPr="005B01D2">
        <w:rPr>
          <w:lang w:val="nl-BE"/>
        </w:rPr>
        <w:t xml:space="preserve"> aan te gaan, en </w:t>
      </w:r>
      <w:r w:rsidRPr="005B01D2">
        <w:rPr>
          <w:lang w:val="nl-BE"/>
        </w:rPr>
        <w:t xml:space="preserve">hierbij </w:t>
      </w:r>
      <w:r w:rsidR="003D2657" w:rsidRPr="005B01D2">
        <w:rPr>
          <w:lang w:val="nl-BE"/>
        </w:rPr>
        <w:t>‘</w:t>
      </w:r>
      <w:r w:rsidRPr="005B01D2">
        <w:rPr>
          <w:lang w:val="nl-BE"/>
        </w:rPr>
        <w:t>akkoorden</w:t>
      </w:r>
      <w:r w:rsidR="003D2657" w:rsidRPr="005B01D2">
        <w:rPr>
          <w:lang w:val="nl-BE"/>
        </w:rPr>
        <w:t>’</w:t>
      </w:r>
      <w:r w:rsidRPr="005B01D2">
        <w:rPr>
          <w:lang w:val="nl-BE"/>
        </w:rPr>
        <w:t xml:space="preserve"> </w:t>
      </w:r>
      <w:r w:rsidR="00CB3B7F" w:rsidRPr="005B01D2">
        <w:rPr>
          <w:lang w:val="nl-BE"/>
        </w:rPr>
        <w:t xml:space="preserve">te </w:t>
      </w:r>
      <w:r w:rsidRPr="005B01D2">
        <w:rPr>
          <w:lang w:val="nl-BE"/>
        </w:rPr>
        <w:t>sluiten.</w:t>
      </w:r>
      <w:r w:rsidR="00E40AA3" w:rsidRPr="005B01D2">
        <w:rPr>
          <w:rStyle w:val="Voetnootmarkering"/>
          <w:lang w:val="nl-BE"/>
        </w:rPr>
        <w:footnoteReference w:id="61"/>
      </w:r>
      <w:r w:rsidRPr="005B01D2">
        <w:rPr>
          <w:lang w:val="nl-BE"/>
        </w:rPr>
        <w:t xml:space="preserve"> </w:t>
      </w:r>
    </w:p>
    <w:p w14:paraId="42E6C1DD" w14:textId="77777777" w:rsidR="00A8482E" w:rsidRPr="005B01D2" w:rsidRDefault="00A8482E" w:rsidP="00F9665E">
      <w:pPr>
        <w:jc w:val="both"/>
        <w:rPr>
          <w:lang w:val="nl-BE"/>
        </w:rPr>
      </w:pPr>
    </w:p>
    <w:p w14:paraId="29A80C96" w14:textId="77777777" w:rsidR="00DE57FD" w:rsidRPr="005B01D2" w:rsidRDefault="00A8482E" w:rsidP="00F9665E">
      <w:pPr>
        <w:jc w:val="both"/>
        <w:rPr>
          <w:lang w:val="nl-BE"/>
        </w:rPr>
      </w:pPr>
      <w:r w:rsidRPr="005B01D2">
        <w:rPr>
          <w:lang w:val="nl-BE"/>
        </w:rPr>
        <w:t xml:space="preserve">12. </w:t>
      </w:r>
      <w:r w:rsidRPr="005B01D2">
        <w:rPr>
          <w:lang w:val="nl-BE"/>
        </w:rPr>
        <w:tab/>
        <w:t xml:space="preserve">Na een vergelijking van de institutionele aspecten, komen we toe aan de meer technische aspecten van de totstandkoming en sluiting van samenwerkingsakkoorden ten opzichte van verdragen. </w:t>
      </w:r>
    </w:p>
    <w:p w14:paraId="2EF78D0B" w14:textId="77777777" w:rsidR="00DE57FD" w:rsidRPr="005B01D2" w:rsidRDefault="00DE57FD" w:rsidP="00F9665E">
      <w:pPr>
        <w:jc w:val="both"/>
        <w:rPr>
          <w:lang w:val="nl-BE"/>
        </w:rPr>
      </w:pPr>
    </w:p>
    <w:p w14:paraId="69EA9B76" w14:textId="77777777" w:rsidR="00B80034" w:rsidRPr="005B01D2" w:rsidRDefault="00A8482E" w:rsidP="00AB2E0C">
      <w:pPr>
        <w:jc w:val="both"/>
        <w:rPr>
          <w:lang w:val="nl-BE"/>
        </w:rPr>
      </w:pPr>
      <w:r w:rsidRPr="005B01D2">
        <w:rPr>
          <w:lang w:val="nl-BE"/>
        </w:rPr>
        <w:t>Voor wat betreft samenwerkingsakkoorden gebeurt de</w:t>
      </w:r>
      <w:r w:rsidRPr="005B01D2">
        <w:rPr>
          <w:b/>
          <w:lang w:val="nl-BE"/>
        </w:rPr>
        <w:t xml:space="preserve"> </w:t>
      </w:r>
      <w:r w:rsidR="00A87036" w:rsidRPr="00A87036">
        <w:rPr>
          <w:lang w:val="nl-BE"/>
        </w:rPr>
        <w:t>authentificatie</w:t>
      </w:r>
      <w:r w:rsidRPr="005B01D2">
        <w:rPr>
          <w:lang w:val="nl-BE"/>
        </w:rPr>
        <w:t xml:space="preserve"> door de laatste ondertekening van het samenwerkingsakkoord.</w:t>
      </w:r>
      <w:r w:rsidRPr="005B01D2">
        <w:rPr>
          <w:rStyle w:val="Voetnootmarkering"/>
          <w:lang w:val="nl-BE"/>
        </w:rPr>
        <w:footnoteReference w:id="62"/>
      </w:r>
      <w:r w:rsidRPr="005B01D2">
        <w:rPr>
          <w:lang w:val="nl-BE"/>
        </w:rPr>
        <w:t xml:space="preserve"> </w:t>
      </w:r>
    </w:p>
    <w:p w14:paraId="685AEE1C" w14:textId="77777777" w:rsidR="00B80034" w:rsidRPr="005B01D2" w:rsidRDefault="00B80034" w:rsidP="00AB2E0C">
      <w:pPr>
        <w:jc w:val="both"/>
        <w:rPr>
          <w:lang w:val="nl-BE"/>
        </w:rPr>
      </w:pPr>
    </w:p>
    <w:p w14:paraId="036D85C3" w14:textId="77777777" w:rsidR="00B55E4A" w:rsidRPr="005B01D2" w:rsidRDefault="00A8482E" w:rsidP="00F9665E">
      <w:pPr>
        <w:jc w:val="both"/>
        <w:rPr>
          <w:lang w:val="nl-BE"/>
        </w:rPr>
      </w:pPr>
      <w:r w:rsidRPr="005B01D2">
        <w:rPr>
          <w:lang w:val="nl-BE"/>
        </w:rPr>
        <w:t>Dit samenwerkingsakkoord dient overigens te zijn opgesteld in alle authentieke talen van de partijen erbij.</w:t>
      </w:r>
      <w:r w:rsidRPr="005B01D2">
        <w:rPr>
          <w:rStyle w:val="Voetnootmarkering"/>
          <w:lang w:val="nl-BE"/>
        </w:rPr>
        <w:footnoteReference w:id="63"/>
      </w:r>
      <w:r w:rsidRPr="005B01D2">
        <w:rPr>
          <w:lang w:val="nl-BE"/>
        </w:rPr>
        <w:t xml:space="preserve"> </w:t>
      </w:r>
      <w:r w:rsidR="00CB3B7F" w:rsidRPr="005B01D2">
        <w:rPr>
          <w:lang w:val="nl-BE"/>
        </w:rPr>
        <w:t>Bij verdragen is dit niet noodza</w:t>
      </w:r>
      <w:r w:rsidR="000D33E4" w:rsidRPr="005B01D2">
        <w:rPr>
          <w:lang w:val="nl-BE"/>
        </w:rPr>
        <w:t>kelijk het geval. Zo worden multilaterale verdragen enkel opgesteld in de officiële ta</w:t>
      </w:r>
      <w:r w:rsidR="00072E90" w:rsidRPr="005B01D2">
        <w:rPr>
          <w:lang w:val="nl-BE"/>
        </w:rPr>
        <w:t>len</w:t>
      </w:r>
      <w:r w:rsidR="000D33E4" w:rsidRPr="005B01D2">
        <w:rPr>
          <w:lang w:val="nl-BE"/>
        </w:rPr>
        <w:t xml:space="preserve"> van de internationale organisatie in het kader waarvan de onderhandelingen worden gevoerd. </w:t>
      </w:r>
      <w:r w:rsidR="00422449" w:rsidRPr="005B01D2">
        <w:rPr>
          <w:lang w:val="nl-BE"/>
        </w:rPr>
        <w:t>B</w:t>
      </w:r>
      <w:r w:rsidR="000D33E4" w:rsidRPr="005B01D2">
        <w:rPr>
          <w:lang w:val="nl-BE"/>
        </w:rPr>
        <w:t xml:space="preserve">ilaterale verdragen </w:t>
      </w:r>
      <w:r w:rsidR="00422449" w:rsidRPr="005B01D2">
        <w:rPr>
          <w:lang w:val="nl-BE"/>
        </w:rPr>
        <w:t xml:space="preserve">worden wel </w:t>
      </w:r>
      <w:r w:rsidR="000D33E4" w:rsidRPr="005B01D2">
        <w:rPr>
          <w:lang w:val="nl-BE"/>
        </w:rPr>
        <w:t>zoveel mogelijk opgesteld in de taal van alle Belgische partijen</w:t>
      </w:r>
      <w:r w:rsidR="00072E90" w:rsidRPr="005B01D2">
        <w:rPr>
          <w:lang w:val="nl-BE"/>
        </w:rPr>
        <w:t xml:space="preserve"> en zo nodig in een vierde taal voor het partnerland</w:t>
      </w:r>
      <w:r w:rsidR="00CB3B7F" w:rsidRPr="005B01D2">
        <w:rPr>
          <w:lang w:val="nl-BE"/>
        </w:rPr>
        <w:t>.</w:t>
      </w:r>
      <w:r w:rsidR="00CB3B7F" w:rsidRPr="005B01D2">
        <w:rPr>
          <w:rStyle w:val="Voetnootmarkering"/>
          <w:lang w:val="nl-BE"/>
        </w:rPr>
        <w:footnoteReference w:id="64"/>
      </w:r>
      <w:r w:rsidR="00CB3B7F" w:rsidRPr="005B01D2">
        <w:rPr>
          <w:lang w:val="nl-BE"/>
        </w:rPr>
        <w:t xml:space="preserve"> </w:t>
      </w:r>
    </w:p>
    <w:p w14:paraId="1BB1384C" w14:textId="77777777" w:rsidR="00B55E4A" w:rsidRPr="005B01D2" w:rsidRDefault="00B55E4A" w:rsidP="00F9665E">
      <w:pPr>
        <w:jc w:val="both"/>
        <w:rPr>
          <w:lang w:val="nl-BE"/>
        </w:rPr>
      </w:pPr>
    </w:p>
    <w:p w14:paraId="78C986C2" w14:textId="4E02CE57" w:rsidR="00404C28" w:rsidRPr="005B01D2" w:rsidRDefault="00A8482E" w:rsidP="00F9665E">
      <w:pPr>
        <w:jc w:val="both"/>
        <w:rPr>
          <w:lang w:val="nl-BE"/>
        </w:rPr>
      </w:pPr>
      <w:r w:rsidRPr="005B01D2">
        <w:rPr>
          <w:lang w:val="nl-BE"/>
        </w:rPr>
        <w:t xml:space="preserve">De ondertekening van een samenwerkingsakkoord door alle bevoegde ministers kan heel wat voeten in de aarde hebben, en </w:t>
      </w:r>
      <w:r w:rsidR="00B55E4A" w:rsidRPr="005B01D2">
        <w:rPr>
          <w:lang w:val="nl-BE"/>
        </w:rPr>
        <w:t xml:space="preserve">kan soms </w:t>
      </w:r>
      <w:r w:rsidRPr="005B01D2">
        <w:rPr>
          <w:lang w:val="nl-BE"/>
        </w:rPr>
        <w:t>aanleiding geven tot een maanden</w:t>
      </w:r>
      <w:r w:rsidR="006B3527">
        <w:rPr>
          <w:lang w:val="nl-BE"/>
        </w:rPr>
        <w:t>lange</w:t>
      </w:r>
      <w:r w:rsidRPr="005B01D2">
        <w:rPr>
          <w:lang w:val="nl-BE"/>
        </w:rPr>
        <w:t xml:space="preserve"> rondgang van </w:t>
      </w:r>
      <w:r w:rsidR="00CB3B7F" w:rsidRPr="005B01D2">
        <w:rPr>
          <w:lang w:val="nl-BE"/>
        </w:rPr>
        <w:t xml:space="preserve">alle kabinetten van de </w:t>
      </w:r>
      <w:r w:rsidRPr="005B01D2">
        <w:rPr>
          <w:lang w:val="nl-BE"/>
        </w:rPr>
        <w:t xml:space="preserve">verschillende bevoegde </w:t>
      </w:r>
      <w:r w:rsidR="00CB3B7F" w:rsidRPr="005B01D2">
        <w:rPr>
          <w:lang w:val="nl-BE"/>
        </w:rPr>
        <w:t>ministers</w:t>
      </w:r>
      <w:r w:rsidRPr="005B01D2">
        <w:rPr>
          <w:lang w:val="nl-BE"/>
        </w:rPr>
        <w:t xml:space="preserve">. </w:t>
      </w:r>
      <w:r w:rsidR="00B55E4A" w:rsidRPr="005B01D2">
        <w:rPr>
          <w:lang w:val="nl-BE"/>
        </w:rPr>
        <w:t xml:space="preserve">In het licht van deze praktische moeilijkheid, rijst de vraag of de </w:t>
      </w:r>
      <w:r w:rsidRPr="005B01D2">
        <w:rPr>
          <w:lang w:val="nl-BE"/>
        </w:rPr>
        <w:t xml:space="preserve">Raad van State </w:t>
      </w:r>
      <w:r w:rsidR="00B55E4A" w:rsidRPr="005B01D2">
        <w:rPr>
          <w:lang w:val="nl-BE"/>
        </w:rPr>
        <w:t xml:space="preserve">de </w:t>
      </w:r>
      <w:r w:rsidRPr="005B01D2">
        <w:rPr>
          <w:lang w:val="nl-BE"/>
        </w:rPr>
        <w:t xml:space="preserve">mogelijkheid </w:t>
      </w:r>
      <w:r w:rsidR="00B55E4A" w:rsidRPr="005B01D2">
        <w:rPr>
          <w:lang w:val="nl-BE"/>
        </w:rPr>
        <w:t xml:space="preserve">zou </w:t>
      </w:r>
      <w:r w:rsidR="006B3527">
        <w:rPr>
          <w:lang w:val="nl-BE"/>
        </w:rPr>
        <w:t xml:space="preserve">moeten </w:t>
      </w:r>
      <w:r w:rsidRPr="005B01D2">
        <w:rPr>
          <w:lang w:val="nl-BE"/>
        </w:rPr>
        <w:t xml:space="preserve">open laten dat de authentificatie van een </w:t>
      </w:r>
      <w:r w:rsidR="0040541D" w:rsidRPr="005B01D2">
        <w:rPr>
          <w:lang w:val="nl-BE"/>
        </w:rPr>
        <w:t>samenwerkingsakkoord</w:t>
      </w:r>
      <w:r w:rsidRPr="005B01D2">
        <w:rPr>
          <w:lang w:val="nl-BE"/>
        </w:rPr>
        <w:t xml:space="preserve"> </w:t>
      </w:r>
      <w:r w:rsidRPr="00E93D19">
        <w:rPr>
          <w:lang w:val="nl-BE"/>
        </w:rPr>
        <w:t>gebeur</w:t>
      </w:r>
      <w:r w:rsidR="006B3527">
        <w:rPr>
          <w:lang w:val="nl-BE"/>
        </w:rPr>
        <w:t>t</w:t>
      </w:r>
      <w:r w:rsidRPr="005B01D2">
        <w:rPr>
          <w:lang w:val="nl-BE"/>
        </w:rPr>
        <w:t xml:space="preserve"> door het aannemen van de tekst </w:t>
      </w:r>
      <w:r w:rsidR="00B55E4A" w:rsidRPr="005B01D2">
        <w:rPr>
          <w:lang w:val="nl-BE"/>
        </w:rPr>
        <w:t xml:space="preserve">bij beslissing van het </w:t>
      </w:r>
      <w:r w:rsidRPr="005B01D2">
        <w:rPr>
          <w:lang w:val="nl-BE"/>
        </w:rPr>
        <w:t>Overlegcomité.</w:t>
      </w:r>
      <w:r w:rsidRPr="005B01D2">
        <w:rPr>
          <w:rStyle w:val="Voetnootmarkering"/>
          <w:lang w:val="nl-BE"/>
        </w:rPr>
        <w:footnoteReference w:id="65"/>
      </w:r>
      <w:r w:rsidR="000C428C">
        <w:rPr>
          <w:vertAlign w:val="superscript"/>
          <w:lang w:val="nl-BE"/>
        </w:rPr>
        <w:t>-</w:t>
      </w:r>
      <w:r w:rsidR="00EB5D18">
        <w:rPr>
          <w:rStyle w:val="Voetnootmarkering"/>
          <w:lang w:val="nl-BE"/>
        </w:rPr>
        <w:footnoteReference w:id="66"/>
      </w:r>
      <w:r w:rsidR="00CB3B7F" w:rsidRPr="005B01D2">
        <w:rPr>
          <w:lang w:val="nl-BE"/>
        </w:rPr>
        <w:t xml:space="preserve"> </w:t>
      </w:r>
    </w:p>
    <w:p w14:paraId="6643C7CC" w14:textId="77777777" w:rsidR="00B55E4A" w:rsidRPr="005B01D2" w:rsidRDefault="00B55E4A" w:rsidP="00F9665E">
      <w:pPr>
        <w:jc w:val="both"/>
        <w:rPr>
          <w:lang w:val="nl-BE"/>
        </w:rPr>
      </w:pPr>
    </w:p>
    <w:p w14:paraId="5154B8BF" w14:textId="5CB2CCA0" w:rsidR="00A8482E" w:rsidRPr="005B01D2" w:rsidRDefault="00B80034" w:rsidP="00F9665E">
      <w:pPr>
        <w:jc w:val="both"/>
        <w:rPr>
          <w:lang w:val="nl-BE"/>
        </w:rPr>
      </w:pPr>
      <w:r w:rsidRPr="005B01D2">
        <w:rPr>
          <w:lang w:val="nl-BE"/>
        </w:rPr>
        <w:t xml:space="preserve">Behoudens wanneer anders werd afgesproken, </w:t>
      </w:r>
      <w:r w:rsidR="00CB3B7F" w:rsidRPr="005B01D2">
        <w:rPr>
          <w:lang w:val="nl-BE"/>
        </w:rPr>
        <w:t xml:space="preserve">gebeurt de authentificatie van </w:t>
      </w:r>
      <w:r w:rsidRPr="005B01D2">
        <w:rPr>
          <w:lang w:val="nl-BE"/>
        </w:rPr>
        <w:t>een</w:t>
      </w:r>
      <w:r w:rsidR="00CB3B7F" w:rsidRPr="005B01D2">
        <w:rPr>
          <w:lang w:val="nl-BE"/>
        </w:rPr>
        <w:t xml:space="preserve"> verdragstekst door de ondertekening of parafering van de tekst door de vertegenwoordigers van de partijen of door het aannemen van de tekst door middel van de slotakte van de </w:t>
      </w:r>
      <w:r w:rsidR="0040541D" w:rsidRPr="005B01D2">
        <w:rPr>
          <w:lang w:val="nl-BE"/>
        </w:rPr>
        <w:t>intergouvernementele</w:t>
      </w:r>
      <w:r w:rsidR="00B55E4A" w:rsidRPr="005B01D2">
        <w:rPr>
          <w:lang w:val="nl-BE"/>
        </w:rPr>
        <w:t xml:space="preserve"> </w:t>
      </w:r>
      <w:r w:rsidR="00CB3B7F" w:rsidRPr="005B01D2">
        <w:rPr>
          <w:lang w:val="nl-BE"/>
        </w:rPr>
        <w:t>conferentie die de tekst aanneemt, of een beslissing van een internationale organisatie in de schoot waarvan de tekst w</w:t>
      </w:r>
      <w:r w:rsidR="00B55E4A" w:rsidRPr="005B01D2">
        <w:rPr>
          <w:lang w:val="nl-BE"/>
        </w:rPr>
        <w:t>erd</w:t>
      </w:r>
      <w:r w:rsidR="00CB3B7F" w:rsidRPr="005B01D2">
        <w:rPr>
          <w:lang w:val="nl-BE"/>
        </w:rPr>
        <w:t xml:space="preserve"> onderhandeld.</w:t>
      </w:r>
      <w:r w:rsidR="00CB3B7F" w:rsidRPr="005B01D2">
        <w:rPr>
          <w:rStyle w:val="Voetnootmarkering"/>
          <w:lang w:val="nl-BE"/>
        </w:rPr>
        <w:footnoteReference w:id="67"/>
      </w:r>
    </w:p>
    <w:p w14:paraId="3A4056D9" w14:textId="77777777" w:rsidR="00CB3B7F" w:rsidRPr="005B01D2" w:rsidRDefault="00CB3B7F" w:rsidP="00F9665E">
      <w:pPr>
        <w:jc w:val="both"/>
        <w:rPr>
          <w:lang w:val="nl-BE"/>
        </w:rPr>
      </w:pPr>
    </w:p>
    <w:p w14:paraId="6ADB83E3" w14:textId="26863DD1" w:rsidR="00147D68" w:rsidRPr="005B01D2" w:rsidRDefault="00DE57FD" w:rsidP="00F9665E">
      <w:pPr>
        <w:jc w:val="both"/>
        <w:rPr>
          <w:lang w:val="nl-BE"/>
        </w:rPr>
      </w:pPr>
      <w:r w:rsidRPr="005B01D2">
        <w:rPr>
          <w:lang w:val="nl-BE"/>
        </w:rPr>
        <w:t>13.</w:t>
      </w:r>
      <w:r w:rsidRPr="005B01D2">
        <w:rPr>
          <w:lang w:val="nl-BE"/>
        </w:rPr>
        <w:tab/>
      </w:r>
      <w:r w:rsidR="00B80034" w:rsidRPr="005B01D2">
        <w:rPr>
          <w:lang w:val="nl-BE"/>
        </w:rPr>
        <w:t xml:space="preserve">Eens </w:t>
      </w:r>
      <w:r w:rsidR="005E0BC2" w:rsidRPr="005B01D2">
        <w:rPr>
          <w:lang w:val="nl-BE"/>
        </w:rPr>
        <w:t xml:space="preserve">de definitieve, authentieke </w:t>
      </w:r>
      <w:r w:rsidR="000C428C" w:rsidRPr="00B2070B">
        <w:rPr>
          <w:i/>
          <w:iCs/>
          <w:lang w:val="nl-BE"/>
        </w:rPr>
        <w:t>tekst</w:t>
      </w:r>
      <w:r w:rsidR="005E0BC2" w:rsidRPr="005B01D2">
        <w:rPr>
          <w:lang w:val="nl-BE"/>
        </w:rPr>
        <w:t xml:space="preserve"> van het samenwerkingsakkoord of verdrag </w:t>
      </w:r>
      <w:r w:rsidR="00B80034" w:rsidRPr="005B01D2">
        <w:rPr>
          <w:lang w:val="nl-BE"/>
        </w:rPr>
        <w:t xml:space="preserve">is </w:t>
      </w:r>
      <w:r w:rsidR="005E0BC2" w:rsidRPr="005B01D2">
        <w:rPr>
          <w:lang w:val="nl-BE"/>
        </w:rPr>
        <w:t>vastgesteld</w:t>
      </w:r>
      <w:r w:rsidR="00B80034" w:rsidRPr="005B01D2">
        <w:rPr>
          <w:lang w:val="nl-BE"/>
        </w:rPr>
        <w:t xml:space="preserve">, </w:t>
      </w:r>
      <w:r w:rsidR="005E0BC2" w:rsidRPr="005B01D2">
        <w:rPr>
          <w:lang w:val="nl-BE"/>
        </w:rPr>
        <w:t xml:space="preserve">rijst de vraag op welke manier </w:t>
      </w:r>
      <w:r w:rsidR="00B80034" w:rsidRPr="005B01D2">
        <w:rPr>
          <w:lang w:val="nl-BE"/>
        </w:rPr>
        <w:t xml:space="preserve">de </w:t>
      </w:r>
      <w:r w:rsidR="00A72F80">
        <w:rPr>
          <w:i/>
          <w:iCs/>
          <w:lang w:val="nl-BE"/>
        </w:rPr>
        <w:t xml:space="preserve">overeenkomst </w:t>
      </w:r>
      <w:r w:rsidR="00A72F80">
        <w:rPr>
          <w:lang w:val="nl-BE"/>
        </w:rPr>
        <w:t>(</w:t>
      </w:r>
      <w:r w:rsidR="00FB09FB" w:rsidRPr="00E93D19">
        <w:rPr>
          <w:lang w:val="nl-BE"/>
        </w:rPr>
        <w:t>het verdrag of het samenwerkingsakkoord</w:t>
      </w:r>
      <w:r w:rsidR="00A72F80">
        <w:rPr>
          <w:lang w:val="nl-BE"/>
        </w:rPr>
        <w:t>)</w:t>
      </w:r>
      <w:r w:rsidR="00FB09FB" w:rsidRPr="00E93D19">
        <w:rPr>
          <w:lang w:val="nl-BE"/>
        </w:rPr>
        <w:t xml:space="preserve"> </w:t>
      </w:r>
      <w:r w:rsidR="00FB09FB">
        <w:rPr>
          <w:lang w:val="nl-BE"/>
        </w:rPr>
        <w:t>ook formeel wordt</w:t>
      </w:r>
      <w:r w:rsidR="005E0BC2" w:rsidRPr="005B01D2">
        <w:rPr>
          <w:lang w:val="nl-BE"/>
        </w:rPr>
        <w:t xml:space="preserve"> </w:t>
      </w:r>
      <w:r w:rsidR="00A87036" w:rsidRPr="00A87036">
        <w:rPr>
          <w:lang w:val="nl-BE"/>
        </w:rPr>
        <w:t>gesloten</w:t>
      </w:r>
      <w:r w:rsidR="008D2AF1">
        <w:rPr>
          <w:lang w:val="nl-BE"/>
        </w:rPr>
        <w:t>,</w:t>
      </w:r>
      <w:r w:rsidR="00B80034" w:rsidRPr="005B01D2">
        <w:rPr>
          <w:lang w:val="nl-BE"/>
        </w:rPr>
        <w:t xml:space="preserve"> </w:t>
      </w:r>
      <w:r w:rsidR="005E0BC2" w:rsidRPr="005B01D2">
        <w:rPr>
          <w:lang w:val="nl-BE"/>
        </w:rPr>
        <w:t xml:space="preserve">in de zin dat </w:t>
      </w:r>
      <w:r w:rsidR="00430292" w:rsidRPr="005B01D2">
        <w:rPr>
          <w:lang w:val="nl-BE"/>
        </w:rPr>
        <w:t>de partijen</w:t>
      </w:r>
      <w:r w:rsidR="005E0BC2" w:rsidRPr="005B01D2">
        <w:rPr>
          <w:lang w:val="nl-BE"/>
        </w:rPr>
        <w:t xml:space="preserve"> </w:t>
      </w:r>
      <w:r w:rsidR="009E4D87" w:rsidRPr="005B01D2">
        <w:rPr>
          <w:lang w:val="nl-BE"/>
        </w:rPr>
        <w:t xml:space="preserve">hun wilsovereenstemming </w:t>
      </w:r>
      <w:r w:rsidR="005E0BC2" w:rsidRPr="005B01D2">
        <w:rPr>
          <w:lang w:val="nl-BE"/>
        </w:rPr>
        <w:t xml:space="preserve">uitdrukken </w:t>
      </w:r>
      <w:r w:rsidR="009E4D87" w:rsidRPr="005B01D2">
        <w:rPr>
          <w:lang w:val="nl-BE"/>
        </w:rPr>
        <w:t xml:space="preserve">om door het verdrag of het </w:t>
      </w:r>
      <w:r w:rsidR="005E0BC2" w:rsidRPr="005B01D2">
        <w:rPr>
          <w:lang w:val="nl-BE"/>
        </w:rPr>
        <w:t xml:space="preserve">samenwerkingsakkoord </w:t>
      </w:r>
      <w:r w:rsidR="009E4D87" w:rsidRPr="005B01D2">
        <w:rPr>
          <w:lang w:val="nl-BE"/>
        </w:rPr>
        <w:t>te</w:t>
      </w:r>
      <w:r w:rsidR="005E0BC2" w:rsidRPr="005B01D2">
        <w:rPr>
          <w:lang w:val="nl-BE"/>
        </w:rPr>
        <w:t xml:space="preserve"> worden gebonden. </w:t>
      </w:r>
      <w:r w:rsidR="000E228A" w:rsidRPr="005B01D2">
        <w:rPr>
          <w:lang w:val="nl-BE"/>
        </w:rPr>
        <w:t xml:space="preserve">Dit gebeurt in beide gevallen door de wilsovereenstemming van de partijen om door hun overeenkomst </w:t>
      </w:r>
      <w:r w:rsidR="00430292" w:rsidRPr="005B01D2">
        <w:rPr>
          <w:lang w:val="nl-BE"/>
        </w:rPr>
        <w:t xml:space="preserve">te worden </w:t>
      </w:r>
      <w:r w:rsidR="000E228A" w:rsidRPr="005B01D2">
        <w:rPr>
          <w:lang w:val="nl-BE"/>
        </w:rPr>
        <w:t xml:space="preserve">gebonden. De </w:t>
      </w:r>
      <w:r w:rsidR="008D2AF1">
        <w:rPr>
          <w:lang w:val="nl-BE"/>
        </w:rPr>
        <w:t>wil</w:t>
      </w:r>
      <w:r w:rsidR="008D2AF1" w:rsidRPr="005B01D2">
        <w:rPr>
          <w:lang w:val="nl-BE"/>
        </w:rPr>
        <w:t xml:space="preserve"> </w:t>
      </w:r>
      <w:r w:rsidR="006B11B4" w:rsidRPr="005B01D2">
        <w:rPr>
          <w:lang w:val="nl-BE"/>
        </w:rPr>
        <w:t xml:space="preserve">van een partij om door </w:t>
      </w:r>
      <w:r w:rsidR="000E228A" w:rsidRPr="005B01D2">
        <w:rPr>
          <w:lang w:val="nl-BE"/>
        </w:rPr>
        <w:t xml:space="preserve">de overeenkomst </w:t>
      </w:r>
      <w:r w:rsidR="006B11B4" w:rsidRPr="005B01D2">
        <w:rPr>
          <w:lang w:val="nl-BE"/>
        </w:rPr>
        <w:t xml:space="preserve">te worden </w:t>
      </w:r>
      <w:r w:rsidR="000E228A" w:rsidRPr="005B01D2">
        <w:rPr>
          <w:lang w:val="nl-BE"/>
        </w:rPr>
        <w:t>gebonden wordt</w:t>
      </w:r>
      <w:r w:rsidR="008D2AF1">
        <w:rPr>
          <w:lang w:val="nl-BE"/>
        </w:rPr>
        <w:t xml:space="preserve"> bij verdragen en samenwerkingsakkoorden</w:t>
      </w:r>
      <w:r w:rsidR="000E228A" w:rsidRPr="005B01D2">
        <w:rPr>
          <w:lang w:val="nl-BE"/>
        </w:rPr>
        <w:t xml:space="preserve"> </w:t>
      </w:r>
      <w:r w:rsidR="00FB09FB">
        <w:rPr>
          <w:lang w:val="nl-BE"/>
        </w:rPr>
        <w:t>echter</w:t>
      </w:r>
      <w:r w:rsidR="00FB09FB" w:rsidRPr="00E93D19">
        <w:rPr>
          <w:lang w:val="nl-BE"/>
        </w:rPr>
        <w:t xml:space="preserve"> </w:t>
      </w:r>
      <w:r w:rsidR="000E228A" w:rsidRPr="005B01D2">
        <w:rPr>
          <w:lang w:val="nl-BE"/>
        </w:rPr>
        <w:t>op verschillende manieren uitgedrukt.</w:t>
      </w:r>
    </w:p>
    <w:p w14:paraId="19332B37" w14:textId="77777777" w:rsidR="003D2657" w:rsidRPr="005B01D2" w:rsidRDefault="003D2657" w:rsidP="00F9665E">
      <w:pPr>
        <w:jc w:val="both"/>
        <w:rPr>
          <w:lang w:val="nl-BE"/>
        </w:rPr>
      </w:pPr>
    </w:p>
    <w:p w14:paraId="5B0DA0F0" w14:textId="77777777" w:rsidR="005E0BC2" w:rsidRPr="005B01D2" w:rsidRDefault="005E0BC2" w:rsidP="00F9665E">
      <w:pPr>
        <w:jc w:val="both"/>
        <w:rPr>
          <w:lang w:val="nl-BE"/>
        </w:rPr>
      </w:pPr>
      <w:r w:rsidRPr="005B01D2">
        <w:rPr>
          <w:lang w:val="nl-BE"/>
        </w:rPr>
        <w:t xml:space="preserve">Voor bilaterale verdragen gebeurt dit doorgaans door </w:t>
      </w:r>
      <w:r w:rsidR="00181E3E" w:rsidRPr="005B01D2">
        <w:rPr>
          <w:lang w:val="nl-BE"/>
        </w:rPr>
        <w:t>het</w:t>
      </w:r>
      <w:r w:rsidRPr="005B01D2">
        <w:rPr>
          <w:lang w:val="nl-BE"/>
        </w:rPr>
        <w:t xml:space="preserve"> uitwissel</w:t>
      </w:r>
      <w:r w:rsidR="00181E3E" w:rsidRPr="005B01D2">
        <w:rPr>
          <w:lang w:val="nl-BE"/>
        </w:rPr>
        <w:t>en tussen de partijen van een kennisgeving dat de interne grondwettelijke vereisten werden vervuld</w:t>
      </w:r>
      <w:r w:rsidR="00B80034" w:rsidRPr="005B01D2">
        <w:rPr>
          <w:lang w:val="nl-BE"/>
        </w:rPr>
        <w:t>.</w:t>
      </w:r>
      <w:r w:rsidRPr="005B01D2">
        <w:rPr>
          <w:lang w:val="nl-BE"/>
        </w:rPr>
        <w:t xml:space="preserve"> </w:t>
      </w:r>
      <w:r w:rsidR="00B80034" w:rsidRPr="005B01D2">
        <w:rPr>
          <w:lang w:val="nl-BE"/>
        </w:rPr>
        <w:t>V</w:t>
      </w:r>
      <w:r w:rsidRPr="005B01D2">
        <w:rPr>
          <w:lang w:val="nl-BE"/>
        </w:rPr>
        <w:t xml:space="preserve">oor andere verdragen gebeurt dit doorgaans door het neerleggen </w:t>
      </w:r>
      <w:r w:rsidR="00181E3E" w:rsidRPr="005B01D2">
        <w:rPr>
          <w:lang w:val="nl-BE"/>
        </w:rPr>
        <w:t>van een bekrachtigings- of toetredingsoorkonde bij de depositaris van het verdrag</w:t>
      </w:r>
      <w:r w:rsidRPr="005B01D2">
        <w:rPr>
          <w:lang w:val="nl-BE"/>
        </w:rPr>
        <w:t>.</w:t>
      </w:r>
      <w:r w:rsidRPr="005B01D2">
        <w:rPr>
          <w:rStyle w:val="Voetnootmarkering"/>
          <w:lang w:val="nl-BE"/>
        </w:rPr>
        <w:footnoteReference w:id="68"/>
      </w:r>
      <w:r w:rsidRPr="005B01D2">
        <w:rPr>
          <w:lang w:val="nl-BE"/>
        </w:rPr>
        <w:t xml:space="preserve"> </w:t>
      </w:r>
      <w:r w:rsidR="009E4D87" w:rsidRPr="005B01D2">
        <w:rPr>
          <w:lang w:val="nl-BE"/>
        </w:rPr>
        <w:t xml:space="preserve">De bedoeling van deze procedures is </w:t>
      </w:r>
      <w:r w:rsidR="00DA7ABA" w:rsidRPr="005B01D2">
        <w:rPr>
          <w:lang w:val="nl-BE"/>
        </w:rPr>
        <w:t xml:space="preserve">o.m. </w:t>
      </w:r>
      <w:r w:rsidR="009E4D87" w:rsidRPr="005B01D2">
        <w:rPr>
          <w:lang w:val="nl-BE"/>
        </w:rPr>
        <w:t>om toe te laten dat</w:t>
      </w:r>
      <w:r w:rsidR="00BF536E" w:rsidRPr="005B01D2">
        <w:rPr>
          <w:lang w:val="nl-BE"/>
        </w:rPr>
        <w:t xml:space="preserve"> elke staat eerst nog zijn interne procedures </w:t>
      </w:r>
      <w:r w:rsidR="002C4564" w:rsidRPr="005B01D2">
        <w:rPr>
          <w:lang w:val="nl-BE"/>
        </w:rPr>
        <w:t xml:space="preserve">zou kunnen </w:t>
      </w:r>
      <w:r w:rsidR="00BF536E" w:rsidRPr="005B01D2">
        <w:rPr>
          <w:lang w:val="nl-BE"/>
        </w:rPr>
        <w:t>doorlo</w:t>
      </w:r>
      <w:r w:rsidR="00430292" w:rsidRPr="005B01D2">
        <w:rPr>
          <w:lang w:val="nl-BE"/>
        </w:rPr>
        <w:t>pen</w:t>
      </w:r>
      <w:r w:rsidR="00BF536E" w:rsidRPr="005B01D2">
        <w:rPr>
          <w:lang w:val="nl-BE"/>
        </w:rPr>
        <w:t xml:space="preserve"> – </w:t>
      </w:r>
      <w:r w:rsidR="00BF536E" w:rsidRPr="005B01D2">
        <w:rPr>
          <w:lang w:val="nl-BE"/>
        </w:rPr>
        <w:lastRenderedPageBreak/>
        <w:t>waaronder de parlementaire instemmingsprocedure</w:t>
      </w:r>
      <w:r w:rsidR="00DA7ABA" w:rsidRPr="005B01D2">
        <w:rPr>
          <w:lang w:val="nl-BE"/>
        </w:rPr>
        <w:t xml:space="preserve"> </w:t>
      </w:r>
      <w:r w:rsidR="00BF536E" w:rsidRPr="005B01D2">
        <w:rPr>
          <w:lang w:val="nl-BE"/>
        </w:rPr>
        <w:t>–</w:t>
      </w:r>
      <w:r w:rsidR="002C4564" w:rsidRPr="005B01D2">
        <w:rPr>
          <w:lang w:val="nl-BE"/>
        </w:rPr>
        <w:t xml:space="preserve"> </w:t>
      </w:r>
      <w:r w:rsidR="00BF536E" w:rsidRPr="005B01D2">
        <w:rPr>
          <w:lang w:val="nl-BE"/>
        </w:rPr>
        <w:t>vooraleer het zijn wil uitdrukt om do</w:t>
      </w:r>
      <w:r w:rsidR="00B80034" w:rsidRPr="005B01D2">
        <w:rPr>
          <w:lang w:val="nl-BE"/>
        </w:rPr>
        <w:t>o</w:t>
      </w:r>
      <w:r w:rsidR="00BF536E" w:rsidRPr="005B01D2">
        <w:rPr>
          <w:lang w:val="nl-BE"/>
        </w:rPr>
        <w:t xml:space="preserve">r het verdrag </w:t>
      </w:r>
      <w:r w:rsidR="00B80034" w:rsidRPr="005B01D2">
        <w:rPr>
          <w:lang w:val="nl-BE"/>
        </w:rPr>
        <w:t xml:space="preserve">te worden </w:t>
      </w:r>
      <w:r w:rsidR="00BF536E" w:rsidRPr="005B01D2">
        <w:rPr>
          <w:lang w:val="nl-BE"/>
        </w:rPr>
        <w:t>gebonden</w:t>
      </w:r>
      <w:r w:rsidR="009E4D87" w:rsidRPr="005B01D2">
        <w:rPr>
          <w:lang w:val="nl-BE"/>
        </w:rPr>
        <w:t>.</w:t>
      </w:r>
      <w:r w:rsidR="002C4564" w:rsidRPr="005B01D2">
        <w:rPr>
          <w:rStyle w:val="Voetnootmarkering"/>
          <w:lang w:val="nl-BE"/>
        </w:rPr>
        <w:footnoteReference w:id="69"/>
      </w:r>
    </w:p>
    <w:p w14:paraId="34E40DBA" w14:textId="77777777" w:rsidR="005E0BC2" w:rsidRPr="005B01D2" w:rsidRDefault="005E0BC2" w:rsidP="00F9665E">
      <w:pPr>
        <w:jc w:val="both"/>
        <w:rPr>
          <w:lang w:val="nl-BE"/>
        </w:rPr>
      </w:pPr>
    </w:p>
    <w:p w14:paraId="2BC78BB3" w14:textId="176F5900" w:rsidR="00E96531" w:rsidRDefault="00AF0932" w:rsidP="00F9665E">
      <w:pPr>
        <w:jc w:val="both"/>
        <w:rPr>
          <w:lang w:val="nl-NL"/>
        </w:rPr>
      </w:pPr>
      <w:r w:rsidRPr="005B01D2">
        <w:rPr>
          <w:lang w:val="nl-BE"/>
        </w:rPr>
        <w:t xml:space="preserve">Voor samenwerkingsakkoorden die </w:t>
      </w:r>
      <w:r w:rsidR="009E4D87" w:rsidRPr="005B01D2">
        <w:rPr>
          <w:lang w:val="nl-BE"/>
        </w:rPr>
        <w:t>geen</w:t>
      </w:r>
      <w:r w:rsidRPr="005B01D2">
        <w:rPr>
          <w:lang w:val="nl-BE"/>
        </w:rPr>
        <w:t xml:space="preserve"> parlementaire instemming behoeven</w:t>
      </w:r>
      <w:r w:rsidR="00430292" w:rsidRPr="005B01D2">
        <w:rPr>
          <w:lang w:val="nl-BE"/>
        </w:rPr>
        <w:t>,</w:t>
      </w:r>
      <w:r w:rsidRPr="005B01D2">
        <w:rPr>
          <w:lang w:val="nl-BE"/>
        </w:rPr>
        <w:t xml:space="preserve"> gebeurt </w:t>
      </w:r>
      <w:r w:rsidR="00BF536E" w:rsidRPr="005B01D2">
        <w:rPr>
          <w:lang w:val="nl-BE"/>
        </w:rPr>
        <w:t xml:space="preserve">de wilsuitdrukking normaal </w:t>
      </w:r>
      <w:r w:rsidR="009E4D87" w:rsidRPr="005B01D2">
        <w:rPr>
          <w:lang w:val="nl-BE"/>
        </w:rPr>
        <w:t xml:space="preserve">gelijktijdig met de authentificatie, m.n. op het </w:t>
      </w:r>
      <w:r w:rsidRPr="005B01D2">
        <w:rPr>
          <w:lang w:val="nl-BE"/>
        </w:rPr>
        <w:t>ogenblik van de ondertekening</w:t>
      </w:r>
      <w:r w:rsidR="00BF536E" w:rsidRPr="005B01D2">
        <w:rPr>
          <w:lang w:val="nl-BE"/>
        </w:rPr>
        <w:t xml:space="preserve"> (</w:t>
      </w:r>
      <w:r w:rsidR="00BF536E" w:rsidRPr="005B01D2">
        <w:rPr>
          <w:i/>
          <w:lang w:val="nl-BE"/>
        </w:rPr>
        <w:t>supra</w:t>
      </w:r>
      <w:r w:rsidR="00BF536E" w:rsidRPr="005B01D2">
        <w:rPr>
          <w:lang w:val="nl-BE"/>
        </w:rPr>
        <w:t xml:space="preserve"> nr. </w:t>
      </w:r>
      <w:r w:rsidR="000C428C" w:rsidRPr="00B2070B">
        <w:rPr>
          <w:lang w:val="nl-BE"/>
        </w:rPr>
        <w:t>12</w:t>
      </w:r>
      <w:r w:rsidR="00BF536E" w:rsidRPr="005B01D2">
        <w:rPr>
          <w:lang w:val="nl-BE"/>
        </w:rPr>
        <w:t>)</w:t>
      </w:r>
      <w:r w:rsidRPr="005B01D2">
        <w:rPr>
          <w:lang w:val="nl-BE"/>
        </w:rPr>
        <w:t xml:space="preserve">. </w:t>
      </w:r>
      <w:r w:rsidR="009E4D87" w:rsidRPr="005B01D2">
        <w:rPr>
          <w:lang w:val="nl-BE"/>
        </w:rPr>
        <w:t>Dit veronderstel</w:t>
      </w:r>
      <w:r w:rsidR="00EE4A68" w:rsidRPr="005B01D2">
        <w:rPr>
          <w:lang w:val="nl-BE"/>
        </w:rPr>
        <w:t>t</w:t>
      </w:r>
      <w:r w:rsidR="009E4D87" w:rsidRPr="005B01D2">
        <w:rPr>
          <w:lang w:val="nl-BE"/>
        </w:rPr>
        <w:t xml:space="preserve"> </w:t>
      </w:r>
      <w:r w:rsidR="00EE4A68" w:rsidRPr="005B01D2">
        <w:rPr>
          <w:lang w:val="nl-BE"/>
        </w:rPr>
        <w:t xml:space="preserve">natuurlijk </w:t>
      </w:r>
      <w:r w:rsidR="00BF536E" w:rsidRPr="005B01D2">
        <w:rPr>
          <w:lang w:val="nl-BE"/>
        </w:rPr>
        <w:t xml:space="preserve">wel </w:t>
      </w:r>
      <w:r w:rsidR="009E4D87" w:rsidRPr="005B01D2">
        <w:rPr>
          <w:lang w:val="nl-BE"/>
        </w:rPr>
        <w:t xml:space="preserve">dat de betrokken regering </w:t>
      </w:r>
      <w:r w:rsidR="008D2AF1" w:rsidRPr="005B01D2">
        <w:rPr>
          <w:lang w:val="nl-BE"/>
        </w:rPr>
        <w:t xml:space="preserve">voorafgaand aan de ondertekening </w:t>
      </w:r>
      <w:r w:rsidR="003B3696">
        <w:rPr>
          <w:lang w:val="nl-BE"/>
        </w:rPr>
        <w:t>haar</w:t>
      </w:r>
      <w:r w:rsidR="003B3696" w:rsidRPr="00E93D19">
        <w:rPr>
          <w:lang w:val="nl-BE"/>
        </w:rPr>
        <w:t xml:space="preserve"> </w:t>
      </w:r>
      <w:r w:rsidR="009E4D87" w:rsidRPr="005B01D2">
        <w:rPr>
          <w:lang w:val="nl-BE"/>
        </w:rPr>
        <w:t xml:space="preserve">goedkeuring heeft gegeven </w:t>
      </w:r>
      <w:r w:rsidR="003B3696">
        <w:rPr>
          <w:lang w:val="nl-BE"/>
        </w:rPr>
        <w:t>aan</w:t>
      </w:r>
      <w:r w:rsidR="009E4D87" w:rsidRPr="005B01D2">
        <w:rPr>
          <w:lang w:val="nl-BE"/>
        </w:rPr>
        <w:t xml:space="preserve"> het samenwerkingsakkoord en dat de ondertekenende minister</w:t>
      </w:r>
      <w:r w:rsidR="00EE4A68" w:rsidRPr="005B01D2">
        <w:rPr>
          <w:lang w:val="nl-BE"/>
        </w:rPr>
        <w:t xml:space="preserve"> over een afdoende machtiging beschikt om namens zijn regering het samenwerkingsakkoord te </w:t>
      </w:r>
      <w:r w:rsidR="00BF536E" w:rsidRPr="005B01D2">
        <w:rPr>
          <w:lang w:val="nl-BE"/>
        </w:rPr>
        <w:t>ondertekenen</w:t>
      </w:r>
      <w:r w:rsidR="009E4D87" w:rsidRPr="005B01D2">
        <w:rPr>
          <w:lang w:val="nl-BE"/>
        </w:rPr>
        <w:t>.</w:t>
      </w:r>
      <w:r w:rsidR="009E4D87" w:rsidRPr="005B01D2">
        <w:rPr>
          <w:rStyle w:val="Voetnootmarkering"/>
          <w:lang w:val="nl-BE"/>
        </w:rPr>
        <w:footnoteReference w:id="70"/>
      </w:r>
      <w:r w:rsidR="009E4D87" w:rsidRPr="005B01D2">
        <w:rPr>
          <w:vertAlign w:val="superscript"/>
          <w:lang w:val="nl-BE"/>
        </w:rPr>
        <w:t>-</w:t>
      </w:r>
      <w:r w:rsidR="009E4D87" w:rsidRPr="005B01D2">
        <w:rPr>
          <w:rStyle w:val="Voetnootmarkering"/>
          <w:lang w:val="nl-BE"/>
        </w:rPr>
        <w:footnoteReference w:id="71"/>
      </w:r>
      <w:r w:rsidR="009E4D87" w:rsidRPr="005B01D2">
        <w:rPr>
          <w:lang w:val="nl-BE"/>
        </w:rPr>
        <w:t xml:space="preserve"> S</w:t>
      </w:r>
      <w:r w:rsidRPr="005B01D2">
        <w:rPr>
          <w:lang w:val="nl-BE"/>
        </w:rPr>
        <w:t xml:space="preserve">amenwerkingsakkoorden die wel de parlementaire instemming </w:t>
      </w:r>
      <w:r w:rsidR="0056136C" w:rsidRPr="005B01D2">
        <w:rPr>
          <w:lang w:val="nl-BE"/>
        </w:rPr>
        <w:t xml:space="preserve">behoeven, </w:t>
      </w:r>
      <w:r w:rsidR="009E4D87" w:rsidRPr="005B01D2">
        <w:rPr>
          <w:lang w:val="nl-BE"/>
        </w:rPr>
        <w:t xml:space="preserve">worden gesloten door de instemming van </w:t>
      </w:r>
      <w:r w:rsidRPr="005B01D2">
        <w:rPr>
          <w:lang w:val="nl-BE"/>
        </w:rPr>
        <w:t>alle betrokken parlementen</w:t>
      </w:r>
      <w:r w:rsidR="009E4D87" w:rsidRPr="005B01D2">
        <w:rPr>
          <w:lang w:val="nl-BE"/>
        </w:rPr>
        <w:t xml:space="preserve">. </w:t>
      </w:r>
      <w:r w:rsidR="009E4D87" w:rsidRPr="005B01D2">
        <w:rPr>
          <w:lang w:val="fr-BE"/>
        </w:rPr>
        <w:t xml:space="preserve">Of </w:t>
      </w:r>
      <w:proofErr w:type="spellStart"/>
      <w:r w:rsidR="009E4D87" w:rsidRPr="005B01D2">
        <w:rPr>
          <w:lang w:val="fr-BE"/>
        </w:rPr>
        <w:t>zoals</w:t>
      </w:r>
      <w:proofErr w:type="spellEnd"/>
      <w:r w:rsidR="009E4D87" w:rsidRPr="005B01D2">
        <w:rPr>
          <w:lang w:val="fr-BE"/>
        </w:rPr>
        <w:t xml:space="preserve"> de </w:t>
      </w:r>
      <w:proofErr w:type="spellStart"/>
      <w:r w:rsidR="009E4D87" w:rsidRPr="005B01D2">
        <w:rPr>
          <w:lang w:val="fr-BE"/>
        </w:rPr>
        <w:t>Raad</w:t>
      </w:r>
      <w:proofErr w:type="spellEnd"/>
      <w:r w:rsidR="009E4D87" w:rsidRPr="005B01D2">
        <w:rPr>
          <w:lang w:val="fr-BE"/>
        </w:rPr>
        <w:t xml:space="preserve"> van State het </w:t>
      </w:r>
      <w:proofErr w:type="spellStart"/>
      <w:r w:rsidR="009E4D87" w:rsidRPr="005B01D2">
        <w:rPr>
          <w:lang w:val="fr-BE"/>
        </w:rPr>
        <w:t>verwoordt</w:t>
      </w:r>
      <w:proofErr w:type="spellEnd"/>
      <w:r w:rsidR="009E4D87" w:rsidRPr="005B01D2">
        <w:rPr>
          <w:lang w:val="fr-BE"/>
        </w:rPr>
        <w:t xml:space="preserve">: </w:t>
      </w:r>
      <w:r w:rsidRPr="005B01D2">
        <w:rPr>
          <w:lang w:val="fr-BE"/>
        </w:rPr>
        <w:t>“En l’absence de décrets d’assentiment, un accord de coopération conclu par des gouvernements ne peut en effet produire aucun effet”</w:t>
      </w:r>
      <w:r w:rsidR="00B80034" w:rsidRPr="005B01D2">
        <w:rPr>
          <w:lang w:val="fr-BE"/>
        </w:rPr>
        <w:t>.</w:t>
      </w:r>
      <w:r w:rsidR="000818ED" w:rsidRPr="005B01D2">
        <w:rPr>
          <w:rStyle w:val="Voetnootmarkering"/>
          <w:lang w:val="nl-BE"/>
        </w:rPr>
        <w:footnoteReference w:id="72"/>
      </w:r>
      <w:r w:rsidR="000818ED" w:rsidRPr="005B01D2">
        <w:rPr>
          <w:lang w:val="fr-BE"/>
        </w:rPr>
        <w:t xml:space="preserve"> </w:t>
      </w:r>
      <w:r w:rsidR="00B80034" w:rsidRPr="005B01D2">
        <w:rPr>
          <w:lang w:val="nl-NL"/>
        </w:rPr>
        <w:t>O</w:t>
      </w:r>
      <w:r w:rsidR="000818ED" w:rsidRPr="005B01D2">
        <w:rPr>
          <w:lang w:val="nl-NL"/>
        </w:rPr>
        <w:t xml:space="preserve">f met verwijzing naar de parlementaire bespreking : </w:t>
      </w:r>
      <w:r w:rsidR="00C06C08" w:rsidRPr="005B01D2">
        <w:rPr>
          <w:lang w:val="nl-NL"/>
        </w:rPr>
        <w:t>“</w:t>
      </w:r>
      <w:r w:rsidR="000818ED" w:rsidRPr="005B01D2">
        <w:rPr>
          <w:lang w:val="nl-NL"/>
        </w:rPr>
        <w:t xml:space="preserve">dans </w:t>
      </w:r>
      <w:proofErr w:type="spellStart"/>
      <w:r w:rsidR="000818ED" w:rsidRPr="005B01D2">
        <w:rPr>
          <w:lang w:val="nl-NL"/>
        </w:rPr>
        <w:t>ce</w:t>
      </w:r>
      <w:proofErr w:type="spellEnd"/>
      <w:r w:rsidR="000818ED" w:rsidRPr="005B01D2">
        <w:rPr>
          <w:lang w:val="nl-NL"/>
        </w:rPr>
        <w:t xml:space="preserve"> </w:t>
      </w:r>
      <w:proofErr w:type="spellStart"/>
      <w:r w:rsidR="000818ED" w:rsidRPr="005B01D2">
        <w:rPr>
          <w:lang w:val="nl-NL"/>
        </w:rPr>
        <w:t>cas</w:t>
      </w:r>
      <w:proofErr w:type="spellEnd"/>
      <w:r w:rsidR="000818ED" w:rsidRPr="005B01D2">
        <w:rPr>
          <w:lang w:val="nl-NL"/>
        </w:rPr>
        <w:t xml:space="preserve">, </w:t>
      </w:r>
      <w:proofErr w:type="spellStart"/>
      <w:r w:rsidR="000818ED" w:rsidRPr="005B01D2">
        <w:rPr>
          <w:lang w:val="nl-NL"/>
        </w:rPr>
        <w:t>il</w:t>
      </w:r>
      <w:proofErr w:type="spellEnd"/>
      <w:r w:rsidR="000818ED" w:rsidRPr="005B01D2">
        <w:rPr>
          <w:lang w:val="nl-NL"/>
        </w:rPr>
        <w:t xml:space="preserve"> </w:t>
      </w:r>
      <w:proofErr w:type="spellStart"/>
      <w:r w:rsidR="000818ED" w:rsidRPr="005B01D2">
        <w:rPr>
          <w:lang w:val="nl-NL"/>
        </w:rPr>
        <w:t>n’y</w:t>
      </w:r>
      <w:proofErr w:type="spellEnd"/>
      <w:r w:rsidR="000818ED" w:rsidRPr="005B01D2">
        <w:rPr>
          <w:lang w:val="nl-NL"/>
        </w:rPr>
        <w:t xml:space="preserve"> a pas </w:t>
      </w:r>
      <w:proofErr w:type="spellStart"/>
      <w:r w:rsidR="000818ED" w:rsidRPr="005B01D2">
        <w:rPr>
          <w:lang w:val="nl-NL"/>
        </w:rPr>
        <w:t>d’accord</w:t>
      </w:r>
      <w:proofErr w:type="spellEnd"/>
      <w:r w:rsidR="00C06C08" w:rsidRPr="005B01D2">
        <w:rPr>
          <w:lang w:val="nl-NL"/>
        </w:rPr>
        <w:t>”</w:t>
      </w:r>
      <w:r w:rsidR="00B80034" w:rsidRPr="005B01D2">
        <w:rPr>
          <w:lang w:val="nl-NL"/>
        </w:rPr>
        <w:t>.</w:t>
      </w:r>
      <w:r w:rsidR="000818ED" w:rsidRPr="005B01D2">
        <w:rPr>
          <w:rStyle w:val="Voetnootmarkering"/>
          <w:lang w:val="fr-BE"/>
        </w:rPr>
        <w:footnoteReference w:id="73"/>
      </w:r>
      <w:r w:rsidRPr="005B01D2">
        <w:rPr>
          <w:lang w:val="nl-NL"/>
        </w:rPr>
        <w:t xml:space="preserve"> </w:t>
      </w:r>
    </w:p>
    <w:p w14:paraId="417C200E" w14:textId="77777777" w:rsidR="00E96531" w:rsidRDefault="00E96531" w:rsidP="00F9665E">
      <w:pPr>
        <w:jc w:val="both"/>
        <w:rPr>
          <w:lang w:val="nl-NL"/>
        </w:rPr>
      </w:pPr>
    </w:p>
    <w:p w14:paraId="5EDF6665" w14:textId="3B811870" w:rsidR="005A4FB1" w:rsidRPr="005B01D2" w:rsidRDefault="00AF0932" w:rsidP="00F9665E">
      <w:pPr>
        <w:jc w:val="both"/>
        <w:rPr>
          <w:lang w:val="nl-BE"/>
        </w:rPr>
      </w:pPr>
      <w:r w:rsidRPr="005B01D2">
        <w:rPr>
          <w:lang w:val="nl-BE"/>
        </w:rPr>
        <w:t>Samenwerkingsakkoorden verschillen op dit punt grondig van verdragen</w:t>
      </w:r>
      <w:r w:rsidR="009E4D87" w:rsidRPr="005B01D2">
        <w:rPr>
          <w:lang w:val="nl-BE"/>
        </w:rPr>
        <w:t>. T</w:t>
      </w:r>
      <w:r w:rsidRPr="005B01D2">
        <w:rPr>
          <w:lang w:val="nl-BE"/>
        </w:rPr>
        <w:t xml:space="preserve">en eerste, werd het </w:t>
      </w:r>
      <w:r w:rsidR="00B80034" w:rsidRPr="005B01D2">
        <w:rPr>
          <w:lang w:val="nl-BE"/>
        </w:rPr>
        <w:t xml:space="preserve">voor samenwerkingsakkoorden </w:t>
      </w:r>
      <w:r w:rsidRPr="005B01D2">
        <w:rPr>
          <w:lang w:val="nl-BE"/>
        </w:rPr>
        <w:t>niet nodig geacht om in een formeel instrument van kennisgeving tussen de partijen te voorzien</w:t>
      </w:r>
      <w:r w:rsidR="009E4D87" w:rsidRPr="005B01D2">
        <w:rPr>
          <w:lang w:val="nl-BE"/>
        </w:rPr>
        <w:t xml:space="preserve">. </w:t>
      </w:r>
      <w:r w:rsidR="00BF536E" w:rsidRPr="005B01D2">
        <w:rPr>
          <w:lang w:val="nl-BE"/>
        </w:rPr>
        <w:t>Vertrouwde de bijzondere wetgever erop dat partijen elkaar wel tijdig zouden in kennis stellen van de voortgang van het dossier? Of ging hij ervan uit dat ook elke Belgische overheid geacht wordt het Belgisch Staatsblad</w:t>
      </w:r>
      <w:r w:rsidR="00B80034" w:rsidRPr="005B01D2">
        <w:rPr>
          <w:lang w:val="nl-BE"/>
        </w:rPr>
        <w:t xml:space="preserve"> te lezen (</w:t>
      </w:r>
      <w:r w:rsidR="00BF536E" w:rsidRPr="005B01D2">
        <w:rPr>
          <w:lang w:val="nl-BE"/>
        </w:rPr>
        <w:t>waar elke instemmingsakte moet worden bekendgemaakt</w:t>
      </w:r>
      <w:r w:rsidR="00B80034" w:rsidRPr="005B01D2">
        <w:rPr>
          <w:lang w:val="nl-BE"/>
        </w:rPr>
        <w:t xml:space="preserve">, </w:t>
      </w:r>
      <w:r w:rsidR="00BF536E" w:rsidRPr="005B01D2">
        <w:rPr>
          <w:i/>
          <w:lang w:val="nl-BE"/>
        </w:rPr>
        <w:t>infra</w:t>
      </w:r>
      <w:r w:rsidR="00BF536E" w:rsidRPr="005B01D2">
        <w:rPr>
          <w:lang w:val="nl-BE"/>
        </w:rPr>
        <w:t xml:space="preserve"> </w:t>
      </w:r>
      <w:r w:rsidR="000C428C" w:rsidRPr="00B2070B">
        <w:rPr>
          <w:lang w:val="nl-BE"/>
        </w:rPr>
        <w:t>hoofdstuk IX</w:t>
      </w:r>
      <w:r w:rsidR="00BF536E" w:rsidRPr="005B01D2">
        <w:rPr>
          <w:lang w:val="nl-BE"/>
        </w:rPr>
        <w:t xml:space="preserve">)? </w:t>
      </w:r>
      <w:r w:rsidR="009E4D87" w:rsidRPr="005B01D2">
        <w:rPr>
          <w:lang w:val="nl-BE"/>
        </w:rPr>
        <w:t>T</w:t>
      </w:r>
      <w:r w:rsidR="00DE57FD" w:rsidRPr="005B01D2">
        <w:rPr>
          <w:lang w:val="nl-BE"/>
        </w:rPr>
        <w:t xml:space="preserve">en tweede is het juridisch gevolg van </w:t>
      </w:r>
      <w:r w:rsidR="00B80034" w:rsidRPr="005B01D2">
        <w:rPr>
          <w:lang w:val="nl-BE"/>
        </w:rPr>
        <w:t xml:space="preserve">een </w:t>
      </w:r>
      <w:r w:rsidR="00DE57FD" w:rsidRPr="005B01D2">
        <w:rPr>
          <w:i/>
          <w:iCs/>
          <w:lang w:val="nl-BE"/>
        </w:rPr>
        <w:t>niet</w:t>
      </w:r>
      <w:r w:rsidR="00DE57FD" w:rsidRPr="005B01D2">
        <w:rPr>
          <w:lang w:val="nl-BE"/>
        </w:rPr>
        <w:t xml:space="preserve">-instemming </w:t>
      </w:r>
      <w:r w:rsidR="00B80034" w:rsidRPr="005B01D2">
        <w:rPr>
          <w:lang w:val="nl-BE"/>
        </w:rPr>
        <w:t xml:space="preserve">voor samenwerkingsakkoorden </w:t>
      </w:r>
      <w:r w:rsidR="00DE57FD" w:rsidRPr="005B01D2">
        <w:rPr>
          <w:lang w:val="nl-BE"/>
        </w:rPr>
        <w:t xml:space="preserve">veel directer en radicaler. </w:t>
      </w:r>
      <w:r w:rsidR="009E4D87" w:rsidRPr="005B01D2">
        <w:rPr>
          <w:lang w:val="nl-BE"/>
        </w:rPr>
        <w:t xml:space="preserve">Daar waar bij verdragen de niet-instemming tot gevolg heeft dat het verdrag geen werking kan hebben in de </w:t>
      </w:r>
      <w:r w:rsidR="009E4D87" w:rsidRPr="005B01D2">
        <w:rPr>
          <w:i/>
          <w:iCs/>
          <w:lang w:val="nl-BE"/>
        </w:rPr>
        <w:t>Belgische</w:t>
      </w:r>
      <w:r w:rsidR="009E4D87" w:rsidRPr="005B01D2">
        <w:rPr>
          <w:lang w:val="nl-BE"/>
        </w:rPr>
        <w:t xml:space="preserve"> interne rechtsorde, heeft de niet-instemming met een samenwerkingsakkoord (waar dit vereist is) tot gevolg dat deze </w:t>
      </w:r>
      <w:proofErr w:type="spellStart"/>
      <w:r w:rsidR="00BF536E" w:rsidRPr="005B01D2">
        <w:rPr>
          <w:i/>
          <w:iCs/>
          <w:lang w:val="nl-BE"/>
        </w:rPr>
        <w:t>tout</w:t>
      </w:r>
      <w:proofErr w:type="spellEnd"/>
      <w:r w:rsidR="00BF536E" w:rsidRPr="005B01D2">
        <w:rPr>
          <w:i/>
          <w:iCs/>
          <w:lang w:val="nl-BE"/>
        </w:rPr>
        <w:t xml:space="preserve"> court</w:t>
      </w:r>
      <w:r w:rsidR="00BF536E" w:rsidRPr="005B01D2">
        <w:rPr>
          <w:lang w:val="nl-BE"/>
        </w:rPr>
        <w:t xml:space="preserve"> </w:t>
      </w:r>
      <w:r w:rsidR="009E4D87" w:rsidRPr="005B01D2">
        <w:rPr>
          <w:lang w:val="nl-BE"/>
        </w:rPr>
        <w:t>geen effect heeft. Met andere woorden, bij verdragen bestaat wel de kans dat het eens grondig fout zou kunnen lopen: met name, dat België internationaalrechtelijk door het verdrag is verbonden</w:t>
      </w:r>
      <w:r w:rsidR="00B80034" w:rsidRPr="005B01D2">
        <w:rPr>
          <w:lang w:val="nl-BE"/>
        </w:rPr>
        <w:t xml:space="preserve"> (en voor de naleving ervan aansprakelijk kan worden gesteld)</w:t>
      </w:r>
      <w:r w:rsidR="009E4D87" w:rsidRPr="005B01D2">
        <w:rPr>
          <w:lang w:val="nl-BE"/>
        </w:rPr>
        <w:t>, terwijl het verdrag nog niet de vereiste parlementaire instemming heeft verkregen</w:t>
      </w:r>
      <w:r w:rsidR="00600293">
        <w:rPr>
          <w:lang w:val="nl-BE"/>
        </w:rPr>
        <w:t>,</w:t>
      </w:r>
      <w:r w:rsidR="009E4D87" w:rsidRPr="005B01D2">
        <w:rPr>
          <w:rStyle w:val="Voetnootmarkering"/>
          <w:lang w:val="nl-BE"/>
        </w:rPr>
        <w:footnoteReference w:id="74"/>
      </w:r>
      <w:r w:rsidR="00DE57FD" w:rsidRPr="005B01D2">
        <w:rPr>
          <w:lang w:val="nl-BE"/>
        </w:rPr>
        <w:t xml:space="preserve"> </w:t>
      </w:r>
      <w:r w:rsidR="00600293">
        <w:rPr>
          <w:lang w:val="nl-BE"/>
        </w:rPr>
        <w:t xml:space="preserve">of de instemmingsakte ondertussen werd </w:t>
      </w:r>
      <w:r w:rsidR="00600293" w:rsidRPr="003001AC">
        <w:rPr>
          <w:lang w:val="nl-BE"/>
        </w:rPr>
        <w:t>vernietigd.</w:t>
      </w:r>
      <w:r w:rsidR="00600293" w:rsidRPr="003001AC">
        <w:rPr>
          <w:rStyle w:val="Voetnootmarkering"/>
          <w:lang w:val="nl-BE"/>
        </w:rPr>
        <w:footnoteReference w:id="75"/>
      </w:r>
      <w:r w:rsidR="00600293" w:rsidRPr="005B01D2">
        <w:rPr>
          <w:lang w:val="nl-BE"/>
        </w:rPr>
        <w:t xml:space="preserve"> </w:t>
      </w:r>
      <w:r w:rsidR="009E4D87" w:rsidRPr="005B01D2">
        <w:rPr>
          <w:lang w:val="nl-BE"/>
        </w:rPr>
        <w:t xml:space="preserve">Voor samenwerkingsakkoorden </w:t>
      </w:r>
      <w:r w:rsidR="00B80034" w:rsidRPr="005B01D2">
        <w:rPr>
          <w:lang w:val="nl-BE"/>
        </w:rPr>
        <w:t xml:space="preserve">bestaat </w:t>
      </w:r>
      <w:r w:rsidR="008D2AF1">
        <w:rPr>
          <w:lang w:val="nl-BE"/>
        </w:rPr>
        <w:t>dit risico</w:t>
      </w:r>
      <w:r w:rsidR="00B80034" w:rsidRPr="005B01D2">
        <w:rPr>
          <w:lang w:val="nl-BE"/>
        </w:rPr>
        <w:t xml:space="preserve"> niet</w:t>
      </w:r>
      <w:r w:rsidR="008D2AF1">
        <w:rPr>
          <w:lang w:val="nl-BE"/>
        </w:rPr>
        <w:t>,</w:t>
      </w:r>
      <w:r w:rsidR="00B80034" w:rsidRPr="005B01D2">
        <w:rPr>
          <w:lang w:val="nl-BE"/>
        </w:rPr>
        <w:t xml:space="preserve"> </w:t>
      </w:r>
      <w:r w:rsidR="000C428C" w:rsidRPr="00B2070B">
        <w:rPr>
          <w:lang w:val="nl-BE"/>
        </w:rPr>
        <w:t xml:space="preserve"> aangezien het </w:t>
      </w:r>
      <w:r w:rsidR="000C428C" w:rsidRPr="00B2070B">
        <w:rPr>
          <w:lang w:val="nl-BE"/>
        </w:rPr>
        <w:lastRenderedPageBreak/>
        <w:t>samenwerkingsakkoord geen uitwerking heeft bij een gebrek aan instemming</w:t>
      </w:r>
      <w:r w:rsidR="009E4D87" w:rsidRPr="00E93D19">
        <w:rPr>
          <w:lang w:val="nl-BE"/>
        </w:rPr>
        <w:t xml:space="preserve">. </w:t>
      </w:r>
      <w:r w:rsidR="00DE57FD" w:rsidRPr="005B01D2">
        <w:rPr>
          <w:lang w:val="nl-BE"/>
        </w:rPr>
        <w:t xml:space="preserve">In het </w:t>
      </w:r>
      <w:r w:rsidR="0040541D" w:rsidRPr="005B01D2">
        <w:rPr>
          <w:lang w:val="nl-BE"/>
        </w:rPr>
        <w:t>hiernavolgende</w:t>
      </w:r>
      <w:r w:rsidR="00DE57FD" w:rsidRPr="005B01D2">
        <w:rPr>
          <w:lang w:val="nl-BE"/>
        </w:rPr>
        <w:t xml:space="preserve"> hoofdstuk gaan we</w:t>
      </w:r>
      <w:r w:rsidR="009E4D87" w:rsidRPr="005B01D2">
        <w:rPr>
          <w:lang w:val="nl-BE"/>
        </w:rPr>
        <w:t xml:space="preserve"> iets dieper in</w:t>
      </w:r>
      <w:r w:rsidR="00DE57FD" w:rsidRPr="005B01D2">
        <w:rPr>
          <w:lang w:val="nl-BE"/>
        </w:rPr>
        <w:t xml:space="preserve"> op </w:t>
      </w:r>
      <w:r w:rsidR="00FB09FB">
        <w:rPr>
          <w:lang w:val="nl-BE"/>
        </w:rPr>
        <w:t>het</w:t>
      </w:r>
      <w:r w:rsidR="00FB09FB" w:rsidRPr="00E93D19">
        <w:rPr>
          <w:lang w:val="nl-BE"/>
        </w:rPr>
        <w:t xml:space="preserve"> </w:t>
      </w:r>
      <w:r w:rsidR="009E4D87" w:rsidRPr="005B01D2">
        <w:rPr>
          <w:lang w:val="nl-BE"/>
        </w:rPr>
        <w:t xml:space="preserve">vereiste van </w:t>
      </w:r>
      <w:r w:rsidR="00DE57FD" w:rsidRPr="005B01D2">
        <w:rPr>
          <w:lang w:val="nl-BE"/>
        </w:rPr>
        <w:t xml:space="preserve">parlementaire instemming en </w:t>
      </w:r>
      <w:r w:rsidR="006B0288">
        <w:rPr>
          <w:lang w:val="nl-BE"/>
        </w:rPr>
        <w:t>de</w:t>
      </w:r>
      <w:r w:rsidR="006B0288" w:rsidRPr="005B01D2">
        <w:rPr>
          <w:lang w:val="nl-BE"/>
        </w:rPr>
        <w:t xml:space="preserve"> </w:t>
      </w:r>
      <w:r w:rsidR="00DE57FD" w:rsidRPr="005B01D2">
        <w:rPr>
          <w:lang w:val="nl-BE"/>
        </w:rPr>
        <w:t>draagwijdte</w:t>
      </w:r>
      <w:r w:rsidR="006B0288">
        <w:rPr>
          <w:lang w:val="nl-BE"/>
        </w:rPr>
        <w:t xml:space="preserve"> daarvan</w:t>
      </w:r>
      <w:r w:rsidR="00DE57FD" w:rsidRPr="005B01D2">
        <w:rPr>
          <w:lang w:val="nl-BE"/>
        </w:rPr>
        <w:t>.</w:t>
      </w:r>
    </w:p>
    <w:p w14:paraId="3B681CBD" w14:textId="77777777" w:rsidR="009E4D87" w:rsidRPr="005B01D2" w:rsidRDefault="009E4D87" w:rsidP="00F9665E">
      <w:pPr>
        <w:jc w:val="both"/>
        <w:rPr>
          <w:lang w:val="nl-BE"/>
        </w:rPr>
      </w:pPr>
    </w:p>
    <w:p w14:paraId="242355A7" w14:textId="77777777" w:rsidR="009E4D87" w:rsidRPr="005B01D2" w:rsidRDefault="0017775E" w:rsidP="00F9665E">
      <w:pPr>
        <w:pStyle w:val="Kop1"/>
        <w:numPr>
          <w:ilvl w:val="0"/>
          <w:numId w:val="5"/>
        </w:numPr>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Parlementaire instemming</w:t>
      </w:r>
    </w:p>
    <w:p w14:paraId="7A99BD15" w14:textId="77777777" w:rsidR="00391D3B" w:rsidRDefault="00A87036">
      <w:pPr>
        <w:pStyle w:val="Kop2"/>
        <w:numPr>
          <w:ilvl w:val="0"/>
          <w:numId w:val="24"/>
        </w:numPr>
        <w:rPr>
          <w:lang w:val="nl-BE"/>
        </w:rPr>
      </w:pPr>
      <w:r w:rsidRPr="00A87036">
        <w:rPr>
          <w:rFonts w:ascii="Times New Roman" w:hAnsi="Times New Roman" w:cs="Times New Roman"/>
          <w:sz w:val="24"/>
          <w:szCs w:val="24"/>
          <w:lang w:val="nl-BE"/>
        </w:rPr>
        <w:t>Instemmingsvereiste</w:t>
      </w:r>
    </w:p>
    <w:p w14:paraId="76F7D187" w14:textId="77777777" w:rsidR="00B7772E" w:rsidRPr="005B01D2" w:rsidRDefault="00B7772E" w:rsidP="00F9665E">
      <w:pPr>
        <w:jc w:val="both"/>
        <w:rPr>
          <w:lang w:val="nl-BE"/>
        </w:rPr>
      </w:pPr>
    </w:p>
    <w:p w14:paraId="1C2E0E79" w14:textId="722A3648" w:rsidR="00920EA2" w:rsidRPr="005B01D2" w:rsidRDefault="009E4D87">
      <w:pPr>
        <w:jc w:val="both"/>
        <w:rPr>
          <w:lang w:val="nl-BE"/>
        </w:rPr>
      </w:pPr>
      <w:r w:rsidRPr="005B01D2">
        <w:rPr>
          <w:lang w:val="nl-BE"/>
        </w:rPr>
        <w:t xml:space="preserve">14. </w:t>
      </w:r>
      <w:r w:rsidR="00920EA2" w:rsidRPr="005B01D2">
        <w:rPr>
          <w:lang w:val="nl-BE"/>
        </w:rPr>
        <w:tab/>
        <w:t xml:space="preserve">Een samenwerkingsakkoord dat betrekking heeft op </w:t>
      </w:r>
      <w:r w:rsidR="00E35741">
        <w:rPr>
          <w:lang w:val="nl-BE"/>
        </w:rPr>
        <w:t xml:space="preserve">a) </w:t>
      </w:r>
      <w:r w:rsidR="00920EA2" w:rsidRPr="005B01D2">
        <w:rPr>
          <w:lang w:val="nl-BE"/>
        </w:rPr>
        <w:t>aangelegenheden die bij wet, decreet of ordonnantie worden geregeld,</w:t>
      </w:r>
      <w:r w:rsidR="00B86B24" w:rsidRPr="005B01D2">
        <w:rPr>
          <w:rStyle w:val="Voetnootmarkering"/>
          <w:lang w:val="nl-BE"/>
        </w:rPr>
        <w:footnoteReference w:id="76"/>
      </w:r>
      <w:r w:rsidR="00920EA2" w:rsidRPr="005B01D2">
        <w:rPr>
          <w:lang w:val="nl-BE"/>
        </w:rPr>
        <w:t xml:space="preserve"> </w:t>
      </w:r>
      <w:r w:rsidR="00E35741">
        <w:rPr>
          <w:lang w:val="nl-BE"/>
        </w:rPr>
        <w:t xml:space="preserve">b) </w:t>
      </w:r>
      <w:r w:rsidR="00920EA2" w:rsidRPr="005B01D2">
        <w:rPr>
          <w:lang w:val="nl-BE"/>
        </w:rPr>
        <w:t>de federale overheid, de gemeenschappen of gewesten zouden kunnen bezwaren</w:t>
      </w:r>
      <w:r w:rsidR="0056136C" w:rsidRPr="005B01D2">
        <w:rPr>
          <w:rStyle w:val="Voetnootmarkering"/>
          <w:lang w:val="nl-BE"/>
        </w:rPr>
        <w:footnoteReference w:id="77"/>
      </w:r>
      <w:r w:rsidR="00920EA2" w:rsidRPr="005B01D2">
        <w:rPr>
          <w:lang w:val="nl-BE"/>
        </w:rPr>
        <w:t xml:space="preserve"> of </w:t>
      </w:r>
      <w:r w:rsidR="00E35741">
        <w:rPr>
          <w:lang w:val="nl-BE"/>
        </w:rPr>
        <w:t xml:space="preserve">c) </w:t>
      </w:r>
      <w:r w:rsidR="00920EA2" w:rsidRPr="005B01D2">
        <w:rPr>
          <w:lang w:val="nl-BE"/>
        </w:rPr>
        <w:t>Belgen</w:t>
      </w:r>
      <w:r w:rsidR="006431FE" w:rsidRPr="005B01D2">
        <w:rPr>
          <w:rStyle w:val="Voetnootmarkering"/>
          <w:lang w:val="nl-BE"/>
        </w:rPr>
        <w:footnoteReference w:id="78"/>
      </w:r>
      <w:r w:rsidR="00920EA2" w:rsidRPr="005B01D2">
        <w:rPr>
          <w:lang w:val="nl-BE"/>
        </w:rPr>
        <w:t xml:space="preserve"> persoonlijk zouden kunnen verbinden,</w:t>
      </w:r>
      <w:r w:rsidR="0056136C" w:rsidRPr="005B01D2">
        <w:rPr>
          <w:rStyle w:val="Voetnootmarkering"/>
          <w:lang w:val="nl-BE"/>
        </w:rPr>
        <w:footnoteReference w:id="79"/>
      </w:r>
      <w:r w:rsidR="00920EA2" w:rsidRPr="005B01D2">
        <w:rPr>
          <w:lang w:val="nl-BE"/>
        </w:rPr>
        <w:t xml:space="preserve"> dienen de instemming te </w:t>
      </w:r>
      <w:r w:rsidR="00920EA2" w:rsidRPr="00E93D19">
        <w:rPr>
          <w:lang w:val="nl-BE"/>
        </w:rPr>
        <w:t>verk</w:t>
      </w:r>
      <w:r w:rsidR="00F91F71">
        <w:rPr>
          <w:lang w:val="nl-BE"/>
        </w:rPr>
        <w:t>r</w:t>
      </w:r>
      <w:r w:rsidR="00920EA2" w:rsidRPr="00E93D19">
        <w:rPr>
          <w:lang w:val="nl-BE"/>
        </w:rPr>
        <w:t>ijgen</w:t>
      </w:r>
      <w:r w:rsidR="00920EA2" w:rsidRPr="005B01D2">
        <w:rPr>
          <w:lang w:val="nl-BE"/>
        </w:rPr>
        <w:t xml:space="preserve"> van alle bevoegde wetgevers.</w:t>
      </w:r>
      <w:r w:rsidR="00920EA2" w:rsidRPr="005B01D2">
        <w:rPr>
          <w:rStyle w:val="Voetnootmarkering"/>
          <w:lang w:val="nl-BE"/>
        </w:rPr>
        <w:footnoteReference w:id="80"/>
      </w:r>
      <w:r w:rsidR="00920EA2" w:rsidRPr="005B01D2">
        <w:rPr>
          <w:lang w:val="nl-BE"/>
        </w:rPr>
        <w:t xml:space="preserve"> In tegenstelling tot </w:t>
      </w:r>
      <w:r w:rsidR="002A4971" w:rsidRPr="005B01D2">
        <w:rPr>
          <w:lang w:val="nl-BE"/>
        </w:rPr>
        <w:t xml:space="preserve">wat het geval is voor </w:t>
      </w:r>
      <w:r w:rsidR="00920EA2" w:rsidRPr="005B01D2">
        <w:rPr>
          <w:lang w:val="nl-BE"/>
        </w:rPr>
        <w:t>verdragen</w:t>
      </w:r>
      <w:r w:rsidR="002A4971" w:rsidRPr="00E93D19">
        <w:rPr>
          <w:lang w:val="nl-BE"/>
        </w:rPr>
        <w:t>,</w:t>
      </w:r>
      <w:r w:rsidR="004C5754" w:rsidRPr="00E93D19">
        <w:rPr>
          <w:rStyle w:val="Voetnootmarkering"/>
          <w:lang w:val="nl-BE"/>
        </w:rPr>
        <w:footnoteReference w:id="81"/>
      </w:r>
      <w:r w:rsidR="004C5754" w:rsidRPr="00E93D19">
        <w:rPr>
          <w:lang w:val="nl-BE"/>
        </w:rPr>
        <w:t xml:space="preserve"> </w:t>
      </w:r>
      <w:r w:rsidR="00920EA2" w:rsidRPr="005B01D2">
        <w:rPr>
          <w:lang w:val="nl-BE"/>
        </w:rPr>
        <w:t xml:space="preserve">is de </w:t>
      </w:r>
      <w:r w:rsidR="00A87036" w:rsidRPr="00A87036">
        <w:rPr>
          <w:bCs/>
          <w:lang w:val="nl-BE"/>
        </w:rPr>
        <w:t>parlementaire instemming met samenwerkingsakkoorden dus niet in alle gevallen vereist</w:t>
      </w:r>
      <w:r w:rsidR="00920EA2" w:rsidRPr="005B01D2">
        <w:rPr>
          <w:lang w:val="nl-BE"/>
        </w:rPr>
        <w:t>.</w:t>
      </w:r>
      <w:r w:rsidR="002A4971" w:rsidRPr="005B01D2">
        <w:rPr>
          <w:lang w:val="nl-BE"/>
        </w:rPr>
        <w:t xml:space="preserve"> </w:t>
      </w:r>
    </w:p>
    <w:p w14:paraId="2DEDF71F" w14:textId="77777777" w:rsidR="00920EA2" w:rsidRPr="005B01D2" w:rsidRDefault="00920EA2">
      <w:pPr>
        <w:jc w:val="both"/>
        <w:rPr>
          <w:lang w:val="nl-BE"/>
        </w:rPr>
      </w:pPr>
    </w:p>
    <w:p w14:paraId="122CE0F9" w14:textId="7E76D6F9" w:rsidR="00920EA2" w:rsidRPr="005B01D2" w:rsidRDefault="00920EA2">
      <w:pPr>
        <w:jc w:val="both"/>
        <w:rPr>
          <w:lang w:val="nl-BE"/>
        </w:rPr>
      </w:pPr>
      <w:r w:rsidRPr="005B01D2">
        <w:rPr>
          <w:lang w:val="nl-BE"/>
        </w:rPr>
        <w:t xml:space="preserve">Deze regeling voor samenwerkingsakkoorden is </w:t>
      </w:r>
      <w:r w:rsidR="002A4971" w:rsidRPr="005B01D2">
        <w:rPr>
          <w:lang w:val="nl-BE"/>
        </w:rPr>
        <w:t xml:space="preserve">deels </w:t>
      </w:r>
      <w:r w:rsidRPr="005B01D2">
        <w:rPr>
          <w:lang w:val="nl-BE"/>
        </w:rPr>
        <w:t xml:space="preserve">geïnspireerd op het vroegere (oud) artikel 68, tweede lid, van de Grondwet dat destijds de instemming met verdragen regelde, en het vertoont dan ook vergelijkbare gebreken: de regeling </w:t>
      </w:r>
      <w:r w:rsidR="002A4971" w:rsidRPr="005B01D2">
        <w:rPr>
          <w:lang w:val="nl-BE"/>
        </w:rPr>
        <w:t>geeft</w:t>
      </w:r>
      <w:r w:rsidRPr="005B01D2">
        <w:rPr>
          <w:lang w:val="nl-BE"/>
        </w:rPr>
        <w:t xml:space="preserve"> aanleiding tot discussie en onzekerheid. De hoven en rechtbanken stoten dan ook regelmatig op samenwerkingsakkoorden die ten onrechte niet aan het parlement ter instemming werden voorgelegd</w:t>
      </w:r>
      <w:r w:rsidR="002A4971" w:rsidRPr="005B01D2">
        <w:rPr>
          <w:lang w:val="nl-BE"/>
        </w:rPr>
        <w:t>, en waaraan de rechter dan ook geen effect verleent</w:t>
      </w:r>
      <w:r w:rsidRPr="005B01D2">
        <w:rPr>
          <w:lang w:val="nl-BE"/>
        </w:rPr>
        <w:t>.</w:t>
      </w:r>
      <w:r w:rsidRPr="005B01D2">
        <w:rPr>
          <w:rStyle w:val="Voetnootmarkering"/>
        </w:rPr>
        <w:footnoteReference w:id="82"/>
      </w:r>
      <w:r w:rsidRPr="005B01D2">
        <w:rPr>
          <w:lang w:val="nl-BE"/>
        </w:rPr>
        <w:t xml:space="preserve"> </w:t>
      </w:r>
      <w:r w:rsidR="006431FE" w:rsidRPr="005B01D2">
        <w:rPr>
          <w:lang w:val="nl-BE"/>
        </w:rPr>
        <w:t xml:space="preserve">Dat de bijzondere wetgever de oude, gebrekkige tekst van de Grondwet overschreef, terwijl de Grondwetgever de </w:t>
      </w:r>
      <w:r w:rsidRPr="005B01D2">
        <w:rPr>
          <w:lang w:val="nl-BE"/>
        </w:rPr>
        <w:t xml:space="preserve">instemmingsvereiste voor verdragen </w:t>
      </w:r>
      <w:r w:rsidR="006431FE" w:rsidRPr="005B01D2">
        <w:rPr>
          <w:lang w:val="nl-BE"/>
        </w:rPr>
        <w:t xml:space="preserve">aan het bijschaven was, is ongelukkig en </w:t>
      </w:r>
      <w:r w:rsidR="00B80034" w:rsidRPr="005B01D2">
        <w:rPr>
          <w:lang w:val="nl-BE"/>
        </w:rPr>
        <w:t xml:space="preserve">eerder </w:t>
      </w:r>
      <w:r w:rsidR="006431FE" w:rsidRPr="005B01D2">
        <w:rPr>
          <w:lang w:val="nl-BE"/>
        </w:rPr>
        <w:t>ironisch</w:t>
      </w:r>
      <w:r w:rsidRPr="005B01D2">
        <w:rPr>
          <w:lang w:val="nl-BE"/>
        </w:rPr>
        <w:t xml:space="preserve">. </w:t>
      </w:r>
      <w:r w:rsidR="006431FE" w:rsidRPr="005B01D2">
        <w:rPr>
          <w:lang w:val="nl-BE"/>
        </w:rPr>
        <w:t>Het is evenwel c</w:t>
      </w:r>
      <w:r w:rsidRPr="005B01D2">
        <w:rPr>
          <w:lang w:val="nl-BE"/>
        </w:rPr>
        <w:t xml:space="preserve">ynisch </w:t>
      </w:r>
      <w:r w:rsidR="00F11BCC" w:rsidRPr="005B01D2">
        <w:rPr>
          <w:lang w:val="nl-BE"/>
        </w:rPr>
        <w:t>dat</w:t>
      </w:r>
      <w:r w:rsidRPr="005B01D2">
        <w:rPr>
          <w:lang w:val="nl-BE"/>
        </w:rPr>
        <w:t xml:space="preserve"> de bijzondere wetgever</w:t>
      </w:r>
      <w:r w:rsidR="00F11BCC" w:rsidRPr="005B01D2">
        <w:rPr>
          <w:lang w:val="nl-BE"/>
        </w:rPr>
        <w:t xml:space="preserve"> daarna</w:t>
      </w:r>
      <w:r w:rsidRPr="005B01D2">
        <w:rPr>
          <w:lang w:val="nl-BE"/>
        </w:rPr>
        <w:t xml:space="preserve"> niet de moeite </w:t>
      </w:r>
      <w:r w:rsidR="006431FE" w:rsidRPr="005B01D2">
        <w:rPr>
          <w:lang w:val="nl-BE"/>
        </w:rPr>
        <w:t xml:space="preserve">heeft </w:t>
      </w:r>
      <w:r w:rsidRPr="005B01D2">
        <w:rPr>
          <w:lang w:val="nl-BE"/>
        </w:rPr>
        <w:t xml:space="preserve">genomen om zijn tekst bij te schaven </w:t>
      </w:r>
      <w:r w:rsidR="006431FE" w:rsidRPr="005B01D2">
        <w:rPr>
          <w:lang w:val="nl-BE"/>
        </w:rPr>
        <w:t xml:space="preserve">in lijn met </w:t>
      </w:r>
      <w:r w:rsidRPr="005B01D2">
        <w:rPr>
          <w:lang w:val="nl-BE"/>
        </w:rPr>
        <w:t xml:space="preserve">de verbetering die de Grondwetgever </w:t>
      </w:r>
      <w:r w:rsidR="00B80034" w:rsidRPr="005B01D2">
        <w:rPr>
          <w:lang w:val="nl-BE"/>
        </w:rPr>
        <w:t xml:space="preserve">voor verdragen had </w:t>
      </w:r>
      <w:r w:rsidRPr="005B01D2">
        <w:rPr>
          <w:lang w:val="nl-BE"/>
        </w:rPr>
        <w:t xml:space="preserve">aangebracht. </w:t>
      </w:r>
    </w:p>
    <w:p w14:paraId="5EBF6C66" w14:textId="4782CFCF" w:rsidR="00920EA2" w:rsidRPr="005B01D2" w:rsidRDefault="00920EA2">
      <w:pPr>
        <w:jc w:val="both"/>
        <w:rPr>
          <w:lang w:val="nl-BE"/>
        </w:rPr>
      </w:pPr>
      <w:r w:rsidRPr="005B01D2">
        <w:rPr>
          <w:lang w:val="nl-BE"/>
        </w:rPr>
        <w:t>De rechter heeft de criteria waaronder samenwerkingsakkoorden aan de parlementaire instemming moeten worden voorgelegd ruim geïnterpreteerd</w:t>
      </w:r>
      <w:r w:rsidR="00E96531">
        <w:rPr>
          <w:lang w:val="nl-BE"/>
        </w:rPr>
        <w:t>,</w:t>
      </w:r>
      <w:r w:rsidR="006431FE" w:rsidRPr="005B01D2">
        <w:rPr>
          <w:rStyle w:val="Voetnootmarkering"/>
          <w:lang w:val="nl-BE"/>
        </w:rPr>
        <w:footnoteReference w:id="83"/>
      </w:r>
      <w:r w:rsidRPr="005B01D2">
        <w:rPr>
          <w:lang w:val="nl-BE"/>
        </w:rPr>
        <w:t xml:space="preserve"> </w:t>
      </w:r>
      <w:r w:rsidR="00E96531">
        <w:rPr>
          <w:lang w:val="nl-BE"/>
        </w:rPr>
        <w:t>niet enkel om</w:t>
      </w:r>
      <w:r w:rsidRPr="005B01D2">
        <w:rPr>
          <w:lang w:val="nl-BE"/>
        </w:rPr>
        <w:t xml:space="preserve"> de </w:t>
      </w:r>
      <w:r w:rsidRPr="005B01D2">
        <w:rPr>
          <w:lang w:val="nl-BE"/>
        </w:rPr>
        <w:lastRenderedPageBreak/>
        <w:t>democratische controle te waarborgen, maar ook omdat langs die weg het rechtskader en de rechtswaarborgen voor (de totstandkoming van) wetten, decreten en ordonnanties van toepassing</w:t>
      </w:r>
      <w:r w:rsidR="006431FE" w:rsidRPr="005B01D2">
        <w:rPr>
          <w:lang w:val="nl-BE"/>
        </w:rPr>
        <w:t xml:space="preserve"> worden. Op die manier kon </w:t>
      </w:r>
      <w:r w:rsidR="0065101F" w:rsidRPr="005B01D2">
        <w:rPr>
          <w:lang w:val="nl-BE"/>
        </w:rPr>
        <w:t xml:space="preserve">voor </w:t>
      </w:r>
      <w:r w:rsidR="00B80034" w:rsidRPr="005B01D2">
        <w:rPr>
          <w:lang w:val="nl-BE"/>
        </w:rPr>
        <w:t>het</w:t>
      </w:r>
      <w:r w:rsidR="00300D4B">
        <w:rPr>
          <w:lang w:val="nl-BE"/>
        </w:rPr>
        <w:t>,</w:t>
      </w:r>
      <w:r w:rsidR="00B80034" w:rsidRPr="005B01D2">
        <w:rPr>
          <w:lang w:val="nl-BE"/>
        </w:rPr>
        <w:t xml:space="preserve"> door de bijzondere wetgever </w:t>
      </w:r>
      <w:r w:rsidR="006431FE" w:rsidRPr="005B01D2">
        <w:rPr>
          <w:lang w:val="nl-BE"/>
        </w:rPr>
        <w:t>gebrekkig uitgewerkt</w:t>
      </w:r>
      <w:r w:rsidR="00E96531">
        <w:rPr>
          <w:lang w:val="nl-BE"/>
        </w:rPr>
        <w:t>e</w:t>
      </w:r>
      <w:r w:rsidR="00300D4B">
        <w:rPr>
          <w:lang w:val="nl-BE"/>
        </w:rPr>
        <w:t>,</w:t>
      </w:r>
      <w:r w:rsidR="006431FE" w:rsidRPr="005B01D2">
        <w:rPr>
          <w:lang w:val="nl-BE"/>
        </w:rPr>
        <w:t xml:space="preserve"> rechtsinstrument </w:t>
      </w:r>
      <w:r w:rsidR="00B80034" w:rsidRPr="005B01D2">
        <w:rPr>
          <w:lang w:val="nl-BE"/>
        </w:rPr>
        <w:t xml:space="preserve">van samenwerkingsakkoorden </w:t>
      </w:r>
      <w:r w:rsidR="00E96531">
        <w:rPr>
          <w:lang w:val="nl-BE"/>
        </w:rPr>
        <w:t>toch</w:t>
      </w:r>
      <w:r w:rsidR="00E96531" w:rsidRPr="005B01D2">
        <w:rPr>
          <w:lang w:val="nl-BE"/>
        </w:rPr>
        <w:t xml:space="preserve"> </w:t>
      </w:r>
      <w:r w:rsidR="006431FE" w:rsidRPr="005B01D2">
        <w:rPr>
          <w:lang w:val="nl-BE"/>
        </w:rPr>
        <w:t>een minimaal niveau worden gegarandeerd</w:t>
      </w:r>
      <w:r w:rsidR="00F91F71">
        <w:rPr>
          <w:lang w:val="nl-BE"/>
        </w:rPr>
        <w:t xml:space="preserve"> op het vlak van de kwaliteit van de regelgeving </w:t>
      </w:r>
      <w:r w:rsidR="00E96531">
        <w:rPr>
          <w:lang w:val="nl-BE"/>
        </w:rPr>
        <w:t>en</w:t>
      </w:r>
      <w:r w:rsidR="00F91F71">
        <w:rPr>
          <w:lang w:val="nl-BE"/>
        </w:rPr>
        <w:t xml:space="preserve"> de democratische legitimiteit van dat rechtsinstrument</w:t>
      </w:r>
      <w:r w:rsidRPr="005B01D2">
        <w:rPr>
          <w:lang w:val="nl-BE"/>
        </w:rPr>
        <w:t xml:space="preserve">. </w:t>
      </w:r>
    </w:p>
    <w:p w14:paraId="70AE6AE1" w14:textId="77777777" w:rsidR="00920EA2" w:rsidRPr="005B01D2" w:rsidRDefault="00920EA2">
      <w:pPr>
        <w:jc w:val="both"/>
        <w:rPr>
          <w:lang w:val="nl-BE"/>
        </w:rPr>
      </w:pPr>
    </w:p>
    <w:p w14:paraId="6E47342B" w14:textId="77777777" w:rsidR="00920EA2" w:rsidRPr="005B01D2" w:rsidRDefault="00920EA2">
      <w:pPr>
        <w:jc w:val="both"/>
        <w:rPr>
          <w:lang w:val="nl-BE"/>
        </w:rPr>
      </w:pPr>
      <w:r w:rsidRPr="005B01D2">
        <w:rPr>
          <w:lang w:val="nl-BE"/>
        </w:rPr>
        <w:t xml:space="preserve">De meeste samenwerkingsakkoorden vallen dan ook duidelijk onder één van de drie </w:t>
      </w:r>
      <w:r w:rsidR="00F91F71">
        <w:rPr>
          <w:lang w:val="nl-BE"/>
        </w:rPr>
        <w:t xml:space="preserve">hierboven </w:t>
      </w:r>
      <w:r w:rsidR="00133251">
        <w:rPr>
          <w:lang w:val="nl-BE"/>
        </w:rPr>
        <w:t xml:space="preserve">weergegeven </w:t>
      </w:r>
      <w:r w:rsidRPr="005B01D2">
        <w:rPr>
          <w:lang w:val="nl-BE"/>
        </w:rPr>
        <w:t>categorieën</w:t>
      </w:r>
      <w:r w:rsidR="00F91F71">
        <w:rPr>
          <w:lang w:val="nl-BE"/>
        </w:rPr>
        <w:t xml:space="preserve"> van artikel </w:t>
      </w:r>
      <w:r w:rsidR="00F91F71" w:rsidRPr="00F91F71">
        <w:rPr>
          <w:lang w:val="nl-BE"/>
        </w:rPr>
        <w:t>92</w:t>
      </w:r>
      <w:r w:rsidR="00F91F71" w:rsidRPr="00876A38">
        <w:rPr>
          <w:lang w:val="nl-BE"/>
        </w:rPr>
        <w:t>bis</w:t>
      </w:r>
      <w:r w:rsidR="00F91F71">
        <w:rPr>
          <w:lang w:val="nl-BE"/>
        </w:rPr>
        <w:t>, §1, BWHI</w:t>
      </w:r>
      <w:r w:rsidRPr="005B01D2">
        <w:rPr>
          <w:lang w:val="nl-BE"/>
        </w:rPr>
        <w:t xml:space="preserve"> en zullen bijgevolg aan het parlement ter instemming moeten worden voorgelegd. De samenwerkingsakkoorden die niet aan het parlement moeten worden voorgelegd </w:t>
      </w:r>
      <w:r w:rsidR="005946C0" w:rsidRPr="005B01D2">
        <w:rPr>
          <w:lang w:val="nl-BE"/>
        </w:rPr>
        <w:t>(</w:t>
      </w:r>
      <w:r w:rsidR="00275E31" w:rsidRPr="005B01D2">
        <w:rPr>
          <w:lang w:val="nl-BE"/>
        </w:rPr>
        <w:t xml:space="preserve">hierna: </w:t>
      </w:r>
      <w:r w:rsidR="005946C0" w:rsidRPr="005B01D2">
        <w:rPr>
          <w:lang w:val="nl-BE"/>
        </w:rPr>
        <w:t xml:space="preserve">administratieve samenwerkingsakkoorden) </w:t>
      </w:r>
      <w:r w:rsidRPr="005B01D2">
        <w:rPr>
          <w:lang w:val="nl-BE"/>
        </w:rPr>
        <w:t>zijn eerder de uitzondering dan de regel.</w:t>
      </w:r>
      <w:r w:rsidR="002A4971" w:rsidRPr="005B01D2">
        <w:rPr>
          <w:rStyle w:val="Voetnootmarkering"/>
          <w:lang w:val="nl-BE"/>
        </w:rPr>
        <w:footnoteReference w:id="84"/>
      </w:r>
      <w:r w:rsidRPr="005B01D2">
        <w:rPr>
          <w:lang w:val="nl-BE"/>
        </w:rPr>
        <w:t xml:space="preserve"> Een voorbeeld van die laatste categorie </w:t>
      </w:r>
      <w:r w:rsidR="002A4971" w:rsidRPr="005B01D2">
        <w:rPr>
          <w:lang w:val="nl-BE"/>
        </w:rPr>
        <w:t xml:space="preserve">zijn </w:t>
      </w:r>
      <w:r w:rsidRPr="005B01D2">
        <w:rPr>
          <w:lang w:val="nl-BE"/>
        </w:rPr>
        <w:t>samenwerking</w:t>
      </w:r>
      <w:r w:rsidR="00CE3CF7">
        <w:rPr>
          <w:lang w:val="nl-BE"/>
        </w:rPr>
        <w:t>s</w:t>
      </w:r>
      <w:r w:rsidRPr="005B01D2">
        <w:rPr>
          <w:lang w:val="nl-BE"/>
        </w:rPr>
        <w:t>akkoord</w:t>
      </w:r>
      <w:r w:rsidR="002A4971" w:rsidRPr="005B01D2">
        <w:rPr>
          <w:lang w:val="nl-BE"/>
        </w:rPr>
        <w:t>en die de louter coördinatie en samenwerking bevorderen tussen verschillende overheidsdiensten</w:t>
      </w:r>
      <w:r w:rsidRPr="005B01D2">
        <w:rPr>
          <w:lang w:val="nl-BE"/>
        </w:rPr>
        <w:t>.</w:t>
      </w:r>
      <w:r w:rsidRPr="005B01D2">
        <w:rPr>
          <w:rStyle w:val="Voetnootmarkering"/>
        </w:rPr>
        <w:footnoteReference w:id="85"/>
      </w:r>
    </w:p>
    <w:p w14:paraId="3CA94E55" w14:textId="77777777" w:rsidR="00920EA2" w:rsidRPr="005B01D2" w:rsidRDefault="00920EA2">
      <w:pPr>
        <w:jc w:val="both"/>
        <w:rPr>
          <w:lang w:val="nl-BE"/>
        </w:rPr>
      </w:pPr>
    </w:p>
    <w:p w14:paraId="462EDE55" w14:textId="77777777" w:rsidR="00391D3B" w:rsidRDefault="00A87036">
      <w:pPr>
        <w:pStyle w:val="Kop2"/>
        <w:numPr>
          <w:ilvl w:val="0"/>
          <w:numId w:val="24"/>
        </w:numPr>
        <w:rPr>
          <w:lang w:val="nl-BE"/>
        </w:rPr>
      </w:pPr>
      <w:r w:rsidRPr="00A87036">
        <w:rPr>
          <w:rFonts w:ascii="Times New Roman" w:hAnsi="Times New Roman" w:cs="Times New Roman"/>
          <w:sz w:val="24"/>
          <w:szCs w:val="24"/>
          <w:lang w:val="nl-BE"/>
        </w:rPr>
        <w:t>Aard, modaliteiten en gevolgen van instemming</w:t>
      </w:r>
    </w:p>
    <w:p w14:paraId="0F143959" w14:textId="77777777" w:rsidR="00B7772E" w:rsidRPr="005B01D2" w:rsidRDefault="00B7772E">
      <w:pPr>
        <w:jc w:val="both"/>
        <w:rPr>
          <w:lang w:val="nl-BE"/>
        </w:rPr>
      </w:pPr>
    </w:p>
    <w:p w14:paraId="15E8D657" w14:textId="77777777" w:rsidR="00920EA2" w:rsidRPr="005B01D2" w:rsidRDefault="00920EA2" w:rsidP="00F9665E">
      <w:pPr>
        <w:autoSpaceDE w:val="0"/>
        <w:autoSpaceDN w:val="0"/>
        <w:adjustRightInd w:val="0"/>
        <w:jc w:val="both"/>
        <w:rPr>
          <w:lang w:val="nl-BE"/>
        </w:rPr>
      </w:pPr>
      <w:r w:rsidRPr="005B01D2">
        <w:rPr>
          <w:lang w:val="nl-BE"/>
        </w:rPr>
        <w:t xml:space="preserve">15. </w:t>
      </w:r>
      <w:r w:rsidRPr="005B01D2">
        <w:rPr>
          <w:lang w:val="nl-BE"/>
        </w:rPr>
        <w:tab/>
        <w:t xml:space="preserve">Samenwerkingsakkoorden en verdragen </w:t>
      </w:r>
      <w:r w:rsidR="00B80034" w:rsidRPr="005B01D2">
        <w:rPr>
          <w:lang w:val="nl-BE"/>
        </w:rPr>
        <w:t xml:space="preserve">vereisen de instemming van </w:t>
      </w:r>
      <w:r w:rsidRPr="005B01D2">
        <w:rPr>
          <w:i/>
          <w:iCs/>
          <w:lang w:val="nl-BE"/>
        </w:rPr>
        <w:t>alle bevoegde</w:t>
      </w:r>
      <w:r w:rsidRPr="005B01D2">
        <w:rPr>
          <w:lang w:val="nl-BE"/>
        </w:rPr>
        <w:t xml:space="preserve"> parlement</w:t>
      </w:r>
      <w:r w:rsidR="00B80034" w:rsidRPr="005B01D2">
        <w:rPr>
          <w:lang w:val="nl-BE"/>
        </w:rPr>
        <w:t>en</w:t>
      </w:r>
      <w:r w:rsidRPr="005B01D2">
        <w:rPr>
          <w:lang w:val="nl-BE"/>
        </w:rPr>
        <w:t>.</w:t>
      </w:r>
      <w:r w:rsidRPr="005B01D2">
        <w:rPr>
          <w:rStyle w:val="Voetnootmarkering"/>
          <w:lang w:val="nl-BE"/>
        </w:rPr>
        <w:footnoteReference w:id="86"/>
      </w:r>
      <w:r w:rsidRPr="005B01D2">
        <w:rPr>
          <w:lang w:val="nl-BE"/>
        </w:rPr>
        <w:t xml:space="preserve"> Een samenwerkingsakkoord of een verdrag kan </w:t>
      </w:r>
      <w:r w:rsidR="00A87036" w:rsidRPr="00A87036">
        <w:rPr>
          <w:bCs/>
          <w:lang w:val="nl-BE"/>
        </w:rPr>
        <w:t>geen partiële werking</w:t>
      </w:r>
      <w:r w:rsidRPr="005B01D2">
        <w:rPr>
          <w:lang w:val="nl-BE"/>
        </w:rPr>
        <w:t xml:space="preserve"> hebben na de instemming door slechts</w:t>
      </w:r>
      <w:r w:rsidR="002A4971" w:rsidRPr="005B01D2">
        <w:rPr>
          <w:lang w:val="nl-BE"/>
        </w:rPr>
        <w:t xml:space="preserve"> </w:t>
      </w:r>
      <w:r w:rsidR="006431FE" w:rsidRPr="005B01D2">
        <w:rPr>
          <w:lang w:val="nl-BE"/>
        </w:rPr>
        <w:t xml:space="preserve">één of een </w:t>
      </w:r>
      <w:r w:rsidR="002A4971" w:rsidRPr="005B01D2">
        <w:rPr>
          <w:lang w:val="nl-BE"/>
        </w:rPr>
        <w:t xml:space="preserve">deel </w:t>
      </w:r>
      <w:r w:rsidRPr="005B01D2">
        <w:rPr>
          <w:lang w:val="nl-BE"/>
        </w:rPr>
        <w:t>van de bevoegde parlementen.</w:t>
      </w:r>
      <w:r w:rsidRPr="005B01D2">
        <w:rPr>
          <w:rStyle w:val="Voetnootmarkering"/>
          <w:lang w:val="nl-BE"/>
        </w:rPr>
        <w:footnoteReference w:id="87"/>
      </w:r>
      <w:r w:rsidRPr="005B01D2">
        <w:rPr>
          <w:lang w:val="nl-BE"/>
        </w:rPr>
        <w:t xml:space="preserve"> </w:t>
      </w:r>
    </w:p>
    <w:p w14:paraId="20737444" w14:textId="77777777" w:rsidR="00920EA2" w:rsidRPr="005B01D2" w:rsidRDefault="00920EA2" w:rsidP="00F9665E">
      <w:pPr>
        <w:autoSpaceDE w:val="0"/>
        <w:autoSpaceDN w:val="0"/>
        <w:adjustRightInd w:val="0"/>
        <w:jc w:val="both"/>
        <w:rPr>
          <w:lang w:val="nl-BE"/>
        </w:rPr>
      </w:pPr>
    </w:p>
    <w:p w14:paraId="08401213" w14:textId="006B1D95" w:rsidR="00B80034" w:rsidRPr="005B01D2" w:rsidRDefault="00920EA2" w:rsidP="00AB2E0C">
      <w:pPr>
        <w:autoSpaceDE w:val="0"/>
        <w:autoSpaceDN w:val="0"/>
        <w:adjustRightInd w:val="0"/>
        <w:jc w:val="both"/>
        <w:rPr>
          <w:lang w:val="nl-BE"/>
        </w:rPr>
      </w:pPr>
      <w:r w:rsidRPr="005B01D2">
        <w:rPr>
          <w:lang w:val="nl-BE"/>
        </w:rPr>
        <w:t xml:space="preserve">De instemming moet bovendien worden verleend </w:t>
      </w:r>
      <w:r w:rsidR="00300D4B">
        <w:rPr>
          <w:lang w:val="nl-BE"/>
        </w:rPr>
        <w:t>aan</w:t>
      </w:r>
      <w:r w:rsidR="00300D4B" w:rsidRPr="00E93D19">
        <w:rPr>
          <w:lang w:val="nl-BE"/>
        </w:rPr>
        <w:t xml:space="preserve"> </w:t>
      </w:r>
      <w:r w:rsidRPr="005B01D2">
        <w:rPr>
          <w:lang w:val="nl-BE"/>
        </w:rPr>
        <w:t xml:space="preserve">het </w:t>
      </w:r>
      <w:r w:rsidR="00A87036" w:rsidRPr="00A87036">
        <w:rPr>
          <w:bCs/>
          <w:i/>
          <w:iCs/>
          <w:lang w:val="nl-BE"/>
        </w:rPr>
        <w:t>volledige</w:t>
      </w:r>
      <w:r w:rsidR="00A87036" w:rsidRPr="00A87036">
        <w:rPr>
          <w:bCs/>
          <w:lang w:val="nl-BE"/>
        </w:rPr>
        <w:t xml:space="preserve"> samenwerkingsakkoord</w:t>
      </w:r>
      <w:r w:rsidRPr="005B01D2">
        <w:rPr>
          <w:lang w:val="nl-BE"/>
        </w:rPr>
        <w:t>. De instemming kan bijgevolg niet worden beperkt tot de bepalingen die aan artikel 92</w:t>
      </w:r>
      <w:r w:rsidRPr="005B01D2">
        <w:rPr>
          <w:i/>
          <w:lang w:val="nl-BE"/>
        </w:rPr>
        <w:t>bis</w:t>
      </w:r>
      <w:r w:rsidRPr="005B01D2">
        <w:rPr>
          <w:lang w:val="nl-BE"/>
        </w:rPr>
        <w:t>, §1, lid 2, BWHI beantwoorden.</w:t>
      </w:r>
      <w:r w:rsidRPr="005B01D2">
        <w:rPr>
          <w:rStyle w:val="Voetnootmarkering"/>
          <w:lang w:val="nl-BE"/>
        </w:rPr>
        <w:footnoteReference w:id="88"/>
      </w:r>
      <w:r w:rsidRPr="005B01D2">
        <w:rPr>
          <w:lang w:val="nl-BE"/>
        </w:rPr>
        <w:t xml:space="preserve"> </w:t>
      </w:r>
    </w:p>
    <w:p w14:paraId="1D020D50" w14:textId="77777777" w:rsidR="00B80034" w:rsidRPr="005B01D2" w:rsidRDefault="00B80034" w:rsidP="00AB2E0C">
      <w:pPr>
        <w:autoSpaceDE w:val="0"/>
        <w:autoSpaceDN w:val="0"/>
        <w:adjustRightInd w:val="0"/>
        <w:jc w:val="both"/>
        <w:rPr>
          <w:lang w:val="nl-BE"/>
        </w:rPr>
      </w:pPr>
    </w:p>
    <w:p w14:paraId="72C5888E" w14:textId="50E10A11" w:rsidR="00920EA2" w:rsidRPr="005B01D2" w:rsidRDefault="00920EA2" w:rsidP="00F9665E">
      <w:pPr>
        <w:autoSpaceDE w:val="0"/>
        <w:autoSpaceDN w:val="0"/>
        <w:adjustRightInd w:val="0"/>
        <w:jc w:val="both"/>
        <w:rPr>
          <w:lang w:val="nl-BE"/>
        </w:rPr>
      </w:pPr>
      <w:r w:rsidRPr="005B01D2">
        <w:rPr>
          <w:lang w:val="nl-BE"/>
        </w:rPr>
        <w:lastRenderedPageBreak/>
        <w:t xml:space="preserve">Voor een </w:t>
      </w:r>
      <w:r w:rsidR="006431FE" w:rsidRPr="005B01D2">
        <w:rPr>
          <w:lang w:val="nl-BE"/>
        </w:rPr>
        <w:t xml:space="preserve">gedifferentieerde </w:t>
      </w:r>
      <w:r w:rsidR="00B80034" w:rsidRPr="005B01D2">
        <w:rPr>
          <w:lang w:val="nl-BE"/>
        </w:rPr>
        <w:t xml:space="preserve">juridische </w:t>
      </w:r>
      <w:r w:rsidR="006431FE" w:rsidRPr="005B01D2">
        <w:rPr>
          <w:lang w:val="nl-BE"/>
        </w:rPr>
        <w:t xml:space="preserve">regeling voor één van de partijen </w:t>
      </w:r>
      <w:r w:rsidR="00133251">
        <w:rPr>
          <w:lang w:val="nl-BE"/>
        </w:rPr>
        <w:t xml:space="preserve">– onder welke vorm ook </w:t>
      </w:r>
      <w:r w:rsidR="00AE6396">
        <w:rPr>
          <w:lang w:val="nl-BE"/>
        </w:rPr>
        <w:t>–</w:t>
      </w:r>
      <w:r w:rsidR="00E96531">
        <w:rPr>
          <w:lang w:val="nl-BE"/>
        </w:rPr>
        <w:t xml:space="preserve"> </w:t>
      </w:r>
      <w:r w:rsidR="006431FE" w:rsidRPr="005B01D2">
        <w:rPr>
          <w:lang w:val="nl-BE"/>
        </w:rPr>
        <w:t xml:space="preserve">zal </w:t>
      </w:r>
      <w:r w:rsidRPr="005B01D2">
        <w:rPr>
          <w:lang w:val="nl-BE"/>
        </w:rPr>
        <w:t>de instemming van alle partijen nodig zijn,</w:t>
      </w:r>
      <w:r w:rsidR="006431FE" w:rsidRPr="005B01D2">
        <w:rPr>
          <w:rStyle w:val="Voetnootmarkering"/>
        </w:rPr>
        <w:footnoteReference w:id="89"/>
      </w:r>
      <w:r w:rsidR="006431FE" w:rsidRPr="005B01D2">
        <w:rPr>
          <w:lang w:val="nl-BE"/>
        </w:rPr>
        <w:t xml:space="preserve"> </w:t>
      </w:r>
      <w:r w:rsidRPr="005B01D2">
        <w:rPr>
          <w:lang w:val="nl-BE"/>
        </w:rPr>
        <w:t xml:space="preserve">net zoals </w:t>
      </w:r>
      <w:r w:rsidR="00133251">
        <w:rPr>
          <w:lang w:val="nl-BE"/>
        </w:rPr>
        <w:t xml:space="preserve">het Weens verdragenverdrag </w:t>
      </w:r>
      <w:r w:rsidR="00AE6396">
        <w:rPr>
          <w:lang w:val="nl-BE"/>
        </w:rPr>
        <w:t xml:space="preserve">bv. </w:t>
      </w:r>
      <w:r w:rsidRPr="005B01D2">
        <w:rPr>
          <w:lang w:val="nl-BE"/>
        </w:rPr>
        <w:t xml:space="preserve">voor </w:t>
      </w:r>
      <w:r w:rsidR="002C4564" w:rsidRPr="005B01D2">
        <w:rPr>
          <w:lang w:val="nl-BE"/>
        </w:rPr>
        <w:t>regionale integratieverdragen</w:t>
      </w:r>
      <w:r w:rsidRPr="005B01D2">
        <w:rPr>
          <w:lang w:val="nl-BE"/>
        </w:rPr>
        <w:t xml:space="preserve"> </w:t>
      </w:r>
      <w:r w:rsidR="00133251">
        <w:rPr>
          <w:lang w:val="nl-BE"/>
        </w:rPr>
        <w:t xml:space="preserve">voorziet dat </w:t>
      </w:r>
      <w:r w:rsidR="006431FE" w:rsidRPr="005B01D2">
        <w:rPr>
          <w:lang w:val="nl-BE"/>
        </w:rPr>
        <w:t xml:space="preserve">een voorbehoud </w:t>
      </w:r>
      <w:r w:rsidR="00B80034" w:rsidRPr="005B01D2">
        <w:rPr>
          <w:lang w:val="nl-BE"/>
        </w:rPr>
        <w:t xml:space="preserve">van één partij </w:t>
      </w:r>
      <w:r w:rsidR="006431FE" w:rsidRPr="005B01D2">
        <w:rPr>
          <w:lang w:val="nl-BE"/>
        </w:rPr>
        <w:t>door alle</w:t>
      </w:r>
      <w:r w:rsidR="00B80034" w:rsidRPr="005B01D2">
        <w:rPr>
          <w:lang w:val="nl-BE"/>
        </w:rPr>
        <w:t xml:space="preserve"> andere</w:t>
      </w:r>
      <w:r w:rsidR="006431FE" w:rsidRPr="005B01D2">
        <w:rPr>
          <w:lang w:val="nl-BE"/>
        </w:rPr>
        <w:t xml:space="preserve"> partijen zal moeten worden aanvaard</w:t>
      </w:r>
      <w:r w:rsidRPr="005B01D2">
        <w:rPr>
          <w:lang w:val="nl-BE"/>
        </w:rPr>
        <w:t>.</w:t>
      </w:r>
      <w:r w:rsidRPr="005B01D2">
        <w:rPr>
          <w:rStyle w:val="Voetnootmarkering"/>
          <w:lang w:val="nl-BE"/>
        </w:rPr>
        <w:footnoteReference w:id="90"/>
      </w:r>
      <w:r w:rsidRPr="005B01D2">
        <w:rPr>
          <w:lang w:val="nl-BE"/>
        </w:rPr>
        <w:t xml:space="preserve"> </w:t>
      </w:r>
      <w:r w:rsidR="00133251">
        <w:rPr>
          <w:lang w:val="nl-BE"/>
        </w:rPr>
        <w:t xml:space="preserve"> </w:t>
      </w:r>
    </w:p>
    <w:p w14:paraId="1F14AF44" w14:textId="77777777" w:rsidR="002A4971" w:rsidRPr="005B01D2" w:rsidRDefault="002A4971" w:rsidP="00F9665E">
      <w:pPr>
        <w:autoSpaceDE w:val="0"/>
        <w:autoSpaceDN w:val="0"/>
        <w:adjustRightInd w:val="0"/>
        <w:jc w:val="both"/>
        <w:rPr>
          <w:lang w:val="nl-BE"/>
        </w:rPr>
      </w:pPr>
    </w:p>
    <w:p w14:paraId="77948AF5" w14:textId="56ED0FD1" w:rsidR="00920EA2" w:rsidRPr="005B01D2" w:rsidRDefault="00920EA2" w:rsidP="00F9665E">
      <w:pPr>
        <w:autoSpaceDE w:val="0"/>
        <w:autoSpaceDN w:val="0"/>
        <w:adjustRightInd w:val="0"/>
        <w:jc w:val="both"/>
        <w:rPr>
          <w:lang w:val="nl-BE"/>
        </w:rPr>
      </w:pPr>
      <w:r w:rsidRPr="005B01D2">
        <w:rPr>
          <w:lang w:val="nl-BE"/>
        </w:rPr>
        <w:t xml:space="preserve">De instemmingsakte met een samenwerkingsakkoord of een verdrag is op zich niet verordenend van aard, maar is eerder een </w:t>
      </w:r>
      <w:r w:rsidR="00083ECC" w:rsidRPr="005B01D2">
        <w:rPr>
          <w:lang w:val="nl-BE"/>
        </w:rPr>
        <w:t>akte van hoog politiek en juridisch toezicht</w:t>
      </w:r>
      <w:r w:rsidRPr="005B01D2">
        <w:rPr>
          <w:lang w:val="nl-BE"/>
        </w:rPr>
        <w:t>.</w:t>
      </w:r>
      <w:r w:rsidR="00B80034" w:rsidRPr="005B01D2">
        <w:rPr>
          <w:rStyle w:val="Voetnootmarkering"/>
          <w:lang w:val="nl-BE"/>
        </w:rPr>
        <w:footnoteReference w:id="91"/>
      </w:r>
      <w:r w:rsidRPr="005B01D2">
        <w:rPr>
          <w:lang w:val="nl-BE"/>
        </w:rPr>
        <w:t xml:space="preserve"> De instemming heeft wel tot gevolg dat het verdrag of samenwerkingsakkoord</w:t>
      </w:r>
      <w:r w:rsidR="0038733E">
        <w:rPr>
          <w:lang w:val="nl-BE"/>
        </w:rPr>
        <w:t xml:space="preserve"> rechtskracht heeft in onze rechtsorde</w:t>
      </w:r>
      <w:r w:rsidRPr="005B01D2">
        <w:rPr>
          <w:lang w:val="nl-BE"/>
        </w:rPr>
        <w:t xml:space="preserve">. </w:t>
      </w:r>
    </w:p>
    <w:p w14:paraId="18A3CF3E" w14:textId="77777777" w:rsidR="002A4971" w:rsidRPr="005B01D2" w:rsidRDefault="002A4971" w:rsidP="00F9665E">
      <w:pPr>
        <w:autoSpaceDE w:val="0"/>
        <w:autoSpaceDN w:val="0"/>
        <w:adjustRightInd w:val="0"/>
        <w:jc w:val="both"/>
        <w:rPr>
          <w:lang w:val="nl-BE"/>
        </w:rPr>
      </w:pPr>
    </w:p>
    <w:p w14:paraId="5F524946" w14:textId="1B6626E3" w:rsidR="00920EA2" w:rsidRPr="005B01D2" w:rsidRDefault="002A4971" w:rsidP="00F9665E">
      <w:pPr>
        <w:autoSpaceDE w:val="0"/>
        <w:autoSpaceDN w:val="0"/>
        <w:adjustRightInd w:val="0"/>
        <w:jc w:val="both"/>
        <w:rPr>
          <w:lang w:val="nl-BE"/>
        </w:rPr>
      </w:pPr>
      <w:r w:rsidRPr="005B01D2">
        <w:rPr>
          <w:lang w:val="nl-BE"/>
        </w:rPr>
        <w:t xml:space="preserve">Volgens de bijzondere wet dient met een samenwerkingsakkoord instemming te worden verleend in de vorm van een </w:t>
      </w:r>
      <w:r w:rsidR="00A87036" w:rsidRPr="00A87036">
        <w:rPr>
          <w:bCs/>
          <w:lang w:val="nl-BE"/>
        </w:rPr>
        <w:t>wet</w:t>
      </w:r>
      <w:r w:rsidRPr="005B01D2">
        <w:rPr>
          <w:lang w:val="nl-BE"/>
        </w:rPr>
        <w:t xml:space="preserve">, terwijl artikel 167 de Grondwet voor verdragen de instemming van het </w:t>
      </w:r>
      <w:r w:rsidR="00A87036" w:rsidRPr="00A87036">
        <w:rPr>
          <w:bCs/>
          <w:lang w:val="nl-BE"/>
        </w:rPr>
        <w:t>parlement</w:t>
      </w:r>
      <w:r w:rsidR="00B80034" w:rsidRPr="005B01D2">
        <w:rPr>
          <w:rStyle w:val="Voetnootmarkering"/>
          <w:lang w:val="nl-BE"/>
        </w:rPr>
        <w:footnoteReference w:id="92"/>
      </w:r>
      <w:r w:rsidRPr="005B01D2">
        <w:rPr>
          <w:lang w:val="nl-BE"/>
        </w:rPr>
        <w:t xml:space="preserve"> voorschrijft.</w:t>
      </w:r>
      <w:r w:rsidRPr="005B01D2">
        <w:rPr>
          <w:rStyle w:val="Voetnootmarkering"/>
          <w:lang w:val="nl-BE"/>
        </w:rPr>
        <w:footnoteReference w:id="93"/>
      </w:r>
      <w:r w:rsidR="00A239EE" w:rsidRPr="005B01D2">
        <w:rPr>
          <w:vertAlign w:val="superscript"/>
          <w:lang w:val="nl-BE"/>
        </w:rPr>
        <w:t>-</w:t>
      </w:r>
      <w:r w:rsidR="00A239EE" w:rsidRPr="005B01D2">
        <w:rPr>
          <w:rStyle w:val="Voetnootmarkering"/>
          <w:lang w:val="nl-BE"/>
        </w:rPr>
        <w:footnoteReference w:id="94"/>
      </w:r>
      <w:r w:rsidRPr="005B01D2">
        <w:rPr>
          <w:lang w:val="nl-BE"/>
        </w:rPr>
        <w:t xml:space="preserve"> Met deze laatste wordt eerder de nadruk gelegd op het parlementaire </w:t>
      </w:r>
      <w:proofErr w:type="spellStart"/>
      <w:r w:rsidRPr="005B01D2">
        <w:rPr>
          <w:lang w:val="nl-BE"/>
        </w:rPr>
        <w:t>toezichtsfunctie</w:t>
      </w:r>
      <w:proofErr w:type="spellEnd"/>
      <w:r w:rsidRPr="005B01D2">
        <w:rPr>
          <w:lang w:val="nl-BE"/>
        </w:rPr>
        <w:t xml:space="preserve"> die de instemming vervult, terwijl met de eerste eerder de nadruk komt te liggen op het feit dat samenwerkingsakkoorden aangelegenheden kunnen regelen die volgens de Grondwetgever bij wet moeten worden geregeld. In de praktijk wordt evenwel ook voor verdragen steeds</w:t>
      </w:r>
      <w:r w:rsidR="000818ED" w:rsidRPr="005B01D2">
        <w:rPr>
          <w:lang w:val="nl-BE"/>
        </w:rPr>
        <w:t xml:space="preserve"> de</w:t>
      </w:r>
      <w:r w:rsidRPr="005B01D2">
        <w:rPr>
          <w:lang w:val="nl-BE"/>
        </w:rPr>
        <w:t xml:space="preserve"> instemming verleend in de vorm van een wet, decreet of ordonnantie. </w:t>
      </w:r>
      <w:r w:rsidR="000C428C" w:rsidRPr="00B2070B">
        <w:rPr>
          <w:lang w:val="nl-BE"/>
        </w:rPr>
        <w:t>Vanuit deze pragmatische invalshoek gebruiken we in deze bijdrage</w:t>
      </w:r>
      <w:r w:rsidR="00E35741" w:rsidRPr="00E93D19" w:rsidDel="00E35741">
        <w:rPr>
          <w:lang w:val="nl-BE"/>
        </w:rPr>
        <w:t xml:space="preserve"> </w:t>
      </w:r>
      <w:r w:rsidR="00E35741">
        <w:rPr>
          <w:lang w:val="nl-BE"/>
        </w:rPr>
        <w:t>dan ook</w:t>
      </w:r>
      <w:r w:rsidR="0040541D">
        <w:rPr>
          <w:lang w:val="nl-BE"/>
        </w:rPr>
        <w:t xml:space="preserve"> </w:t>
      </w:r>
      <w:r w:rsidRPr="005B01D2">
        <w:rPr>
          <w:lang w:val="nl-BE"/>
        </w:rPr>
        <w:t xml:space="preserve">de uitdrukkingen instemming van het </w:t>
      </w:r>
      <w:r w:rsidR="00B80034" w:rsidRPr="005B01D2">
        <w:rPr>
          <w:lang w:val="nl-BE"/>
        </w:rPr>
        <w:t>‘</w:t>
      </w:r>
      <w:r w:rsidRPr="005B01D2">
        <w:rPr>
          <w:lang w:val="nl-BE"/>
        </w:rPr>
        <w:t>parlement</w:t>
      </w:r>
      <w:r w:rsidR="00B80034" w:rsidRPr="005B01D2">
        <w:rPr>
          <w:lang w:val="nl-BE"/>
        </w:rPr>
        <w:t>’</w:t>
      </w:r>
      <w:r w:rsidRPr="005B01D2">
        <w:rPr>
          <w:lang w:val="nl-BE"/>
        </w:rPr>
        <w:t xml:space="preserve"> of van de </w:t>
      </w:r>
      <w:r w:rsidR="00B80034" w:rsidRPr="005B01D2">
        <w:rPr>
          <w:lang w:val="nl-BE"/>
        </w:rPr>
        <w:t>‘</w:t>
      </w:r>
      <w:r w:rsidRPr="005B01D2">
        <w:rPr>
          <w:lang w:val="nl-BE"/>
        </w:rPr>
        <w:t>wetgever</w:t>
      </w:r>
      <w:r w:rsidR="00B80034" w:rsidRPr="005B01D2">
        <w:rPr>
          <w:lang w:val="nl-BE"/>
        </w:rPr>
        <w:t>’</w:t>
      </w:r>
      <w:r w:rsidRPr="005B01D2">
        <w:rPr>
          <w:lang w:val="nl-BE"/>
        </w:rPr>
        <w:t xml:space="preserve"> door elkaar. </w:t>
      </w:r>
    </w:p>
    <w:p w14:paraId="72D1F4C4" w14:textId="77777777" w:rsidR="00E35741" w:rsidRPr="00E93D19" w:rsidRDefault="00E35741" w:rsidP="00F9665E">
      <w:pPr>
        <w:autoSpaceDE w:val="0"/>
        <w:autoSpaceDN w:val="0"/>
        <w:adjustRightInd w:val="0"/>
        <w:jc w:val="both"/>
        <w:rPr>
          <w:lang w:val="nl-BE"/>
        </w:rPr>
      </w:pPr>
    </w:p>
    <w:p w14:paraId="7BA80A72" w14:textId="77777777" w:rsidR="00920EA2" w:rsidRPr="005B01D2" w:rsidRDefault="00920EA2" w:rsidP="00F9665E">
      <w:pPr>
        <w:autoSpaceDE w:val="0"/>
        <w:autoSpaceDN w:val="0"/>
        <w:adjustRightInd w:val="0"/>
        <w:jc w:val="both"/>
        <w:rPr>
          <w:lang w:val="nl-NL"/>
        </w:rPr>
      </w:pPr>
      <w:r w:rsidRPr="005B01D2">
        <w:rPr>
          <w:lang w:val="nl-NL"/>
        </w:rPr>
        <w:t xml:space="preserve">Bij gebreke aan de vereiste instemming heeft het verdrag of samenwerkingsakkoord in </w:t>
      </w:r>
      <w:r w:rsidR="00B80034" w:rsidRPr="005B01D2">
        <w:rPr>
          <w:lang w:val="nl-NL"/>
        </w:rPr>
        <w:t xml:space="preserve">elk geval in </w:t>
      </w:r>
      <w:r w:rsidRPr="005B01D2">
        <w:rPr>
          <w:lang w:val="nl-NL"/>
        </w:rPr>
        <w:t xml:space="preserve">de Belgische rechtsorde </w:t>
      </w:r>
      <w:r w:rsidR="00A87036" w:rsidRPr="00A87036">
        <w:rPr>
          <w:bCs/>
          <w:lang w:val="nl-NL"/>
        </w:rPr>
        <w:t>geen bindende kracht</w:t>
      </w:r>
      <w:r w:rsidRPr="005B01D2">
        <w:rPr>
          <w:lang w:val="nl-NL"/>
        </w:rPr>
        <w:t xml:space="preserve">: het kan </w:t>
      </w:r>
      <w:r w:rsidR="00316639" w:rsidRPr="005B01D2">
        <w:rPr>
          <w:lang w:val="nl-NL"/>
        </w:rPr>
        <w:t xml:space="preserve">bv. </w:t>
      </w:r>
      <w:r w:rsidRPr="005B01D2">
        <w:rPr>
          <w:lang w:val="nl-NL"/>
        </w:rPr>
        <w:t xml:space="preserve">dan ook geen rechtsgrond </w:t>
      </w:r>
      <w:r w:rsidRPr="005B01D2">
        <w:rPr>
          <w:lang w:val="nl-NL"/>
        </w:rPr>
        <w:lastRenderedPageBreak/>
        <w:t>zijn voor het aannemen van bestuurshandelingen</w:t>
      </w:r>
      <w:r w:rsidR="00316639" w:rsidRPr="005B01D2">
        <w:rPr>
          <w:lang w:val="nl-NL"/>
        </w:rPr>
        <w:t>,</w:t>
      </w:r>
      <w:r w:rsidRPr="005B01D2">
        <w:rPr>
          <w:rStyle w:val="Voetnootmarkering"/>
          <w:lang w:val="nl-NL"/>
        </w:rPr>
        <w:footnoteReference w:id="95"/>
      </w:r>
      <w:r w:rsidRPr="005B01D2">
        <w:rPr>
          <w:lang w:val="nl-NL"/>
        </w:rPr>
        <w:t xml:space="preserve"> </w:t>
      </w:r>
      <w:r w:rsidR="00316639" w:rsidRPr="005B01D2">
        <w:rPr>
          <w:lang w:val="nl-NL"/>
        </w:rPr>
        <w:t>de rechter kan er geen rekening mee houden</w:t>
      </w:r>
      <w:r w:rsidR="00316639" w:rsidRPr="005B01D2">
        <w:rPr>
          <w:rStyle w:val="Voetnootmarkering"/>
          <w:lang w:val="nl-NL"/>
        </w:rPr>
        <w:footnoteReference w:id="96"/>
      </w:r>
      <w:r w:rsidR="00316639" w:rsidRPr="005B01D2">
        <w:rPr>
          <w:lang w:val="nl-NL"/>
        </w:rPr>
        <w:t xml:space="preserve"> </w:t>
      </w:r>
      <w:r w:rsidRPr="005B01D2">
        <w:rPr>
          <w:lang w:val="nl-NL"/>
        </w:rPr>
        <w:t xml:space="preserve">en het kan </w:t>
      </w:r>
      <w:r w:rsidR="00316639" w:rsidRPr="005B01D2">
        <w:rPr>
          <w:lang w:val="nl-NL"/>
        </w:rPr>
        <w:t xml:space="preserve">in beginsel niet </w:t>
      </w:r>
      <w:r w:rsidRPr="005B01D2">
        <w:rPr>
          <w:lang w:val="nl-NL"/>
        </w:rPr>
        <w:t>in reglementaire akten ten uitvoer worden gelegd</w:t>
      </w:r>
      <w:r w:rsidR="00316639" w:rsidRPr="005B01D2">
        <w:rPr>
          <w:lang w:val="nl-NL"/>
        </w:rPr>
        <w:t>.</w:t>
      </w:r>
      <w:r w:rsidRPr="005B01D2">
        <w:rPr>
          <w:rStyle w:val="Voetnootmarkering"/>
          <w:lang w:val="nl-NL"/>
        </w:rPr>
        <w:footnoteReference w:id="97"/>
      </w:r>
      <w:r w:rsidRPr="005B01D2">
        <w:rPr>
          <w:lang w:val="nl-NL"/>
        </w:rPr>
        <w:t xml:space="preserve"> </w:t>
      </w:r>
      <w:r w:rsidR="00316639" w:rsidRPr="005B01D2">
        <w:rPr>
          <w:lang w:val="nl-NL"/>
        </w:rPr>
        <w:t xml:space="preserve">Dit </w:t>
      </w:r>
      <w:r w:rsidRPr="005B01D2">
        <w:rPr>
          <w:lang w:val="nl-NL"/>
        </w:rPr>
        <w:t xml:space="preserve">belet het bestuur </w:t>
      </w:r>
      <w:r w:rsidR="00316639" w:rsidRPr="005B01D2">
        <w:rPr>
          <w:lang w:val="nl-NL"/>
        </w:rPr>
        <w:t xml:space="preserve">natuurlijk niet om </w:t>
      </w:r>
      <w:r w:rsidRPr="005B01D2">
        <w:rPr>
          <w:lang w:val="nl-NL"/>
        </w:rPr>
        <w:t xml:space="preserve">met een </w:t>
      </w:r>
      <w:r w:rsidRPr="005B01D2">
        <w:rPr>
          <w:i/>
          <w:iCs/>
          <w:lang w:val="nl-NL"/>
        </w:rPr>
        <w:t>niet</w:t>
      </w:r>
      <w:r w:rsidRPr="005B01D2">
        <w:rPr>
          <w:lang w:val="nl-NL"/>
        </w:rPr>
        <w:t xml:space="preserve"> door het parlement goedgekeurd verdrag of samenwerkingsakkoord</w:t>
      </w:r>
      <w:r w:rsidR="00CE3CF7">
        <w:rPr>
          <w:lang w:val="nl-NL"/>
        </w:rPr>
        <w:t xml:space="preserve"> toch</w:t>
      </w:r>
      <w:r w:rsidRPr="005B01D2">
        <w:rPr>
          <w:lang w:val="nl-NL"/>
        </w:rPr>
        <w:t xml:space="preserve"> rekening </w:t>
      </w:r>
      <w:r w:rsidR="00CE3CF7">
        <w:rPr>
          <w:lang w:val="nl-NL"/>
        </w:rPr>
        <w:t>te</w:t>
      </w:r>
      <w:r w:rsidR="00CE3CF7" w:rsidRPr="005B01D2">
        <w:rPr>
          <w:lang w:val="nl-NL"/>
        </w:rPr>
        <w:t xml:space="preserve"> </w:t>
      </w:r>
      <w:r w:rsidRPr="005B01D2">
        <w:rPr>
          <w:lang w:val="nl-NL"/>
        </w:rPr>
        <w:t>houden bij de uitoefening van zijn discretionaire bevoegdheid.</w:t>
      </w:r>
      <w:r w:rsidRPr="005B01D2">
        <w:rPr>
          <w:rStyle w:val="Voetnootmarkering"/>
          <w:lang w:val="nl-NL"/>
        </w:rPr>
        <w:footnoteReference w:id="98"/>
      </w:r>
      <w:r w:rsidRPr="005B01D2">
        <w:rPr>
          <w:lang w:val="nl-NL"/>
        </w:rPr>
        <w:t xml:space="preserve"> </w:t>
      </w:r>
    </w:p>
    <w:p w14:paraId="78A5B25E" w14:textId="77777777" w:rsidR="00920EA2" w:rsidRPr="005B01D2" w:rsidRDefault="00920EA2" w:rsidP="00F9665E">
      <w:pPr>
        <w:autoSpaceDE w:val="0"/>
        <w:autoSpaceDN w:val="0"/>
        <w:adjustRightInd w:val="0"/>
        <w:jc w:val="both"/>
        <w:rPr>
          <w:lang w:val="nl-BE"/>
        </w:rPr>
      </w:pPr>
    </w:p>
    <w:p w14:paraId="56254987" w14:textId="5CC23730" w:rsidR="006B74F3" w:rsidRPr="005B01D2" w:rsidRDefault="00E35741" w:rsidP="00B2070B">
      <w:pPr>
        <w:jc w:val="both"/>
        <w:rPr>
          <w:lang w:val="nl-BE"/>
        </w:rPr>
      </w:pPr>
      <w:r>
        <w:rPr>
          <w:lang w:val="nl-BE"/>
        </w:rPr>
        <w:t>Ten slotte</w:t>
      </w:r>
      <w:r w:rsidR="00920EA2" w:rsidRPr="005B01D2">
        <w:rPr>
          <w:lang w:val="nl-BE"/>
        </w:rPr>
        <w:t xml:space="preserve"> </w:t>
      </w:r>
      <w:r w:rsidR="002A4971" w:rsidRPr="005B01D2">
        <w:rPr>
          <w:lang w:val="nl-BE"/>
        </w:rPr>
        <w:t xml:space="preserve">verschilt ook de wetgevingstechnische </w:t>
      </w:r>
      <w:r w:rsidR="00920EA2" w:rsidRPr="005B01D2">
        <w:rPr>
          <w:lang w:val="nl-BE"/>
        </w:rPr>
        <w:t xml:space="preserve">formulering van </w:t>
      </w:r>
      <w:r w:rsidR="002A4971" w:rsidRPr="005B01D2">
        <w:rPr>
          <w:lang w:val="nl-BE"/>
        </w:rPr>
        <w:t>de</w:t>
      </w:r>
      <w:r w:rsidR="00920EA2" w:rsidRPr="005B01D2">
        <w:rPr>
          <w:lang w:val="nl-BE"/>
        </w:rPr>
        <w:t xml:space="preserve"> instemmingswet met een samenwerkingsakkoord van d</w:t>
      </w:r>
      <w:r w:rsidR="002A4971" w:rsidRPr="005B01D2">
        <w:rPr>
          <w:lang w:val="nl-BE"/>
        </w:rPr>
        <w:t>eze</w:t>
      </w:r>
      <w:r w:rsidR="00920EA2" w:rsidRPr="005B01D2">
        <w:rPr>
          <w:lang w:val="nl-BE"/>
        </w:rPr>
        <w:t xml:space="preserve"> met een verdrag. De formule voor instemming met een samenwerkingsakkoord luidt: “Instemming wordt verleend met het samenwerkingsakkoord van ... ”, terwijl deze met een verdrag </w:t>
      </w:r>
      <w:r w:rsidR="002A4971" w:rsidRPr="005B01D2">
        <w:rPr>
          <w:lang w:val="nl-BE"/>
        </w:rPr>
        <w:t xml:space="preserve">als volgt </w:t>
      </w:r>
      <w:r w:rsidR="00920EA2" w:rsidRPr="005B01D2">
        <w:rPr>
          <w:lang w:val="nl-BE"/>
        </w:rPr>
        <w:t>luidt: “</w:t>
      </w:r>
      <w:r w:rsidR="002A4971" w:rsidRPr="005B01D2">
        <w:rPr>
          <w:lang w:val="nl-BE"/>
        </w:rPr>
        <w:t xml:space="preserve">Het verdrag </w:t>
      </w:r>
      <w:r w:rsidR="00D271A2" w:rsidRPr="005B01D2">
        <w:rPr>
          <w:lang w:val="nl-BE"/>
        </w:rPr>
        <w:t xml:space="preserve">van </w:t>
      </w:r>
      <w:r w:rsidR="00920EA2" w:rsidRPr="005B01D2">
        <w:rPr>
          <w:lang w:val="nl-BE"/>
        </w:rPr>
        <w:t>… zal volkomen gevolg hebben”.</w:t>
      </w:r>
      <w:r w:rsidR="002A4971" w:rsidRPr="005B01D2">
        <w:rPr>
          <w:rStyle w:val="Voetnootmarkering"/>
          <w:lang w:val="nl-BE"/>
        </w:rPr>
        <w:footnoteReference w:id="99"/>
      </w:r>
      <w:r w:rsidR="00CA36F7" w:rsidRPr="005B01D2">
        <w:rPr>
          <w:lang w:val="nl-BE"/>
        </w:rPr>
        <w:t xml:space="preserve"> </w:t>
      </w:r>
    </w:p>
    <w:p w14:paraId="6F829D40" w14:textId="77777777" w:rsidR="002A4971" w:rsidRPr="005B01D2" w:rsidRDefault="0017775E" w:rsidP="00F9665E">
      <w:pPr>
        <w:pStyle w:val="Kop1"/>
        <w:numPr>
          <w:ilvl w:val="0"/>
          <w:numId w:val="5"/>
        </w:numPr>
        <w:jc w:val="both"/>
        <w:rPr>
          <w:rFonts w:ascii="Times New Roman" w:hAnsi="Times New Roman" w:cs="Times New Roman"/>
          <w:sz w:val="24"/>
          <w:szCs w:val="24"/>
          <w:lang w:val="nl-BE"/>
        </w:rPr>
      </w:pPr>
      <w:r w:rsidRPr="005B01D2">
        <w:rPr>
          <w:rFonts w:ascii="Times New Roman" w:hAnsi="Times New Roman" w:cs="Times New Roman"/>
          <w:sz w:val="24"/>
          <w:szCs w:val="24"/>
          <w:lang w:val="nl-BE"/>
        </w:rPr>
        <w:t>Temporele werking</w:t>
      </w:r>
      <w:r w:rsidR="00920EA2" w:rsidRPr="005B01D2">
        <w:rPr>
          <w:rFonts w:ascii="Times New Roman" w:hAnsi="Times New Roman" w:cs="Times New Roman"/>
          <w:sz w:val="24"/>
          <w:szCs w:val="24"/>
          <w:lang w:val="nl-BE"/>
        </w:rPr>
        <w:t xml:space="preserve"> </w:t>
      </w:r>
    </w:p>
    <w:p w14:paraId="00D79EF5" w14:textId="77777777" w:rsidR="002A4971" w:rsidRPr="005B01D2" w:rsidRDefault="002A4971" w:rsidP="00F9665E">
      <w:pPr>
        <w:jc w:val="both"/>
        <w:rPr>
          <w:lang w:val="nl-BE"/>
        </w:rPr>
      </w:pPr>
    </w:p>
    <w:p w14:paraId="6AF9D679" w14:textId="77777777" w:rsidR="002A4971" w:rsidRPr="005B01D2" w:rsidRDefault="002A4971" w:rsidP="00F9665E">
      <w:pPr>
        <w:jc w:val="both"/>
        <w:rPr>
          <w:lang w:val="nl-BE"/>
        </w:rPr>
      </w:pPr>
      <w:r w:rsidRPr="005B01D2">
        <w:rPr>
          <w:lang w:val="nl-BE"/>
        </w:rPr>
        <w:t xml:space="preserve">16. </w:t>
      </w:r>
      <w:r w:rsidRPr="005B01D2">
        <w:rPr>
          <w:lang w:val="nl-BE"/>
        </w:rPr>
        <w:tab/>
        <w:t>Net zoals voor verdragen wordt de inwerkingtreding van een samenwerkingsakkoord in beginsel geregeld op de wijze zoals overeengekomen tussen de partijen.</w:t>
      </w:r>
      <w:r w:rsidR="00B86B24" w:rsidRPr="005B01D2">
        <w:rPr>
          <w:rStyle w:val="Voetnootmarkering"/>
          <w:lang w:val="nl-BE"/>
        </w:rPr>
        <w:footnoteReference w:id="100"/>
      </w:r>
      <w:r w:rsidRPr="005B01D2">
        <w:rPr>
          <w:lang w:val="nl-BE"/>
        </w:rPr>
        <w:t xml:space="preserve"> Dit is doorgaans </w:t>
      </w:r>
      <w:r w:rsidRPr="005B01D2">
        <w:rPr>
          <w:lang w:val="nl-BE"/>
        </w:rPr>
        <w:lastRenderedPageBreak/>
        <w:t xml:space="preserve">op een </w:t>
      </w:r>
      <w:r w:rsidR="00B80034" w:rsidRPr="005B01D2">
        <w:rPr>
          <w:lang w:val="nl-BE"/>
        </w:rPr>
        <w:t xml:space="preserve">bepaalde </w:t>
      </w:r>
      <w:r w:rsidRPr="005B01D2">
        <w:rPr>
          <w:lang w:val="nl-BE"/>
        </w:rPr>
        <w:t>datum of een bepaalde termijn nadat alle partijen hun wil hebben uitgedrukt om door het verdrag of samenwerkingsakkoord te worden gebonden.</w:t>
      </w:r>
      <w:r w:rsidR="00B507A2" w:rsidRPr="005B01D2">
        <w:rPr>
          <w:rStyle w:val="Voetnootmarkering"/>
          <w:lang w:val="nl-BE"/>
        </w:rPr>
        <w:footnoteReference w:id="101"/>
      </w:r>
      <w:r w:rsidRPr="005B01D2">
        <w:rPr>
          <w:lang w:val="nl-BE"/>
        </w:rPr>
        <w:t xml:space="preserve"> </w:t>
      </w:r>
    </w:p>
    <w:p w14:paraId="0DA5C604" w14:textId="77777777" w:rsidR="002A4971" w:rsidRPr="005B01D2" w:rsidRDefault="002A4971" w:rsidP="00F9665E">
      <w:pPr>
        <w:jc w:val="both"/>
        <w:rPr>
          <w:lang w:val="nl-BE"/>
        </w:rPr>
      </w:pPr>
    </w:p>
    <w:p w14:paraId="2BAA2F3E" w14:textId="77777777" w:rsidR="002A4971" w:rsidRPr="005B01D2" w:rsidRDefault="002A4971" w:rsidP="00F9665E">
      <w:pPr>
        <w:jc w:val="both"/>
        <w:rPr>
          <w:lang w:val="nl-BE"/>
        </w:rPr>
      </w:pPr>
      <w:r w:rsidRPr="005B01D2">
        <w:rPr>
          <w:lang w:val="nl-BE"/>
        </w:rPr>
        <w:t xml:space="preserve">Voor het geval de partijen een regeling van de inwerkingtreding van een samenwerkingsakkoord over het hoofd hebben gezien, past de rechter de </w:t>
      </w:r>
      <w:proofErr w:type="spellStart"/>
      <w:r w:rsidRPr="005B01D2">
        <w:rPr>
          <w:lang w:val="nl-BE"/>
        </w:rPr>
        <w:t>suppletieve</w:t>
      </w:r>
      <w:proofErr w:type="spellEnd"/>
      <w:r w:rsidRPr="005B01D2">
        <w:rPr>
          <w:lang w:val="nl-BE"/>
        </w:rPr>
        <w:t xml:space="preserve"> regeling v</w:t>
      </w:r>
      <w:r w:rsidR="00B80034" w:rsidRPr="005B01D2">
        <w:rPr>
          <w:lang w:val="nl-BE"/>
        </w:rPr>
        <w:t>oor</w:t>
      </w:r>
      <w:r w:rsidRPr="005B01D2">
        <w:rPr>
          <w:lang w:val="nl-BE"/>
        </w:rPr>
        <w:t xml:space="preserve"> verdragen toe, maar dan </w:t>
      </w:r>
      <w:r w:rsidRPr="005B01D2">
        <w:rPr>
          <w:i/>
          <w:iCs/>
          <w:lang w:val="nl-BE"/>
        </w:rPr>
        <w:t xml:space="preserve">à la </w:t>
      </w:r>
      <w:proofErr w:type="spellStart"/>
      <w:r w:rsidR="00CE3CF7">
        <w:rPr>
          <w:i/>
          <w:iCs/>
          <w:lang w:val="nl-BE"/>
        </w:rPr>
        <w:t>b</w:t>
      </w:r>
      <w:r w:rsidR="00CE3CF7" w:rsidRPr="005B01D2">
        <w:rPr>
          <w:i/>
          <w:iCs/>
          <w:lang w:val="nl-BE"/>
        </w:rPr>
        <w:t>elge</w:t>
      </w:r>
      <w:proofErr w:type="spellEnd"/>
      <w:r w:rsidRPr="005B01D2">
        <w:rPr>
          <w:lang w:val="nl-BE"/>
        </w:rPr>
        <w:t>:</w:t>
      </w:r>
    </w:p>
    <w:p w14:paraId="3AE3224F" w14:textId="77777777" w:rsidR="002A4971" w:rsidRPr="005B01D2" w:rsidRDefault="002A4971" w:rsidP="00F9665E">
      <w:pPr>
        <w:pStyle w:val="Lijstalinea"/>
        <w:numPr>
          <w:ilvl w:val="0"/>
          <w:numId w:val="12"/>
        </w:numPr>
        <w:jc w:val="both"/>
        <w:rPr>
          <w:rFonts w:ascii="Times New Roman" w:hAnsi="Times New Roman" w:cs="Times New Roman"/>
          <w:lang w:val="nl-BE"/>
        </w:rPr>
      </w:pPr>
      <w:r w:rsidRPr="005B01D2">
        <w:rPr>
          <w:rFonts w:ascii="Times New Roman" w:hAnsi="Times New Roman" w:cs="Times New Roman"/>
          <w:lang w:val="nl-BE"/>
        </w:rPr>
        <w:t>het samenwerkingsakkoord treedt – naar analogie met verdragen – dan in werking zodra de instemming door het akkoord te worden gebonden (</w:t>
      </w:r>
      <w:r w:rsidRPr="005B01D2">
        <w:rPr>
          <w:rFonts w:ascii="Times New Roman" w:hAnsi="Times New Roman" w:cs="Times New Roman"/>
          <w:i/>
          <w:iCs/>
          <w:lang w:val="nl-BE"/>
        </w:rPr>
        <w:t>supra</w:t>
      </w:r>
      <w:r w:rsidRPr="005B01D2">
        <w:rPr>
          <w:rFonts w:ascii="Times New Roman" w:hAnsi="Times New Roman" w:cs="Times New Roman"/>
          <w:lang w:val="nl-BE"/>
        </w:rPr>
        <w:t xml:space="preserve"> nr. </w:t>
      </w:r>
      <w:r w:rsidR="000C428C" w:rsidRPr="00B2070B">
        <w:rPr>
          <w:rFonts w:ascii="Times New Roman" w:hAnsi="Times New Roman"/>
          <w:lang w:val="nl-BE"/>
        </w:rPr>
        <w:t>13</w:t>
      </w:r>
      <w:r w:rsidRPr="005B01D2">
        <w:rPr>
          <w:rFonts w:ascii="Times New Roman" w:hAnsi="Times New Roman" w:cs="Times New Roman"/>
          <w:lang w:val="nl-BE"/>
        </w:rPr>
        <w:t>) vaststaat voor alle partijen bij de onderhandelingen,</w:t>
      </w:r>
      <w:r w:rsidRPr="005B01D2">
        <w:rPr>
          <w:rStyle w:val="Voetnootmarkering"/>
          <w:rFonts w:ascii="Times New Roman" w:hAnsi="Times New Roman" w:cs="Times New Roman"/>
          <w:lang w:val="nl-BE"/>
        </w:rPr>
        <w:footnoteReference w:id="102"/>
      </w:r>
      <w:r w:rsidRPr="005B01D2">
        <w:rPr>
          <w:rFonts w:ascii="Times New Roman" w:hAnsi="Times New Roman" w:cs="Times New Roman"/>
          <w:lang w:val="nl-BE"/>
        </w:rPr>
        <w:t xml:space="preserve"> </w:t>
      </w:r>
    </w:p>
    <w:p w14:paraId="36A800CC" w14:textId="77777777" w:rsidR="002A4971" w:rsidRPr="005B01D2" w:rsidRDefault="002A4971" w:rsidP="00F9665E">
      <w:pPr>
        <w:pStyle w:val="Lijstalinea"/>
        <w:numPr>
          <w:ilvl w:val="0"/>
          <w:numId w:val="12"/>
        </w:numPr>
        <w:jc w:val="both"/>
        <w:rPr>
          <w:rFonts w:ascii="Times New Roman" w:hAnsi="Times New Roman" w:cs="Times New Roman"/>
          <w:lang w:val="nl-BE"/>
        </w:rPr>
      </w:pPr>
      <w:r w:rsidRPr="005B01D2">
        <w:rPr>
          <w:rFonts w:ascii="Times New Roman" w:hAnsi="Times New Roman" w:cs="Times New Roman"/>
          <w:lang w:val="nl-BE"/>
        </w:rPr>
        <w:t xml:space="preserve">waarbij dit ‘komen vast te staan’ wordt geënt </w:t>
      </w:r>
      <w:r w:rsidR="00B80034" w:rsidRPr="005B01D2">
        <w:rPr>
          <w:rFonts w:ascii="Times New Roman" w:hAnsi="Times New Roman" w:cs="Times New Roman"/>
          <w:lang w:val="nl-BE"/>
        </w:rPr>
        <w:t xml:space="preserve">op de </w:t>
      </w:r>
      <w:proofErr w:type="spellStart"/>
      <w:r w:rsidR="00B80034" w:rsidRPr="005B01D2">
        <w:rPr>
          <w:rFonts w:ascii="Times New Roman" w:hAnsi="Times New Roman" w:cs="Times New Roman"/>
          <w:lang w:val="nl-BE"/>
        </w:rPr>
        <w:t>suppletieve</w:t>
      </w:r>
      <w:proofErr w:type="spellEnd"/>
      <w:r w:rsidR="00B80034" w:rsidRPr="005B01D2">
        <w:rPr>
          <w:rFonts w:ascii="Times New Roman" w:hAnsi="Times New Roman" w:cs="Times New Roman"/>
          <w:lang w:val="nl-BE"/>
        </w:rPr>
        <w:t xml:space="preserve"> regeling</w:t>
      </w:r>
      <w:r w:rsidR="00B80034" w:rsidRPr="005B01D2">
        <w:rPr>
          <w:rStyle w:val="Voetnootmarkering"/>
          <w:rFonts w:ascii="Times New Roman" w:hAnsi="Times New Roman" w:cs="Times New Roman"/>
          <w:lang w:val="nl-BE"/>
        </w:rPr>
        <w:footnoteReference w:id="103"/>
      </w:r>
      <w:r w:rsidR="00B80034" w:rsidRPr="005B01D2">
        <w:rPr>
          <w:rFonts w:ascii="Times New Roman" w:hAnsi="Times New Roman" w:cs="Times New Roman"/>
          <w:lang w:val="nl-BE"/>
        </w:rPr>
        <w:t xml:space="preserve"> voor de inwerkingtreding van wetten en verordeningen, m.n.</w:t>
      </w:r>
      <w:r w:rsidRPr="005B01D2">
        <w:rPr>
          <w:rFonts w:ascii="Times New Roman" w:hAnsi="Times New Roman" w:cs="Times New Roman"/>
          <w:lang w:val="nl-BE"/>
        </w:rPr>
        <w:t xml:space="preserve"> de tiende dag na de bekendmaking van de laatste instemmingsakte</w:t>
      </w:r>
      <w:r w:rsidR="00B86B24" w:rsidRPr="005B01D2">
        <w:rPr>
          <w:rStyle w:val="Voetnootmarkering"/>
          <w:rFonts w:ascii="Times New Roman" w:hAnsi="Times New Roman" w:cs="Times New Roman"/>
          <w:lang w:val="nl-BE"/>
        </w:rPr>
        <w:footnoteReference w:id="104"/>
      </w:r>
      <w:r w:rsidRPr="005B01D2">
        <w:rPr>
          <w:rFonts w:ascii="Times New Roman" w:hAnsi="Times New Roman" w:cs="Times New Roman"/>
          <w:lang w:val="nl-BE"/>
        </w:rPr>
        <w:t xml:space="preserve"> in het Belgisch Staatsblad.</w:t>
      </w:r>
      <w:r w:rsidR="00B86B24" w:rsidRPr="005B01D2">
        <w:rPr>
          <w:rStyle w:val="Voetnootmarkering"/>
          <w:rFonts w:ascii="Times New Roman" w:hAnsi="Times New Roman" w:cs="Times New Roman"/>
          <w:lang w:val="nl-BE"/>
        </w:rPr>
        <w:footnoteReference w:id="105"/>
      </w:r>
    </w:p>
    <w:p w14:paraId="6633729D" w14:textId="77777777" w:rsidR="002A4971" w:rsidRPr="005B01D2" w:rsidRDefault="002A4971" w:rsidP="00F9665E">
      <w:pPr>
        <w:jc w:val="both"/>
        <w:rPr>
          <w:lang w:val="nl-BE"/>
        </w:rPr>
      </w:pPr>
    </w:p>
    <w:p w14:paraId="5EC0EF70" w14:textId="2AEE8568" w:rsidR="002A4971" w:rsidRPr="005B01D2" w:rsidRDefault="002A4971" w:rsidP="00F9665E">
      <w:pPr>
        <w:jc w:val="both"/>
        <w:rPr>
          <w:lang w:val="nl-NL"/>
        </w:rPr>
      </w:pPr>
      <w:r w:rsidRPr="005B01D2">
        <w:rPr>
          <w:lang w:val="nl-NL"/>
        </w:rPr>
        <w:t xml:space="preserve">17. </w:t>
      </w:r>
      <w:r w:rsidRPr="005B01D2">
        <w:rPr>
          <w:lang w:val="nl-NL"/>
        </w:rPr>
        <w:tab/>
        <w:t xml:space="preserve">De </w:t>
      </w:r>
      <w:r w:rsidR="00B80034" w:rsidRPr="005B01D2">
        <w:rPr>
          <w:lang w:val="nl-NL"/>
        </w:rPr>
        <w:t>Raad van State</w:t>
      </w:r>
      <w:r w:rsidRPr="005B01D2">
        <w:rPr>
          <w:lang w:val="nl-NL"/>
        </w:rPr>
        <w:t xml:space="preserve"> ent zijn overweging om tot deze oplossing te komen op de bewoordingen van artikel 92</w:t>
      </w:r>
      <w:r w:rsidRPr="005B01D2">
        <w:rPr>
          <w:i/>
          <w:iCs/>
          <w:lang w:val="nl-NL"/>
        </w:rPr>
        <w:t>bis</w:t>
      </w:r>
      <w:r w:rsidRPr="005B01D2">
        <w:rPr>
          <w:lang w:val="nl-NL"/>
        </w:rPr>
        <w:t xml:space="preserve">, §1, tweede lid, BWHI overeenkomstig dewelke samenwerkingsakkoorden die de instemming van de wetgever vereisen </w:t>
      </w:r>
      <w:r w:rsidR="00B80034" w:rsidRPr="005B01D2">
        <w:rPr>
          <w:lang w:val="nl-NL"/>
        </w:rPr>
        <w:t xml:space="preserve">eerst gevolg hebben </w:t>
      </w:r>
      <w:r w:rsidRPr="005B01D2">
        <w:rPr>
          <w:lang w:val="nl-NL"/>
        </w:rPr>
        <w:t>“nadat</w:t>
      </w:r>
      <w:r w:rsidR="00B80034" w:rsidRPr="005B01D2">
        <w:rPr>
          <w:lang w:val="nl-NL"/>
        </w:rPr>
        <w:t>”</w:t>
      </w:r>
      <w:r w:rsidRPr="005B01D2">
        <w:rPr>
          <w:lang w:val="nl-NL"/>
        </w:rPr>
        <w:t xml:space="preserve"> </w:t>
      </w:r>
      <w:r w:rsidR="00B80034" w:rsidRPr="005B01D2">
        <w:rPr>
          <w:lang w:val="nl-NL"/>
        </w:rPr>
        <w:t xml:space="preserve">ze </w:t>
      </w:r>
      <w:r w:rsidRPr="005B01D2">
        <w:rPr>
          <w:lang w:val="nl-NL"/>
        </w:rPr>
        <w:t xml:space="preserve">zijn instemming hebben verkregen. Uit diezelfde overweging leidde de Raad van </w:t>
      </w:r>
      <w:r w:rsidRPr="005B01D2">
        <w:rPr>
          <w:lang w:val="nl-NL"/>
        </w:rPr>
        <w:lastRenderedPageBreak/>
        <w:t xml:space="preserve">State </w:t>
      </w:r>
      <w:r w:rsidR="00633B52">
        <w:rPr>
          <w:lang w:val="nl-NL"/>
        </w:rPr>
        <w:t>aanvankelijk</w:t>
      </w:r>
      <w:r w:rsidRPr="005B01D2">
        <w:rPr>
          <w:lang w:val="nl-NL"/>
        </w:rPr>
        <w:t xml:space="preserve"> overigens af dat het verlenen van terugwerkende kracht aan samenwerkingsakkoorden niet mogelijk is</w:t>
      </w:r>
      <w:r w:rsidR="00B80034" w:rsidRPr="005B01D2">
        <w:rPr>
          <w:lang w:val="nl-NL"/>
        </w:rPr>
        <w:t xml:space="preserve">, en dat het evenmin mogelijk is om </w:t>
      </w:r>
      <w:r w:rsidRPr="005B01D2">
        <w:rPr>
          <w:lang w:val="nl-NL"/>
        </w:rPr>
        <w:t xml:space="preserve">regelingen van afgeleid recht of </w:t>
      </w:r>
      <w:r w:rsidR="00B80034" w:rsidRPr="005B01D2">
        <w:rPr>
          <w:lang w:val="nl-NL"/>
        </w:rPr>
        <w:t xml:space="preserve">van </w:t>
      </w:r>
      <w:r w:rsidRPr="005B01D2">
        <w:rPr>
          <w:lang w:val="nl-NL"/>
        </w:rPr>
        <w:t>voorafgaande instemmingen met latere uitvoerende samenwerkingsakkoorden</w:t>
      </w:r>
      <w:r w:rsidR="00B80034" w:rsidRPr="005B01D2">
        <w:rPr>
          <w:lang w:val="nl-NL"/>
        </w:rPr>
        <w:t xml:space="preserve"> aan te gaan</w:t>
      </w:r>
      <w:r w:rsidRPr="005B01D2">
        <w:rPr>
          <w:lang w:val="nl-NL"/>
        </w:rPr>
        <w:t>.</w:t>
      </w:r>
      <w:r w:rsidR="00B80034" w:rsidRPr="005B01D2">
        <w:rPr>
          <w:rStyle w:val="Voetnootmarkering"/>
          <w:lang w:val="nl-NL"/>
        </w:rPr>
        <w:footnoteReference w:id="106"/>
      </w:r>
    </w:p>
    <w:p w14:paraId="2AAE85F0" w14:textId="77777777" w:rsidR="002A4971" w:rsidRPr="005B01D2" w:rsidRDefault="002A4971" w:rsidP="00F9665E">
      <w:pPr>
        <w:jc w:val="both"/>
        <w:rPr>
          <w:lang w:val="nl-NL"/>
        </w:rPr>
      </w:pPr>
    </w:p>
    <w:p w14:paraId="04551165" w14:textId="331D1FF2" w:rsidR="002A4971" w:rsidRPr="005B01D2" w:rsidRDefault="002A4971">
      <w:pPr>
        <w:jc w:val="both"/>
        <w:rPr>
          <w:lang w:val="nl-BE"/>
        </w:rPr>
      </w:pPr>
      <w:r w:rsidRPr="005B01D2">
        <w:rPr>
          <w:lang w:val="nl-BE"/>
        </w:rPr>
        <w:t xml:space="preserve">De Raad van State kwam </w:t>
      </w:r>
      <w:r w:rsidR="00B80034" w:rsidRPr="005B01D2">
        <w:rPr>
          <w:lang w:val="nl-BE"/>
        </w:rPr>
        <w:t xml:space="preserve">later </w:t>
      </w:r>
      <w:r w:rsidRPr="005B01D2">
        <w:rPr>
          <w:lang w:val="nl-BE"/>
        </w:rPr>
        <w:t xml:space="preserve">terug op het </w:t>
      </w:r>
      <w:r w:rsidR="00B80034" w:rsidRPr="005B01D2">
        <w:rPr>
          <w:lang w:val="nl-BE"/>
        </w:rPr>
        <w:t xml:space="preserve">principiële </w:t>
      </w:r>
      <w:r w:rsidRPr="005B01D2">
        <w:rPr>
          <w:lang w:val="nl-BE"/>
        </w:rPr>
        <w:t>verbod van terugwerkende kracht en aanvaar</w:t>
      </w:r>
      <w:r w:rsidR="001A2215" w:rsidRPr="005B01D2">
        <w:rPr>
          <w:lang w:val="nl-BE"/>
        </w:rPr>
        <w:t>d</w:t>
      </w:r>
      <w:r w:rsidRPr="005B01D2">
        <w:rPr>
          <w:lang w:val="nl-BE"/>
        </w:rPr>
        <w:t xml:space="preserve">de </w:t>
      </w:r>
      <w:r w:rsidR="00A20A5A">
        <w:rPr>
          <w:lang w:val="nl-BE"/>
        </w:rPr>
        <w:t>–</w:t>
      </w:r>
      <w:r w:rsidRPr="005B01D2">
        <w:rPr>
          <w:lang w:val="nl-BE"/>
        </w:rPr>
        <w:t xml:space="preserve"> naar analogie met de adviespraktijk inzake verdragen </w:t>
      </w:r>
      <w:r w:rsidR="00A20A5A">
        <w:rPr>
          <w:lang w:val="nl-BE"/>
        </w:rPr>
        <w:t>–</w:t>
      </w:r>
      <w:r w:rsidRPr="005B01D2">
        <w:rPr>
          <w:lang w:val="nl-BE"/>
        </w:rPr>
        <w:t xml:space="preserve"> alsnog </w:t>
      </w:r>
      <w:r w:rsidR="00B80034" w:rsidRPr="005B01D2">
        <w:rPr>
          <w:lang w:val="nl-BE"/>
        </w:rPr>
        <w:t xml:space="preserve">dat </w:t>
      </w:r>
      <w:r w:rsidRPr="005B01D2">
        <w:rPr>
          <w:lang w:val="nl-BE"/>
        </w:rPr>
        <w:t xml:space="preserve">onder bepaalde voorwaarden terugwerkende kracht </w:t>
      </w:r>
      <w:r w:rsidR="00B80034" w:rsidRPr="005B01D2">
        <w:rPr>
          <w:lang w:val="nl-BE"/>
        </w:rPr>
        <w:t xml:space="preserve">kon worden verleend </w:t>
      </w:r>
      <w:r w:rsidRPr="005B01D2">
        <w:rPr>
          <w:lang w:val="nl-BE"/>
        </w:rPr>
        <w:t>in de vorm van een bekrachtiging van een reeds eerder in werking getreden samenwerkingsakkoord. Hiertoe vereist</w:t>
      </w:r>
      <w:r w:rsidR="00B80034" w:rsidRPr="005B01D2">
        <w:rPr>
          <w:lang w:val="nl-BE"/>
        </w:rPr>
        <w:t>e</w:t>
      </w:r>
      <w:r w:rsidRPr="005B01D2">
        <w:rPr>
          <w:lang w:val="nl-BE"/>
        </w:rPr>
        <w:t xml:space="preserve"> de Raad </w:t>
      </w:r>
      <w:r w:rsidR="00B80034" w:rsidRPr="005B01D2">
        <w:rPr>
          <w:lang w:val="nl-BE"/>
        </w:rPr>
        <w:t xml:space="preserve">wel </w:t>
      </w:r>
      <w:r w:rsidRPr="005B01D2">
        <w:rPr>
          <w:lang w:val="nl-BE"/>
        </w:rPr>
        <w:t xml:space="preserve">dat: 1) de voorafgaande toepassing uit het samenwerkingsakkoord zelf blijkt, 2) het parlement met volle kennis van zaken wordt verzocht hiermee in te stemmen, en 3) dat aan de algemene voorwaarden </w:t>
      </w:r>
      <w:r w:rsidR="00B80034" w:rsidRPr="005B01D2">
        <w:rPr>
          <w:lang w:val="nl-BE"/>
        </w:rPr>
        <w:t xml:space="preserve">is </w:t>
      </w:r>
      <w:r w:rsidRPr="005B01D2">
        <w:rPr>
          <w:lang w:val="nl-BE"/>
        </w:rPr>
        <w:t>voldaan waarmee aan wetgeving terugwerkende kracht kan worden verleend.</w:t>
      </w:r>
      <w:r w:rsidRPr="005B01D2">
        <w:rPr>
          <w:rStyle w:val="Voetnootmarkering"/>
        </w:rPr>
        <w:footnoteReference w:id="107"/>
      </w:r>
      <w:r w:rsidRPr="005B01D2">
        <w:rPr>
          <w:lang w:val="nl-BE"/>
        </w:rPr>
        <w:t xml:space="preserve"> </w:t>
      </w:r>
    </w:p>
    <w:p w14:paraId="4E8914ED" w14:textId="77777777" w:rsidR="002A4971" w:rsidRPr="005B01D2" w:rsidRDefault="002A4971">
      <w:pPr>
        <w:jc w:val="both"/>
        <w:rPr>
          <w:lang w:val="nl-BE"/>
        </w:rPr>
      </w:pPr>
    </w:p>
    <w:p w14:paraId="7BF49BA4" w14:textId="77777777" w:rsidR="002A4971" w:rsidRPr="005B01D2" w:rsidRDefault="002A4971">
      <w:pPr>
        <w:jc w:val="both"/>
        <w:rPr>
          <w:lang w:val="nl-BE"/>
        </w:rPr>
      </w:pPr>
      <w:r w:rsidRPr="005B01D2">
        <w:rPr>
          <w:lang w:val="nl-BE"/>
        </w:rPr>
        <w:t>Zoals we hierna zullen zien (</w:t>
      </w:r>
      <w:r w:rsidRPr="005B01D2">
        <w:rPr>
          <w:i/>
          <w:iCs/>
          <w:lang w:val="nl-BE"/>
        </w:rPr>
        <w:t>infra</w:t>
      </w:r>
      <w:r w:rsidRPr="005B01D2">
        <w:rPr>
          <w:lang w:val="nl-BE"/>
        </w:rPr>
        <w:t xml:space="preserve"> </w:t>
      </w:r>
      <w:r w:rsidR="000C428C" w:rsidRPr="00B2070B">
        <w:rPr>
          <w:lang w:val="nl-BE"/>
        </w:rPr>
        <w:t>hoofdstuk VI</w:t>
      </w:r>
      <w:r w:rsidRPr="005B01D2">
        <w:rPr>
          <w:lang w:val="nl-BE"/>
        </w:rPr>
        <w:t>)</w:t>
      </w:r>
      <w:r w:rsidR="00B80034" w:rsidRPr="005B01D2">
        <w:rPr>
          <w:lang w:val="nl-BE"/>
        </w:rPr>
        <w:t>,</w:t>
      </w:r>
      <w:r w:rsidRPr="005B01D2">
        <w:rPr>
          <w:lang w:val="nl-BE"/>
        </w:rPr>
        <w:t xml:space="preserve"> werd het sluiten van uitvoerende samenwerkingsakkoorden dan weer mogelijk gemaakt door een wijziging van de bijzondere wet. De Raad van State blijft daarentegen terughoudend voor andere regelingen van afgeleid samenwerkingsrecht, tenzij indien deze als een uitvoerend samenwerkingsakkoord in de zin van artikel 92</w:t>
      </w:r>
      <w:r w:rsidRPr="005B01D2">
        <w:rPr>
          <w:i/>
          <w:iCs/>
          <w:lang w:val="nl-BE"/>
        </w:rPr>
        <w:t>bis</w:t>
      </w:r>
      <w:r w:rsidRPr="005B01D2">
        <w:rPr>
          <w:lang w:val="nl-BE"/>
        </w:rPr>
        <w:t xml:space="preserve">, §1, derde lid, BWHI kunnen worden </w:t>
      </w:r>
      <w:proofErr w:type="spellStart"/>
      <w:r w:rsidRPr="005B01D2">
        <w:rPr>
          <w:lang w:val="nl-BE"/>
        </w:rPr>
        <w:t>geherkwalificeerd</w:t>
      </w:r>
      <w:proofErr w:type="spellEnd"/>
      <w:r w:rsidRPr="005B01D2">
        <w:rPr>
          <w:lang w:val="nl-BE"/>
        </w:rPr>
        <w:t>.</w:t>
      </w:r>
      <w:r w:rsidR="0056136C" w:rsidRPr="005B01D2">
        <w:rPr>
          <w:rStyle w:val="Voetnootmarkering"/>
          <w:lang w:val="nl-BE"/>
        </w:rPr>
        <w:footnoteReference w:id="108"/>
      </w:r>
      <w:r w:rsidRPr="005B01D2">
        <w:rPr>
          <w:lang w:val="nl-BE"/>
        </w:rPr>
        <w:t xml:space="preserve"> </w:t>
      </w:r>
    </w:p>
    <w:p w14:paraId="7203D0B8" w14:textId="77777777" w:rsidR="002A4971" w:rsidRPr="005B01D2" w:rsidRDefault="002A4971">
      <w:pPr>
        <w:jc w:val="both"/>
        <w:rPr>
          <w:lang w:val="nl-BE"/>
        </w:rPr>
      </w:pPr>
    </w:p>
    <w:p w14:paraId="176B23A6" w14:textId="77777777" w:rsidR="002A4971" w:rsidRPr="005B01D2" w:rsidRDefault="002A4971">
      <w:pPr>
        <w:jc w:val="both"/>
        <w:rPr>
          <w:lang w:val="nl-BE"/>
        </w:rPr>
      </w:pPr>
      <w:r w:rsidRPr="005B01D2">
        <w:rPr>
          <w:lang w:val="nl-BE"/>
        </w:rPr>
        <w:t xml:space="preserve">18. </w:t>
      </w:r>
      <w:r w:rsidRPr="005B01D2">
        <w:rPr>
          <w:lang w:val="nl-BE"/>
        </w:rPr>
        <w:tab/>
        <w:t xml:space="preserve">De Raad van State wijst het instrument van voorlopige toepassing </w:t>
      </w:r>
      <w:r w:rsidR="00B86B24" w:rsidRPr="005B01D2">
        <w:rPr>
          <w:lang w:val="nl-BE"/>
        </w:rPr>
        <w:t xml:space="preserve">in afwachting van inwerkingtreding </w:t>
      </w:r>
      <w:r w:rsidRPr="005B01D2">
        <w:rPr>
          <w:lang w:val="nl-BE"/>
        </w:rPr>
        <w:t xml:space="preserve">principieel af </w:t>
      </w:r>
      <w:r w:rsidR="00B86B24" w:rsidRPr="005B01D2">
        <w:rPr>
          <w:lang w:val="nl-BE"/>
        </w:rPr>
        <w:t>zowel voor verdragen</w:t>
      </w:r>
      <w:r w:rsidR="00B86B24" w:rsidRPr="005B01D2">
        <w:rPr>
          <w:rStyle w:val="Voetnootmarkering"/>
          <w:lang w:val="nl-BE"/>
        </w:rPr>
        <w:footnoteReference w:id="109"/>
      </w:r>
      <w:r w:rsidR="00B86B24" w:rsidRPr="005B01D2">
        <w:rPr>
          <w:lang w:val="nl-BE"/>
        </w:rPr>
        <w:t xml:space="preserve"> als voor samenwerkingsakkoorden </w:t>
      </w:r>
      <w:r w:rsidRPr="005B01D2">
        <w:rPr>
          <w:lang w:val="nl-BE"/>
        </w:rPr>
        <w:t xml:space="preserve">omdat hiermee vooruit wordt gelopen op de instemming van het parlement. Het </w:t>
      </w:r>
      <w:r w:rsidR="00B80034" w:rsidRPr="005B01D2">
        <w:rPr>
          <w:lang w:val="nl-BE"/>
        </w:rPr>
        <w:t>p</w:t>
      </w:r>
      <w:r w:rsidRPr="005B01D2">
        <w:rPr>
          <w:lang w:val="nl-BE"/>
        </w:rPr>
        <w:t xml:space="preserve">arlement wordt </w:t>
      </w:r>
      <w:r w:rsidR="00AC72A4">
        <w:rPr>
          <w:lang w:val="nl-BE"/>
        </w:rPr>
        <w:t>anders</w:t>
      </w:r>
      <w:r w:rsidR="00AC72A4" w:rsidRPr="005B01D2">
        <w:rPr>
          <w:lang w:val="nl-BE"/>
        </w:rPr>
        <w:t xml:space="preserve"> </w:t>
      </w:r>
      <w:r w:rsidRPr="005B01D2">
        <w:rPr>
          <w:lang w:val="nl-BE"/>
        </w:rPr>
        <w:t xml:space="preserve">voor de keuze gesteld </w:t>
      </w:r>
      <w:r w:rsidR="00B80034" w:rsidRPr="005B01D2">
        <w:rPr>
          <w:lang w:val="nl-BE"/>
        </w:rPr>
        <w:t xml:space="preserve">om </w:t>
      </w:r>
      <w:r w:rsidRPr="005B01D2">
        <w:rPr>
          <w:lang w:val="nl-BE"/>
        </w:rPr>
        <w:t>ofwel de voorlopige toepassing te bekrachtigen, ofwel</w:t>
      </w:r>
      <w:r w:rsidR="00B80034" w:rsidRPr="005B01D2">
        <w:rPr>
          <w:lang w:val="nl-BE"/>
        </w:rPr>
        <w:t xml:space="preserve"> om</w:t>
      </w:r>
      <w:r w:rsidRPr="005B01D2">
        <w:rPr>
          <w:lang w:val="nl-BE"/>
        </w:rPr>
        <w:t xml:space="preserve">, in geval van niet-instemming, zijn overheid tegenover de medeondertekenaar(s) in een delicate positie te plaatsen. Dat is een beperking op het recht van het parlement om vrij te oordelen of het al dan niet zijn instemming kan verlenen. Bovendien is het zo dat, ook al zou de instemming van het parlement tot gevolg hebben dat het eerder tot stand gekomene wordt bevestigd, de overeenkomst </w:t>
      </w:r>
      <w:r w:rsidR="00B80034" w:rsidRPr="005B01D2">
        <w:rPr>
          <w:lang w:val="nl-BE"/>
        </w:rPr>
        <w:t xml:space="preserve">in elk geval </w:t>
      </w:r>
      <w:r w:rsidRPr="005B01D2">
        <w:rPr>
          <w:lang w:val="nl-BE"/>
        </w:rPr>
        <w:t>in het interne recht geen gevolg kan hebben alvorens die instemming is gegeven, hetgeen tot moeilijkheden kan leiden. Dat is enkel niet het geval zo er voor een verdragsconforme toepassing in de praktijk reeds binnen het bestaande juridische kader een voldoende grondslag voorhanden is.</w:t>
      </w:r>
      <w:r w:rsidRPr="005B01D2">
        <w:rPr>
          <w:rStyle w:val="Voetnootmarkering"/>
          <w:lang w:val="nl-BE"/>
        </w:rPr>
        <w:footnoteReference w:id="110"/>
      </w:r>
      <w:r w:rsidRPr="005B01D2">
        <w:rPr>
          <w:lang w:val="nl-BE"/>
        </w:rPr>
        <w:t xml:space="preserve"> </w:t>
      </w:r>
    </w:p>
    <w:p w14:paraId="04435413" w14:textId="77777777" w:rsidR="00427AFC" w:rsidRPr="005B01D2" w:rsidRDefault="00427AFC" w:rsidP="00427AFC">
      <w:pPr>
        <w:jc w:val="both"/>
        <w:rPr>
          <w:lang w:val="nl-BE"/>
        </w:rPr>
      </w:pPr>
    </w:p>
    <w:p w14:paraId="25FD1C4B" w14:textId="77777777" w:rsidR="00391D3B" w:rsidRDefault="00A87036">
      <w:pPr>
        <w:pStyle w:val="Kop1"/>
      </w:pPr>
      <w:r w:rsidRPr="00A87036">
        <w:rPr>
          <w:rFonts w:ascii="Times New Roman" w:hAnsi="Times New Roman" w:cs="Times New Roman"/>
          <w:sz w:val="24"/>
          <w:szCs w:val="24"/>
          <w:lang w:val="nl-BE"/>
        </w:rPr>
        <w:t>VI. Afgeleid recht</w:t>
      </w:r>
    </w:p>
    <w:p w14:paraId="7A333658" w14:textId="77777777" w:rsidR="00391D3B" w:rsidRDefault="00A87036">
      <w:pPr>
        <w:pStyle w:val="Kop2"/>
        <w:numPr>
          <w:ilvl w:val="0"/>
          <w:numId w:val="23"/>
        </w:numPr>
        <w:rPr>
          <w:lang w:val="nl-BE"/>
        </w:rPr>
      </w:pPr>
      <w:r w:rsidRPr="00A87036">
        <w:rPr>
          <w:rFonts w:ascii="Times New Roman" w:hAnsi="Times New Roman" w:cs="Times New Roman"/>
          <w:sz w:val="24"/>
          <w:szCs w:val="24"/>
          <w:lang w:val="nl-BE"/>
        </w:rPr>
        <w:t>Afgeleid internationaal recht</w:t>
      </w:r>
    </w:p>
    <w:p w14:paraId="19B8CAA7" w14:textId="77777777" w:rsidR="00391D3B" w:rsidRDefault="00391D3B">
      <w:pPr>
        <w:pStyle w:val="Lijstalinea"/>
        <w:rPr>
          <w:lang w:val="nl-BE"/>
        </w:rPr>
      </w:pPr>
    </w:p>
    <w:p w14:paraId="614325BC" w14:textId="77777777" w:rsidR="005949EF" w:rsidRPr="005B01D2" w:rsidRDefault="00CA36F7" w:rsidP="00427AFC">
      <w:pPr>
        <w:jc w:val="both"/>
        <w:rPr>
          <w:lang w:val="nl-BE" w:eastAsia="en-US"/>
        </w:rPr>
      </w:pPr>
      <w:r w:rsidRPr="005B01D2">
        <w:rPr>
          <w:lang w:val="nl-BE" w:eastAsia="en-US"/>
        </w:rPr>
        <w:t>19.</w:t>
      </w:r>
      <w:r w:rsidRPr="005B01D2">
        <w:rPr>
          <w:lang w:val="nl-BE" w:eastAsia="en-US"/>
        </w:rPr>
        <w:tab/>
        <w:t>Artikel 34 van de Grondwet maakt het uitdrukkelijk mogelijk om bij verdrag machten over te dragen aan supranationale instellingen. Dergelijke delegaties zij</w:t>
      </w:r>
      <w:r w:rsidR="00D458A6" w:rsidRPr="005B01D2">
        <w:rPr>
          <w:lang w:val="nl-BE" w:eastAsia="en-US"/>
        </w:rPr>
        <w:t>n</w:t>
      </w:r>
      <w:r w:rsidRPr="005B01D2">
        <w:rPr>
          <w:lang w:val="nl-BE" w:eastAsia="en-US"/>
        </w:rPr>
        <w:t xml:space="preserve"> onderworpen aan </w:t>
      </w:r>
      <w:r w:rsidR="00381175" w:rsidRPr="005B01D2">
        <w:rPr>
          <w:lang w:val="nl-BE" w:eastAsia="en-US"/>
        </w:rPr>
        <w:lastRenderedPageBreak/>
        <w:t xml:space="preserve">een aantal – </w:t>
      </w:r>
      <w:r w:rsidR="00381175" w:rsidRPr="005B01D2">
        <w:rPr>
          <w:i/>
          <w:iCs/>
          <w:lang w:val="nl-BE" w:eastAsia="en-US"/>
        </w:rPr>
        <w:t xml:space="preserve">de facto </w:t>
      </w:r>
      <w:r w:rsidR="00381175" w:rsidRPr="005B01D2">
        <w:rPr>
          <w:lang w:val="nl-BE" w:eastAsia="en-US"/>
        </w:rPr>
        <w:t xml:space="preserve">vrij coulante </w:t>
      </w:r>
      <w:r w:rsidR="00A20DB1" w:rsidRPr="005B01D2">
        <w:rPr>
          <w:lang w:val="nl-BE" w:eastAsia="en-US"/>
        </w:rPr>
        <w:t xml:space="preserve">– </w:t>
      </w:r>
      <w:r w:rsidR="00381175" w:rsidRPr="005B01D2">
        <w:rPr>
          <w:lang w:val="nl-BE" w:eastAsia="en-US"/>
        </w:rPr>
        <w:t>voorwaarden.</w:t>
      </w:r>
      <w:r w:rsidR="00295B83" w:rsidRPr="005B01D2">
        <w:rPr>
          <w:rStyle w:val="Voetnootmarkering"/>
          <w:lang w:val="nl-BE" w:eastAsia="en-US"/>
        </w:rPr>
        <w:footnoteReference w:id="111"/>
      </w:r>
      <w:r w:rsidR="005538D3" w:rsidRPr="005B01D2">
        <w:rPr>
          <w:lang w:val="nl-BE" w:eastAsia="en-US"/>
        </w:rPr>
        <w:t xml:space="preserve"> </w:t>
      </w:r>
      <w:r w:rsidR="0003243B" w:rsidRPr="005B01D2">
        <w:rPr>
          <w:lang w:val="nl-BE" w:eastAsia="en-US"/>
        </w:rPr>
        <w:t xml:space="preserve">Op die manier kan zowel de rechtsprekende, uitvoerende als wetgevende functie gedeeltelijk worden overgedragen aan </w:t>
      </w:r>
      <w:r w:rsidR="00D540CA" w:rsidRPr="005B01D2">
        <w:rPr>
          <w:lang w:val="nl-BE" w:eastAsia="en-US"/>
        </w:rPr>
        <w:t xml:space="preserve">internationale </w:t>
      </w:r>
      <w:r w:rsidR="0003243B" w:rsidRPr="005B01D2">
        <w:rPr>
          <w:lang w:val="nl-BE" w:eastAsia="en-US"/>
        </w:rPr>
        <w:t>organen die worden opgericht bij verdrag</w:t>
      </w:r>
      <w:r w:rsidR="00D458A6" w:rsidRPr="005B01D2">
        <w:rPr>
          <w:lang w:val="nl-BE" w:eastAsia="en-US"/>
        </w:rPr>
        <w:t>.</w:t>
      </w:r>
      <w:r w:rsidR="00D540CA" w:rsidRPr="005B01D2">
        <w:rPr>
          <w:rStyle w:val="Voetnootmarkering"/>
          <w:lang w:val="nl-BE" w:eastAsia="en-US"/>
        </w:rPr>
        <w:footnoteReference w:id="112"/>
      </w:r>
      <w:r w:rsidR="00D458A6" w:rsidRPr="005B01D2">
        <w:rPr>
          <w:lang w:val="nl-BE" w:eastAsia="en-US"/>
        </w:rPr>
        <w:t xml:space="preserve"> Het</w:t>
      </w:r>
      <w:r w:rsidR="00A20DB1" w:rsidRPr="005B01D2">
        <w:rPr>
          <w:lang w:val="nl-BE" w:eastAsia="en-US"/>
        </w:rPr>
        <w:t xml:space="preserve"> ligt anders indien de organen in kwestie vervolgens ook wijzigingen zouden kunnen aanbrengen in </w:t>
      </w:r>
      <w:r w:rsidR="0003243B" w:rsidRPr="005B01D2">
        <w:rPr>
          <w:lang w:val="nl-BE" w:eastAsia="en-US"/>
        </w:rPr>
        <w:t xml:space="preserve">de tekst van </w:t>
      </w:r>
      <w:r w:rsidR="00D458A6" w:rsidRPr="005B01D2">
        <w:rPr>
          <w:lang w:val="nl-BE" w:eastAsia="en-US"/>
        </w:rPr>
        <w:t>het verdrag</w:t>
      </w:r>
      <w:r w:rsidR="0003243B" w:rsidRPr="005B01D2">
        <w:rPr>
          <w:lang w:val="nl-BE" w:eastAsia="en-US"/>
        </w:rPr>
        <w:t xml:space="preserve"> zelf. </w:t>
      </w:r>
      <w:r w:rsidR="005538D3" w:rsidRPr="005B01D2">
        <w:rPr>
          <w:lang w:val="nl-BE" w:eastAsia="en-US"/>
        </w:rPr>
        <w:t xml:space="preserve">Voor dergelijke vereenvoudigde verdragswijzigingen </w:t>
      </w:r>
      <w:r w:rsidR="0003243B" w:rsidRPr="005B01D2">
        <w:rPr>
          <w:lang w:val="nl-BE" w:eastAsia="en-US"/>
        </w:rPr>
        <w:t>geldt immers het enigszins striktere kader voor de anticipatieve</w:t>
      </w:r>
      <w:r w:rsidR="00CD7BA5" w:rsidRPr="005B01D2">
        <w:rPr>
          <w:lang w:val="nl-BE" w:eastAsia="en-US"/>
        </w:rPr>
        <w:t>, voorwaardelijke</w:t>
      </w:r>
      <w:r w:rsidR="0003243B" w:rsidRPr="005B01D2">
        <w:rPr>
          <w:lang w:val="nl-BE" w:eastAsia="en-US"/>
        </w:rPr>
        <w:t xml:space="preserve"> instemming.</w:t>
      </w:r>
      <w:r w:rsidR="0003243B" w:rsidRPr="005B01D2">
        <w:rPr>
          <w:rStyle w:val="Voetnootmarkering"/>
          <w:lang w:val="nl-BE" w:eastAsia="en-US"/>
        </w:rPr>
        <w:footnoteReference w:id="113"/>
      </w:r>
      <w:r w:rsidR="00D458A6" w:rsidRPr="005B01D2">
        <w:rPr>
          <w:lang w:val="nl-BE" w:eastAsia="en-US"/>
        </w:rPr>
        <w:t xml:space="preserve"> </w:t>
      </w:r>
    </w:p>
    <w:p w14:paraId="680B788F" w14:textId="77777777" w:rsidR="00137A57" w:rsidRPr="005B01D2" w:rsidRDefault="00137A57" w:rsidP="00427AFC">
      <w:pPr>
        <w:jc w:val="both"/>
        <w:rPr>
          <w:lang w:val="nl-BE" w:eastAsia="en-US"/>
        </w:rPr>
      </w:pPr>
    </w:p>
    <w:p w14:paraId="1B1CE8EF" w14:textId="77777777" w:rsidR="00391D3B" w:rsidRDefault="00137A57">
      <w:pPr>
        <w:autoSpaceDE w:val="0"/>
        <w:autoSpaceDN w:val="0"/>
        <w:adjustRightInd w:val="0"/>
        <w:jc w:val="both"/>
        <w:rPr>
          <w:vertAlign w:val="superscript"/>
          <w:lang w:val="nl-BE"/>
        </w:rPr>
      </w:pPr>
      <w:r w:rsidRPr="005B01D2">
        <w:rPr>
          <w:lang w:val="nl-BE" w:eastAsia="en-US"/>
        </w:rPr>
        <w:t xml:space="preserve">Daarnaast is het ook mogelijk om </w:t>
      </w:r>
      <w:r w:rsidR="00A87036" w:rsidRPr="00A87036">
        <w:rPr>
          <w:lang w:val="nl-BE"/>
        </w:rPr>
        <w:t xml:space="preserve">in de </w:t>
      </w:r>
      <w:r w:rsidR="00992199" w:rsidRPr="005B01D2">
        <w:rPr>
          <w:lang w:val="nl-BE"/>
        </w:rPr>
        <w:t xml:space="preserve">loutere </w:t>
      </w:r>
      <w:r w:rsidR="00A87036" w:rsidRPr="00A87036">
        <w:rPr>
          <w:lang w:val="nl-BE"/>
        </w:rPr>
        <w:t xml:space="preserve">administratieve en technische uitvoering van </w:t>
      </w:r>
      <w:r w:rsidR="00992199" w:rsidRPr="005B01D2">
        <w:rPr>
          <w:lang w:val="nl-BE"/>
        </w:rPr>
        <w:t>een verdrag</w:t>
      </w:r>
      <w:r w:rsidR="003B3496" w:rsidRPr="005B01D2">
        <w:rPr>
          <w:lang w:val="nl-BE"/>
        </w:rPr>
        <w:t>,</w:t>
      </w:r>
      <w:r w:rsidR="00992199" w:rsidRPr="005B01D2">
        <w:rPr>
          <w:lang w:val="nl-BE"/>
        </w:rPr>
        <w:t xml:space="preserve"> </w:t>
      </w:r>
      <w:r w:rsidRPr="005B01D2">
        <w:rPr>
          <w:lang w:val="nl-BE"/>
        </w:rPr>
        <w:t xml:space="preserve">te voorzien door het sluiten van </w:t>
      </w:r>
      <w:r w:rsidRPr="005B01D2">
        <w:rPr>
          <w:i/>
          <w:iCs/>
          <w:lang w:val="nl-BE"/>
        </w:rPr>
        <w:t xml:space="preserve">executive </w:t>
      </w:r>
      <w:proofErr w:type="spellStart"/>
      <w:r w:rsidRPr="005B01D2">
        <w:rPr>
          <w:i/>
          <w:iCs/>
          <w:lang w:val="nl-BE"/>
        </w:rPr>
        <w:t>agreements</w:t>
      </w:r>
      <w:proofErr w:type="spellEnd"/>
      <w:r w:rsidR="00C3106F" w:rsidRPr="005B01D2">
        <w:rPr>
          <w:iCs/>
          <w:lang w:val="nl-BE"/>
        </w:rPr>
        <w:t xml:space="preserve"> (uitvoeringsakkoorden)</w:t>
      </w:r>
      <w:r w:rsidRPr="005B01D2">
        <w:rPr>
          <w:lang w:val="nl-BE"/>
        </w:rPr>
        <w:t xml:space="preserve"> die niet aan het parlement </w:t>
      </w:r>
      <w:r w:rsidR="00992199" w:rsidRPr="005B01D2">
        <w:rPr>
          <w:lang w:val="nl-BE"/>
        </w:rPr>
        <w:t xml:space="preserve">ter instemming </w:t>
      </w:r>
      <w:r w:rsidRPr="005B01D2">
        <w:rPr>
          <w:lang w:val="nl-BE"/>
        </w:rPr>
        <w:t>moeten worden voorgelegd.</w:t>
      </w:r>
      <w:r w:rsidR="00C3106F" w:rsidRPr="005B01D2">
        <w:rPr>
          <w:rStyle w:val="Voetnootmarkering"/>
          <w:lang w:val="nl-BE"/>
        </w:rPr>
        <w:footnoteReference w:id="114"/>
      </w:r>
      <w:r w:rsidRPr="005B01D2">
        <w:rPr>
          <w:lang w:val="nl-BE"/>
        </w:rPr>
        <w:t xml:space="preserve"> </w:t>
      </w:r>
      <w:r w:rsidR="00A87036" w:rsidRPr="00A87036">
        <w:rPr>
          <w:lang w:val="nl-BE"/>
        </w:rPr>
        <w:t xml:space="preserve">Uit de praktijk blijkt echter ook dat sommige </w:t>
      </w:r>
      <w:r w:rsidR="00993513" w:rsidRPr="005B01D2">
        <w:rPr>
          <w:lang w:val="nl-BE"/>
        </w:rPr>
        <w:t xml:space="preserve">van die </w:t>
      </w:r>
      <w:r w:rsidR="00A87036" w:rsidRPr="00A87036">
        <w:rPr>
          <w:i/>
          <w:lang w:val="nl-BE"/>
        </w:rPr>
        <w:t xml:space="preserve">executive </w:t>
      </w:r>
      <w:proofErr w:type="spellStart"/>
      <w:r w:rsidR="00A87036" w:rsidRPr="00A87036">
        <w:rPr>
          <w:i/>
          <w:lang w:val="nl-BE"/>
        </w:rPr>
        <w:t>agreements</w:t>
      </w:r>
      <w:proofErr w:type="spellEnd"/>
      <w:r w:rsidR="00A87036" w:rsidRPr="00A87036">
        <w:rPr>
          <w:lang w:val="nl-BE"/>
        </w:rPr>
        <w:t xml:space="preserve"> wel zelf autonome regelingen inhouden, die nieuwe rechten en verplichtingen met zich </w:t>
      </w:r>
      <w:r w:rsidR="00F2081B" w:rsidRPr="005B01D2">
        <w:rPr>
          <w:lang w:val="nl-BE"/>
        </w:rPr>
        <w:t>mee</w:t>
      </w:r>
      <w:r w:rsidR="00A87036" w:rsidRPr="00A87036">
        <w:rPr>
          <w:lang w:val="nl-BE"/>
        </w:rPr>
        <w:t xml:space="preserve">brengen voor de overheden of de burgers. In dat geval dienen deze akkoorden </w:t>
      </w:r>
      <w:r w:rsidR="00C3106F" w:rsidRPr="005B01D2">
        <w:rPr>
          <w:lang w:val="nl-BE"/>
        </w:rPr>
        <w:t xml:space="preserve">zonder meer </w:t>
      </w:r>
      <w:r w:rsidR="00A87036" w:rsidRPr="00A87036">
        <w:rPr>
          <w:lang w:val="nl-BE"/>
        </w:rPr>
        <w:t>als verdragen te worden beschouwd</w:t>
      </w:r>
      <w:r w:rsidR="00993513" w:rsidRPr="005B01D2">
        <w:rPr>
          <w:lang w:val="nl-BE"/>
        </w:rPr>
        <w:t>, en moet er dus wel op de traditionele wijze mee worden ingestemd</w:t>
      </w:r>
      <w:r w:rsidR="00A87036" w:rsidRPr="00A87036">
        <w:rPr>
          <w:lang w:val="nl-BE"/>
        </w:rPr>
        <w:t>.</w:t>
      </w:r>
      <w:r w:rsidR="00993513" w:rsidRPr="005B01D2">
        <w:rPr>
          <w:rStyle w:val="Voetnootmarkering"/>
          <w:lang w:val="nl-BE"/>
        </w:rPr>
        <w:footnoteReference w:id="115"/>
      </w:r>
      <w:r w:rsidR="00A87036" w:rsidRPr="00A87036">
        <w:rPr>
          <w:vertAlign w:val="superscript"/>
          <w:lang w:val="nl-BE"/>
        </w:rPr>
        <w:t>-</w:t>
      </w:r>
      <w:r w:rsidR="00BF3D14" w:rsidRPr="005B01D2">
        <w:rPr>
          <w:rStyle w:val="Voetnootmarkering"/>
          <w:lang w:val="nl-BE"/>
        </w:rPr>
        <w:footnoteReference w:id="116"/>
      </w:r>
    </w:p>
    <w:p w14:paraId="3F20CA47" w14:textId="77777777" w:rsidR="00391D3B" w:rsidRDefault="00391D3B">
      <w:pPr>
        <w:autoSpaceDE w:val="0"/>
        <w:autoSpaceDN w:val="0"/>
        <w:adjustRightInd w:val="0"/>
        <w:jc w:val="both"/>
        <w:rPr>
          <w:lang w:val="nl-BE" w:eastAsia="en-US"/>
        </w:rPr>
      </w:pPr>
    </w:p>
    <w:p w14:paraId="67FCDB22" w14:textId="77777777" w:rsidR="00BF3D14" w:rsidRPr="005B01D2" w:rsidRDefault="00BF3D14" w:rsidP="00427AFC">
      <w:pPr>
        <w:jc w:val="both"/>
        <w:rPr>
          <w:lang w:val="nl-BE" w:eastAsia="en-US"/>
        </w:rPr>
      </w:pPr>
      <w:r w:rsidRPr="005B01D2">
        <w:rPr>
          <w:lang w:val="nl-BE" w:eastAsia="en-US"/>
        </w:rPr>
        <w:lastRenderedPageBreak/>
        <w:t xml:space="preserve">Al bij al is het bij verdragen relatief eenvoudig om onder de paraplu van een verdrag </w:t>
      </w:r>
      <w:r w:rsidR="004E60AF" w:rsidRPr="005B01D2">
        <w:rPr>
          <w:lang w:val="nl-BE" w:eastAsia="en-US"/>
        </w:rPr>
        <w:t>afgeleid recht aan te nemen</w:t>
      </w:r>
      <w:r w:rsidRPr="005B01D2">
        <w:rPr>
          <w:lang w:val="nl-BE" w:eastAsia="en-US"/>
        </w:rPr>
        <w:t xml:space="preserve">, waarbij </w:t>
      </w:r>
      <w:r w:rsidR="00903741" w:rsidRPr="005B01D2">
        <w:rPr>
          <w:lang w:val="nl-BE" w:eastAsia="en-US"/>
        </w:rPr>
        <w:t xml:space="preserve">de </w:t>
      </w:r>
      <w:r w:rsidR="004E60AF" w:rsidRPr="005B01D2">
        <w:rPr>
          <w:lang w:val="nl-BE" w:eastAsia="en-US"/>
        </w:rPr>
        <w:t xml:space="preserve">al beperkte </w:t>
      </w:r>
      <w:r w:rsidRPr="005B01D2">
        <w:rPr>
          <w:lang w:val="nl-BE" w:eastAsia="en-US"/>
        </w:rPr>
        <w:t>democrati</w:t>
      </w:r>
      <w:r w:rsidR="006A3F33" w:rsidRPr="005B01D2">
        <w:rPr>
          <w:lang w:val="nl-BE" w:eastAsia="en-US"/>
        </w:rPr>
        <w:t xml:space="preserve">sche controle </w:t>
      </w:r>
      <w:r w:rsidR="00903741" w:rsidRPr="005B01D2">
        <w:rPr>
          <w:lang w:val="nl-BE" w:eastAsia="en-US"/>
        </w:rPr>
        <w:t xml:space="preserve">verder </w:t>
      </w:r>
      <w:r w:rsidR="006A3F33" w:rsidRPr="005B01D2">
        <w:rPr>
          <w:lang w:val="nl-BE" w:eastAsia="en-US"/>
        </w:rPr>
        <w:t xml:space="preserve">tot een minimum wordt </w:t>
      </w:r>
      <w:r w:rsidR="004E60AF" w:rsidRPr="005B01D2">
        <w:rPr>
          <w:lang w:val="nl-BE" w:eastAsia="en-US"/>
        </w:rPr>
        <w:t>herleid</w:t>
      </w:r>
      <w:r w:rsidRPr="005B01D2">
        <w:rPr>
          <w:lang w:val="nl-BE" w:eastAsia="en-US"/>
        </w:rPr>
        <w:t xml:space="preserve">. </w:t>
      </w:r>
      <w:r w:rsidR="006A3F33" w:rsidRPr="005B01D2">
        <w:rPr>
          <w:lang w:val="nl-BE" w:eastAsia="en-US"/>
        </w:rPr>
        <w:t xml:space="preserve">Het valt dan ook op dat samenwerkingsakkoorden net op dit punt heel anders worden behandeld, zodat het bijna eenvoudiger </w:t>
      </w:r>
      <w:r w:rsidR="007B2F33" w:rsidRPr="005B01D2">
        <w:rPr>
          <w:lang w:val="nl-BE" w:eastAsia="en-US"/>
        </w:rPr>
        <w:t>lijkt</w:t>
      </w:r>
      <w:r w:rsidR="006A3F33" w:rsidRPr="005B01D2">
        <w:rPr>
          <w:lang w:val="nl-BE" w:eastAsia="en-US"/>
        </w:rPr>
        <w:t xml:space="preserve"> om internationale samenwerking op te zetten dan een samenwerking tussen de federale overheid, de gemeenschappen en de gewesten binnen België.</w:t>
      </w:r>
      <w:r w:rsidR="00F2081B" w:rsidRPr="005B01D2">
        <w:rPr>
          <w:rStyle w:val="Voetnootmarkering"/>
          <w:lang w:val="nl-BE" w:eastAsia="en-US"/>
        </w:rPr>
        <w:footnoteReference w:id="117"/>
      </w:r>
    </w:p>
    <w:p w14:paraId="6A6FA348" w14:textId="77777777" w:rsidR="0003243B" w:rsidRPr="005B01D2" w:rsidRDefault="0003243B" w:rsidP="00CA36F7">
      <w:pPr>
        <w:rPr>
          <w:lang w:val="nl-BE" w:eastAsia="en-US"/>
        </w:rPr>
      </w:pPr>
    </w:p>
    <w:p w14:paraId="57D7EBA1" w14:textId="77777777" w:rsidR="009B11FB" w:rsidRPr="00B2070B" w:rsidRDefault="00A87036">
      <w:pPr>
        <w:pStyle w:val="Kop2"/>
        <w:numPr>
          <w:ilvl w:val="0"/>
          <w:numId w:val="23"/>
        </w:numPr>
        <w:rPr>
          <w:lang w:val="nl-BE"/>
        </w:rPr>
      </w:pPr>
      <w:r w:rsidRPr="00A87036">
        <w:rPr>
          <w:rFonts w:ascii="Times New Roman" w:hAnsi="Times New Roman" w:cs="Times New Roman"/>
          <w:sz w:val="24"/>
          <w:szCs w:val="24"/>
          <w:lang w:val="nl-BE"/>
        </w:rPr>
        <w:t>Afgeleid samenwerkingsrecht</w:t>
      </w:r>
    </w:p>
    <w:p w14:paraId="11775D9A" w14:textId="32345841" w:rsidR="00DD3878" w:rsidRDefault="00651E2E" w:rsidP="00B2070B">
      <w:pPr>
        <w:pStyle w:val="Kop3"/>
        <w:numPr>
          <w:ilvl w:val="0"/>
          <w:numId w:val="27"/>
        </w:numPr>
        <w:rPr>
          <w:lang w:val="nl-BE"/>
        </w:rPr>
      </w:pPr>
      <w:r>
        <w:rPr>
          <w:lang w:val="nl-BE"/>
        </w:rPr>
        <w:t>B</w:t>
      </w:r>
      <w:r w:rsidR="000C428C" w:rsidRPr="00B2070B">
        <w:rPr>
          <w:lang w:val="nl-BE"/>
        </w:rPr>
        <w:t>eperkte mogelijkheden vóór de Zesde Staatshervorming</w:t>
      </w:r>
    </w:p>
    <w:p w14:paraId="2B4E95D1" w14:textId="77777777" w:rsidR="00903741" w:rsidRPr="005B01D2" w:rsidRDefault="00903741" w:rsidP="00CA36F7">
      <w:pPr>
        <w:rPr>
          <w:lang w:val="nl-BE" w:eastAsia="en-US"/>
        </w:rPr>
      </w:pPr>
    </w:p>
    <w:p w14:paraId="00D64799" w14:textId="77777777" w:rsidR="0003243B" w:rsidRPr="005B01D2" w:rsidRDefault="00A87036" w:rsidP="00177128">
      <w:pPr>
        <w:jc w:val="both"/>
        <w:rPr>
          <w:lang w:val="nl-NL"/>
        </w:rPr>
      </w:pPr>
      <w:r w:rsidRPr="007D1E77">
        <w:rPr>
          <w:lang w:val="nl-BE" w:eastAsia="en-US"/>
        </w:rPr>
        <w:t>20.</w:t>
      </w:r>
      <w:r w:rsidR="00903741" w:rsidRPr="005B01D2">
        <w:rPr>
          <w:lang w:val="nl-BE" w:eastAsia="en-US"/>
        </w:rPr>
        <w:t xml:space="preserve"> </w:t>
      </w:r>
      <w:r w:rsidR="00903741" w:rsidRPr="005B01D2">
        <w:rPr>
          <w:lang w:val="nl-BE" w:eastAsia="en-US"/>
        </w:rPr>
        <w:tab/>
      </w:r>
      <w:r w:rsidR="0003243B" w:rsidRPr="005B01D2">
        <w:rPr>
          <w:lang w:val="nl-BE" w:eastAsia="en-US"/>
        </w:rPr>
        <w:t xml:space="preserve">Van bij de start werden samenwerkingsakkoorden </w:t>
      </w:r>
      <w:r w:rsidR="006A3F33" w:rsidRPr="005B01D2">
        <w:rPr>
          <w:lang w:val="nl-BE" w:eastAsia="en-US"/>
        </w:rPr>
        <w:t xml:space="preserve">nochtans </w:t>
      </w:r>
      <w:r w:rsidR="0003243B" w:rsidRPr="005B01D2">
        <w:rPr>
          <w:lang w:val="nl-BE" w:eastAsia="en-US"/>
        </w:rPr>
        <w:t xml:space="preserve">beschouwd als een </w:t>
      </w:r>
      <w:r w:rsidR="00177128" w:rsidRPr="005B01D2">
        <w:rPr>
          <w:lang w:val="nl-BE" w:eastAsia="en-US"/>
        </w:rPr>
        <w:t>goede manier voor de federale overheid</w:t>
      </w:r>
      <w:r w:rsidR="00D458A6" w:rsidRPr="005B01D2">
        <w:rPr>
          <w:lang w:val="nl-BE" w:eastAsia="en-US"/>
        </w:rPr>
        <w:t xml:space="preserve">, </w:t>
      </w:r>
      <w:r w:rsidR="00177128" w:rsidRPr="005B01D2">
        <w:rPr>
          <w:lang w:val="nl-BE" w:eastAsia="en-US"/>
        </w:rPr>
        <w:t xml:space="preserve">de gemeenschappen en </w:t>
      </w:r>
      <w:r w:rsidR="00D458A6" w:rsidRPr="005B01D2">
        <w:rPr>
          <w:lang w:val="nl-BE" w:eastAsia="en-US"/>
        </w:rPr>
        <w:t xml:space="preserve">de </w:t>
      </w:r>
      <w:r w:rsidR="00177128" w:rsidRPr="005B01D2">
        <w:rPr>
          <w:lang w:val="nl-BE" w:eastAsia="en-US"/>
        </w:rPr>
        <w:t>gewesten om gezamenlijke instellingen op te richten.</w:t>
      </w:r>
      <w:r w:rsidR="00177128" w:rsidRPr="005B01D2">
        <w:rPr>
          <w:rStyle w:val="Voetnootmarkering"/>
          <w:lang w:val="nl-BE" w:eastAsia="en-US"/>
        </w:rPr>
        <w:footnoteReference w:id="118"/>
      </w:r>
      <w:r w:rsidR="00177128" w:rsidRPr="005B01D2">
        <w:rPr>
          <w:lang w:val="nl-BE" w:eastAsia="en-US"/>
        </w:rPr>
        <w:t xml:space="preserve"> Indien de </w:t>
      </w:r>
      <w:r w:rsidR="00D458A6" w:rsidRPr="005B01D2">
        <w:rPr>
          <w:lang w:val="nl-BE" w:eastAsia="en-US"/>
        </w:rPr>
        <w:t>aldus opgerichte instellingen</w:t>
      </w:r>
      <w:r w:rsidR="00177128" w:rsidRPr="005B01D2">
        <w:rPr>
          <w:lang w:val="nl-BE" w:eastAsia="en-US"/>
        </w:rPr>
        <w:t xml:space="preserve"> echter regelgevende bevoegdheden </w:t>
      </w:r>
      <w:r w:rsidR="00D458A6" w:rsidRPr="005B01D2">
        <w:rPr>
          <w:lang w:val="nl-BE" w:eastAsia="en-US"/>
        </w:rPr>
        <w:t xml:space="preserve">toegewezen </w:t>
      </w:r>
      <w:r w:rsidR="00177128" w:rsidRPr="005B01D2">
        <w:rPr>
          <w:lang w:val="nl-BE" w:eastAsia="en-US"/>
        </w:rPr>
        <w:t>krijgen</w:t>
      </w:r>
      <w:r w:rsidR="00903741" w:rsidRPr="005B01D2">
        <w:rPr>
          <w:lang w:val="nl-BE" w:eastAsia="en-US"/>
        </w:rPr>
        <w:t>,</w:t>
      </w:r>
      <w:r w:rsidR="00177128" w:rsidRPr="005B01D2">
        <w:rPr>
          <w:lang w:val="nl-BE" w:eastAsia="en-US"/>
        </w:rPr>
        <w:t xml:space="preserve"> gelden de klassieke internrechtelijke beperk</w:t>
      </w:r>
      <w:r w:rsidR="00D458A6" w:rsidRPr="005B01D2">
        <w:rPr>
          <w:lang w:val="nl-BE" w:eastAsia="en-US"/>
        </w:rPr>
        <w:t>ingen</w:t>
      </w:r>
      <w:r w:rsidR="00177128" w:rsidRPr="005B01D2">
        <w:rPr>
          <w:lang w:val="nl-BE" w:eastAsia="en-US"/>
        </w:rPr>
        <w:t xml:space="preserve"> voor delegaties aan </w:t>
      </w:r>
      <w:r w:rsidR="00D458A6" w:rsidRPr="005B01D2">
        <w:rPr>
          <w:lang w:val="nl-BE" w:eastAsia="en-US"/>
        </w:rPr>
        <w:t>overheids</w:t>
      </w:r>
      <w:r w:rsidR="00177128" w:rsidRPr="005B01D2">
        <w:rPr>
          <w:lang w:val="nl-BE" w:eastAsia="en-US"/>
        </w:rPr>
        <w:t xml:space="preserve">instellingen, nl. </w:t>
      </w:r>
      <w:r w:rsidR="00177128" w:rsidRPr="005B01D2">
        <w:rPr>
          <w:lang w:val="nl-NL"/>
        </w:rPr>
        <w:t xml:space="preserve">dat het enkel bijkomstige of louter technische aangelegenheden mag betreffen omdat deze </w:t>
      </w:r>
      <w:r w:rsidR="00D458A6" w:rsidRPr="005B01D2">
        <w:rPr>
          <w:lang w:val="nl-NL"/>
        </w:rPr>
        <w:t xml:space="preserve">instellingen </w:t>
      </w:r>
      <w:r w:rsidR="00177128" w:rsidRPr="005B01D2">
        <w:rPr>
          <w:lang w:val="nl-NL"/>
        </w:rPr>
        <w:t xml:space="preserve">niet verkozen zijn en niet rechtstreeks politiek verantwoordelijk zijn. Zo heeft de Raad van State zich verzet tegen het verlenen van een regelgevende bevoegdheid aan het secretariaat van de filmkeuring </w:t>
      </w:r>
      <w:r w:rsidR="00D458A6" w:rsidRPr="005B01D2">
        <w:rPr>
          <w:lang w:val="nl-NL"/>
        </w:rPr>
        <w:t xml:space="preserve">aangezien </w:t>
      </w:r>
      <w:r w:rsidR="00427AFC" w:rsidRPr="005B01D2">
        <w:rPr>
          <w:lang w:val="nl-BE"/>
        </w:rPr>
        <w:t xml:space="preserve">de door het secretariaat te bepalen voorschriften betrekking hebben op de wijze waarop de aanbieders van films en de bioscoopexploitanten zich tot het publiek richten, </w:t>
      </w:r>
      <w:r w:rsidR="00177128" w:rsidRPr="005B01D2">
        <w:rPr>
          <w:lang w:val="nl-BE"/>
        </w:rPr>
        <w:t xml:space="preserve">en </w:t>
      </w:r>
      <w:r w:rsidR="00D458A6" w:rsidRPr="005B01D2">
        <w:rPr>
          <w:lang w:val="nl-BE"/>
        </w:rPr>
        <w:t xml:space="preserve">het </w:t>
      </w:r>
      <w:r w:rsidR="00177128" w:rsidRPr="005B01D2">
        <w:rPr>
          <w:lang w:val="nl-BE"/>
        </w:rPr>
        <w:t>dus niet</w:t>
      </w:r>
      <w:r w:rsidR="00427AFC" w:rsidRPr="005B01D2">
        <w:rPr>
          <w:lang w:val="nl-BE"/>
        </w:rPr>
        <w:t xml:space="preserve"> </w:t>
      </w:r>
      <w:r w:rsidR="00177128" w:rsidRPr="005B01D2">
        <w:rPr>
          <w:lang w:val="nl-BE"/>
        </w:rPr>
        <w:t xml:space="preserve">ging </w:t>
      </w:r>
      <w:r w:rsidR="00427AFC" w:rsidRPr="005B01D2">
        <w:rPr>
          <w:lang w:val="nl-BE"/>
        </w:rPr>
        <w:t>om een maatregel die een beperkte en technische draagwijdte heeft.</w:t>
      </w:r>
      <w:r w:rsidR="00177128" w:rsidRPr="005B01D2">
        <w:rPr>
          <w:rStyle w:val="Voetnootmarkering"/>
          <w:lang w:val="nl-BE"/>
        </w:rPr>
        <w:footnoteReference w:id="119"/>
      </w:r>
      <w:r w:rsidR="00427AFC" w:rsidRPr="005B01D2">
        <w:rPr>
          <w:lang w:val="nl-BE"/>
        </w:rPr>
        <w:t xml:space="preserve"> </w:t>
      </w:r>
      <w:r w:rsidR="00177128" w:rsidRPr="005B01D2">
        <w:rPr>
          <w:lang w:val="nl-NL"/>
        </w:rPr>
        <w:t xml:space="preserve"> </w:t>
      </w:r>
      <w:r w:rsidR="00D458A6" w:rsidRPr="005B01D2">
        <w:rPr>
          <w:lang w:val="nl-NL"/>
        </w:rPr>
        <w:t xml:space="preserve">Sinds de institutionalisering van </w:t>
      </w:r>
      <w:r w:rsidR="00903741" w:rsidRPr="005B01D2">
        <w:rPr>
          <w:lang w:val="nl-NL"/>
        </w:rPr>
        <w:t xml:space="preserve">het Overlegcomité en </w:t>
      </w:r>
      <w:r w:rsidR="00D458A6" w:rsidRPr="005B01D2">
        <w:rPr>
          <w:lang w:val="nl-NL"/>
        </w:rPr>
        <w:t xml:space="preserve">de interministeriële conferenties door de Zesde Staatshervorming, kan hun </w:t>
      </w:r>
      <w:r w:rsidR="00177128" w:rsidRPr="005B01D2">
        <w:rPr>
          <w:lang w:val="nl-NL"/>
        </w:rPr>
        <w:t>tussenkomst een dergelijk delegatieprobleem in bepaalde gevallen verhelpen.</w:t>
      </w:r>
      <w:r w:rsidR="00177128" w:rsidRPr="005B01D2">
        <w:rPr>
          <w:rStyle w:val="Voetnootmarkering"/>
          <w:lang w:val="nl-NL"/>
        </w:rPr>
        <w:footnoteReference w:id="120"/>
      </w:r>
      <w:r w:rsidR="00152DC1" w:rsidRPr="005B01D2">
        <w:rPr>
          <w:lang w:val="nl-NL"/>
        </w:rPr>
        <w:t xml:space="preserve"> </w:t>
      </w:r>
    </w:p>
    <w:p w14:paraId="378575CD" w14:textId="77777777" w:rsidR="006A3F33" w:rsidRPr="005B01D2" w:rsidRDefault="006A3F33" w:rsidP="00177128">
      <w:pPr>
        <w:jc w:val="both"/>
        <w:rPr>
          <w:lang w:val="nl-NL"/>
        </w:rPr>
      </w:pPr>
    </w:p>
    <w:p w14:paraId="1604FC50" w14:textId="1D2A9201" w:rsidR="00152DC1" w:rsidRPr="005B01D2" w:rsidRDefault="00BE70C2" w:rsidP="00177128">
      <w:pPr>
        <w:jc w:val="both"/>
        <w:rPr>
          <w:lang w:val="nl-NL"/>
        </w:rPr>
      </w:pPr>
      <w:r w:rsidRPr="005B01D2">
        <w:rPr>
          <w:lang w:val="nl-NL"/>
        </w:rPr>
        <w:t>21</w:t>
      </w:r>
      <w:r w:rsidR="00903741" w:rsidRPr="005B01D2">
        <w:rPr>
          <w:lang w:val="nl-NL"/>
        </w:rPr>
        <w:t xml:space="preserve">. </w:t>
      </w:r>
      <w:r w:rsidR="00903741" w:rsidRPr="005B01D2">
        <w:rPr>
          <w:lang w:val="nl-NL"/>
        </w:rPr>
        <w:tab/>
      </w:r>
      <w:r w:rsidR="00866AA3" w:rsidRPr="005B01D2">
        <w:rPr>
          <w:lang w:val="nl-NL"/>
        </w:rPr>
        <w:t>In dat verband heeft de Raad van State</w:t>
      </w:r>
      <w:r w:rsidR="006F3D2B">
        <w:rPr>
          <w:lang w:val="nl-NL"/>
        </w:rPr>
        <w:t>, v</w:t>
      </w:r>
      <w:r w:rsidR="00357F20">
        <w:rPr>
          <w:lang w:val="nl-NL"/>
        </w:rPr>
        <w:t>óó</w:t>
      </w:r>
      <w:r w:rsidR="006F3D2B">
        <w:rPr>
          <w:lang w:val="nl-NL"/>
        </w:rPr>
        <w:t>r de Zesde Staatshervorming,</w:t>
      </w:r>
      <w:r w:rsidR="00866AA3" w:rsidRPr="005B01D2">
        <w:rPr>
          <w:lang w:val="nl-NL"/>
        </w:rPr>
        <w:t xml:space="preserve"> geoordeeld dat </w:t>
      </w:r>
      <w:r w:rsidR="00866AA3" w:rsidRPr="005B01D2">
        <w:rPr>
          <w:lang w:val="nl-BE"/>
        </w:rPr>
        <w:t>de noodzaak van voorafgaande instemming onder meer betekent “dat de gezamenlijke verplichtingen die de partijen bij een samenwerkingsakkoord op zich nemen, voor zover ze onder de werkingssfeer van artikel 92</w:t>
      </w:r>
      <w:r w:rsidR="00866AA3" w:rsidRPr="005B01D2">
        <w:rPr>
          <w:i/>
          <w:lang w:val="nl-BE"/>
        </w:rPr>
        <w:t>bis</w:t>
      </w:r>
      <w:r w:rsidR="00866AA3" w:rsidRPr="005B01D2">
        <w:rPr>
          <w:lang w:val="nl-BE"/>
        </w:rPr>
        <w:t xml:space="preserve">, § 1, tweede lid, </w:t>
      </w:r>
      <w:r w:rsidR="007B2F33" w:rsidRPr="005B01D2">
        <w:rPr>
          <w:lang w:val="nl-BE"/>
        </w:rPr>
        <w:t>BWHI</w:t>
      </w:r>
      <w:r w:rsidR="00866AA3" w:rsidRPr="005B01D2">
        <w:rPr>
          <w:lang w:val="nl-BE"/>
        </w:rPr>
        <w:t xml:space="preserve"> vallen, door de betrokken wetgevers gekend moeten zijn op het tijdstip waarop ze hun instemming verlenen. Daaruit volgt dat het akkoord zelf alle regels die de partijen binden moet vermelden, en dat het niet mag worden aangevuld met regels die de in voorkomend geval bij het akkoord opgerichte organen zouden aannemen, met uitzondering van de regels die niet onder de werkingssfeer vallen van artikel 92</w:t>
      </w:r>
      <w:r w:rsidR="00866AA3" w:rsidRPr="005B01D2">
        <w:rPr>
          <w:i/>
          <w:lang w:val="nl-BE"/>
        </w:rPr>
        <w:t>bis</w:t>
      </w:r>
      <w:r w:rsidR="00866AA3" w:rsidRPr="005B01D2">
        <w:rPr>
          <w:lang w:val="nl-BE"/>
        </w:rPr>
        <w:t xml:space="preserve">, § 1, tweede lid, </w:t>
      </w:r>
      <w:r w:rsidR="007B2F33" w:rsidRPr="005B01D2">
        <w:rPr>
          <w:lang w:val="nl-BE"/>
        </w:rPr>
        <w:t>BWHI</w:t>
      </w:r>
      <w:r w:rsidR="00866AA3" w:rsidRPr="005B01D2">
        <w:rPr>
          <w:lang w:val="nl-BE"/>
        </w:rPr>
        <w:t>, zoals interne regels die specifiek de werkwijze van de organen betreffen”</w:t>
      </w:r>
      <w:r w:rsidR="00866AA3" w:rsidRPr="005B01D2">
        <w:rPr>
          <w:rStyle w:val="Voetnootmarkering"/>
          <w:lang w:val="nl-BE"/>
        </w:rPr>
        <w:footnoteReference w:id="121"/>
      </w:r>
      <w:r w:rsidR="00866AA3" w:rsidRPr="005B01D2">
        <w:rPr>
          <w:lang w:val="nl-BE"/>
        </w:rPr>
        <w:t>.</w:t>
      </w:r>
      <w:r w:rsidR="00866AA3" w:rsidRPr="005B01D2">
        <w:rPr>
          <w:lang w:val="nl-NL"/>
        </w:rPr>
        <w:t xml:space="preserve"> Daaruit volg</w:t>
      </w:r>
      <w:r w:rsidR="00494E5F" w:rsidRPr="005B01D2">
        <w:rPr>
          <w:lang w:val="nl-NL"/>
        </w:rPr>
        <w:t>de</w:t>
      </w:r>
      <w:r w:rsidR="00866AA3" w:rsidRPr="005B01D2">
        <w:rPr>
          <w:lang w:val="nl-NL"/>
        </w:rPr>
        <w:t xml:space="preserve"> dat er voor samenwerkingsakkoorden </w:t>
      </w:r>
      <w:r w:rsidR="00FD766A" w:rsidRPr="005B01D2">
        <w:rPr>
          <w:lang w:val="nl-NL"/>
        </w:rPr>
        <w:t xml:space="preserve">in beginsel </w:t>
      </w:r>
      <w:r w:rsidR="00866AA3" w:rsidRPr="005B01D2">
        <w:rPr>
          <w:lang w:val="nl-NL"/>
        </w:rPr>
        <w:t>geen mogelijkheid best</w:t>
      </w:r>
      <w:r w:rsidR="007B2F33" w:rsidRPr="005B01D2">
        <w:rPr>
          <w:lang w:val="nl-NL"/>
        </w:rPr>
        <w:t>ond</w:t>
      </w:r>
      <w:r w:rsidR="00866AA3" w:rsidRPr="005B01D2">
        <w:rPr>
          <w:lang w:val="nl-NL"/>
        </w:rPr>
        <w:t xml:space="preserve"> om </w:t>
      </w:r>
      <w:r w:rsidR="00FD766A" w:rsidRPr="005B01D2">
        <w:rPr>
          <w:lang w:val="nl-NL"/>
        </w:rPr>
        <w:t xml:space="preserve">regels van afgeleid recht aan te nemen, noch door handelingen van gezamenlijk opgerichte instellingen, noch op basis van een systeem </w:t>
      </w:r>
      <w:r w:rsidR="0040541D" w:rsidRPr="005B01D2">
        <w:rPr>
          <w:lang w:val="nl-NL"/>
        </w:rPr>
        <w:t>van voorafgaande</w:t>
      </w:r>
      <w:r w:rsidR="00FD766A" w:rsidRPr="005B01D2">
        <w:rPr>
          <w:lang w:val="nl-NL"/>
        </w:rPr>
        <w:t xml:space="preserve"> instemming met wijzigingen die zouden tot stand komen via een </w:t>
      </w:r>
      <w:r w:rsidR="00866AA3" w:rsidRPr="005B01D2">
        <w:rPr>
          <w:lang w:val="nl-NL"/>
        </w:rPr>
        <w:t>vereenvoudigde wijzigingsprocedure</w:t>
      </w:r>
      <w:r w:rsidR="00FD766A" w:rsidRPr="005B01D2">
        <w:rPr>
          <w:lang w:val="nl-NL"/>
        </w:rPr>
        <w:t xml:space="preserve">. </w:t>
      </w:r>
      <w:r w:rsidR="001248CB" w:rsidRPr="005B01D2">
        <w:rPr>
          <w:lang w:val="nl-NL"/>
        </w:rPr>
        <w:t>Aangezien een voorafgaande instemming niet mogelijk was, moe</w:t>
      </w:r>
      <w:r w:rsidR="00903741" w:rsidRPr="005B01D2">
        <w:rPr>
          <w:lang w:val="nl-NL"/>
        </w:rPr>
        <w:t>s</w:t>
      </w:r>
      <w:r w:rsidR="001248CB" w:rsidRPr="005B01D2">
        <w:rPr>
          <w:lang w:val="nl-NL"/>
        </w:rPr>
        <w:t xml:space="preserve">ten de vereenvoudigde wijzigingen aan het samenwerkingsakkoord </w:t>
      </w:r>
      <w:r w:rsidR="00866AA3" w:rsidRPr="005B01D2">
        <w:rPr>
          <w:lang w:val="nl-NL"/>
        </w:rPr>
        <w:t xml:space="preserve">in beginsel </w:t>
      </w:r>
      <w:r w:rsidR="00866AA3" w:rsidRPr="005B01D2">
        <w:rPr>
          <w:lang w:val="nl-NL"/>
        </w:rPr>
        <w:lastRenderedPageBreak/>
        <w:t xml:space="preserve">steeds de normale </w:t>
      </w:r>
      <w:r w:rsidR="00A87036" w:rsidRPr="00A87036">
        <w:rPr>
          <w:lang w:val="nl-NL"/>
        </w:rPr>
        <w:t>instemming</w:t>
      </w:r>
      <w:r w:rsidR="00866AA3" w:rsidRPr="005B01D2">
        <w:rPr>
          <w:lang w:val="nl-NL"/>
        </w:rPr>
        <w:t>sprocedure doorlopen.</w:t>
      </w:r>
      <w:r w:rsidR="00866AA3" w:rsidRPr="005B01D2">
        <w:rPr>
          <w:rStyle w:val="Voetnootmarkering"/>
          <w:lang w:val="nl-BE"/>
        </w:rPr>
        <w:footnoteReference w:id="122"/>
      </w:r>
      <w:r w:rsidR="00866AA3" w:rsidRPr="005B01D2">
        <w:rPr>
          <w:lang w:val="nl-NL"/>
        </w:rPr>
        <w:t xml:space="preserve"> </w:t>
      </w:r>
      <w:r w:rsidR="003B6637" w:rsidRPr="005B01D2">
        <w:rPr>
          <w:lang w:val="nl-BE"/>
        </w:rPr>
        <w:t>Enkel het instrument van een administratief samenwerkingsakkoord bood (een beperkte) ruimte om afgeleid aan te nemen dat niet ter instemming aan de wetgever moest worden voorgelegd.</w:t>
      </w:r>
      <w:r w:rsidR="00866AA3" w:rsidRPr="005B01D2">
        <w:rPr>
          <w:lang w:val="nl-NL"/>
        </w:rPr>
        <w:t xml:space="preserve"> </w:t>
      </w:r>
    </w:p>
    <w:p w14:paraId="585048E6" w14:textId="77777777" w:rsidR="007A7B51" w:rsidRPr="005B01D2" w:rsidRDefault="007A7B51" w:rsidP="00CA36F7">
      <w:pPr>
        <w:rPr>
          <w:lang w:val="nl-BE" w:eastAsia="en-US"/>
        </w:rPr>
      </w:pPr>
    </w:p>
    <w:p w14:paraId="1B099678" w14:textId="77777777" w:rsidR="006A3F33" w:rsidRPr="005B01D2" w:rsidRDefault="00BE70C2" w:rsidP="006A3F33">
      <w:pPr>
        <w:jc w:val="both"/>
        <w:rPr>
          <w:lang w:val="nl-NL"/>
        </w:rPr>
      </w:pPr>
      <w:r w:rsidRPr="005B01D2">
        <w:rPr>
          <w:lang w:val="nl-NL"/>
        </w:rPr>
        <w:t>22</w:t>
      </w:r>
      <w:r w:rsidR="00903741" w:rsidRPr="005B01D2">
        <w:rPr>
          <w:lang w:val="nl-NL"/>
        </w:rPr>
        <w:t xml:space="preserve">. </w:t>
      </w:r>
      <w:r w:rsidR="00903741" w:rsidRPr="005B01D2">
        <w:rPr>
          <w:lang w:val="nl-NL"/>
        </w:rPr>
        <w:tab/>
      </w:r>
      <w:r w:rsidR="006A3F33" w:rsidRPr="005B01D2">
        <w:rPr>
          <w:lang w:val="nl-NL"/>
        </w:rPr>
        <w:t xml:space="preserve">Die beperkte mogelijkheden om verdere invulling te geven aan samenwerkingsakkoorden heeft dan ook als gevolg dat in samenwerkingsovereenkomsten basisregels, uitvoeringsbepalingen en praktische aspecten </w:t>
      </w:r>
      <w:r w:rsidR="001248CB" w:rsidRPr="005B01D2">
        <w:rPr>
          <w:lang w:val="nl-NL"/>
        </w:rPr>
        <w:t xml:space="preserve">met elkaar </w:t>
      </w:r>
      <w:r w:rsidR="006A3F33" w:rsidRPr="005B01D2">
        <w:rPr>
          <w:lang w:val="nl-NL"/>
        </w:rPr>
        <w:t>worden vermengd</w:t>
      </w:r>
      <w:r w:rsidR="001248CB" w:rsidRPr="005B01D2">
        <w:rPr>
          <w:lang w:val="nl-NL"/>
        </w:rPr>
        <w:t>. Dit is geen toonbeeld van behoorlijke regelgeving, en</w:t>
      </w:r>
      <w:r w:rsidR="00903741" w:rsidRPr="005B01D2">
        <w:rPr>
          <w:lang w:val="nl-NL"/>
        </w:rPr>
        <w:t xml:space="preserve"> </w:t>
      </w:r>
      <w:r w:rsidR="001248CB" w:rsidRPr="005B01D2">
        <w:rPr>
          <w:lang w:val="nl-NL"/>
        </w:rPr>
        <w:t>samenwerkings</w:t>
      </w:r>
      <w:r w:rsidR="006A3F33" w:rsidRPr="005B01D2">
        <w:rPr>
          <w:lang w:val="nl-NL"/>
        </w:rPr>
        <w:t xml:space="preserve">akkoorden </w:t>
      </w:r>
      <w:r w:rsidR="001248CB" w:rsidRPr="005B01D2">
        <w:rPr>
          <w:lang w:val="nl-NL"/>
        </w:rPr>
        <w:t xml:space="preserve">zijn dan vaak ook </w:t>
      </w:r>
      <w:r w:rsidR="00F56B00" w:rsidRPr="005B01D2">
        <w:rPr>
          <w:lang w:val="nl-NL"/>
        </w:rPr>
        <w:t xml:space="preserve">moeilijk leesbaar, </w:t>
      </w:r>
      <w:r w:rsidR="006A3F33" w:rsidRPr="005B01D2">
        <w:rPr>
          <w:lang w:val="nl-NL"/>
        </w:rPr>
        <w:t xml:space="preserve">overdreven gedetailleerd en </w:t>
      </w:r>
      <w:r w:rsidR="001248CB" w:rsidRPr="005B01D2">
        <w:rPr>
          <w:lang w:val="nl-NL"/>
        </w:rPr>
        <w:t>star</w:t>
      </w:r>
      <w:r w:rsidR="006A3F33" w:rsidRPr="005B01D2">
        <w:rPr>
          <w:lang w:val="nl-NL"/>
        </w:rPr>
        <w:t>.</w:t>
      </w:r>
    </w:p>
    <w:p w14:paraId="59DE372F" w14:textId="77777777" w:rsidR="00391D3B" w:rsidRDefault="00391D3B">
      <w:pPr>
        <w:jc w:val="both"/>
        <w:rPr>
          <w:lang w:val="nl-BE" w:eastAsia="en-US"/>
        </w:rPr>
      </w:pPr>
    </w:p>
    <w:p w14:paraId="3CF7EBC1" w14:textId="77777777" w:rsidR="007A7B51" w:rsidRPr="005B01D2" w:rsidRDefault="00BE70C2" w:rsidP="007A7B51">
      <w:pPr>
        <w:jc w:val="both"/>
        <w:rPr>
          <w:lang w:val="nl-BE" w:eastAsia="en-US"/>
        </w:rPr>
      </w:pPr>
      <w:r w:rsidRPr="005B01D2">
        <w:rPr>
          <w:lang w:val="nl-BE" w:eastAsia="en-US"/>
        </w:rPr>
        <w:t>23</w:t>
      </w:r>
      <w:r w:rsidR="00903741" w:rsidRPr="005B01D2">
        <w:rPr>
          <w:lang w:val="nl-BE" w:eastAsia="en-US"/>
        </w:rPr>
        <w:t xml:space="preserve">. </w:t>
      </w:r>
      <w:r w:rsidR="00903741" w:rsidRPr="005B01D2">
        <w:rPr>
          <w:lang w:val="nl-BE" w:eastAsia="en-US"/>
        </w:rPr>
        <w:tab/>
      </w:r>
      <w:r w:rsidR="007A7B51" w:rsidRPr="005B01D2">
        <w:rPr>
          <w:lang w:val="nl-BE" w:eastAsia="en-US"/>
        </w:rPr>
        <w:t xml:space="preserve">Wat eventueel wel kan zijn delegaties aan de politieke organen (Koning, </w:t>
      </w:r>
      <w:r w:rsidR="00B7772E" w:rsidRPr="005B01D2">
        <w:rPr>
          <w:lang w:val="nl-BE" w:eastAsia="en-US"/>
        </w:rPr>
        <w:t>r</w:t>
      </w:r>
      <w:r w:rsidR="007A7B51" w:rsidRPr="005B01D2">
        <w:rPr>
          <w:lang w:val="nl-BE" w:eastAsia="en-US"/>
        </w:rPr>
        <w:t>egering of ministers) van de participerende overheden</w:t>
      </w:r>
      <w:r w:rsidR="00703988" w:rsidRPr="005B01D2">
        <w:rPr>
          <w:lang w:val="nl-BE" w:eastAsia="en-US"/>
        </w:rPr>
        <w:t xml:space="preserve"> afzonderlijk</w:t>
      </w:r>
      <w:r w:rsidR="007A7B51" w:rsidRPr="005B01D2">
        <w:rPr>
          <w:lang w:val="nl-BE" w:eastAsia="en-US"/>
        </w:rPr>
        <w:t>. Op dat vlak gelden in essentie dezelfde beperkingen als voor delegaties aan die overheden bij gewone wetten, decreten of ordonnanties</w:t>
      </w:r>
      <w:r w:rsidR="008068C0" w:rsidRPr="005B01D2">
        <w:rPr>
          <w:lang w:val="nl-BE" w:eastAsia="en-US"/>
        </w:rPr>
        <w:t>, waarbij een onderscheid moet worden gemaakt tussen de voorbehouden en de niet-voorbehouden aangelegenheden</w:t>
      </w:r>
      <w:r w:rsidR="007A7B51" w:rsidRPr="005B01D2">
        <w:rPr>
          <w:lang w:val="nl-BE" w:eastAsia="en-US"/>
        </w:rPr>
        <w:t xml:space="preserve">. Het probleem is echter dat </w:t>
      </w:r>
      <w:r w:rsidR="00BA0EEA" w:rsidRPr="005B01D2">
        <w:rPr>
          <w:lang w:val="nl-BE" w:eastAsia="en-US"/>
        </w:rPr>
        <w:t xml:space="preserve">men zich op die manier niet juridisch kon verzekeren van </w:t>
      </w:r>
      <w:r w:rsidR="007A7B51" w:rsidRPr="005B01D2">
        <w:rPr>
          <w:lang w:val="nl-BE" w:eastAsia="en-US"/>
        </w:rPr>
        <w:t>een uniforme uitvoering</w:t>
      </w:r>
      <w:r w:rsidR="00640005" w:rsidRPr="005B01D2">
        <w:rPr>
          <w:lang w:val="nl-BE" w:eastAsia="en-US"/>
        </w:rPr>
        <w:t xml:space="preserve">, en dat </w:t>
      </w:r>
      <w:r w:rsidR="00903741" w:rsidRPr="005B01D2">
        <w:rPr>
          <w:lang w:val="nl-BE" w:eastAsia="en-US"/>
        </w:rPr>
        <w:t>bij de uitvoering elke betrokken overheid opnieuw heel precies zijn eigen bevoegdheid moet afbakenen</w:t>
      </w:r>
      <w:r w:rsidR="007A7B51" w:rsidRPr="005B01D2">
        <w:rPr>
          <w:lang w:val="nl-BE" w:eastAsia="en-US"/>
        </w:rPr>
        <w:t>.</w:t>
      </w:r>
      <w:r w:rsidR="004D2187" w:rsidRPr="005B01D2">
        <w:rPr>
          <w:lang w:val="nl-BE" w:eastAsia="en-US"/>
        </w:rPr>
        <w:t xml:space="preserve"> </w:t>
      </w:r>
      <w:r w:rsidR="007A7B51" w:rsidRPr="005B01D2">
        <w:rPr>
          <w:lang w:val="nl-BE" w:eastAsia="en-US"/>
        </w:rPr>
        <w:t>Dat k</w:t>
      </w:r>
      <w:r w:rsidR="00BA0EEA" w:rsidRPr="005B01D2">
        <w:rPr>
          <w:lang w:val="nl-BE" w:eastAsia="en-US"/>
        </w:rPr>
        <w:t>o</w:t>
      </w:r>
      <w:r w:rsidR="007A7B51" w:rsidRPr="005B01D2">
        <w:rPr>
          <w:lang w:val="nl-BE" w:eastAsia="en-US"/>
        </w:rPr>
        <w:t xml:space="preserve">n </w:t>
      </w:r>
      <w:r w:rsidR="00BA0EEA" w:rsidRPr="005B01D2">
        <w:rPr>
          <w:lang w:val="nl-BE" w:eastAsia="en-US"/>
        </w:rPr>
        <w:t xml:space="preserve">in beginsel </w:t>
      </w:r>
      <w:r w:rsidR="007A7B51" w:rsidRPr="005B01D2">
        <w:rPr>
          <w:lang w:val="nl-BE" w:eastAsia="en-US"/>
        </w:rPr>
        <w:t xml:space="preserve">niet worden opgevangen door een comité van bevoegde ministers in te stellen die </w:t>
      </w:r>
      <w:r w:rsidRPr="005B01D2">
        <w:rPr>
          <w:lang w:val="nl-BE" w:eastAsia="en-US"/>
        </w:rPr>
        <w:t xml:space="preserve">gezamenlijk </w:t>
      </w:r>
      <w:r w:rsidR="008068C0" w:rsidRPr="005B01D2">
        <w:rPr>
          <w:lang w:val="nl-BE" w:eastAsia="en-US"/>
        </w:rPr>
        <w:t xml:space="preserve">de nodige uitvoeringsmaatregelen </w:t>
      </w:r>
      <w:r w:rsidR="00CD7BA5" w:rsidRPr="005B01D2">
        <w:rPr>
          <w:lang w:val="nl-BE" w:eastAsia="en-US"/>
        </w:rPr>
        <w:t>zouden</w:t>
      </w:r>
      <w:r w:rsidRPr="005B01D2">
        <w:rPr>
          <w:lang w:val="nl-BE" w:eastAsia="en-US"/>
        </w:rPr>
        <w:t xml:space="preserve"> </w:t>
      </w:r>
      <w:r w:rsidR="008068C0" w:rsidRPr="005B01D2">
        <w:rPr>
          <w:lang w:val="nl-BE" w:eastAsia="en-US"/>
        </w:rPr>
        <w:t>vaststellen.</w:t>
      </w:r>
      <w:r w:rsidR="008068C0" w:rsidRPr="005B01D2">
        <w:rPr>
          <w:rStyle w:val="Voetnootmarkering"/>
          <w:lang w:val="nl-BE" w:eastAsia="en-US"/>
        </w:rPr>
        <w:footnoteReference w:id="123"/>
      </w:r>
      <w:r w:rsidR="006F470E" w:rsidRPr="005B01D2">
        <w:rPr>
          <w:lang w:val="nl-BE" w:eastAsia="en-US"/>
        </w:rPr>
        <w:t xml:space="preserve"> </w:t>
      </w:r>
    </w:p>
    <w:p w14:paraId="0E1C1140" w14:textId="77777777" w:rsidR="008068C0" w:rsidRPr="005B01D2" w:rsidRDefault="008068C0" w:rsidP="007A7B51">
      <w:pPr>
        <w:jc w:val="both"/>
        <w:rPr>
          <w:lang w:val="nl-BE" w:eastAsia="en-US"/>
        </w:rPr>
      </w:pPr>
    </w:p>
    <w:p w14:paraId="65CE7853" w14:textId="052FE26B" w:rsidR="00AE6396" w:rsidRDefault="0084781B" w:rsidP="0084781B">
      <w:pPr>
        <w:pStyle w:val="Kop3"/>
        <w:rPr>
          <w:lang w:val="nl-BE"/>
        </w:rPr>
      </w:pPr>
      <w:r>
        <w:rPr>
          <w:lang w:val="nl-BE"/>
        </w:rPr>
        <w:t xml:space="preserve">b) </w:t>
      </w:r>
      <w:r w:rsidR="000C428C" w:rsidRPr="00B2070B">
        <w:rPr>
          <w:lang w:val="nl-BE"/>
        </w:rPr>
        <w:t>Na de Zesde Staatshervorming</w:t>
      </w:r>
    </w:p>
    <w:p w14:paraId="3CEAEB35" w14:textId="77777777" w:rsidR="00B7772E" w:rsidRPr="005B01D2" w:rsidRDefault="00B7772E" w:rsidP="007A7B51">
      <w:pPr>
        <w:jc w:val="both"/>
        <w:rPr>
          <w:lang w:val="nl-BE" w:eastAsia="en-US"/>
        </w:rPr>
      </w:pPr>
    </w:p>
    <w:p w14:paraId="1B4E2F0A" w14:textId="77777777" w:rsidR="009E7C15" w:rsidRPr="005B01D2" w:rsidRDefault="008068C0" w:rsidP="009E7C15">
      <w:pPr>
        <w:autoSpaceDE w:val="0"/>
        <w:autoSpaceDN w:val="0"/>
        <w:adjustRightInd w:val="0"/>
        <w:jc w:val="both"/>
        <w:rPr>
          <w:lang w:val="nl-BE"/>
        </w:rPr>
      </w:pPr>
      <w:r w:rsidRPr="005B01D2">
        <w:rPr>
          <w:lang w:val="nl-BE" w:eastAsia="en-US"/>
        </w:rPr>
        <w:t>2</w:t>
      </w:r>
      <w:r w:rsidR="00BE70C2" w:rsidRPr="005B01D2">
        <w:rPr>
          <w:lang w:val="nl-BE" w:eastAsia="en-US"/>
        </w:rPr>
        <w:t>4</w:t>
      </w:r>
      <w:r w:rsidRPr="005B01D2">
        <w:rPr>
          <w:lang w:val="nl-BE" w:eastAsia="en-US"/>
        </w:rPr>
        <w:t>.</w:t>
      </w:r>
      <w:r w:rsidRPr="005B01D2">
        <w:rPr>
          <w:lang w:val="nl-BE" w:eastAsia="en-US"/>
        </w:rPr>
        <w:tab/>
        <w:t xml:space="preserve">Om </w:t>
      </w:r>
      <w:r w:rsidR="00703988" w:rsidRPr="005B01D2">
        <w:rPr>
          <w:lang w:val="nl-BE" w:eastAsia="en-US"/>
        </w:rPr>
        <w:t xml:space="preserve">aan dit manco </w:t>
      </w:r>
      <w:r w:rsidR="001248CB" w:rsidRPr="005B01D2">
        <w:rPr>
          <w:lang w:val="nl-BE" w:eastAsia="en-US"/>
        </w:rPr>
        <w:t>–</w:t>
      </w:r>
      <w:r w:rsidR="00703988" w:rsidRPr="005B01D2">
        <w:rPr>
          <w:lang w:val="nl-BE" w:eastAsia="en-US"/>
        </w:rPr>
        <w:t xml:space="preserve"> de nagenoeg onbestaande mogelijkheid om afgeleid samenwerkingsrecht aan te nemen </w:t>
      </w:r>
      <w:r w:rsidR="001248CB" w:rsidRPr="005B01D2">
        <w:rPr>
          <w:lang w:val="nl-BE" w:eastAsia="en-US"/>
        </w:rPr>
        <w:t>–</w:t>
      </w:r>
      <w:r w:rsidR="00703988" w:rsidRPr="005B01D2">
        <w:rPr>
          <w:lang w:val="nl-BE" w:eastAsia="en-US"/>
        </w:rPr>
        <w:t xml:space="preserve"> </w:t>
      </w:r>
      <w:r w:rsidRPr="005B01D2">
        <w:rPr>
          <w:lang w:val="nl-BE" w:eastAsia="en-US"/>
        </w:rPr>
        <w:t>tegemoet te komen</w:t>
      </w:r>
      <w:r w:rsidR="001248CB" w:rsidRPr="005B01D2">
        <w:rPr>
          <w:lang w:val="nl-BE" w:eastAsia="en-US"/>
        </w:rPr>
        <w:t>,</w:t>
      </w:r>
      <w:r w:rsidRPr="005B01D2">
        <w:rPr>
          <w:lang w:val="nl-BE" w:eastAsia="en-US"/>
        </w:rPr>
        <w:t xml:space="preserve"> heeft de bijzondere wetgever bij de Zesde Staatshervorming </w:t>
      </w:r>
      <w:r w:rsidR="00703988" w:rsidRPr="005B01D2">
        <w:rPr>
          <w:lang w:val="nl-BE" w:eastAsia="en-US"/>
        </w:rPr>
        <w:t xml:space="preserve">op suggestie van de Raad van State </w:t>
      </w:r>
      <w:r w:rsidRPr="005B01D2">
        <w:rPr>
          <w:lang w:val="nl-BE" w:eastAsia="en-US"/>
        </w:rPr>
        <w:t xml:space="preserve">een nieuw instrument gecreëerd: het uitvoerende samenwerkingsakkoord. Op die manier kan bij een gewoon samenwerkingsakkoord </w:t>
      </w:r>
      <w:r w:rsidR="00A3765D" w:rsidRPr="005B01D2">
        <w:rPr>
          <w:lang w:val="nl-BE" w:eastAsia="en-US"/>
        </w:rPr>
        <w:t xml:space="preserve">(het basissamenwerkingsakkoord) </w:t>
      </w:r>
      <w:r w:rsidRPr="005B01D2">
        <w:rPr>
          <w:lang w:val="nl-BE" w:eastAsia="en-US"/>
        </w:rPr>
        <w:t xml:space="preserve">het nemen van uitvoeringsmaatregelen worden toevertrouwd aan </w:t>
      </w:r>
      <w:r w:rsidR="00A3765D" w:rsidRPr="005B01D2">
        <w:rPr>
          <w:lang w:val="nl-BE" w:eastAsia="en-US"/>
        </w:rPr>
        <w:t xml:space="preserve">bv. </w:t>
      </w:r>
      <w:r w:rsidRPr="005B01D2">
        <w:rPr>
          <w:lang w:val="nl-BE" w:eastAsia="en-US"/>
        </w:rPr>
        <w:t>de uitvoerende machten van de deelnemende overheden die zo gezamenlijk een instrument kunnen aannemen</w:t>
      </w:r>
      <w:r w:rsidR="00A3765D" w:rsidRPr="005B01D2">
        <w:rPr>
          <w:lang w:val="nl-BE" w:eastAsia="en-US"/>
        </w:rPr>
        <w:t xml:space="preserve"> (het uitvoerend samenwerkingsakkoord)</w:t>
      </w:r>
      <w:r w:rsidRPr="005B01D2">
        <w:rPr>
          <w:lang w:val="nl-BE" w:eastAsia="en-US"/>
        </w:rPr>
        <w:t xml:space="preserve">. </w:t>
      </w:r>
      <w:r w:rsidR="009E7C15" w:rsidRPr="005B01D2">
        <w:rPr>
          <w:lang w:val="nl-BE"/>
        </w:rPr>
        <w:t xml:space="preserve">In dit kader kan worden gewezen op de door de Zesde Staatshervorming doorgevoerde verankering en institutionalisering van het </w:t>
      </w:r>
      <w:r w:rsidR="00BE70C2" w:rsidRPr="005B01D2">
        <w:rPr>
          <w:lang w:val="nl-BE"/>
        </w:rPr>
        <w:t>O</w:t>
      </w:r>
      <w:r w:rsidR="009E7C15" w:rsidRPr="005B01D2">
        <w:rPr>
          <w:lang w:val="nl-BE"/>
        </w:rPr>
        <w:t>verlegcomité en de hieronder ressorterende interministeriële conferenties.</w:t>
      </w:r>
      <w:r w:rsidR="009E7C15" w:rsidRPr="005B01D2">
        <w:rPr>
          <w:rStyle w:val="Voetnootmarkering"/>
        </w:rPr>
        <w:footnoteReference w:id="124"/>
      </w:r>
      <w:r w:rsidR="009E7C15" w:rsidRPr="005B01D2">
        <w:rPr>
          <w:lang w:val="nl-BE"/>
        </w:rPr>
        <w:t xml:space="preserve"> Deze vormen een </w:t>
      </w:r>
      <w:r w:rsidR="009E7C15" w:rsidRPr="003E5080">
        <w:rPr>
          <w:lang w:val="nl-BE"/>
        </w:rPr>
        <w:t>geschikt forum</w:t>
      </w:r>
      <w:r w:rsidR="009E7C15" w:rsidRPr="005B01D2">
        <w:rPr>
          <w:lang w:val="nl-BE"/>
        </w:rPr>
        <w:t xml:space="preserve"> waarin door de verschillende regeringen onderhandelingen kunnen worden aangeknoopt voor het sluiten van (uitvoerend) samenwerkingsakkoorden.</w:t>
      </w:r>
      <w:r w:rsidR="009E7C15" w:rsidRPr="005B01D2">
        <w:rPr>
          <w:rStyle w:val="Voetnootmarkering"/>
        </w:rPr>
        <w:footnoteReference w:id="125"/>
      </w:r>
      <w:r w:rsidR="009E7C15" w:rsidRPr="005B01D2">
        <w:rPr>
          <w:lang w:val="nl-BE"/>
        </w:rPr>
        <w:t xml:space="preserve"> </w:t>
      </w:r>
    </w:p>
    <w:p w14:paraId="216F63DB" w14:textId="77777777" w:rsidR="008068C0" w:rsidRPr="005B01D2" w:rsidRDefault="008068C0" w:rsidP="007A7B51">
      <w:pPr>
        <w:jc w:val="both"/>
        <w:rPr>
          <w:lang w:val="nl-BE" w:eastAsia="en-US"/>
        </w:rPr>
      </w:pPr>
    </w:p>
    <w:p w14:paraId="49569E80" w14:textId="190DE33D" w:rsidR="00427AFC" w:rsidRPr="005B01D2" w:rsidRDefault="009E7C15" w:rsidP="00427AFC">
      <w:pPr>
        <w:autoSpaceDE w:val="0"/>
        <w:autoSpaceDN w:val="0"/>
        <w:adjustRightInd w:val="0"/>
        <w:jc w:val="both"/>
        <w:rPr>
          <w:lang w:val="nl-BE"/>
        </w:rPr>
      </w:pPr>
      <w:r w:rsidRPr="005B01D2">
        <w:rPr>
          <w:lang w:val="nl-BE" w:eastAsia="en-US"/>
        </w:rPr>
        <w:lastRenderedPageBreak/>
        <w:t xml:space="preserve">Wat besluiten zijn ten aanzien van de wet, het decreet of de ordonnantie, zijn uitvoerende samenwerkingsovereenkomsten dus ten aanzien van samenwerkingsovereenkomsten. </w:t>
      </w:r>
      <w:r w:rsidR="008068C0" w:rsidRPr="005B01D2">
        <w:rPr>
          <w:lang w:val="nl-BE" w:eastAsia="en-US"/>
        </w:rPr>
        <w:t>Toch is er een belangrijk verschil. De Raad van State heeft immers geoordeeld dat uitvoerende samenwerkingsakkoorden onderworpen zijn aan een bijzonder legaliteitsbeginsel</w:t>
      </w:r>
      <w:r w:rsidRPr="005B01D2">
        <w:rPr>
          <w:lang w:val="nl-BE" w:eastAsia="en-US"/>
        </w:rPr>
        <w:t xml:space="preserve"> dat </w:t>
      </w:r>
      <w:r w:rsidR="006F3D2B" w:rsidRPr="005B01D2">
        <w:rPr>
          <w:lang w:val="nl-BE" w:eastAsia="en-US"/>
        </w:rPr>
        <w:t>rechtstreeks volgt uit artikel 92</w:t>
      </w:r>
      <w:r w:rsidR="006F3D2B" w:rsidRPr="005B01D2">
        <w:rPr>
          <w:i/>
          <w:iCs/>
          <w:lang w:val="nl-BE" w:eastAsia="en-US"/>
        </w:rPr>
        <w:t>bis</w:t>
      </w:r>
      <w:r w:rsidR="006F3D2B" w:rsidRPr="005B01D2">
        <w:rPr>
          <w:lang w:val="nl-BE" w:eastAsia="en-US"/>
        </w:rPr>
        <w:t xml:space="preserve">, § 1, </w:t>
      </w:r>
      <w:r w:rsidR="00584DD2">
        <w:rPr>
          <w:lang w:val="nl-BE" w:eastAsia="en-US"/>
        </w:rPr>
        <w:t>tweede en derde lid</w:t>
      </w:r>
      <w:r w:rsidR="009A27D9">
        <w:rPr>
          <w:lang w:val="nl-BE" w:eastAsia="en-US"/>
        </w:rPr>
        <w:t>,</w:t>
      </w:r>
      <w:r w:rsidR="006F3D2B" w:rsidRPr="00E93D19">
        <w:rPr>
          <w:lang w:val="nl-BE" w:eastAsia="en-US"/>
        </w:rPr>
        <w:t xml:space="preserve"> </w:t>
      </w:r>
      <w:r w:rsidR="006F3D2B" w:rsidRPr="005B01D2">
        <w:rPr>
          <w:lang w:val="nl-BE" w:eastAsia="en-US"/>
        </w:rPr>
        <w:t xml:space="preserve">BWHI </w:t>
      </w:r>
      <w:r w:rsidR="006F3D2B">
        <w:rPr>
          <w:lang w:val="nl-BE" w:eastAsia="en-US"/>
        </w:rPr>
        <w:t xml:space="preserve">en </w:t>
      </w:r>
      <w:r w:rsidRPr="005B01D2">
        <w:rPr>
          <w:lang w:val="nl-BE" w:eastAsia="en-US"/>
        </w:rPr>
        <w:t>geldt ongeacht de materie</w:t>
      </w:r>
      <w:r w:rsidR="008068C0" w:rsidRPr="005B01D2">
        <w:rPr>
          <w:lang w:val="nl-BE" w:eastAsia="en-US"/>
        </w:rPr>
        <w:t>.</w:t>
      </w:r>
      <w:r w:rsidR="00650A7E" w:rsidRPr="005B01D2">
        <w:rPr>
          <w:rStyle w:val="Voetnootmarkering"/>
          <w:lang w:val="nl-BE" w:eastAsia="en-US"/>
        </w:rPr>
        <w:footnoteReference w:id="126"/>
      </w:r>
      <w:r w:rsidR="008068C0" w:rsidRPr="005B01D2">
        <w:rPr>
          <w:lang w:val="nl-BE" w:eastAsia="en-US"/>
        </w:rPr>
        <w:t xml:space="preserve"> Bijgevolg </w:t>
      </w:r>
      <w:r w:rsidRPr="005B01D2">
        <w:rPr>
          <w:lang w:val="nl-BE"/>
        </w:rPr>
        <w:t xml:space="preserve">moeten in </w:t>
      </w:r>
      <w:r w:rsidR="00267CCF" w:rsidRPr="005B01D2">
        <w:rPr>
          <w:lang w:val="nl-BE"/>
        </w:rPr>
        <w:t>het basis</w:t>
      </w:r>
      <w:r w:rsidRPr="005B01D2">
        <w:rPr>
          <w:lang w:val="nl-BE"/>
        </w:rPr>
        <w:t>samenwerkingsakkoord zelf de essentiële elementen worden bepaald van de aangelegenheid die men wenst te regelen, zodat in de daaropvolgende uitvoerende samenwerkingsakkoorden alleen de minder essentiële of de louter technische aspecten ervan geregeld kunnen worden.</w:t>
      </w:r>
      <w:r w:rsidRPr="005B01D2">
        <w:rPr>
          <w:rStyle w:val="Voetnootmarkering"/>
          <w:lang w:val="nl-BE"/>
        </w:rPr>
        <w:footnoteReference w:id="127"/>
      </w:r>
      <w:r w:rsidRPr="005B01D2">
        <w:rPr>
          <w:lang w:val="nl-BE"/>
        </w:rPr>
        <w:t xml:space="preserve"> Bovendien gelden daarnaast</w:t>
      </w:r>
      <w:r w:rsidR="00966B5C">
        <w:rPr>
          <w:lang w:val="nl-BE"/>
        </w:rPr>
        <w:t>, enigszins ten overvloede,</w:t>
      </w:r>
      <w:r w:rsidRPr="005B01D2">
        <w:rPr>
          <w:lang w:val="nl-BE"/>
        </w:rPr>
        <w:t xml:space="preserve"> in elk geval ook </w:t>
      </w:r>
      <w:r w:rsidR="00267CCF" w:rsidRPr="005B01D2">
        <w:rPr>
          <w:lang w:val="nl-BE"/>
        </w:rPr>
        <w:t xml:space="preserve">nog </w:t>
      </w:r>
      <w:r w:rsidRPr="005B01D2">
        <w:rPr>
          <w:lang w:val="nl-BE"/>
        </w:rPr>
        <w:t>de traditionele voorbehouden bevoegdheden, in het bijzonder inzake grondrechten.</w:t>
      </w:r>
      <w:r w:rsidRPr="005B01D2">
        <w:rPr>
          <w:rStyle w:val="Voetnootmarkering"/>
          <w:lang w:val="nl-BE"/>
        </w:rPr>
        <w:footnoteReference w:id="128"/>
      </w:r>
    </w:p>
    <w:p w14:paraId="1B0B7B74" w14:textId="77777777" w:rsidR="008068C0" w:rsidRPr="005B01D2" w:rsidRDefault="008068C0" w:rsidP="007A7B51">
      <w:pPr>
        <w:jc w:val="both"/>
        <w:rPr>
          <w:lang w:val="nl-BE" w:eastAsia="en-US"/>
        </w:rPr>
      </w:pPr>
    </w:p>
    <w:p w14:paraId="228BDAA6" w14:textId="77777777" w:rsidR="00427AFC" w:rsidRPr="005B01D2" w:rsidRDefault="009E7C15" w:rsidP="00427AFC">
      <w:pPr>
        <w:jc w:val="both"/>
        <w:rPr>
          <w:lang w:val="nl-BE"/>
        </w:rPr>
      </w:pPr>
      <w:r w:rsidRPr="005B01D2">
        <w:rPr>
          <w:lang w:val="nl-BE" w:eastAsia="en-US"/>
        </w:rPr>
        <w:t xml:space="preserve">Wat geldt ten aanzien van uitvoerende samenwerkingsakkoorden, geldt </w:t>
      </w:r>
      <w:r w:rsidRPr="005B01D2">
        <w:rPr>
          <w:i/>
          <w:iCs/>
          <w:lang w:val="nl-BE" w:eastAsia="en-US"/>
        </w:rPr>
        <w:t xml:space="preserve">mutatis mutandis </w:t>
      </w:r>
      <w:r w:rsidRPr="005B01D2">
        <w:rPr>
          <w:lang w:val="nl-BE" w:eastAsia="en-US"/>
        </w:rPr>
        <w:t>ook voor gezamenlijke uitvoerings</w:t>
      </w:r>
      <w:r w:rsidR="00D5500D" w:rsidRPr="005B01D2">
        <w:rPr>
          <w:lang w:val="nl-BE" w:eastAsia="en-US"/>
        </w:rPr>
        <w:t xml:space="preserve">handelingen van regeringen of ministers van de </w:t>
      </w:r>
      <w:r w:rsidR="004017FB" w:rsidRPr="005B01D2">
        <w:rPr>
          <w:lang w:val="nl-BE" w:eastAsia="en-US"/>
        </w:rPr>
        <w:t>verschillende betrokken overheden (</w:t>
      </w:r>
      <w:r w:rsidR="00A87036" w:rsidRPr="00A87036">
        <w:rPr>
          <w:i/>
          <w:lang w:val="nl-BE" w:eastAsia="en-US"/>
        </w:rPr>
        <w:t>supra</w:t>
      </w:r>
      <w:r w:rsidR="004017FB" w:rsidRPr="005B01D2">
        <w:rPr>
          <w:lang w:val="nl-BE" w:eastAsia="en-US"/>
        </w:rPr>
        <w:t xml:space="preserve"> </w:t>
      </w:r>
      <w:r w:rsidR="000C428C" w:rsidRPr="00B2070B">
        <w:rPr>
          <w:lang w:val="nl-BE"/>
        </w:rPr>
        <w:t>nr. 23</w:t>
      </w:r>
      <w:r w:rsidR="004017FB" w:rsidRPr="005B01D2">
        <w:rPr>
          <w:lang w:val="nl-BE" w:eastAsia="en-US"/>
        </w:rPr>
        <w:t>). De Raad van State is bereid om abstractie te maken van de naam en de precieze vorm</w:t>
      </w:r>
      <w:r w:rsidR="003B6637" w:rsidRPr="005B01D2">
        <w:rPr>
          <w:lang w:val="nl-BE" w:eastAsia="en-US"/>
        </w:rPr>
        <w:t xml:space="preserve"> die aan de samenwerking wordt gegeven</w:t>
      </w:r>
      <w:r w:rsidR="00BE70C2" w:rsidRPr="005B01D2">
        <w:rPr>
          <w:lang w:val="nl-BE" w:eastAsia="en-US"/>
        </w:rPr>
        <w:t xml:space="preserve">, </w:t>
      </w:r>
      <w:r w:rsidR="004017FB" w:rsidRPr="005B01D2">
        <w:rPr>
          <w:lang w:val="nl-BE" w:eastAsia="en-US"/>
        </w:rPr>
        <w:t xml:space="preserve">zolang er maar sprake is van een overeenkomst </w:t>
      </w:r>
      <w:r w:rsidR="00BE70C2" w:rsidRPr="005B01D2">
        <w:rPr>
          <w:lang w:val="nl-BE" w:eastAsia="en-US"/>
        </w:rPr>
        <w:t xml:space="preserve">tussen verschillende overheden </w:t>
      </w:r>
      <w:r w:rsidR="004017FB" w:rsidRPr="005B01D2">
        <w:rPr>
          <w:lang w:val="nl-BE" w:eastAsia="en-US"/>
        </w:rPr>
        <w:t>die aan de voorwaarden van artikel 92</w:t>
      </w:r>
      <w:r w:rsidR="00A87036" w:rsidRPr="00A87036">
        <w:rPr>
          <w:i/>
          <w:lang w:val="nl-BE" w:eastAsia="en-US"/>
        </w:rPr>
        <w:t>bis</w:t>
      </w:r>
      <w:r w:rsidR="004017FB" w:rsidRPr="005B01D2">
        <w:rPr>
          <w:lang w:val="nl-BE" w:eastAsia="en-US"/>
        </w:rPr>
        <w:t xml:space="preserve">, §3, BWHI voldoet, </w:t>
      </w:r>
      <w:r w:rsidR="003B6637" w:rsidRPr="005B01D2">
        <w:rPr>
          <w:lang w:val="nl-BE" w:eastAsia="en-US"/>
        </w:rPr>
        <w:t xml:space="preserve">meer bepaald dat er een basissamenwerkingsakkoord is dat de instemming van de wetgevers heeft bekomen en dat </w:t>
      </w:r>
      <w:r w:rsidR="000757E9" w:rsidRPr="005B01D2">
        <w:rPr>
          <w:lang w:val="nl-BE" w:eastAsia="en-US"/>
        </w:rPr>
        <w:t xml:space="preserve">de delegatie beantwoordt aan het </w:t>
      </w:r>
      <w:r w:rsidR="000C428C" w:rsidRPr="00B2070B">
        <w:rPr>
          <w:lang w:val="nl-BE"/>
        </w:rPr>
        <w:t>legaliteitsbeginsel</w:t>
      </w:r>
      <w:r w:rsidR="00F62896" w:rsidRPr="005B01D2">
        <w:rPr>
          <w:lang w:val="nl-BE" w:eastAsia="en-US"/>
        </w:rPr>
        <w:t>.</w:t>
      </w:r>
      <w:r w:rsidR="000C55CF">
        <w:rPr>
          <w:rStyle w:val="Voetnootmarkering"/>
          <w:lang w:val="nl-BE" w:eastAsia="en-US"/>
        </w:rPr>
        <w:footnoteReference w:id="129"/>
      </w:r>
      <w:r w:rsidR="001248CB" w:rsidRPr="005B01D2">
        <w:rPr>
          <w:lang w:val="nl-BE" w:eastAsia="en-US"/>
        </w:rPr>
        <w:t xml:space="preserve"> </w:t>
      </w:r>
      <w:r w:rsidR="000757E9" w:rsidRPr="005B01D2">
        <w:rPr>
          <w:lang w:val="nl-BE" w:eastAsia="en-US"/>
        </w:rPr>
        <w:t>Een dergelijke uitvoerende samenwerkingsakkoord kan zelfs aanleiding geven tot een wijziging van niet-essentiële elementen van het basissamenwerkingsakkoord.</w:t>
      </w:r>
      <w:r w:rsidR="000757E9" w:rsidRPr="005B01D2">
        <w:rPr>
          <w:rStyle w:val="Voetnootmarkering"/>
          <w:lang w:val="nl-BE" w:eastAsia="en-US"/>
        </w:rPr>
        <w:footnoteReference w:id="130"/>
      </w:r>
      <w:r w:rsidR="00DA178D">
        <w:rPr>
          <w:lang w:val="nl-BE" w:eastAsia="en-US"/>
        </w:rPr>
        <w:t xml:space="preserve"> Op die manier is er sinds de Zesde Staatshervorming ruimte ontstaan voor het aannemen van afgeleid samenwerkingsrecht.</w:t>
      </w:r>
    </w:p>
    <w:p w14:paraId="6A4FCD0C" w14:textId="77777777" w:rsidR="00427AFC" w:rsidRPr="005B01D2" w:rsidRDefault="00427AFC" w:rsidP="00427AFC">
      <w:pPr>
        <w:jc w:val="both"/>
        <w:rPr>
          <w:lang w:val="nl-BE"/>
        </w:rPr>
      </w:pPr>
    </w:p>
    <w:p w14:paraId="127A2EC9" w14:textId="77777777" w:rsidR="00F62896" w:rsidRPr="005B01D2" w:rsidRDefault="00BE70C2" w:rsidP="00427AFC">
      <w:pPr>
        <w:jc w:val="both"/>
        <w:rPr>
          <w:lang w:val="nl-BE"/>
        </w:rPr>
      </w:pPr>
      <w:r w:rsidRPr="005B01D2">
        <w:rPr>
          <w:lang w:val="nl-BE"/>
        </w:rPr>
        <w:t>2</w:t>
      </w:r>
      <w:r w:rsidR="00393B1D" w:rsidRPr="005B01D2">
        <w:rPr>
          <w:lang w:val="nl-BE"/>
        </w:rPr>
        <w:t>5</w:t>
      </w:r>
      <w:r w:rsidRPr="005B01D2">
        <w:rPr>
          <w:lang w:val="nl-BE"/>
        </w:rPr>
        <w:t>.</w:t>
      </w:r>
      <w:r w:rsidRPr="005B01D2">
        <w:rPr>
          <w:lang w:val="nl-BE"/>
        </w:rPr>
        <w:tab/>
      </w:r>
      <w:r w:rsidR="00F62896" w:rsidRPr="005B01D2">
        <w:rPr>
          <w:lang w:val="nl-BE"/>
        </w:rPr>
        <w:t xml:space="preserve">Door de introductie van uitvoerende samenwerkingsakkoorden (en gezamenlijke uitvoeringsbesluiten) wordt de tenuitvoerlegging van samenwerkingsakkoorden een beetje meer op dezelfde leest geschoeid als de regeling voor de tenuitvoerlegging van verdragen. Toch blijven er een aantal </w:t>
      </w:r>
      <w:r w:rsidR="00F56B00" w:rsidRPr="005B01D2">
        <w:rPr>
          <w:lang w:val="nl-BE"/>
        </w:rPr>
        <w:t xml:space="preserve">belangrijke </w:t>
      </w:r>
      <w:r w:rsidR="00F62896" w:rsidRPr="005B01D2">
        <w:rPr>
          <w:lang w:val="nl-BE"/>
        </w:rPr>
        <w:t>verschillen en nuances overeind.</w:t>
      </w:r>
    </w:p>
    <w:p w14:paraId="74619E4C" w14:textId="77777777" w:rsidR="00F62896" w:rsidRPr="005B01D2" w:rsidRDefault="00F62896" w:rsidP="00427AFC">
      <w:pPr>
        <w:jc w:val="both"/>
        <w:rPr>
          <w:lang w:val="nl-BE"/>
        </w:rPr>
      </w:pPr>
    </w:p>
    <w:p w14:paraId="6002BC2C" w14:textId="698ECFD3" w:rsidR="00CF3715" w:rsidRPr="005B01D2" w:rsidRDefault="00F62896" w:rsidP="00427AFC">
      <w:pPr>
        <w:jc w:val="both"/>
        <w:rPr>
          <w:lang w:val="nl-BE"/>
        </w:rPr>
      </w:pPr>
      <w:r w:rsidRPr="005B01D2">
        <w:rPr>
          <w:lang w:val="nl-BE"/>
        </w:rPr>
        <w:t xml:space="preserve">In de eerste plaats </w:t>
      </w:r>
      <w:r w:rsidR="00CF3715" w:rsidRPr="005B01D2">
        <w:rPr>
          <w:lang w:val="nl-BE"/>
        </w:rPr>
        <w:t xml:space="preserve">is er een zekere normdwang bij samenwerkingsakkoorden, in die zin dat – afgezien van de mogelijkheid om administratieve samenwerkingsakkoorden te sluiten over praktische aangelegenheden – enkel het </w:t>
      </w:r>
      <w:r w:rsidR="00CF3715" w:rsidRPr="00E93D19">
        <w:rPr>
          <w:lang w:val="nl-BE"/>
        </w:rPr>
        <w:t>uitvoerend</w:t>
      </w:r>
      <w:r w:rsidR="00584DD2">
        <w:rPr>
          <w:lang w:val="nl-BE"/>
        </w:rPr>
        <w:t>e</w:t>
      </w:r>
      <w:r w:rsidR="00CF3715" w:rsidRPr="005B01D2">
        <w:rPr>
          <w:lang w:val="nl-BE"/>
        </w:rPr>
        <w:t xml:space="preserve"> samenwerkingsakkoord </w:t>
      </w:r>
      <w:r w:rsidR="004D03FE" w:rsidRPr="005B01D2">
        <w:rPr>
          <w:lang w:val="nl-BE"/>
        </w:rPr>
        <w:t xml:space="preserve">beschikbaar is om </w:t>
      </w:r>
      <w:r w:rsidR="006F3D2B">
        <w:rPr>
          <w:lang w:val="nl-BE"/>
        </w:rPr>
        <w:t xml:space="preserve">een </w:t>
      </w:r>
      <w:r w:rsidR="00CF3715" w:rsidRPr="005B01D2">
        <w:rPr>
          <w:lang w:val="nl-BE"/>
        </w:rPr>
        <w:t xml:space="preserve">basissamenwerkingsakkoord </w:t>
      </w:r>
      <w:r w:rsidR="004D03FE" w:rsidRPr="005B01D2">
        <w:rPr>
          <w:lang w:val="nl-BE"/>
        </w:rPr>
        <w:t xml:space="preserve">nader </w:t>
      </w:r>
      <w:r w:rsidR="00CF3715" w:rsidRPr="005B01D2">
        <w:rPr>
          <w:lang w:val="nl-BE"/>
        </w:rPr>
        <w:t>ten uitvoer te leggen. Bij verdragen is er toch wat meer divers</w:t>
      </w:r>
      <w:r w:rsidR="00F56B00" w:rsidRPr="005B01D2">
        <w:rPr>
          <w:lang w:val="nl-BE"/>
        </w:rPr>
        <w:t>i</w:t>
      </w:r>
      <w:r w:rsidR="004D03FE" w:rsidRPr="005B01D2">
        <w:rPr>
          <w:lang w:val="nl-BE"/>
        </w:rPr>
        <w:t>teit</w:t>
      </w:r>
      <w:r w:rsidR="00F56B00" w:rsidRPr="005B01D2">
        <w:rPr>
          <w:lang w:val="nl-BE"/>
        </w:rPr>
        <w:t xml:space="preserve"> mogelijk</w:t>
      </w:r>
      <w:r w:rsidR="00CF3715" w:rsidRPr="005B01D2">
        <w:rPr>
          <w:lang w:val="nl-BE"/>
        </w:rPr>
        <w:t xml:space="preserve"> met vereenvoudigde verdragswijzigingsprocedures, </w:t>
      </w:r>
      <w:r w:rsidR="00A87036" w:rsidRPr="00A87036">
        <w:rPr>
          <w:i/>
          <w:lang w:val="nl-BE"/>
        </w:rPr>
        <w:t xml:space="preserve">executive </w:t>
      </w:r>
      <w:proofErr w:type="spellStart"/>
      <w:r w:rsidR="00A87036" w:rsidRPr="00A87036">
        <w:rPr>
          <w:i/>
          <w:lang w:val="nl-BE"/>
        </w:rPr>
        <w:t>agreements</w:t>
      </w:r>
      <w:proofErr w:type="spellEnd"/>
      <w:r w:rsidR="00F56B00" w:rsidRPr="005B01D2">
        <w:rPr>
          <w:lang w:val="nl-BE"/>
        </w:rPr>
        <w:t xml:space="preserve"> </w:t>
      </w:r>
      <w:r w:rsidR="00CF3715" w:rsidRPr="005B01D2">
        <w:rPr>
          <w:lang w:val="nl-BE"/>
        </w:rPr>
        <w:t xml:space="preserve">en de handelingen van internationale organisaties. Daar staat tegenover dat elk instrument </w:t>
      </w:r>
      <w:r w:rsidR="00A87036" w:rsidRPr="00A87036">
        <w:rPr>
          <w:lang w:val="nl-BE"/>
        </w:rPr>
        <w:t>waaruit</w:t>
      </w:r>
      <w:r w:rsidR="00F56B00" w:rsidRPr="005B01D2">
        <w:rPr>
          <w:lang w:val="nl-BE"/>
        </w:rPr>
        <w:t xml:space="preserve"> een</w:t>
      </w:r>
      <w:r w:rsidR="00A87036" w:rsidRPr="00A87036">
        <w:rPr>
          <w:lang w:val="nl-BE"/>
        </w:rPr>
        <w:t xml:space="preserve"> overeenkomst tussen de partijen blijkt (dus ook situaties die internationaal onder </w:t>
      </w:r>
      <w:r w:rsidR="00962421" w:rsidRPr="005B01D2">
        <w:rPr>
          <w:lang w:val="nl-BE"/>
        </w:rPr>
        <w:t>artikel 34 van de Grondwet</w:t>
      </w:r>
      <w:r w:rsidR="00A87036" w:rsidRPr="00A87036">
        <w:rPr>
          <w:lang w:val="nl-BE"/>
        </w:rPr>
        <w:t xml:space="preserve"> zouden vallen)</w:t>
      </w:r>
      <w:r w:rsidR="00CF3715" w:rsidRPr="005B01D2">
        <w:rPr>
          <w:lang w:val="nl-BE"/>
        </w:rPr>
        <w:t xml:space="preserve"> in aanmerking kom</w:t>
      </w:r>
      <w:r w:rsidR="004D03FE" w:rsidRPr="005B01D2">
        <w:rPr>
          <w:lang w:val="nl-BE"/>
        </w:rPr>
        <w:t>t</w:t>
      </w:r>
      <w:r w:rsidR="00CF3715" w:rsidRPr="005B01D2">
        <w:rPr>
          <w:lang w:val="nl-BE"/>
        </w:rPr>
        <w:t xml:space="preserve"> om </w:t>
      </w:r>
      <w:r w:rsidR="0040541D" w:rsidRPr="005B01D2">
        <w:rPr>
          <w:lang w:val="nl-BE"/>
        </w:rPr>
        <w:t>als uitvoerend</w:t>
      </w:r>
      <w:r w:rsidR="00CF3715" w:rsidRPr="005B01D2">
        <w:rPr>
          <w:lang w:val="nl-BE"/>
        </w:rPr>
        <w:t xml:space="preserve"> </w:t>
      </w:r>
      <w:r w:rsidR="00C74A8F">
        <w:rPr>
          <w:lang w:val="nl-BE"/>
        </w:rPr>
        <w:t xml:space="preserve">of administratief </w:t>
      </w:r>
      <w:r w:rsidR="00CF3715" w:rsidRPr="005B01D2">
        <w:rPr>
          <w:lang w:val="nl-BE"/>
        </w:rPr>
        <w:t xml:space="preserve">samenwerkingsakkoord te worden gekwalificeerd, ongeacht </w:t>
      </w:r>
      <w:r w:rsidR="004D03FE" w:rsidRPr="005B01D2">
        <w:rPr>
          <w:lang w:val="nl-BE"/>
        </w:rPr>
        <w:t xml:space="preserve">zijn benaming of zijn </w:t>
      </w:r>
      <w:r w:rsidR="00CF3715" w:rsidRPr="005B01D2">
        <w:rPr>
          <w:lang w:val="nl-BE"/>
        </w:rPr>
        <w:t>vorm</w:t>
      </w:r>
      <w:r w:rsidR="000757E9" w:rsidRPr="005B01D2">
        <w:rPr>
          <w:lang w:val="nl-BE"/>
        </w:rPr>
        <w:t>. Een dergelijke overeenkomst kan zelfs het wijzigingen van niet-essentiële elementen van het basissamenwerkingsakkoord tot voorwerp hebben.</w:t>
      </w:r>
      <w:r w:rsidR="004D03FE" w:rsidRPr="005B01D2">
        <w:rPr>
          <w:lang w:val="nl-BE"/>
        </w:rPr>
        <w:t xml:space="preserve"> Met enige </w:t>
      </w:r>
      <w:r w:rsidR="00CF3715" w:rsidRPr="005B01D2">
        <w:rPr>
          <w:lang w:val="nl-BE"/>
        </w:rPr>
        <w:t xml:space="preserve">creativiteit </w:t>
      </w:r>
      <w:r w:rsidR="004D03FE" w:rsidRPr="005B01D2">
        <w:rPr>
          <w:lang w:val="nl-BE"/>
        </w:rPr>
        <w:t>kunn</w:t>
      </w:r>
      <w:r w:rsidR="00F00705" w:rsidRPr="005B01D2">
        <w:rPr>
          <w:lang w:val="nl-BE"/>
        </w:rPr>
        <w:t>e</w:t>
      </w:r>
      <w:r w:rsidR="004D03FE" w:rsidRPr="005B01D2">
        <w:rPr>
          <w:lang w:val="nl-BE"/>
        </w:rPr>
        <w:t xml:space="preserve">n op die manier </w:t>
      </w:r>
      <w:r w:rsidR="00CF3715" w:rsidRPr="005B01D2">
        <w:rPr>
          <w:lang w:val="nl-BE"/>
        </w:rPr>
        <w:t>toch gelijkaardige uitkomsten worden gerealiseerd.</w:t>
      </w:r>
      <w:r w:rsidR="00F00705" w:rsidRPr="005B01D2">
        <w:rPr>
          <w:lang w:val="nl-BE"/>
        </w:rPr>
        <w:t xml:space="preserve"> </w:t>
      </w:r>
    </w:p>
    <w:p w14:paraId="63F9D9D8" w14:textId="77777777" w:rsidR="003601BD" w:rsidRPr="005B01D2" w:rsidRDefault="003601BD" w:rsidP="00427AFC">
      <w:pPr>
        <w:jc w:val="both"/>
        <w:rPr>
          <w:lang w:val="nl-BE"/>
        </w:rPr>
      </w:pPr>
    </w:p>
    <w:p w14:paraId="032728F6" w14:textId="56836181" w:rsidR="00CF3715" w:rsidRPr="005B01D2" w:rsidRDefault="00CF3715" w:rsidP="00427AFC">
      <w:pPr>
        <w:jc w:val="both"/>
        <w:rPr>
          <w:lang w:val="nl-BE"/>
        </w:rPr>
      </w:pPr>
      <w:r w:rsidRPr="005B01D2">
        <w:rPr>
          <w:lang w:val="nl-BE"/>
        </w:rPr>
        <w:t>In de tweede plaats moet worden gewezen op het verschil in de vereisten van parlementa</w:t>
      </w:r>
      <w:r w:rsidR="00C5028C" w:rsidRPr="005B01D2">
        <w:rPr>
          <w:lang w:val="nl-BE"/>
        </w:rPr>
        <w:t>ir toezicht</w:t>
      </w:r>
      <w:r w:rsidRPr="005B01D2">
        <w:rPr>
          <w:lang w:val="nl-BE"/>
        </w:rPr>
        <w:t xml:space="preserve">. Bij </w:t>
      </w:r>
      <w:r w:rsidR="004D03FE" w:rsidRPr="005B01D2">
        <w:rPr>
          <w:lang w:val="nl-BE"/>
        </w:rPr>
        <w:t>het afgeleid internationaal recht</w:t>
      </w:r>
      <w:r w:rsidR="005557CF">
        <w:rPr>
          <w:lang w:val="nl-BE"/>
        </w:rPr>
        <w:t>,</w:t>
      </w:r>
      <w:r w:rsidR="004D03FE" w:rsidRPr="005B01D2">
        <w:rPr>
          <w:lang w:val="nl-BE"/>
        </w:rPr>
        <w:t xml:space="preserve"> </w:t>
      </w:r>
      <w:r w:rsidR="000E23EE" w:rsidRPr="005B01D2">
        <w:rPr>
          <w:lang w:val="nl-BE"/>
        </w:rPr>
        <w:t>aangenomen krachtens artikel 34 van de Grondwet</w:t>
      </w:r>
      <w:r w:rsidR="005557CF">
        <w:rPr>
          <w:lang w:val="nl-BE"/>
        </w:rPr>
        <w:t>,</w:t>
      </w:r>
      <w:r w:rsidR="000E23EE" w:rsidRPr="005B01D2">
        <w:rPr>
          <w:lang w:val="nl-BE"/>
        </w:rPr>
        <w:t xml:space="preserve"> </w:t>
      </w:r>
      <w:r w:rsidRPr="005B01D2">
        <w:rPr>
          <w:lang w:val="nl-BE"/>
        </w:rPr>
        <w:t xml:space="preserve">geldt </w:t>
      </w:r>
      <w:r w:rsidR="004D03FE" w:rsidRPr="005B01D2">
        <w:rPr>
          <w:lang w:val="nl-BE"/>
        </w:rPr>
        <w:t xml:space="preserve">in de eerste plaats </w:t>
      </w:r>
      <w:r w:rsidRPr="005B01D2">
        <w:rPr>
          <w:lang w:val="nl-BE"/>
        </w:rPr>
        <w:t>een formeel criterium</w:t>
      </w:r>
      <w:r w:rsidR="004D03FE" w:rsidRPr="005B01D2">
        <w:rPr>
          <w:lang w:val="nl-BE"/>
        </w:rPr>
        <w:t xml:space="preserve">: </w:t>
      </w:r>
      <w:r w:rsidR="000E23EE" w:rsidRPr="005B01D2">
        <w:rPr>
          <w:lang w:val="nl-BE"/>
        </w:rPr>
        <w:t xml:space="preserve">enkel handelingen van internationale organisatie die tevens aanleiding geven tot een </w:t>
      </w:r>
      <w:r w:rsidR="004D03FE" w:rsidRPr="005B01D2">
        <w:rPr>
          <w:lang w:val="nl-BE"/>
        </w:rPr>
        <w:t xml:space="preserve">formele </w:t>
      </w:r>
      <w:r w:rsidR="000E23EE" w:rsidRPr="005B01D2">
        <w:rPr>
          <w:lang w:val="nl-BE"/>
        </w:rPr>
        <w:t>verdrags</w:t>
      </w:r>
      <w:r w:rsidR="004D03FE" w:rsidRPr="005B01D2">
        <w:rPr>
          <w:lang w:val="nl-BE"/>
        </w:rPr>
        <w:t xml:space="preserve">wijziging </w:t>
      </w:r>
      <w:r w:rsidR="000E23EE" w:rsidRPr="005B01D2">
        <w:rPr>
          <w:lang w:val="nl-BE"/>
        </w:rPr>
        <w:t xml:space="preserve">vereisen alsnog een parlementaire instemming, dit </w:t>
      </w:r>
      <w:r w:rsidRPr="005B01D2">
        <w:rPr>
          <w:lang w:val="nl-BE"/>
        </w:rPr>
        <w:t xml:space="preserve">ongeacht de </w:t>
      </w:r>
      <w:r w:rsidR="000C428C" w:rsidRPr="00B2070B">
        <w:rPr>
          <w:lang w:val="nl-BE"/>
        </w:rPr>
        <w:t>overgedragen materie.</w:t>
      </w:r>
      <w:r w:rsidR="008C3A52" w:rsidRPr="004C1478">
        <w:rPr>
          <w:rStyle w:val="Voetnootmarkering"/>
          <w:lang w:val="nl-BE"/>
        </w:rPr>
        <w:footnoteReference w:id="131"/>
      </w:r>
      <w:r w:rsidRPr="005B01D2">
        <w:rPr>
          <w:lang w:val="nl-BE"/>
        </w:rPr>
        <w:t xml:space="preserve"> </w:t>
      </w:r>
      <w:r w:rsidR="006B1EE0" w:rsidRPr="005B01D2">
        <w:rPr>
          <w:lang w:val="nl-BE"/>
        </w:rPr>
        <w:t>V</w:t>
      </w:r>
      <w:r w:rsidRPr="005B01D2">
        <w:rPr>
          <w:lang w:val="nl-BE"/>
        </w:rPr>
        <w:t xml:space="preserve">oor </w:t>
      </w:r>
      <w:r w:rsidR="0040541D" w:rsidRPr="00A87036">
        <w:rPr>
          <w:i/>
          <w:lang w:val="nl-BE"/>
        </w:rPr>
        <w:t>executive</w:t>
      </w:r>
      <w:r w:rsidR="00A87036" w:rsidRPr="00A87036">
        <w:rPr>
          <w:i/>
          <w:lang w:val="nl-BE"/>
        </w:rPr>
        <w:t xml:space="preserve"> </w:t>
      </w:r>
      <w:proofErr w:type="spellStart"/>
      <w:r w:rsidR="00A87036" w:rsidRPr="00A87036">
        <w:rPr>
          <w:i/>
          <w:lang w:val="nl-BE"/>
        </w:rPr>
        <w:t>agreements</w:t>
      </w:r>
      <w:proofErr w:type="spellEnd"/>
      <w:r w:rsidRPr="005B01D2">
        <w:rPr>
          <w:lang w:val="nl-BE"/>
        </w:rPr>
        <w:t xml:space="preserve"> </w:t>
      </w:r>
      <w:r w:rsidR="006B1EE0" w:rsidRPr="005B01D2">
        <w:rPr>
          <w:lang w:val="nl-BE"/>
        </w:rPr>
        <w:t xml:space="preserve">is </w:t>
      </w:r>
      <w:r w:rsidR="00C5028C" w:rsidRPr="005B01D2">
        <w:rPr>
          <w:lang w:val="nl-BE"/>
        </w:rPr>
        <w:t xml:space="preserve">de nood </w:t>
      </w:r>
      <w:r w:rsidR="006B1EE0" w:rsidRPr="005B01D2">
        <w:rPr>
          <w:lang w:val="nl-BE"/>
        </w:rPr>
        <w:t>a</w:t>
      </w:r>
      <w:r w:rsidR="00C5028C" w:rsidRPr="005B01D2">
        <w:rPr>
          <w:lang w:val="nl-BE"/>
        </w:rPr>
        <w:t xml:space="preserve">an parlementaire instemming </w:t>
      </w:r>
      <w:r w:rsidR="000E23EE" w:rsidRPr="005B01D2">
        <w:rPr>
          <w:lang w:val="nl-BE"/>
        </w:rPr>
        <w:t xml:space="preserve">en voor vereenvoudigde verdragswijzigingen de mogelijkheid van een anticipatieve instemming </w:t>
      </w:r>
      <w:r w:rsidR="006B1EE0" w:rsidRPr="005B01D2">
        <w:rPr>
          <w:lang w:val="nl-BE"/>
        </w:rPr>
        <w:t xml:space="preserve">dan weer afhankelijk </w:t>
      </w:r>
      <w:r w:rsidR="00C5028C" w:rsidRPr="005B01D2">
        <w:rPr>
          <w:lang w:val="nl-BE"/>
        </w:rPr>
        <w:t xml:space="preserve">van de </w:t>
      </w:r>
      <w:r w:rsidR="00F56B00" w:rsidRPr="005B01D2">
        <w:rPr>
          <w:lang w:val="nl-BE"/>
        </w:rPr>
        <w:t>“</w:t>
      </w:r>
      <w:r w:rsidR="00C5028C" w:rsidRPr="005B01D2">
        <w:rPr>
          <w:lang w:val="nl-BE"/>
        </w:rPr>
        <w:t>inhoud</w:t>
      </w:r>
      <w:r w:rsidR="00F56B00" w:rsidRPr="005B01D2">
        <w:rPr>
          <w:lang w:val="nl-BE"/>
        </w:rPr>
        <w:t>”</w:t>
      </w:r>
      <w:r w:rsidR="00C5028C" w:rsidRPr="005B01D2">
        <w:rPr>
          <w:lang w:val="nl-BE"/>
        </w:rPr>
        <w:t xml:space="preserve"> van </w:t>
      </w:r>
      <w:r w:rsidR="000E23EE" w:rsidRPr="005B01D2">
        <w:rPr>
          <w:lang w:val="nl-BE"/>
        </w:rPr>
        <w:t xml:space="preserve">het akkoord of van de potentiële latere </w:t>
      </w:r>
      <w:r w:rsidR="00C5028C" w:rsidRPr="005B01D2">
        <w:rPr>
          <w:lang w:val="nl-BE"/>
        </w:rPr>
        <w:t>wijziging</w:t>
      </w:r>
      <w:r w:rsidRPr="005B01D2">
        <w:rPr>
          <w:lang w:val="nl-BE"/>
        </w:rPr>
        <w:t>.</w:t>
      </w:r>
      <w:r w:rsidR="00962421" w:rsidRPr="005B01D2">
        <w:rPr>
          <w:rStyle w:val="Voetnootmarkering"/>
          <w:lang w:val="nl-BE"/>
        </w:rPr>
        <w:footnoteReference w:id="132"/>
      </w:r>
      <w:r w:rsidR="00F56B00" w:rsidRPr="005B01D2">
        <w:rPr>
          <w:lang w:val="nl-BE"/>
        </w:rPr>
        <w:t xml:space="preserve"> </w:t>
      </w:r>
      <w:r w:rsidR="000E23EE" w:rsidRPr="005B01D2">
        <w:rPr>
          <w:lang w:val="nl-BE"/>
        </w:rPr>
        <w:t xml:space="preserve">In het algemeen kan worden opgemerkt dat de </w:t>
      </w:r>
      <w:r w:rsidR="00F56B00" w:rsidRPr="005B01D2">
        <w:rPr>
          <w:lang w:val="nl-BE"/>
        </w:rPr>
        <w:t xml:space="preserve">Raad van State eerder </w:t>
      </w:r>
      <w:r w:rsidR="000E23EE" w:rsidRPr="005B01D2">
        <w:rPr>
          <w:lang w:val="nl-BE"/>
        </w:rPr>
        <w:t>permissief is voor de op die manier gerealiseerde delegaties van verordenende bevoegdheid</w:t>
      </w:r>
      <w:r w:rsidR="00982408" w:rsidRPr="005B01D2">
        <w:rPr>
          <w:lang w:val="nl-BE"/>
        </w:rPr>
        <w:t>,</w:t>
      </w:r>
      <w:r w:rsidR="00982408" w:rsidRPr="005B01D2">
        <w:rPr>
          <w:rStyle w:val="Voetnootmarkering"/>
          <w:lang w:val="nl-BE"/>
        </w:rPr>
        <w:footnoteReference w:id="133"/>
      </w:r>
      <w:r w:rsidR="00982408" w:rsidRPr="005B01D2">
        <w:rPr>
          <w:lang w:val="nl-BE"/>
        </w:rPr>
        <w:t xml:space="preserve"> zeker </w:t>
      </w:r>
      <w:r w:rsidR="006B1EE0" w:rsidRPr="005B01D2">
        <w:rPr>
          <w:lang w:val="nl-BE"/>
        </w:rPr>
        <w:t xml:space="preserve">in verhouding tot wat </w:t>
      </w:r>
      <w:r w:rsidR="00982408" w:rsidRPr="005B01D2">
        <w:rPr>
          <w:lang w:val="nl-BE"/>
        </w:rPr>
        <w:t>het geval is voor interne normen</w:t>
      </w:r>
      <w:r w:rsidR="000E23EE" w:rsidRPr="005B01D2">
        <w:rPr>
          <w:lang w:val="nl-BE"/>
        </w:rPr>
        <w:t>.</w:t>
      </w:r>
      <w:r w:rsidRPr="005B01D2">
        <w:rPr>
          <w:lang w:val="nl-BE"/>
        </w:rPr>
        <w:t xml:space="preserve"> Bij samenwerkingsakkoorden </w:t>
      </w:r>
      <w:r w:rsidR="00C5028C" w:rsidRPr="005B01D2">
        <w:rPr>
          <w:lang w:val="nl-BE"/>
        </w:rPr>
        <w:t>geldt steeds een materieel</w:t>
      </w:r>
      <w:r w:rsidR="00F56B00" w:rsidRPr="005B01D2">
        <w:rPr>
          <w:lang w:val="nl-BE"/>
        </w:rPr>
        <w:t xml:space="preserve"> </w:t>
      </w:r>
      <w:r w:rsidR="00C5028C" w:rsidRPr="005B01D2">
        <w:rPr>
          <w:lang w:val="nl-BE"/>
        </w:rPr>
        <w:t xml:space="preserve">criterium, enerzijds geldt het vereiste van </w:t>
      </w:r>
      <w:r w:rsidR="00A87036" w:rsidRPr="00A87036">
        <w:rPr>
          <w:lang w:val="nl-BE"/>
        </w:rPr>
        <w:t>de drie criteria van artikel 92</w:t>
      </w:r>
      <w:r w:rsidR="00A87036" w:rsidRPr="00A87036">
        <w:rPr>
          <w:i/>
          <w:lang w:val="nl-BE"/>
        </w:rPr>
        <w:t>bis</w:t>
      </w:r>
      <w:r w:rsidR="00A87036" w:rsidRPr="00A87036">
        <w:rPr>
          <w:lang w:val="nl-BE"/>
        </w:rPr>
        <w:t>, §1, tweede lid, BWHI</w:t>
      </w:r>
      <w:r w:rsidR="00962421" w:rsidRPr="005B01D2">
        <w:rPr>
          <w:rStyle w:val="Voetnootmarkering"/>
          <w:lang w:val="nl-BE"/>
        </w:rPr>
        <w:footnoteReference w:id="134"/>
      </w:r>
      <w:r w:rsidR="00C5028C" w:rsidRPr="005B01D2">
        <w:rPr>
          <w:lang w:val="nl-BE"/>
        </w:rPr>
        <w:t xml:space="preserve"> die bepalen of de overeenkomst een samenwerkingsakkoord of </w:t>
      </w:r>
      <w:r w:rsidR="00D8547E" w:rsidRPr="005B01D2">
        <w:rPr>
          <w:lang w:val="nl-BE"/>
        </w:rPr>
        <w:t xml:space="preserve">een </w:t>
      </w:r>
      <w:r w:rsidR="00C5028C" w:rsidRPr="005B01D2">
        <w:rPr>
          <w:lang w:val="nl-BE"/>
        </w:rPr>
        <w:t>administratief samenwerkingsakkoord kan zijn; anderzijds geldt een versterkt legaliteitsbeginsel dat beperkt welke aangelegenheden kunnen worden geregeld bij een uitvoerend samenwerkingsakkoord.</w:t>
      </w:r>
      <w:r w:rsidR="00F56B00" w:rsidRPr="005B01D2">
        <w:rPr>
          <w:lang w:val="nl-BE"/>
        </w:rPr>
        <w:t xml:space="preserve"> De Raad van State is hierbij beduidend strenger. Hiervoor kan begrip worden opgebracht</w:t>
      </w:r>
      <w:r w:rsidR="00982408" w:rsidRPr="005B01D2">
        <w:rPr>
          <w:lang w:val="nl-BE"/>
        </w:rPr>
        <w:t>. Zo vereist</w:t>
      </w:r>
      <w:r w:rsidR="00F56B00" w:rsidRPr="005B01D2">
        <w:rPr>
          <w:lang w:val="nl-BE"/>
        </w:rPr>
        <w:t xml:space="preserve"> </w:t>
      </w:r>
      <w:r w:rsidR="00773778" w:rsidRPr="005B01D2">
        <w:rPr>
          <w:lang w:val="nl-BE"/>
        </w:rPr>
        <w:t xml:space="preserve">het bereiken van een overeenkomst tussen staten met verschillende rechtstradities soms enige flexibiliteit, </w:t>
      </w:r>
      <w:r w:rsidR="00982408" w:rsidRPr="005B01D2">
        <w:rPr>
          <w:lang w:val="nl-BE"/>
        </w:rPr>
        <w:t xml:space="preserve">die </w:t>
      </w:r>
      <w:r w:rsidR="00773778" w:rsidRPr="005B01D2">
        <w:rPr>
          <w:lang w:val="nl-BE"/>
        </w:rPr>
        <w:t xml:space="preserve">niet nodig is voor overeenkomsten tussen overheden die allemaal hetzelfde Belgische rechtskader </w:t>
      </w:r>
      <w:r w:rsidR="005946C0" w:rsidRPr="005B01D2">
        <w:rPr>
          <w:lang w:val="nl-BE"/>
        </w:rPr>
        <w:t>delen</w:t>
      </w:r>
      <w:r w:rsidR="00773778" w:rsidRPr="005B01D2">
        <w:rPr>
          <w:lang w:val="nl-BE"/>
        </w:rPr>
        <w:t>.</w:t>
      </w:r>
      <w:r w:rsidR="00773778" w:rsidRPr="005B01D2">
        <w:rPr>
          <w:rStyle w:val="Voetnootmarkering"/>
          <w:lang w:val="nl-BE"/>
        </w:rPr>
        <w:footnoteReference w:id="135"/>
      </w:r>
      <w:r w:rsidR="00773778" w:rsidRPr="005B01D2">
        <w:rPr>
          <w:lang w:val="nl-BE"/>
        </w:rPr>
        <w:t xml:space="preserve"> Bovendien bevat het rechtskader voor administratieve samenwerki</w:t>
      </w:r>
      <w:r w:rsidR="006B1EE0" w:rsidRPr="005B01D2">
        <w:rPr>
          <w:lang w:val="nl-BE"/>
        </w:rPr>
        <w:t>n</w:t>
      </w:r>
      <w:r w:rsidR="00773778" w:rsidRPr="005B01D2">
        <w:rPr>
          <w:lang w:val="nl-BE"/>
        </w:rPr>
        <w:t>gsakkoorden en uitvoerende samenwerkingsakkoorden nog enkele bijkomende hiaten in het licht van behoorlijke regelgeving en van democratische controle, zodat de Belgische rechter</w:t>
      </w:r>
      <w:r w:rsidR="00982408" w:rsidRPr="005B01D2">
        <w:rPr>
          <w:lang w:val="nl-BE"/>
        </w:rPr>
        <w:t xml:space="preserve"> zich ten opzichte van het gebruik van deze instrumenten</w:t>
      </w:r>
      <w:r w:rsidR="00773778" w:rsidRPr="005B01D2">
        <w:rPr>
          <w:lang w:val="nl-BE"/>
        </w:rPr>
        <w:t xml:space="preserve"> met reden terughoudend opstelt.</w:t>
      </w:r>
      <w:r w:rsidR="00773778" w:rsidRPr="005B01D2">
        <w:rPr>
          <w:rStyle w:val="Voetnootmarkering"/>
          <w:lang w:val="nl-BE"/>
        </w:rPr>
        <w:footnoteReference w:id="136"/>
      </w:r>
      <w:r w:rsidR="00773778" w:rsidRPr="005B01D2">
        <w:rPr>
          <w:lang w:val="nl-BE"/>
        </w:rPr>
        <w:t xml:space="preserve"> </w:t>
      </w:r>
    </w:p>
    <w:p w14:paraId="105B11A7" w14:textId="77777777" w:rsidR="0053749A" w:rsidRPr="005B01D2" w:rsidRDefault="0053749A" w:rsidP="00427AFC">
      <w:pPr>
        <w:jc w:val="both"/>
        <w:rPr>
          <w:lang w:val="nl-BE"/>
        </w:rPr>
      </w:pPr>
    </w:p>
    <w:p w14:paraId="10C0F490" w14:textId="026537E8" w:rsidR="00962421" w:rsidRPr="005B01D2" w:rsidRDefault="00962421" w:rsidP="00427AFC">
      <w:pPr>
        <w:jc w:val="both"/>
        <w:rPr>
          <w:lang w:val="nl-BE"/>
        </w:rPr>
      </w:pPr>
      <w:r w:rsidRPr="005B01D2">
        <w:rPr>
          <w:lang w:val="nl-BE"/>
        </w:rPr>
        <w:t>In het verlengde daarvan</w:t>
      </w:r>
      <w:r w:rsidR="0053749A" w:rsidRPr="005B01D2">
        <w:rPr>
          <w:lang w:val="nl-BE"/>
        </w:rPr>
        <w:t xml:space="preserve"> is er</w:t>
      </w:r>
      <w:r w:rsidRPr="005B01D2">
        <w:rPr>
          <w:lang w:val="nl-BE"/>
        </w:rPr>
        <w:t xml:space="preserve"> dus</w:t>
      </w:r>
      <w:r w:rsidR="0053749A" w:rsidRPr="005B01D2">
        <w:rPr>
          <w:lang w:val="nl-BE"/>
        </w:rPr>
        <w:t xml:space="preserve"> wel een parallel te trekken tussen </w:t>
      </w:r>
      <w:r w:rsidR="00A87036" w:rsidRPr="00A87036">
        <w:rPr>
          <w:i/>
          <w:lang w:val="nl-BE"/>
        </w:rPr>
        <w:t xml:space="preserve">executive </w:t>
      </w:r>
      <w:proofErr w:type="spellStart"/>
      <w:r w:rsidR="00A87036" w:rsidRPr="00A87036">
        <w:rPr>
          <w:i/>
          <w:lang w:val="nl-BE"/>
        </w:rPr>
        <w:t>agreements</w:t>
      </w:r>
      <w:proofErr w:type="spellEnd"/>
      <w:r w:rsidR="0053749A" w:rsidRPr="005B01D2">
        <w:rPr>
          <w:lang w:val="nl-BE"/>
        </w:rPr>
        <w:t xml:space="preserve"> en </w:t>
      </w:r>
      <w:r w:rsidR="000C428C" w:rsidRPr="00B2070B">
        <w:rPr>
          <w:i/>
          <w:lang w:val="nl-BE"/>
        </w:rPr>
        <w:t>administratieve</w:t>
      </w:r>
      <w:r w:rsidR="0053749A" w:rsidRPr="005B01D2">
        <w:rPr>
          <w:lang w:val="nl-BE"/>
        </w:rPr>
        <w:t xml:space="preserve"> samenwerkingsakkoorden</w:t>
      </w:r>
      <w:r w:rsidRPr="005B01D2">
        <w:rPr>
          <w:lang w:val="nl-BE"/>
        </w:rPr>
        <w:t xml:space="preserve">, in die zin dat beide slechts kunnen voor </w:t>
      </w:r>
      <w:r w:rsidR="006B1EE0" w:rsidRPr="005B01D2">
        <w:rPr>
          <w:lang w:val="nl-BE"/>
        </w:rPr>
        <w:t xml:space="preserve">vrij </w:t>
      </w:r>
      <w:r w:rsidRPr="005B01D2">
        <w:rPr>
          <w:lang w:val="nl-BE"/>
        </w:rPr>
        <w:t>beperkte</w:t>
      </w:r>
      <w:r w:rsidR="006B1EE0" w:rsidRPr="005B01D2">
        <w:rPr>
          <w:lang w:val="nl-BE"/>
        </w:rPr>
        <w:t>, eerder praktische</w:t>
      </w:r>
      <w:r w:rsidRPr="005B01D2">
        <w:rPr>
          <w:lang w:val="nl-BE"/>
        </w:rPr>
        <w:t xml:space="preserve"> aangelegenheden, die de burger of de begroting niet bezwaren. Voor </w:t>
      </w:r>
      <w:r w:rsidR="000C428C" w:rsidRPr="00B2070B">
        <w:rPr>
          <w:i/>
          <w:lang w:val="nl-BE"/>
        </w:rPr>
        <w:t>uitvoerende</w:t>
      </w:r>
      <w:r w:rsidRPr="005B01D2">
        <w:rPr>
          <w:lang w:val="nl-BE"/>
        </w:rPr>
        <w:t xml:space="preserve"> samenwerkingsakkoorden geldt die </w:t>
      </w:r>
      <w:r w:rsidR="005946C0" w:rsidRPr="005B01D2">
        <w:rPr>
          <w:lang w:val="nl-BE"/>
        </w:rPr>
        <w:t xml:space="preserve">stringente </w:t>
      </w:r>
      <w:r w:rsidRPr="005B01D2">
        <w:rPr>
          <w:lang w:val="nl-BE"/>
        </w:rPr>
        <w:t xml:space="preserve">beperking niet, maar daarvoor geldt dan weer een versterkt legaliteitsbeginsel, zodat er </w:t>
      </w:r>
      <w:r w:rsidR="00421A09">
        <w:rPr>
          <w:lang w:val="nl-BE"/>
        </w:rPr>
        <w:t>ook</w:t>
      </w:r>
      <w:r w:rsidRPr="005B01D2">
        <w:rPr>
          <w:lang w:val="nl-BE"/>
        </w:rPr>
        <w:t xml:space="preserve"> </w:t>
      </w:r>
      <w:r w:rsidR="00421A09">
        <w:rPr>
          <w:lang w:val="nl-BE"/>
        </w:rPr>
        <w:t xml:space="preserve">duidelijke beperkingen zijn </w:t>
      </w:r>
      <w:r w:rsidRPr="005B01D2">
        <w:rPr>
          <w:lang w:val="nl-BE"/>
        </w:rPr>
        <w:t xml:space="preserve">aan wat bij uitvoerend samenwerkingsakkoord kan worden geregeld. </w:t>
      </w:r>
    </w:p>
    <w:p w14:paraId="5572E7F7" w14:textId="77777777" w:rsidR="00D8547E" w:rsidRPr="005B01D2" w:rsidRDefault="00D8547E" w:rsidP="00427AFC">
      <w:pPr>
        <w:jc w:val="both"/>
        <w:rPr>
          <w:lang w:val="nl-BE"/>
        </w:rPr>
      </w:pPr>
    </w:p>
    <w:p w14:paraId="3439DCA7" w14:textId="2619C7DC" w:rsidR="00D8547E" w:rsidRPr="005B01D2" w:rsidRDefault="00D8547E" w:rsidP="00427AFC">
      <w:pPr>
        <w:jc w:val="both"/>
        <w:rPr>
          <w:lang w:val="nl-BE"/>
        </w:rPr>
      </w:pPr>
      <w:r w:rsidRPr="005B01D2">
        <w:rPr>
          <w:lang w:val="nl-BE"/>
        </w:rPr>
        <w:t xml:space="preserve">Een </w:t>
      </w:r>
      <w:r w:rsidR="00C74A8F">
        <w:rPr>
          <w:lang w:val="nl-BE"/>
        </w:rPr>
        <w:t>ander</w:t>
      </w:r>
      <w:r w:rsidR="00C74A8F" w:rsidRPr="00E93D19">
        <w:rPr>
          <w:lang w:val="nl-BE"/>
        </w:rPr>
        <w:t xml:space="preserve"> </w:t>
      </w:r>
      <w:r w:rsidRPr="005B01D2">
        <w:rPr>
          <w:lang w:val="nl-BE"/>
        </w:rPr>
        <w:t xml:space="preserve">verschil is dat voor vereenvoudigde wijzigingen door middel van een uitvoerend samenwerkingsakkoord van </w:t>
      </w:r>
      <w:r w:rsidR="00C74A8F">
        <w:rPr>
          <w:lang w:val="nl-BE"/>
        </w:rPr>
        <w:t xml:space="preserve">de </w:t>
      </w:r>
      <w:r w:rsidRPr="005B01D2">
        <w:rPr>
          <w:lang w:val="nl-BE"/>
        </w:rPr>
        <w:t xml:space="preserve">niet-essentiële </w:t>
      </w:r>
      <w:r w:rsidR="00F410BA" w:rsidRPr="005B01D2">
        <w:rPr>
          <w:lang w:val="nl-BE"/>
        </w:rPr>
        <w:t xml:space="preserve">elementen </w:t>
      </w:r>
      <w:r w:rsidRPr="005B01D2">
        <w:rPr>
          <w:lang w:val="nl-BE"/>
        </w:rPr>
        <w:t>van een basissamenwerkingsakkoord geen instemming van de wetgevers vereist is</w:t>
      </w:r>
      <w:r w:rsidR="00393B1D" w:rsidRPr="005B01D2">
        <w:rPr>
          <w:lang w:val="nl-BE"/>
        </w:rPr>
        <w:t xml:space="preserve"> (al dan niet in anticipatieve vorm)</w:t>
      </w:r>
      <w:r w:rsidRPr="005B01D2">
        <w:rPr>
          <w:lang w:val="nl-BE"/>
        </w:rPr>
        <w:t>,</w:t>
      </w:r>
      <w:r w:rsidR="008D4462">
        <w:rPr>
          <w:rStyle w:val="Voetnootmarkering"/>
          <w:lang w:val="nl-BE"/>
        </w:rPr>
        <w:footnoteReference w:id="137"/>
      </w:r>
      <w:r w:rsidRPr="005B01D2">
        <w:rPr>
          <w:lang w:val="nl-BE"/>
        </w:rPr>
        <w:t xml:space="preserve"> daar waar dit wel het geval is voor vereenvoudigde </w:t>
      </w:r>
      <w:r w:rsidRPr="005B01D2">
        <w:rPr>
          <w:lang w:val="nl-BE"/>
        </w:rPr>
        <w:lastRenderedPageBreak/>
        <w:t>verdragswijzigingen.</w:t>
      </w:r>
      <w:r w:rsidR="008D4462">
        <w:rPr>
          <w:rStyle w:val="Voetnootmarkering"/>
          <w:lang w:val="nl-BE"/>
        </w:rPr>
        <w:footnoteReference w:id="138"/>
      </w:r>
      <w:r w:rsidRPr="005B01D2">
        <w:rPr>
          <w:lang w:val="nl-BE"/>
        </w:rPr>
        <w:t xml:space="preserve"> </w:t>
      </w:r>
      <w:r w:rsidR="00C74A8F">
        <w:rPr>
          <w:lang w:val="nl-BE"/>
        </w:rPr>
        <w:t xml:space="preserve">Op zich sluit dit aan bij de visie dat uitvoerende samenwerkingsakkoorden in essentie aan een gelijkaardige delegatieregels onderworpen zijn als interne uitvoeringsbesluiten. </w:t>
      </w:r>
      <w:r w:rsidR="0094743C">
        <w:rPr>
          <w:lang w:val="nl-BE"/>
        </w:rPr>
        <w:t>Niettemin</w:t>
      </w:r>
      <w:r w:rsidR="00F410BA" w:rsidRPr="005B01D2">
        <w:rPr>
          <w:lang w:val="nl-BE"/>
        </w:rPr>
        <w:t xml:space="preserve"> zou n</w:t>
      </w:r>
      <w:r w:rsidR="00A87036" w:rsidRPr="00A87036">
        <w:rPr>
          <w:lang w:val="nl-BE"/>
        </w:rPr>
        <w:t xml:space="preserve">aar analogie met vereenvoudigde verdragswijzigingen, ook voor vereenvoudigde wijzigingen van samenwerkingsakkoorden </w:t>
      </w:r>
      <w:r w:rsidR="0094743C">
        <w:rPr>
          <w:lang w:val="nl-BE"/>
        </w:rPr>
        <w:t>overwogen kunnen</w:t>
      </w:r>
      <w:r w:rsidR="00747290">
        <w:rPr>
          <w:lang w:val="nl-BE"/>
        </w:rPr>
        <w:t xml:space="preserve"> </w:t>
      </w:r>
      <w:r w:rsidR="00A87036" w:rsidRPr="00A87036">
        <w:rPr>
          <w:lang w:val="nl-BE"/>
        </w:rPr>
        <w:t>worden</w:t>
      </w:r>
      <w:r w:rsidR="0094743C">
        <w:rPr>
          <w:lang w:val="nl-BE"/>
        </w:rPr>
        <w:t xml:space="preserve"> om te</w:t>
      </w:r>
      <w:r w:rsidR="00A87036" w:rsidRPr="00A87036">
        <w:rPr>
          <w:lang w:val="nl-BE"/>
        </w:rPr>
        <w:t xml:space="preserve"> voorzien dat het ontwerp eerst aan het parlement ter kennis worden gebracht, waarbij deze de mogelijkheid krijgt om er zich desgevallend nog tegen te verzetten.</w:t>
      </w:r>
      <w:r w:rsidR="00F410BA" w:rsidRPr="005B01D2">
        <w:rPr>
          <w:lang w:val="nl-BE"/>
        </w:rPr>
        <w:t xml:space="preserve"> </w:t>
      </w:r>
    </w:p>
    <w:p w14:paraId="2AD2B80E" w14:textId="77777777" w:rsidR="00962421" w:rsidRPr="005B01D2" w:rsidRDefault="00962421" w:rsidP="00427AFC">
      <w:pPr>
        <w:jc w:val="both"/>
        <w:rPr>
          <w:lang w:val="nl-BE"/>
        </w:rPr>
      </w:pPr>
    </w:p>
    <w:p w14:paraId="70EBAC34" w14:textId="77777777" w:rsidR="00962421" w:rsidRPr="005B01D2" w:rsidRDefault="00962421" w:rsidP="00427AFC">
      <w:pPr>
        <w:jc w:val="both"/>
        <w:rPr>
          <w:lang w:val="nl-BE"/>
        </w:rPr>
      </w:pPr>
      <w:r w:rsidRPr="005B01D2">
        <w:rPr>
          <w:lang w:val="nl-BE"/>
        </w:rPr>
        <w:t xml:space="preserve">De eindbalans blijft bijgevolg dat voor verdragen nog steeds een grotere flexibiliteit en vooral </w:t>
      </w:r>
      <w:r w:rsidR="00F47DF7" w:rsidRPr="005B01D2">
        <w:rPr>
          <w:lang w:val="nl-BE"/>
        </w:rPr>
        <w:t xml:space="preserve">een veel intensere vorm van delegatie </w:t>
      </w:r>
      <w:r w:rsidR="00104710">
        <w:rPr>
          <w:lang w:val="nl-BE"/>
        </w:rPr>
        <w:t>wordt aanvaard</w:t>
      </w:r>
      <w:r w:rsidR="00F47DF7" w:rsidRPr="005B01D2">
        <w:rPr>
          <w:lang w:val="nl-BE"/>
        </w:rPr>
        <w:t xml:space="preserve">, in het bijzonder indien er gebruik wordt gemaakt van artikel 34 van de Grondwet, dan </w:t>
      </w:r>
      <w:r w:rsidR="00982408" w:rsidRPr="005B01D2">
        <w:rPr>
          <w:lang w:val="nl-BE"/>
        </w:rPr>
        <w:t xml:space="preserve">deze die </w:t>
      </w:r>
      <w:r w:rsidR="00104710">
        <w:rPr>
          <w:lang w:val="nl-BE"/>
        </w:rPr>
        <w:t>toegelaten wordt</w:t>
      </w:r>
      <w:r w:rsidR="00104710" w:rsidRPr="005B01D2">
        <w:rPr>
          <w:lang w:val="nl-BE"/>
        </w:rPr>
        <w:t xml:space="preserve"> </w:t>
      </w:r>
      <w:r w:rsidR="00982408" w:rsidRPr="005B01D2">
        <w:rPr>
          <w:lang w:val="nl-BE"/>
        </w:rPr>
        <w:t>voor</w:t>
      </w:r>
      <w:r w:rsidR="00F47DF7" w:rsidRPr="005B01D2">
        <w:rPr>
          <w:lang w:val="nl-BE"/>
        </w:rPr>
        <w:t xml:space="preserve"> samenwerkingsakkoorden.</w:t>
      </w:r>
      <w:r w:rsidR="00393B1D" w:rsidRPr="005B01D2">
        <w:rPr>
          <w:lang w:val="nl-BE"/>
        </w:rPr>
        <w:t xml:space="preserve"> Enkel voor formele verdragswijzigingen – ook van niet-essentiële elementen – wordt stringenter vastgehouden aan de parlementaire instemming, al kan deze dan wel de vorm aannemen van een anticipatieve, voorwaardelijke instemming.</w:t>
      </w:r>
    </w:p>
    <w:p w14:paraId="7ED542C8" w14:textId="77777777" w:rsidR="00BF1948" w:rsidRDefault="00F31CCB">
      <w:pPr>
        <w:pStyle w:val="Kop1"/>
        <w:ind w:left="360"/>
        <w:jc w:val="both"/>
        <w:rPr>
          <w:rFonts w:ascii="Times New Roman" w:hAnsi="Times New Roman" w:cs="Times New Roman"/>
          <w:sz w:val="24"/>
          <w:szCs w:val="24"/>
          <w:lang w:val="nl-BE"/>
        </w:rPr>
      </w:pPr>
      <w:r>
        <w:rPr>
          <w:rFonts w:ascii="Times New Roman" w:hAnsi="Times New Roman" w:cs="Times New Roman"/>
          <w:sz w:val="24"/>
          <w:szCs w:val="24"/>
          <w:lang w:val="nl-BE"/>
        </w:rPr>
        <w:t xml:space="preserve">VII. </w:t>
      </w:r>
      <w:r w:rsidR="00427AFC" w:rsidRPr="005B01D2">
        <w:rPr>
          <w:rFonts w:ascii="Times New Roman" w:hAnsi="Times New Roman" w:cs="Times New Roman"/>
          <w:sz w:val="24"/>
          <w:szCs w:val="24"/>
          <w:lang w:val="nl-BE"/>
        </w:rPr>
        <w:t>Wijziging</w:t>
      </w:r>
    </w:p>
    <w:p w14:paraId="566FE718" w14:textId="77777777" w:rsidR="00391D3B" w:rsidRDefault="00391D3B">
      <w:pPr>
        <w:pStyle w:val="Tekstopmerking"/>
        <w:ind w:left="720"/>
        <w:rPr>
          <w:lang w:val="nl-NL"/>
        </w:rPr>
      </w:pPr>
    </w:p>
    <w:p w14:paraId="1E01680D" w14:textId="77777777" w:rsidR="00927999" w:rsidRPr="005B01D2" w:rsidRDefault="00C70A32" w:rsidP="00605A7B">
      <w:pPr>
        <w:jc w:val="both"/>
        <w:rPr>
          <w:lang w:val="nl-BE" w:eastAsia="en-US"/>
        </w:rPr>
      </w:pPr>
      <w:r w:rsidRPr="005B01D2">
        <w:rPr>
          <w:lang w:val="nl-BE" w:eastAsia="en-US"/>
        </w:rPr>
        <w:t>2</w:t>
      </w:r>
      <w:r w:rsidR="00393B1D" w:rsidRPr="005B01D2">
        <w:rPr>
          <w:lang w:val="nl-BE" w:eastAsia="en-US"/>
        </w:rPr>
        <w:t>6</w:t>
      </w:r>
      <w:r w:rsidRPr="005B01D2">
        <w:rPr>
          <w:lang w:val="nl-BE" w:eastAsia="en-US"/>
        </w:rPr>
        <w:t>.</w:t>
      </w:r>
      <w:r w:rsidRPr="005B01D2">
        <w:rPr>
          <w:lang w:val="nl-BE" w:eastAsia="en-US"/>
        </w:rPr>
        <w:tab/>
        <w:t xml:space="preserve">Samenwerkingsakkoorden zijn, net als verdragen, consensuele instrumenten. De inhoud ervan kan bijgevolg niet eenzijdig door </w:t>
      </w:r>
      <w:r w:rsidR="00C75576" w:rsidRPr="005B01D2">
        <w:rPr>
          <w:lang w:val="nl-BE" w:eastAsia="en-US"/>
        </w:rPr>
        <w:t>éé</w:t>
      </w:r>
      <w:r w:rsidRPr="005B01D2">
        <w:rPr>
          <w:lang w:val="nl-BE" w:eastAsia="en-US"/>
        </w:rPr>
        <w:t xml:space="preserve">n van de partijen </w:t>
      </w:r>
      <w:r w:rsidR="008D59BE" w:rsidRPr="005B01D2">
        <w:rPr>
          <w:lang w:val="nl-BE" w:eastAsia="en-US"/>
        </w:rPr>
        <w:t xml:space="preserve">alleen </w:t>
      </w:r>
      <w:r w:rsidRPr="005B01D2">
        <w:rPr>
          <w:lang w:val="nl-BE" w:eastAsia="en-US"/>
        </w:rPr>
        <w:t>worden bepaald of gewijzigd.</w:t>
      </w:r>
      <w:r w:rsidR="000A73D5" w:rsidRPr="005B01D2">
        <w:rPr>
          <w:rStyle w:val="Voetnootmarkering"/>
          <w:lang w:val="nl-BE" w:eastAsia="en-US"/>
        </w:rPr>
        <w:footnoteReference w:id="139"/>
      </w:r>
      <w:r w:rsidRPr="005B01D2">
        <w:rPr>
          <w:lang w:val="nl-BE" w:eastAsia="en-US"/>
        </w:rPr>
        <w:t xml:space="preserve"> Bijgevolg moeten alle partijen in beginsel instemmen met eventuele latere wijzigingen.</w:t>
      </w:r>
      <w:r w:rsidR="005B0093" w:rsidRPr="005B01D2">
        <w:rPr>
          <w:lang w:val="nl-BE" w:eastAsia="en-US"/>
        </w:rPr>
        <w:t xml:space="preserve"> Het wijzigen van de </w:t>
      </w:r>
      <w:r w:rsidR="000251AE" w:rsidRPr="005B01D2">
        <w:rPr>
          <w:lang w:val="nl-BE" w:eastAsia="en-US"/>
        </w:rPr>
        <w:t>samenwerkings</w:t>
      </w:r>
      <w:r w:rsidR="005B0093" w:rsidRPr="005B01D2">
        <w:rPr>
          <w:lang w:val="nl-BE" w:eastAsia="en-US"/>
        </w:rPr>
        <w:t xml:space="preserve">overeenkomst staat overigens los van de mogelijkheid voor de partijen om – </w:t>
      </w:r>
      <w:r w:rsidR="00393B1D" w:rsidRPr="005B01D2">
        <w:rPr>
          <w:lang w:val="nl-BE" w:eastAsia="en-US"/>
        </w:rPr>
        <w:t xml:space="preserve">al dan niet </w:t>
      </w:r>
      <w:r w:rsidR="005B0093" w:rsidRPr="005B01D2">
        <w:rPr>
          <w:lang w:val="nl-BE" w:eastAsia="en-US"/>
        </w:rPr>
        <w:t xml:space="preserve">eenzijdig – de </w:t>
      </w:r>
      <w:r w:rsidR="000251AE" w:rsidRPr="005B01D2">
        <w:rPr>
          <w:lang w:val="nl-BE" w:eastAsia="en-US"/>
        </w:rPr>
        <w:t>samenwerkings</w:t>
      </w:r>
      <w:r w:rsidR="005B0093" w:rsidRPr="005B01D2">
        <w:rPr>
          <w:lang w:val="nl-BE" w:eastAsia="en-US"/>
        </w:rPr>
        <w:t xml:space="preserve">overeenkomst in zijn geheel </w:t>
      </w:r>
      <w:r w:rsidR="00393B1D" w:rsidRPr="005B01D2">
        <w:rPr>
          <w:lang w:val="nl-BE" w:eastAsia="en-US"/>
        </w:rPr>
        <w:t>te beëindigen</w:t>
      </w:r>
      <w:r w:rsidR="008D59BE" w:rsidRPr="005B01D2">
        <w:rPr>
          <w:lang w:val="nl-BE" w:eastAsia="en-US"/>
        </w:rPr>
        <w:t xml:space="preserve"> (</w:t>
      </w:r>
      <w:r w:rsidR="00A87036" w:rsidRPr="00A87036">
        <w:rPr>
          <w:i/>
          <w:lang w:val="nl-BE" w:eastAsia="en-US"/>
        </w:rPr>
        <w:t>infra</w:t>
      </w:r>
      <w:r w:rsidR="008D59BE" w:rsidRPr="005B01D2">
        <w:rPr>
          <w:lang w:val="nl-BE" w:eastAsia="en-US"/>
        </w:rPr>
        <w:t xml:space="preserve"> hoofdstuk </w:t>
      </w:r>
      <w:r w:rsidR="000C428C" w:rsidRPr="00B2070B">
        <w:rPr>
          <w:lang w:val="nl-BE"/>
        </w:rPr>
        <w:t>X</w:t>
      </w:r>
      <w:r w:rsidR="008D59BE" w:rsidRPr="005B01D2">
        <w:rPr>
          <w:lang w:val="nl-BE" w:eastAsia="en-US"/>
        </w:rPr>
        <w:t>)</w:t>
      </w:r>
      <w:r w:rsidR="005B0093" w:rsidRPr="005B01D2">
        <w:rPr>
          <w:lang w:val="nl-BE" w:eastAsia="en-US"/>
        </w:rPr>
        <w:t>.</w:t>
      </w:r>
      <w:r w:rsidR="00605A7B" w:rsidRPr="005B01D2">
        <w:rPr>
          <w:rStyle w:val="Voetnootmarkering"/>
          <w:lang w:val="nl-BE" w:eastAsia="en-US"/>
        </w:rPr>
        <w:footnoteReference w:id="140"/>
      </w:r>
      <w:r w:rsidR="00A659D0" w:rsidRPr="005B01D2">
        <w:rPr>
          <w:lang w:val="nl-BE" w:eastAsia="en-US"/>
        </w:rPr>
        <w:t xml:space="preserve"> </w:t>
      </w:r>
    </w:p>
    <w:p w14:paraId="37017684" w14:textId="77777777" w:rsidR="003C7AE5" w:rsidRPr="005B01D2" w:rsidRDefault="003C7AE5" w:rsidP="00427AFC">
      <w:pPr>
        <w:jc w:val="both"/>
        <w:rPr>
          <w:lang w:val="nl-BE" w:eastAsia="en-US"/>
        </w:rPr>
      </w:pPr>
    </w:p>
    <w:p w14:paraId="4E2C7DD8" w14:textId="27D7A584" w:rsidR="00427AFC" w:rsidRPr="005B01D2" w:rsidRDefault="00393B1D" w:rsidP="000C0247">
      <w:pPr>
        <w:jc w:val="both"/>
        <w:rPr>
          <w:lang w:val="nl-BE"/>
        </w:rPr>
      </w:pPr>
      <w:r w:rsidRPr="005B01D2">
        <w:rPr>
          <w:lang w:val="nl-BE" w:eastAsia="en-US"/>
        </w:rPr>
        <w:t>27.</w:t>
      </w:r>
      <w:r w:rsidRPr="005B01D2">
        <w:rPr>
          <w:lang w:val="nl-BE" w:eastAsia="en-US"/>
        </w:rPr>
        <w:tab/>
      </w:r>
      <w:r w:rsidR="003C7AE5" w:rsidRPr="005B01D2">
        <w:rPr>
          <w:lang w:val="nl-BE" w:eastAsia="en-US"/>
        </w:rPr>
        <w:t xml:space="preserve">In de praktijk zullen </w:t>
      </w:r>
      <w:r w:rsidR="00605A7B" w:rsidRPr="005B01D2">
        <w:rPr>
          <w:lang w:val="nl-BE" w:eastAsia="en-US"/>
        </w:rPr>
        <w:t xml:space="preserve">veel </w:t>
      </w:r>
      <w:r w:rsidR="003C7AE5" w:rsidRPr="005B01D2">
        <w:rPr>
          <w:lang w:val="nl-BE" w:eastAsia="en-US"/>
        </w:rPr>
        <w:t xml:space="preserve">wijzigingen aan verdragen en samenwerkingsakkoorden vaak niet </w:t>
      </w:r>
      <w:r w:rsidR="007B1DEC" w:rsidRPr="005B01D2">
        <w:rPr>
          <w:lang w:val="nl-BE" w:eastAsia="en-US"/>
        </w:rPr>
        <w:t xml:space="preserve">door een </w:t>
      </w:r>
      <w:r w:rsidR="003C7AE5" w:rsidRPr="005B01D2">
        <w:rPr>
          <w:lang w:val="nl-BE" w:eastAsia="en-US"/>
        </w:rPr>
        <w:t>formele wijz</w:t>
      </w:r>
      <w:r w:rsidR="007B1DEC" w:rsidRPr="005B01D2">
        <w:rPr>
          <w:lang w:val="nl-BE" w:eastAsia="en-US"/>
        </w:rPr>
        <w:t>e plaatsvinden</w:t>
      </w:r>
      <w:r w:rsidR="007D4B7C" w:rsidRPr="005B01D2">
        <w:rPr>
          <w:lang w:val="nl-BE" w:eastAsia="en-US"/>
        </w:rPr>
        <w:t>.</w:t>
      </w:r>
      <w:r w:rsidR="003C7AE5" w:rsidRPr="005B01D2">
        <w:rPr>
          <w:lang w:val="nl-BE" w:eastAsia="en-US"/>
        </w:rPr>
        <w:t xml:space="preserve"> </w:t>
      </w:r>
      <w:r w:rsidR="007B1DEC" w:rsidRPr="005B01D2">
        <w:rPr>
          <w:lang w:val="nl-BE" w:eastAsia="en-US"/>
        </w:rPr>
        <w:t xml:space="preserve">Soms wordt </w:t>
      </w:r>
      <w:r w:rsidRPr="005B01D2">
        <w:rPr>
          <w:lang w:val="nl-BE" w:eastAsia="en-US"/>
        </w:rPr>
        <w:t xml:space="preserve">in de tekst </w:t>
      </w:r>
      <w:r w:rsidR="007B1DEC" w:rsidRPr="005B01D2">
        <w:rPr>
          <w:lang w:val="nl-BE" w:eastAsia="en-US"/>
        </w:rPr>
        <w:t xml:space="preserve">voorzien dat bepaalde wijzigingen door een eenzijdige kennisgeving kunnen worden doorgevoerd. Het gaat dan </w:t>
      </w:r>
      <w:r w:rsidR="00221CB3" w:rsidRPr="005B01D2">
        <w:rPr>
          <w:lang w:val="nl-BE" w:eastAsia="en-US"/>
        </w:rPr>
        <w:t xml:space="preserve">bv. </w:t>
      </w:r>
      <w:r w:rsidR="007B1DEC" w:rsidRPr="005B01D2">
        <w:rPr>
          <w:lang w:val="nl-BE" w:eastAsia="en-US"/>
        </w:rPr>
        <w:t xml:space="preserve">om </w:t>
      </w:r>
      <w:r w:rsidR="00200FDD">
        <w:rPr>
          <w:lang w:val="nl-BE" w:eastAsia="en-US"/>
        </w:rPr>
        <w:t>de</w:t>
      </w:r>
      <w:r w:rsidR="00200FDD" w:rsidRPr="005B01D2">
        <w:rPr>
          <w:lang w:val="nl-BE" w:eastAsia="en-US"/>
        </w:rPr>
        <w:t xml:space="preserve"> </w:t>
      </w:r>
      <w:r w:rsidR="00A659D0" w:rsidRPr="005B01D2">
        <w:rPr>
          <w:lang w:val="nl-BE" w:eastAsia="en-US"/>
        </w:rPr>
        <w:t>actualisering van de bestaande rechten en verplichtingen, zoals</w:t>
      </w:r>
      <w:r w:rsidR="007D4B7C" w:rsidRPr="005B01D2">
        <w:rPr>
          <w:lang w:val="nl-BE" w:eastAsia="en-US"/>
        </w:rPr>
        <w:t xml:space="preserve"> bv.</w:t>
      </w:r>
      <w:r w:rsidR="00A659D0" w:rsidRPr="005B01D2">
        <w:rPr>
          <w:lang w:val="nl-BE" w:eastAsia="en-US"/>
        </w:rPr>
        <w:t xml:space="preserve"> het </w:t>
      </w:r>
      <w:r w:rsidR="000C428C" w:rsidRPr="00B2070B">
        <w:rPr>
          <w:i/>
          <w:lang w:val="nl-BE"/>
        </w:rPr>
        <w:t>updaten</w:t>
      </w:r>
      <w:r w:rsidR="00200FDD">
        <w:rPr>
          <w:lang w:val="nl-BE" w:eastAsia="en-US"/>
        </w:rPr>
        <w:t xml:space="preserve"> van gegevens met betrekking tot</w:t>
      </w:r>
      <w:r w:rsidR="007D4B7C" w:rsidRPr="005B01D2">
        <w:rPr>
          <w:lang w:val="nl-BE" w:eastAsia="en-US"/>
        </w:rPr>
        <w:t xml:space="preserve"> </w:t>
      </w:r>
      <w:r w:rsidR="00A659D0" w:rsidRPr="005B01D2">
        <w:rPr>
          <w:lang w:val="nl-BE" w:eastAsia="en-US"/>
        </w:rPr>
        <w:t xml:space="preserve">de </w:t>
      </w:r>
      <w:r w:rsidR="007D4B7C" w:rsidRPr="005B01D2">
        <w:rPr>
          <w:lang w:val="nl-BE" w:eastAsia="en-US"/>
        </w:rPr>
        <w:t xml:space="preserve">huidige </w:t>
      </w:r>
      <w:r w:rsidR="00A659D0" w:rsidRPr="005B01D2">
        <w:rPr>
          <w:lang w:val="nl-BE" w:eastAsia="en-US"/>
        </w:rPr>
        <w:t xml:space="preserve">nationale situatie </w:t>
      </w:r>
      <w:r w:rsidR="0074604D" w:rsidRPr="005B01D2">
        <w:rPr>
          <w:lang w:val="nl-BE" w:eastAsia="en-US"/>
        </w:rPr>
        <w:t>(</w:t>
      </w:r>
      <w:r w:rsidR="000C0247" w:rsidRPr="005B01D2">
        <w:rPr>
          <w:lang w:val="nl-BE" w:eastAsia="en-US"/>
        </w:rPr>
        <w:t xml:space="preserve">zoals het actualiseren van een </w:t>
      </w:r>
      <w:r w:rsidR="007D4B7C" w:rsidRPr="005B01D2">
        <w:rPr>
          <w:lang w:val="nl-BE" w:eastAsia="en-US"/>
        </w:rPr>
        <w:t xml:space="preserve">verwijzing naar een </w:t>
      </w:r>
      <w:r w:rsidR="00A659D0" w:rsidRPr="005B01D2">
        <w:rPr>
          <w:lang w:val="nl-BE" w:eastAsia="en-US"/>
        </w:rPr>
        <w:t>bevoegde organen</w:t>
      </w:r>
      <w:r w:rsidR="007D4B7C" w:rsidRPr="005B01D2">
        <w:rPr>
          <w:lang w:val="nl-BE" w:eastAsia="en-US"/>
        </w:rPr>
        <w:t xml:space="preserve"> of </w:t>
      </w:r>
      <w:r w:rsidR="00A659D0" w:rsidRPr="005B01D2">
        <w:rPr>
          <w:lang w:val="nl-BE" w:eastAsia="en-US"/>
        </w:rPr>
        <w:t>relevante interne regelgeving</w:t>
      </w:r>
      <w:r w:rsidR="0074604D" w:rsidRPr="005B01D2">
        <w:rPr>
          <w:lang w:val="nl-BE" w:eastAsia="en-US"/>
        </w:rPr>
        <w:t>),</w:t>
      </w:r>
      <w:r w:rsidR="00F97EAA">
        <w:rPr>
          <w:rStyle w:val="Voetnootmarkering"/>
          <w:lang w:val="nl-BE" w:eastAsia="en-US"/>
        </w:rPr>
        <w:footnoteReference w:id="141"/>
      </w:r>
      <w:r w:rsidR="0074604D" w:rsidRPr="005B01D2">
        <w:rPr>
          <w:lang w:val="nl-BE" w:eastAsia="en-US"/>
        </w:rPr>
        <w:t xml:space="preserve"> maar ook verdergaande hypothesen zijn mogelijk</w:t>
      </w:r>
      <w:r w:rsidR="00A659D0" w:rsidRPr="005B01D2">
        <w:rPr>
          <w:lang w:val="nl-BE" w:eastAsia="en-US"/>
        </w:rPr>
        <w:t>.</w:t>
      </w:r>
      <w:r w:rsidR="007D4B7C" w:rsidRPr="005B01D2">
        <w:rPr>
          <w:rStyle w:val="Voetnootmarkering"/>
          <w:lang w:val="nl-BE" w:eastAsia="en-US"/>
        </w:rPr>
        <w:footnoteReference w:id="142"/>
      </w:r>
      <w:r w:rsidR="00A659D0" w:rsidRPr="005B01D2">
        <w:rPr>
          <w:lang w:val="nl-BE" w:eastAsia="en-US"/>
        </w:rPr>
        <w:t xml:space="preserve"> </w:t>
      </w:r>
      <w:r w:rsidR="00495464" w:rsidRPr="005B01D2">
        <w:rPr>
          <w:lang w:val="nl-BE" w:eastAsia="en-US"/>
        </w:rPr>
        <w:t>V</w:t>
      </w:r>
      <w:r w:rsidR="007D4B7C" w:rsidRPr="005B01D2">
        <w:rPr>
          <w:lang w:val="nl-BE" w:eastAsia="en-US"/>
        </w:rPr>
        <w:t xml:space="preserve">aak zal een verdrag of samenwerkingsakkoord </w:t>
      </w:r>
      <w:r w:rsidR="007D4B7C" w:rsidRPr="005B01D2">
        <w:rPr>
          <w:lang w:val="nl-BE" w:eastAsia="en-US"/>
        </w:rPr>
        <w:lastRenderedPageBreak/>
        <w:t xml:space="preserve">stilzwijgend worden gewijzigd bv. doordat de partijen in hun onderlinge samenwerking een bepaling gezamenlijk op </w:t>
      </w:r>
      <w:r w:rsidR="00EA54FB" w:rsidRPr="005B01D2">
        <w:rPr>
          <w:lang w:val="nl-BE" w:eastAsia="en-US"/>
        </w:rPr>
        <w:t>éé</w:t>
      </w:r>
      <w:r w:rsidR="007D4B7C" w:rsidRPr="005B01D2">
        <w:rPr>
          <w:lang w:val="nl-BE" w:eastAsia="en-US"/>
        </w:rPr>
        <w:t xml:space="preserve">n bepaalde manier gaan interpreteren of toepassen, of doordat één partij er een </w:t>
      </w:r>
      <w:r w:rsidR="007B1DEC" w:rsidRPr="005B01D2">
        <w:rPr>
          <w:lang w:val="nl-BE" w:eastAsia="en-US"/>
        </w:rPr>
        <w:t>bepaalde</w:t>
      </w:r>
      <w:r w:rsidR="007D4B7C" w:rsidRPr="005B01D2">
        <w:rPr>
          <w:lang w:val="nl-BE" w:eastAsia="en-US"/>
        </w:rPr>
        <w:t xml:space="preserve"> interpretatie </w:t>
      </w:r>
      <w:r w:rsidR="00495464" w:rsidRPr="005B01D2">
        <w:rPr>
          <w:lang w:val="nl-BE" w:eastAsia="en-US"/>
        </w:rPr>
        <w:t xml:space="preserve">of toepassing </w:t>
      </w:r>
      <w:r w:rsidR="007D4B7C" w:rsidRPr="005B01D2">
        <w:rPr>
          <w:lang w:val="nl-BE" w:eastAsia="en-US"/>
        </w:rPr>
        <w:t xml:space="preserve">aan zal geven zonder dat de andere partijen er zich tegen verzetten. </w:t>
      </w:r>
      <w:r w:rsidR="00EA54FB" w:rsidRPr="005B01D2">
        <w:rPr>
          <w:lang w:val="nl-BE" w:eastAsia="en-US"/>
        </w:rPr>
        <w:t xml:space="preserve">Het internationaal verdragsrecht voorziet </w:t>
      </w:r>
      <w:r w:rsidR="00A659D0" w:rsidRPr="005B01D2">
        <w:rPr>
          <w:lang w:val="nl-BE" w:eastAsia="en-US"/>
        </w:rPr>
        <w:t xml:space="preserve">niet toevallig </w:t>
      </w:r>
      <w:r w:rsidR="00EA54FB" w:rsidRPr="005B01D2">
        <w:rPr>
          <w:lang w:val="nl-BE" w:eastAsia="en-US"/>
        </w:rPr>
        <w:t xml:space="preserve">dat </w:t>
      </w:r>
      <w:r w:rsidR="00A659D0" w:rsidRPr="005B01D2">
        <w:rPr>
          <w:lang w:val="nl-BE" w:eastAsia="en-US"/>
        </w:rPr>
        <w:t xml:space="preserve">verdragen </w:t>
      </w:r>
      <w:r w:rsidR="00EA54FB" w:rsidRPr="005B01D2">
        <w:rPr>
          <w:lang w:val="nl-BE" w:eastAsia="en-US"/>
        </w:rPr>
        <w:t xml:space="preserve">moeten </w:t>
      </w:r>
      <w:r w:rsidR="00A659D0" w:rsidRPr="005B01D2">
        <w:rPr>
          <w:lang w:val="nl-BE" w:eastAsia="en-US"/>
        </w:rPr>
        <w:t xml:space="preserve">worden uitgelegd rekening houdend met </w:t>
      </w:r>
      <w:r w:rsidR="00A87036" w:rsidRPr="00A87036">
        <w:rPr>
          <w:lang w:val="nl-BE"/>
        </w:rPr>
        <w:t>“ieder later gebruik in de toepassing van het verdrag waardoor overeenstemming van de partijen inzake de uitlegging van het verdrag is ontstaan”</w:t>
      </w:r>
      <w:r w:rsidR="000C0247" w:rsidRPr="005B01D2">
        <w:rPr>
          <w:lang w:val="nl-BE"/>
        </w:rPr>
        <w:t>.</w:t>
      </w:r>
      <w:r w:rsidR="00EA54FB" w:rsidRPr="005B01D2">
        <w:rPr>
          <w:rStyle w:val="Voetnootmarkering"/>
          <w:lang w:val="nl-BE"/>
        </w:rPr>
        <w:footnoteReference w:id="143"/>
      </w:r>
      <w:r w:rsidR="00A87036" w:rsidRPr="00A87036">
        <w:rPr>
          <w:lang w:val="nl-BE"/>
        </w:rPr>
        <w:t xml:space="preserve"> </w:t>
      </w:r>
      <w:r w:rsidR="000C0247" w:rsidRPr="005B01D2">
        <w:rPr>
          <w:lang w:val="nl-BE"/>
        </w:rPr>
        <w:t xml:space="preserve">Deze latere praktijk kan </w:t>
      </w:r>
      <w:r w:rsidR="007B1DEC" w:rsidRPr="005B01D2">
        <w:rPr>
          <w:lang w:val="nl-BE"/>
        </w:rPr>
        <w:t xml:space="preserve">volgens het verdragsrecht </w:t>
      </w:r>
      <w:r w:rsidR="000C0247" w:rsidRPr="005B01D2">
        <w:rPr>
          <w:lang w:val="nl-BE"/>
        </w:rPr>
        <w:t xml:space="preserve">zelfs aanleiding </w:t>
      </w:r>
      <w:r w:rsidR="00495464" w:rsidRPr="005B01D2">
        <w:rPr>
          <w:lang w:val="nl-BE"/>
        </w:rPr>
        <w:t xml:space="preserve">geven </w:t>
      </w:r>
      <w:r w:rsidR="000C0247" w:rsidRPr="005B01D2">
        <w:rPr>
          <w:lang w:val="nl-BE"/>
        </w:rPr>
        <w:t xml:space="preserve">tot een wijziging </w:t>
      </w:r>
      <w:r w:rsidR="00A87036" w:rsidRPr="00A87036">
        <w:rPr>
          <w:i/>
          <w:lang w:val="nl-BE"/>
        </w:rPr>
        <w:t xml:space="preserve">contra </w:t>
      </w:r>
      <w:proofErr w:type="spellStart"/>
      <w:r w:rsidR="00A87036" w:rsidRPr="00A87036">
        <w:rPr>
          <w:i/>
          <w:lang w:val="nl-BE"/>
        </w:rPr>
        <w:t>legem</w:t>
      </w:r>
      <w:proofErr w:type="spellEnd"/>
      <w:r w:rsidR="007B1DEC" w:rsidRPr="005B01D2">
        <w:rPr>
          <w:lang w:val="nl-BE"/>
        </w:rPr>
        <w:t xml:space="preserve"> </w:t>
      </w:r>
      <w:r w:rsidR="000C0247" w:rsidRPr="005B01D2">
        <w:rPr>
          <w:lang w:val="nl-BE"/>
        </w:rPr>
        <w:t xml:space="preserve">van de </w:t>
      </w:r>
      <w:r w:rsidR="00EA54FB" w:rsidRPr="005B01D2">
        <w:rPr>
          <w:lang w:val="nl-BE"/>
        </w:rPr>
        <w:t>verdragstekst.</w:t>
      </w:r>
      <w:r w:rsidR="00EA54FB" w:rsidRPr="005B01D2">
        <w:rPr>
          <w:rStyle w:val="Voetnootmarkering"/>
          <w:lang w:val="nl-BE"/>
        </w:rPr>
        <w:footnoteReference w:id="144"/>
      </w:r>
      <w:r w:rsidR="00825A55" w:rsidRPr="005B01D2">
        <w:rPr>
          <w:lang w:val="nl-BE"/>
        </w:rPr>
        <w:t xml:space="preserve"> </w:t>
      </w:r>
      <w:r w:rsidR="00DC1ABB" w:rsidRPr="005B01D2">
        <w:rPr>
          <w:lang w:val="nl-BE"/>
        </w:rPr>
        <w:t xml:space="preserve">De Raad van State is </w:t>
      </w:r>
      <w:r w:rsidR="0074604D" w:rsidRPr="005B01D2">
        <w:rPr>
          <w:lang w:val="nl-BE"/>
        </w:rPr>
        <w:t xml:space="preserve">– vanuit </w:t>
      </w:r>
      <w:r w:rsidR="00495464" w:rsidRPr="005B01D2">
        <w:rPr>
          <w:lang w:val="nl-BE"/>
        </w:rPr>
        <w:t>zijn</w:t>
      </w:r>
      <w:r w:rsidR="0074604D" w:rsidRPr="005B01D2">
        <w:rPr>
          <w:lang w:val="nl-BE"/>
        </w:rPr>
        <w:t xml:space="preserve"> invalshoek van het Belgische grondwettelijke </w:t>
      </w:r>
      <w:r w:rsidR="00495464" w:rsidRPr="005B01D2">
        <w:rPr>
          <w:lang w:val="nl-BE"/>
        </w:rPr>
        <w:t>recht</w:t>
      </w:r>
      <w:r w:rsidR="0074604D" w:rsidRPr="005B01D2">
        <w:rPr>
          <w:lang w:val="nl-BE"/>
        </w:rPr>
        <w:t xml:space="preserve"> – wel </w:t>
      </w:r>
      <w:r w:rsidR="00DC1ABB" w:rsidRPr="005B01D2">
        <w:rPr>
          <w:lang w:val="nl-BE"/>
        </w:rPr>
        <w:t xml:space="preserve">bereid om hier een eind in mee te stappen </w:t>
      </w:r>
      <w:r w:rsidR="00CD5343" w:rsidRPr="005B01D2">
        <w:rPr>
          <w:lang w:val="nl-BE"/>
        </w:rPr>
        <w:t xml:space="preserve">en desnoods </w:t>
      </w:r>
      <w:r w:rsidR="00DC1ABB" w:rsidRPr="005B01D2">
        <w:rPr>
          <w:lang w:val="nl-BE"/>
        </w:rPr>
        <w:t xml:space="preserve">een dergelijke overeenstemming tussen partijen </w:t>
      </w:r>
      <w:r w:rsidR="0074604D" w:rsidRPr="005B01D2">
        <w:rPr>
          <w:lang w:val="nl-BE"/>
        </w:rPr>
        <w:t xml:space="preserve">bv. </w:t>
      </w:r>
      <w:r w:rsidR="00DC1ABB" w:rsidRPr="005B01D2">
        <w:rPr>
          <w:lang w:val="nl-BE"/>
        </w:rPr>
        <w:t xml:space="preserve">te kwalificeren als een </w:t>
      </w:r>
      <w:r w:rsidR="00A87036" w:rsidRPr="00A87036">
        <w:rPr>
          <w:i/>
          <w:lang w:val="nl-BE"/>
        </w:rPr>
        <w:t>executive agreement</w:t>
      </w:r>
      <w:r w:rsidR="00DC1ABB" w:rsidRPr="005B01D2">
        <w:rPr>
          <w:lang w:val="nl-BE"/>
        </w:rPr>
        <w:t>.</w:t>
      </w:r>
      <w:r w:rsidR="00DC1ABB" w:rsidRPr="005B01D2">
        <w:rPr>
          <w:rStyle w:val="Voetnootmarkering"/>
          <w:lang w:val="nl-BE"/>
        </w:rPr>
        <w:footnoteReference w:id="145"/>
      </w:r>
      <w:r w:rsidR="00DC1ABB" w:rsidRPr="005B01D2">
        <w:rPr>
          <w:lang w:val="nl-BE"/>
        </w:rPr>
        <w:t xml:space="preserve"> Hiermee geeft </w:t>
      </w:r>
      <w:r w:rsidR="0074604D" w:rsidRPr="005B01D2">
        <w:rPr>
          <w:lang w:val="nl-BE"/>
        </w:rPr>
        <w:t xml:space="preserve">hij natuurlijk ook de </w:t>
      </w:r>
      <w:r w:rsidR="00495464" w:rsidRPr="005B01D2">
        <w:rPr>
          <w:lang w:val="nl-BE"/>
        </w:rPr>
        <w:t xml:space="preserve">limiet </w:t>
      </w:r>
      <w:r w:rsidR="00DC1ABB" w:rsidRPr="005B01D2">
        <w:rPr>
          <w:lang w:val="nl-BE"/>
        </w:rPr>
        <w:t xml:space="preserve">aan: indien deze nieuwe overeenstemming </w:t>
      </w:r>
      <w:r w:rsidR="00495464" w:rsidRPr="005B01D2">
        <w:rPr>
          <w:lang w:val="nl-BE"/>
        </w:rPr>
        <w:t xml:space="preserve">in feite </w:t>
      </w:r>
      <w:r w:rsidR="004F69A6">
        <w:rPr>
          <w:lang w:val="nl-BE"/>
        </w:rPr>
        <w:t xml:space="preserve">nieuwe </w:t>
      </w:r>
      <w:r w:rsidR="00DC1ABB" w:rsidRPr="005B01D2">
        <w:rPr>
          <w:lang w:val="nl-BE"/>
        </w:rPr>
        <w:t xml:space="preserve">rechten en verplichtingen </w:t>
      </w:r>
      <w:r w:rsidR="004F69A6">
        <w:rPr>
          <w:lang w:val="nl-BE"/>
        </w:rPr>
        <w:t xml:space="preserve">creëert of rechten en verplichtingen </w:t>
      </w:r>
      <w:r w:rsidR="00DC1ABB" w:rsidRPr="005B01D2">
        <w:rPr>
          <w:lang w:val="nl-BE"/>
        </w:rPr>
        <w:t xml:space="preserve">wijzigt </w:t>
      </w:r>
      <w:r w:rsidR="007C381A">
        <w:rPr>
          <w:lang w:val="nl-BE"/>
        </w:rPr>
        <w:t xml:space="preserve">zoals die door het (basis)verdrag zelf </w:t>
      </w:r>
      <w:r w:rsidR="004F69A6" w:rsidRPr="005B01D2">
        <w:rPr>
          <w:lang w:val="nl-BE"/>
        </w:rPr>
        <w:t>voor de overheden of de burgers</w:t>
      </w:r>
      <w:r w:rsidR="004F69A6">
        <w:rPr>
          <w:lang w:val="nl-BE"/>
        </w:rPr>
        <w:t xml:space="preserve"> </w:t>
      </w:r>
      <w:r w:rsidR="007C381A">
        <w:rPr>
          <w:lang w:val="nl-BE"/>
        </w:rPr>
        <w:t>worden toegekend</w:t>
      </w:r>
      <w:r w:rsidR="00DC1ABB" w:rsidRPr="005B01D2">
        <w:rPr>
          <w:lang w:val="nl-BE"/>
        </w:rPr>
        <w:t xml:space="preserve">, dan </w:t>
      </w:r>
      <w:r w:rsidR="004F69A6">
        <w:rPr>
          <w:lang w:val="nl-BE"/>
        </w:rPr>
        <w:t xml:space="preserve">gaat het niet om een </w:t>
      </w:r>
      <w:r w:rsidR="000C428C" w:rsidRPr="00B2070B">
        <w:rPr>
          <w:i/>
          <w:lang w:val="nl-BE"/>
        </w:rPr>
        <w:t>executive agreement</w:t>
      </w:r>
      <w:r w:rsidR="004F69A6">
        <w:rPr>
          <w:lang w:val="nl-BE"/>
        </w:rPr>
        <w:t xml:space="preserve">, maar om een verdrag dat </w:t>
      </w:r>
      <w:r w:rsidR="00DC1ABB" w:rsidRPr="005B01D2">
        <w:rPr>
          <w:lang w:val="nl-BE"/>
        </w:rPr>
        <w:t>als</w:t>
      </w:r>
      <w:r w:rsidR="0074604D" w:rsidRPr="005B01D2">
        <w:rPr>
          <w:lang w:val="nl-BE"/>
        </w:rPr>
        <w:t xml:space="preserve">nog </w:t>
      </w:r>
      <w:r w:rsidR="00DC1ABB" w:rsidRPr="005B01D2">
        <w:rPr>
          <w:lang w:val="nl-BE"/>
        </w:rPr>
        <w:t xml:space="preserve">ter instemming aan het parlement </w:t>
      </w:r>
      <w:r w:rsidR="004F69A6">
        <w:rPr>
          <w:lang w:val="nl-BE"/>
        </w:rPr>
        <w:t xml:space="preserve">dient </w:t>
      </w:r>
      <w:r w:rsidR="00DC1ABB" w:rsidRPr="005B01D2">
        <w:rPr>
          <w:lang w:val="nl-BE"/>
        </w:rPr>
        <w:t>te worden voorgelegd</w:t>
      </w:r>
      <w:r w:rsidR="007C381A">
        <w:rPr>
          <w:lang w:val="nl-BE"/>
        </w:rPr>
        <w:t xml:space="preserve"> (</w:t>
      </w:r>
      <w:r w:rsidR="000C428C" w:rsidRPr="00B2070B">
        <w:rPr>
          <w:i/>
          <w:lang w:val="nl-BE"/>
        </w:rPr>
        <w:t>supra</w:t>
      </w:r>
      <w:r w:rsidR="007C381A">
        <w:rPr>
          <w:lang w:val="nl-BE"/>
        </w:rPr>
        <w:t xml:space="preserve"> nr. 19)</w:t>
      </w:r>
      <w:r w:rsidR="00DC1ABB" w:rsidRPr="005B01D2">
        <w:rPr>
          <w:lang w:val="nl-BE"/>
        </w:rPr>
        <w:t>.</w:t>
      </w:r>
      <w:r w:rsidR="00495464" w:rsidRPr="005B01D2">
        <w:rPr>
          <w:lang w:val="nl-BE"/>
        </w:rPr>
        <w:t xml:space="preserve"> Waar interpretatie en toepassing eindigt en een wijziging van rechten en verplichtingen begint, zal geval per geval moeten worden beoordeeld.</w:t>
      </w:r>
      <w:r w:rsidR="00DC1ABB" w:rsidRPr="005B01D2">
        <w:rPr>
          <w:lang w:val="nl-BE"/>
        </w:rPr>
        <w:t xml:space="preserve"> </w:t>
      </w:r>
      <w:r w:rsidR="00CD5343" w:rsidRPr="005B01D2">
        <w:rPr>
          <w:lang w:val="nl-BE"/>
        </w:rPr>
        <w:t xml:space="preserve">Ook </w:t>
      </w:r>
      <w:r w:rsidR="004F69A6">
        <w:rPr>
          <w:lang w:val="nl-BE"/>
        </w:rPr>
        <w:t xml:space="preserve">voor samenwerkingsakkoorden </w:t>
      </w:r>
      <w:r w:rsidR="00CD5343" w:rsidRPr="005B01D2">
        <w:rPr>
          <w:lang w:val="nl-BE"/>
        </w:rPr>
        <w:t xml:space="preserve"> is het uitgangspunt dat de overeenstemming van de partijen hen tot wet stelt</w:t>
      </w:r>
      <w:r w:rsidR="00D11552" w:rsidRPr="005B01D2">
        <w:rPr>
          <w:rStyle w:val="Voetnootmarkering"/>
          <w:lang w:val="nl-BE"/>
        </w:rPr>
        <w:footnoteReference w:id="146"/>
      </w:r>
      <w:r w:rsidR="00CD5343" w:rsidRPr="005B01D2">
        <w:rPr>
          <w:lang w:val="nl-BE"/>
        </w:rPr>
        <w:t xml:space="preserve"> en ook hier bieden de instrumenten van </w:t>
      </w:r>
      <w:r w:rsidR="00D11552" w:rsidRPr="005B01D2">
        <w:rPr>
          <w:lang w:val="nl-BE"/>
        </w:rPr>
        <w:t xml:space="preserve">het </w:t>
      </w:r>
      <w:r w:rsidR="00CD5343" w:rsidRPr="005B01D2">
        <w:rPr>
          <w:lang w:val="nl-BE"/>
        </w:rPr>
        <w:t xml:space="preserve">administratieve samenwerkingsakkoorden of </w:t>
      </w:r>
      <w:r w:rsidR="00D11552" w:rsidRPr="005B01D2">
        <w:rPr>
          <w:lang w:val="nl-BE"/>
        </w:rPr>
        <w:t xml:space="preserve">het </w:t>
      </w:r>
      <w:r w:rsidR="00CD5343" w:rsidRPr="005B01D2">
        <w:rPr>
          <w:lang w:val="nl-BE"/>
        </w:rPr>
        <w:t xml:space="preserve">uitvoerende samenwerkingsakkoorden de partijen wat ademruimte zodat niet elke wijziging </w:t>
      </w:r>
      <w:r w:rsidR="00D11552" w:rsidRPr="005B01D2">
        <w:rPr>
          <w:lang w:val="nl-BE"/>
        </w:rPr>
        <w:t>die zich in deze grijze zone bevindt tussen interpretatie, toepassing en al dan niet formele wijziging</w:t>
      </w:r>
      <w:r w:rsidR="00495464" w:rsidRPr="005B01D2">
        <w:rPr>
          <w:lang w:val="nl-BE"/>
        </w:rPr>
        <w:t>,</w:t>
      </w:r>
      <w:r w:rsidR="00D11552" w:rsidRPr="005B01D2">
        <w:rPr>
          <w:lang w:val="nl-BE"/>
        </w:rPr>
        <w:t xml:space="preserve"> </w:t>
      </w:r>
      <w:r w:rsidR="00CD5343" w:rsidRPr="005B01D2">
        <w:rPr>
          <w:lang w:val="nl-BE"/>
        </w:rPr>
        <w:t>aan de wetgever ter instemming moet worden voorgelegd.</w:t>
      </w:r>
    </w:p>
    <w:p w14:paraId="1BE4A3C8" w14:textId="77777777" w:rsidR="00C70A32" w:rsidRPr="005B01D2" w:rsidRDefault="00C70A32" w:rsidP="00F135C6">
      <w:pPr>
        <w:rPr>
          <w:lang w:val="nl-BE" w:eastAsia="en-US"/>
        </w:rPr>
      </w:pPr>
    </w:p>
    <w:p w14:paraId="2D6C011B" w14:textId="77777777" w:rsidR="0017613C" w:rsidRPr="005B01D2" w:rsidRDefault="00495464" w:rsidP="00C70A32">
      <w:pPr>
        <w:jc w:val="both"/>
        <w:rPr>
          <w:lang w:val="nl-BE"/>
        </w:rPr>
      </w:pPr>
      <w:r w:rsidRPr="005B01D2">
        <w:rPr>
          <w:lang w:val="nl-BE" w:eastAsia="en-US"/>
        </w:rPr>
        <w:t>28.</w:t>
      </w:r>
      <w:r w:rsidRPr="005B01D2">
        <w:rPr>
          <w:lang w:val="nl-BE" w:eastAsia="en-US"/>
        </w:rPr>
        <w:tab/>
      </w:r>
      <w:r w:rsidR="00C70A32" w:rsidRPr="005B01D2">
        <w:rPr>
          <w:lang w:val="nl-BE" w:eastAsia="en-US"/>
        </w:rPr>
        <w:t xml:space="preserve">De meest natuurlijke manier om </w:t>
      </w:r>
      <w:r w:rsidR="00C57977" w:rsidRPr="005B01D2">
        <w:rPr>
          <w:lang w:val="nl-BE" w:eastAsia="en-US"/>
        </w:rPr>
        <w:t>een samenwerkingsakkoord te wijzigen</w:t>
      </w:r>
      <w:r w:rsidR="00C70A32" w:rsidRPr="005B01D2">
        <w:rPr>
          <w:lang w:val="nl-BE" w:eastAsia="en-US"/>
        </w:rPr>
        <w:t xml:space="preserve"> </w:t>
      </w:r>
      <w:r w:rsidR="006D3803" w:rsidRPr="005B01D2">
        <w:rPr>
          <w:lang w:val="nl-BE" w:eastAsia="en-US"/>
        </w:rPr>
        <w:t xml:space="preserve">blijft wel het </w:t>
      </w:r>
      <w:r w:rsidR="00C70A32" w:rsidRPr="005B01D2">
        <w:rPr>
          <w:lang w:val="nl-BE" w:eastAsia="en-US"/>
        </w:rPr>
        <w:t>sluiten van een nieuw samenwerkingsakkoord, dat het eerdere akkoord wijzigt of vervangt.</w:t>
      </w:r>
      <w:r w:rsidR="00C70A32" w:rsidRPr="005B01D2">
        <w:rPr>
          <w:rStyle w:val="Voetnootmarkering"/>
          <w:lang w:val="nl-BE" w:eastAsia="en-US"/>
        </w:rPr>
        <w:footnoteReference w:id="147"/>
      </w:r>
      <w:r w:rsidR="0017613C" w:rsidRPr="005B01D2">
        <w:rPr>
          <w:lang w:val="nl-BE" w:eastAsia="en-US"/>
        </w:rPr>
        <w:t xml:space="preserve"> </w:t>
      </w:r>
      <w:r w:rsidR="00C57977" w:rsidRPr="005B01D2">
        <w:rPr>
          <w:lang w:val="nl-BE" w:eastAsia="en-US"/>
        </w:rPr>
        <w:t>Z</w:t>
      </w:r>
      <w:r w:rsidR="0017613C" w:rsidRPr="005B01D2">
        <w:rPr>
          <w:lang w:val="nl-BE" w:eastAsia="en-US"/>
        </w:rPr>
        <w:t xml:space="preserve">oals hoger uiteengezet heeft de Raad van State traditioneel betoogd dat het sluiten van een </w:t>
      </w:r>
      <w:r w:rsidR="00427AFC" w:rsidRPr="005B01D2">
        <w:rPr>
          <w:lang w:val="nl-BE"/>
        </w:rPr>
        <w:t xml:space="preserve">nieuw samenwerkingsakkoord </w:t>
      </w:r>
      <w:r w:rsidR="0017613C" w:rsidRPr="005B01D2">
        <w:rPr>
          <w:lang w:val="nl-BE"/>
        </w:rPr>
        <w:t>de enige oplossing is</w:t>
      </w:r>
      <w:r w:rsidR="00427AFC" w:rsidRPr="005B01D2">
        <w:rPr>
          <w:lang w:val="nl-BE"/>
        </w:rPr>
        <w:t xml:space="preserve"> en dat de genoemde wijzigingen pas gevolg kunnen hebben nadat zij bij decreet zijn goedgekeurd.</w:t>
      </w:r>
      <w:r w:rsidR="0017613C" w:rsidRPr="005B01D2">
        <w:rPr>
          <w:rStyle w:val="Voetnootmarkering"/>
          <w:lang w:val="nl-BE"/>
        </w:rPr>
        <w:footnoteReference w:id="148"/>
      </w:r>
      <w:r w:rsidR="0017613C" w:rsidRPr="005B01D2">
        <w:rPr>
          <w:lang w:val="nl-BE"/>
        </w:rPr>
        <w:t xml:space="preserve"> Overigens heeft de Raad van </w:t>
      </w:r>
      <w:r w:rsidR="0017613C" w:rsidRPr="005B01D2">
        <w:rPr>
          <w:lang w:val="nl-BE"/>
        </w:rPr>
        <w:lastRenderedPageBreak/>
        <w:t xml:space="preserve">State om die reden er ook op aangedrongen dat gezamenlijke decreten enkel door een later gezamenlijk decreet </w:t>
      </w:r>
      <w:r w:rsidR="00494E5F" w:rsidRPr="005B01D2">
        <w:rPr>
          <w:lang w:val="nl-BE"/>
        </w:rPr>
        <w:t xml:space="preserve">zouden </w:t>
      </w:r>
      <w:r w:rsidR="0017613C" w:rsidRPr="005B01D2">
        <w:rPr>
          <w:lang w:val="nl-BE"/>
        </w:rPr>
        <w:t>kunnen worden gewijzigd.</w:t>
      </w:r>
      <w:r w:rsidR="0017613C" w:rsidRPr="005B01D2">
        <w:rPr>
          <w:rStyle w:val="Voetnootmarkering"/>
          <w:lang w:val="nl-BE"/>
        </w:rPr>
        <w:footnoteReference w:id="149"/>
      </w:r>
      <w:r w:rsidR="006941B9" w:rsidRPr="005B01D2">
        <w:rPr>
          <w:lang w:val="nl-BE"/>
        </w:rPr>
        <w:t xml:space="preserve"> </w:t>
      </w:r>
    </w:p>
    <w:p w14:paraId="23732D4C" w14:textId="77777777" w:rsidR="003B6637" w:rsidRPr="005B01D2" w:rsidRDefault="003B6637" w:rsidP="00C70A32">
      <w:pPr>
        <w:jc w:val="both"/>
        <w:rPr>
          <w:lang w:val="nl-BE"/>
        </w:rPr>
      </w:pPr>
    </w:p>
    <w:p w14:paraId="149D70D6" w14:textId="77777777" w:rsidR="0017613C" w:rsidRPr="005B01D2" w:rsidRDefault="0017613C" w:rsidP="00C70A32">
      <w:pPr>
        <w:jc w:val="both"/>
        <w:rPr>
          <w:lang w:val="nl-BE"/>
        </w:rPr>
      </w:pPr>
      <w:r w:rsidRPr="005B01D2">
        <w:rPr>
          <w:lang w:val="nl-BE"/>
        </w:rPr>
        <w:t>Toch zijn er een aantal bijzondere gevallen denkbaar.</w:t>
      </w:r>
    </w:p>
    <w:p w14:paraId="76FE8C5E" w14:textId="77777777" w:rsidR="00A901F2" w:rsidRPr="005B01D2" w:rsidRDefault="00A901F2" w:rsidP="00C70A32">
      <w:pPr>
        <w:jc w:val="both"/>
        <w:rPr>
          <w:lang w:val="nl-BE"/>
        </w:rPr>
      </w:pPr>
    </w:p>
    <w:p w14:paraId="1E5BEF0E" w14:textId="77777777" w:rsidR="00A901F2" w:rsidRPr="005B01D2" w:rsidRDefault="00A901F2" w:rsidP="00A901F2">
      <w:pPr>
        <w:jc w:val="both"/>
        <w:rPr>
          <w:lang w:val="nl-BE"/>
        </w:rPr>
      </w:pPr>
      <w:r w:rsidRPr="005B01D2">
        <w:rPr>
          <w:lang w:val="nl-BE"/>
        </w:rPr>
        <w:t xml:space="preserve">In de eerste plaats heeft de Raad van State al aanvaard dat de niet-essentiële elementen van een samenwerkingsakkoord, zoals de technische bijlagen ervan, kunnen worden gewijzigd door een orgaan dat bij dat samenwerkingsovereenkomst is ingesteld, althans in zoverre daarbij </w:t>
      </w:r>
      <w:r w:rsidR="006D3803" w:rsidRPr="005B01D2">
        <w:rPr>
          <w:lang w:val="nl-BE"/>
        </w:rPr>
        <w:t>het legaliteitsbeginsel wordt gerespecteerd</w:t>
      </w:r>
      <w:r w:rsidR="00FB6E23" w:rsidRPr="005B01D2">
        <w:rPr>
          <w:lang w:val="nl-BE"/>
        </w:rPr>
        <w:t xml:space="preserve"> (</w:t>
      </w:r>
      <w:r w:rsidR="00A87036" w:rsidRPr="00A87036">
        <w:rPr>
          <w:i/>
          <w:lang w:val="nl-BE"/>
        </w:rPr>
        <w:t>supra</w:t>
      </w:r>
      <w:r w:rsidR="006D3803" w:rsidRPr="005B01D2">
        <w:rPr>
          <w:lang w:val="nl-BE"/>
        </w:rPr>
        <w:t xml:space="preserve"> nrs. </w:t>
      </w:r>
      <w:r w:rsidR="000C428C" w:rsidRPr="00B2070B">
        <w:rPr>
          <w:lang w:val="nl-BE"/>
        </w:rPr>
        <w:t>20 en 24</w:t>
      </w:r>
      <w:r w:rsidR="00FB6E23" w:rsidRPr="005B01D2">
        <w:rPr>
          <w:lang w:val="nl-BE"/>
        </w:rPr>
        <w:t>)</w:t>
      </w:r>
      <w:r w:rsidRPr="005B01D2">
        <w:rPr>
          <w:lang w:val="nl-BE"/>
        </w:rPr>
        <w:t xml:space="preserve">. In tegenstelling tot de </w:t>
      </w:r>
      <w:r w:rsidR="006D3803" w:rsidRPr="005B01D2">
        <w:rPr>
          <w:lang w:val="nl-BE"/>
        </w:rPr>
        <w:t xml:space="preserve">vereenvoudigde </w:t>
      </w:r>
      <w:r w:rsidRPr="005B01D2">
        <w:rPr>
          <w:lang w:val="nl-BE"/>
        </w:rPr>
        <w:t>wijziging van verdragen door organen die bij een verdrag worden opgericht</w:t>
      </w:r>
      <w:r w:rsidRPr="005B01D2">
        <w:rPr>
          <w:rStyle w:val="Voetnootmarkering"/>
          <w:lang w:val="nl-BE"/>
        </w:rPr>
        <w:footnoteReference w:id="150"/>
      </w:r>
      <w:r w:rsidRPr="005B01D2">
        <w:rPr>
          <w:lang w:val="nl-BE"/>
        </w:rPr>
        <w:t xml:space="preserve"> wordt daarbij bovendien niet vereist dat met die wijzigingen </w:t>
      </w:r>
      <w:r w:rsidR="006D3803" w:rsidRPr="005B01D2">
        <w:rPr>
          <w:lang w:val="nl-BE"/>
        </w:rPr>
        <w:t xml:space="preserve">– al dan niet </w:t>
      </w:r>
      <w:r w:rsidRPr="005B01D2">
        <w:rPr>
          <w:lang w:val="nl-BE"/>
        </w:rPr>
        <w:t xml:space="preserve">anticipatief </w:t>
      </w:r>
      <w:r w:rsidR="006D3803" w:rsidRPr="005B01D2">
        <w:rPr>
          <w:lang w:val="nl-BE"/>
        </w:rPr>
        <w:t xml:space="preserve">– </w:t>
      </w:r>
      <w:r w:rsidRPr="005B01D2">
        <w:rPr>
          <w:lang w:val="nl-BE"/>
        </w:rPr>
        <w:t>door de wetgever wordt ingestemd</w:t>
      </w:r>
      <w:r w:rsidR="006D3803" w:rsidRPr="005B01D2">
        <w:rPr>
          <w:lang w:val="nl-BE"/>
        </w:rPr>
        <w:t xml:space="preserve"> (</w:t>
      </w:r>
      <w:r w:rsidR="00A87036" w:rsidRPr="00A87036">
        <w:rPr>
          <w:i/>
          <w:lang w:val="nl-BE"/>
        </w:rPr>
        <w:t>supra</w:t>
      </w:r>
      <w:r w:rsidR="006D3803" w:rsidRPr="005B01D2">
        <w:rPr>
          <w:lang w:val="nl-BE"/>
        </w:rPr>
        <w:t xml:space="preserve"> nr. </w:t>
      </w:r>
      <w:r w:rsidR="000C428C" w:rsidRPr="00B2070B">
        <w:rPr>
          <w:lang w:val="nl-BE"/>
        </w:rPr>
        <w:t>25</w:t>
      </w:r>
      <w:r w:rsidR="006D3803" w:rsidRPr="005B01D2">
        <w:rPr>
          <w:lang w:val="nl-BE"/>
        </w:rPr>
        <w:t>)</w:t>
      </w:r>
      <w:r w:rsidRPr="005B01D2">
        <w:rPr>
          <w:lang w:val="nl-BE"/>
        </w:rPr>
        <w:t xml:space="preserve">. </w:t>
      </w:r>
    </w:p>
    <w:p w14:paraId="47EEBE22" w14:textId="77777777" w:rsidR="00A901F2" w:rsidRPr="005B01D2" w:rsidRDefault="00A901F2" w:rsidP="00C70A32">
      <w:pPr>
        <w:jc w:val="both"/>
        <w:rPr>
          <w:lang w:val="nl-BE"/>
        </w:rPr>
      </w:pPr>
    </w:p>
    <w:p w14:paraId="2D00F439" w14:textId="1F082CB6" w:rsidR="00727F18" w:rsidRPr="005B01D2" w:rsidRDefault="00CB2ABB" w:rsidP="00CB2ABB">
      <w:pPr>
        <w:jc w:val="both"/>
        <w:rPr>
          <w:color w:val="000000"/>
          <w:lang w:val="nl-BE"/>
        </w:rPr>
      </w:pPr>
      <w:r w:rsidRPr="005B01D2">
        <w:rPr>
          <w:lang w:val="nl-BE"/>
        </w:rPr>
        <w:t xml:space="preserve">Daarnaast </w:t>
      </w:r>
      <w:r w:rsidR="006D3803" w:rsidRPr="005B01D2">
        <w:rPr>
          <w:lang w:val="nl-BE"/>
        </w:rPr>
        <w:t xml:space="preserve">bestaat de mogelijkheid om </w:t>
      </w:r>
      <w:r w:rsidRPr="005B01D2">
        <w:rPr>
          <w:lang w:val="nl-BE"/>
        </w:rPr>
        <w:t xml:space="preserve">een samenwerkingsakkoord </w:t>
      </w:r>
      <w:r w:rsidR="006D3803" w:rsidRPr="005B01D2">
        <w:rPr>
          <w:lang w:val="nl-BE"/>
        </w:rPr>
        <w:t xml:space="preserve">te wijzigen </w:t>
      </w:r>
      <w:r w:rsidRPr="005B01D2">
        <w:rPr>
          <w:lang w:val="nl-BE"/>
        </w:rPr>
        <w:t>door een later</w:t>
      </w:r>
      <w:r w:rsidR="006D3803" w:rsidRPr="005B01D2">
        <w:rPr>
          <w:lang w:val="nl-BE"/>
        </w:rPr>
        <w:t xml:space="preserve"> aangenomen</w:t>
      </w:r>
      <w:r w:rsidRPr="005B01D2">
        <w:rPr>
          <w:lang w:val="nl-BE"/>
        </w:rPr>
        <w:t xml:space="preserve"> gezamenlijk decreet</w:t>
      </w:r>
      <w:r w:rsidR="006D3803" w:rsidRPr="005B01D2">
        <w:rPr>
          <w:lang w:val="nl-BE"/>
        </w:rPr>
        <w:t xml:space="preserve">, een mogelijkheid die </w:t>
      </w:r>
      <w:r w:rsidRPr="005B01D2">
        <w:rPr>
          <w:lang w:val="nl-BE"/>
        </w:rPr>
        <w:t xml:space="preserve">potentieel aanleiding </w:t>
      </w:r>
      <w:r w:rsidR="006D3803" w:rsidRPr="005B01D2">
        <w:rPr>
          <w:lang w:val="nl-BE"/>
        </w:rPr>
        <w:t xml:space="preserve">kan geven </w:t>
      </w:r>
      <w:r w:rsidRPr="005B01D2">
        <w:rPr>
          <w:lang w:val="nl-BE"/>
        </w:rPr>
        <w:t>tot heel wat vragen.</w:t>
      </w:r>
      <w:r w:rsidR="00797632" w:rsidRPr="005B01D2">
        <w:rPr>
          <w:rStyle w:val="Voetnootmarkering"/>
          <w:lang w:val="nl-BE"/>
        </w:rPr>
        <w:footnoteReference w:id="151"/>
      </w:r>
      <w:r w:rsidR="0017613C" w:rsidRPr="005B01D2">
        <w:rPr>
          <w:lang w:val="nl-BE"/>
        </w:rPr>
        <w:t xml:space="preserve"> </w:t>
      </w:r>
      <w:r w:rsidR="00FC37EB" w:rsidRPr="005B01D2">
        <w:rPr>
          <w:lang w:val="nl-BE"/>
        </w:rPr>
        <w:t xml:space="preserve">De bijzondere wetgever heeft het uitdrukkelijk mogelijk gemaakt dat een gezamenlijk decreet </w:t>
      </w:r>
      <w:r w:rsidR="00A87036" w:rsidRPr="00A87036">
        <w:rPr>
          <w:color w:val="000000"/>
          <w:lang w:val="nl-BE"/>
        </w:rPr>
        <w:t>een samenwerkingsakkoord dat afgesloten werd tussen gemeenschappen en gewesten kan opheffen, aanvullen, wijzigen of vervangen voor zover het gezamenlijk decreet wordt aangenomen door alle gemeenschappen en gewesten die partij zijn bij het samenwerkingsakkoord.</w:t>
      </w:r>
      <w:r w:rsidR="00FC37EB" w:rsidRPr="005B01D2">
        <w:rPr>
          <w:rStyle w:val="Voetnootmarkering"/>
          <w:color w:val="000000"/>
          <w:lang w:val="nl-BE"/>
        </w:rPr>
        <w:footnoteReference w:id="152"/>
      </w:r>
      <w:r w:rsidR="00A87036" w:rsidRPr="00A87036">
        <w:rPr>
          <w:b/>
          <w:bCs/>
          <w:color w:val="000000"/>
          <w:lang w:val="nl-BE"/>
        </w:rPr>
        <w:t xml:space="preserve"> </w:t>
      </w:r>
      <w:r w:rsidR="00FC37EB" w:rsidRPr="005B01D2">
        <w:rPr>
          <w:color w:val="000000"/>
          <w:lang w:val="nl-BE"/>
        </w:rPr>
        <w:t>Die werkwijze heeft wel een aantal praktische consequenties</w:t>
      </w:r>
      <w:r w:rsidR="00062CA9" w:rsidRPr="005B01D2">
        <w:rPr>
          <w:color w:val="000000"/>
          <w:lang w:val="nl-BE"/>
        </w:rPr>
        <w:t xml:space="preserve"> en roept een aantal vragen op</w:t>
      </w:r>
      <w:r w:rsidR="00FC37EB" w:rsidRPr="005B01D2">
        <w:rPr>
          <w:color w:val="000000"/>
          <w:lang w:val="nl-BE"/>
        </w:rPr>
        <w:t xml:space="preserve">. </w:t>
      </w:r>
      <w:r w:rsidR="008F1CC5" w:rsidRPr="005B01D2">
        <w:rPr>
          <w:color w:val="000000"/>
          <w:lang w:val="nl-BE"/>
        </w:rPr>
        <w:t>Ten eerste kunnen niet alle samenwerkingsakkoorden op die manier worden gewijzigd</w:t>
      </w:r>
      <w:r w:rsidR="008C5CAB">
        <w:rPr>
          <w:color w:val="000000"/>
          <w:lang w:val="nl-BE"/>
        </w:rPr>
        <w:t>;</w:t>
      </w:r>
      <w:r w:rsidR="00727F18" w:rsidRPr="005B01D2">
        <w:rPr>
          <w:color w:val="000000"/>
          <w:lang w:val="nl-BE"/>
        </w:rPr>
        <w:t xml:space="preserve"> m</w:t>
      </w:r>
      <w:r w:rsidR="006D3803" w:rsidRPr="005B01D2">
        <w:rPr>
          <w:color w:val="000000"/>
          <w:lang w:val="nl-BE"/>
        </w:rPr>
        <w:t xml:space="preserve">eer bepaald </w:t>
      </w:r>
      <w:r w:rsidR="008C5CAB">
        <w:rPr>
          <w:color w:val="000000"/>
          <w:lang w:val="nl-BE"/>
        </w:rPr>
        <w:t xml:space="preserve">kunnen </w:t>
      </w:r>
      <w:r w:rsidR="006D3803" w:rsidRPr="005B01D2">
        <w:rPr>
          <w:color w:val="000000"/>
          <w:lang w:val="nl-BE"/>
        </w:rPr>
        <w:t>de samenwerkingsakkoorden</w:t>
      </w:r>
      <w:r w:rsidR="00727F18" w:rsidRPr="005B01D2">
        <w:rPr>
          <w:color w:val="000000"/>
          <w:lang w:val="nl-BE"/>
        </w:rPr>
        <w:t xml:space="preserve"> waarbij de federale overheid partij is</w:t>
      </w:r>
      <w:r w:rsidR="008C5CAB">
        <w:rPr>
          <w:color w:val="000000"/>
          <w:lang w:val="nl-BE"/>
        </w:rPr>
        <w:t xml:space="preserve"> zo niet worden gewijzigd, simpelweg </w:t>
      </w:r>
      <w:r w:rsidR="00263FB2" w:rsidRPr="00E93D19">
        <w:rPr>
          <w:color w:val="000000"/>
          <w:lang w:val="nl-BE"/>
        </w:rPr>
        <w:t xml:space="preserve">omdat </w:t>
      </w:r>
      <w:r w:rsidR="008D71D3">
        <w:rPr>
          <w:color w:val="000000"/>
          <w:lang w:val="nl-BE"/>
        </w:rPr>
        <w:t xml:space="preserve">de federale overheid van deelname aan </w:t>
      </w:r>
      <w:r w:rsidR="0034113C">
        <w:rPr>
          <w:color w:val="000000"/>
          <w:lang w:val="nl-BE"/>
        </w:rPr>
        <w:t xml:space="preserve">gezamenlijke </w:t>
      </w:r>
      <w:r w:rsidR="008D71D3">
        <w:rPr>
          <w:color w:val="000000"/>
          <w:lang w:val="nl-BE"/>
        </w:rPr>
        <w:t>decreten werd uitgesloten</w:t>
      </w:r>
      <w:r w:rsidR="008F1CC5" w:rsidRPr="005B01D2">
        <w:rPr>
          <w:color w:val="000000"/>
          <w:lang w:val="nl-BE"/>
        </w:rPr>
        <w:t>.</w:t>
      </w:r>
      <w:r w:rsidR="00FC37EB" w:rsidRPr="005B01D2">
        <w:rPr>
          <w:color w:val="000000"/>
          <w:lang w:val="nl-BE"/>
        </w:rPr>
        <w:t xml:space="preserve"> </w:t>
      </w:r>
      <w:r w:rsidR="00062CA9" w:rsidRPr="005B01D2">
        <w:rPr>
          <w:color w:val="000000"/>
          <w:lang w:val="nl-BE"/>
        </w:rPr>
        <w:t>Daarnaast</w:t>
      </w:r>
      <w:r w:rsidR="00A42CE7" w:rsidRPr="005B01D2">
        <w:rPr>
          <w:color w:val="000000"/>
          <w:lang w:val="nl-BE"/>
        </w:rPr>
        <w:t xml:space="preserve"> </w:t>
      </w:r>
      <w:r w:rsidR="00A87036" w:rsidRPr="00A87036">
        <w:rPr>
          <w:color w:val="000000"/>
          <w:lang w:val="nl-BE"/>
        </w:rPr>
        <w:t xml:space="preserve">is het </w:t>
      </w:r>
      <w:r w:rsidR="00A42CE7" w:rsidRPr="005B01D2">
        <w:rPr>
          <w:color w:val="000000"/>
          <w:lang w:val="nl-BE"/>
        </w:rPr>
        <w:t xml:space="preserve">niet </w:t>
      </w:r>
      <w:r w:rsidR="00A87036" w:rsidRPr="00A87036">
        <w:rPr>
          <w:color w:val="000000"/>
          <w:lang w:val="nl-BE"/>
        </w:rPr>
        <w:t>on</w:t>
      </w:r>
      <w:r w:rsidR="00A42CE7" w:rsidRPr="005B01D2">
        <w:rPr>
          <w:color w:val="000000"/>
          <w:lang w:val="nl-BE"/>
        </w:rPr>
        <w:t>denkbaar dat een dergelijk</w:t>
      </w:r>
      <w:r w:rsidR="00A87036" w:rsidRPr="00A87036">
        <w:rPr>
          <w:color w:val="000000"/>
          <w:lang w:val="nl-BE"/>
        </w:rPr>
        <w:t xml:space="preserve"> wijzigend</w:t>
      </w:r>
      <w:r w:rsidR="00A42CE7" w:rsidRPr="005B01D2">
        <w:rPr>
          <w:color w:val="000000"/>
          <w:lang w:val="nl-BE"/>
        </w:rPr>
        <w:t xml:space="preserve"> gezamenlijk decreet vervolgens eenzijdig zou worden </w:t>
      </w:r>
      <w:r w:rsidR="00A87036" w:rsidRPr="00A87036">
        <w:rPr>
          <w:color w:val="000000"/>
          <w:lang w:val="nl-BE"/>
        </w:rPr>
        <w:t>op</w:t>
      </w:r>
      <w:r w:rsidR="00E6494D" w:rsidRPr="005B01D2">
        <w:rPr>
          <w:color w:val="000000"/>
          <w:lang w:val="nl-BE"/>
        </w:rPr>
        <w:t>geheven</w:t>
      </w:r>
      <w:r w:rsidR="00A42CE7" w:rsidRPr="005B01D2">
        <w:rPr>
          <w:color w:val="000000"/>
          <w:lang w:val="nl-BE"/>
        </w:rPr>
        <w:t xml:space="preserve">, </w:t>
      </w:r>
      <w:r w:rsidR="00A87036" w:rsidRPr="00A87036">
        <w:rPr>
          <w:color w:val="000000"/>
          <w:lang w:val="nl-BE"/>
        </w:rPr>
        <w:t xml:space="preserve">wat aanleiding </w:t>
      </w:r>
      <w:r w:rsidRPr="005B01D2">
        <w:rPr>
          <w:color w:val="000000"/>
          <w:lang w:val="nl-BE"/>
        </w:rPr>
        <w:t xml:space="preserve">kan </w:t>
      </w:r>
      <w:r w:rsidR="00A87036" w:rsidRPr="00A87036">
        <w:rPr>
          <w:color w:val="000000"/>
          <w:lang w:val="nl-BE"/>
        </w:rPr>
        <w:t>geven tot een complexe juridisch verhouding tussen alle partijen bij het initiële samenwerkingsakkoord.</w:t>
      </w:r>
      <w:r w:rsidR="008F1CC5" w:rsidRPr="005B01D2">
        <w:rPr>
          <w:color w:val="000000"/>
          <w:lang w:val="nl-BE"/>
        </w:rPr>
        <w:t xml:space="preserve"> </w:t>
      </w:r>
      <w:r w:rsidR="00062CA9" w:rsidRPr="005B01D2">
        <w:rPr>
          <w:color w:val="000000"/>
          <w:lang w:val="nl-BE"/>
        </w:rPr>
        <w:t>Vervolgens</w:t>
      </w:r>
      <w:r w:rsidR="00A42CE7" w:rsidRPr="005B01D2">
        <w:rPr>
          <w:color w:val="000000"/>
          <w:lang w:val="nl-BE"/>
        </w:rPr>
        <w:t xml:space="preserve"> bestaat ook de mogelijkheid van een impliciete wijziging van een samenwerkingsakkoord</w:t>
      </w:r>
      <w:r w:rsidR="00160E21" w:rsidRPr="005B01D2">
        <w:rPr>
          <w:color w:val="000000"/>
          <w:lang w:val="nl-BE"/>
        </w:rPr>
        <w:t xml:space="preserve"> bij gezamenlijk decreet</w:t>
      </w:r>
      <w:r w:rsidR="00A42CE7" w:rsidRPr="005B01D2">
        <w:rPr>
          <w:color w:val="000000"/>
          <w:lang w:val="nl-BE"/>
        </w:rPr>
        <w:t xml:space="preserve">, </w:t>
      </w:r>
      <w:r w:rsidR="00160E21" w:rsidRPr="005B01D2">
        <w:rPr>
          <w:color w:val="000000"/>
          <w:lang w:val="nl-BE"/>
        </w:rPr>
        <w:t>wanneer</w:t>
      </w:r>
      <w:r w:rsidR="00A42CE7" w:rsidRPr="005B01D2">
        <w:rPr>
          <w:color w:val="000000"/>
          <w:lang w:val="nl-BE"/>
        </w:rPr>
        <w:t xml:space="preserve"> de partijen later een gezamenlijk decreet zouden aannemen dat strijdt met het eerdere samenwerkingsakkoord</w:t>
      </w:r>
      <w:r w:rsidR="00160E21" w:rsidRPr="005B01D2">
        <w:rPr>
          <w:color w:val="000000"/>
          <w:lang w:val="nl-BE"/>
        </w:rPr>
        <w:t xml:space="preserve"> zonder dat de strijdige bepalingen van het samenwerkingsakkoord </w:t>
      </w:r>
      <w:r w:rsidR="006D3803" w:rsidRPr="005B01D2">
        <w:rPr>
          <w:color w:val="000000"/>
          <w:lang w:val="nl-BE"/>
        </w:rPr>
        <w:t xml:space="preserve">ook </w:t>
      </w:r>
      <w:r w:rsidR="00330C18" w:rsidRPr="005B01D2">
        <w:rPr>
          <w:color w:val="000000"/>
          <w:lang w:val="nl-BE"/>
        </w:rPr>
        <w:t xml:space="preserve">formeel </w:t>
      </w:r>
      <w:r w:rsidR="00160E21" w:rsidRPr="005B01D2">
        <w:rPr>
          <w:color w:val="000000"/>
          <w:lang w:val="nl-BE"/>
        </w:rPr>
        <w:t>worden gewijzigd of opgeheven.</w:t>
      </w:r>
      <w:r w:rsidR="00062CA9" w:rsidRPr="005B01D2">
        <w:rPr>
          <w:rStyle w:val="Voetnootmarkering"/>
          <w:color w:val="000000"/>
          <w:lang w:val="nl-BE"/>
        </w:rPr>
        <w:footnoteReference w:id="153"/>
      </w:r>
      <w:r w:rsidR="00160E21" w:rsidRPr="00E93D19">
        <w:rPr>
          <w:color w:val="000000"/>
          <w:lang w:val="nl-BE"/>
        </w:rPr>
        <w:t xml:space="preserve"> </w:t>
      </w:r>
      <w:r w:rsidR="000C428C" w:rsidRPr="00B2070B">
        <w:rPr>
          <w:lang w:val="nl-BE"/>
        </w:rPr>
        <w:t xml:space="preserve">Wat </w:t>
      </w:r>
      <w:r w:rsidR="00A4647E">
        <w:rPr>
          <w:lang w:val="nl-BE"/>
        </w:rPr>
        <w:t xml:space="preserve">ten slotte </w:t>
      </w:r>
      <w:r w:rsidR="000C428C" w:rsidRPr="00B2070B">
        <w:rPr>
          <w:lang w:val="nl-BE"/>
        </w:rPr>
        <w:t xml:space="preserve">helemaal niet voorzien is, is de situatie waarbij het latere gezamenlijke decreet maar door enkele van de partijen bij een eerste samenwerkingsakkoord zou worden gesloten. Tussen die partijen zou het conflict mogelijks ook overeenkomstig het </w:t>
      </w:r>
      <w:r w:rsidR="000C428C" w:rsidRPr="00B2070B">
        <w:rPr>
          <w:i/>
          <w:iCs/>
          <w:lang w:val="nl-BE"/>
        </w:rPr>
        <w:t xml:space="preserve">lex posterior </w:t>
      </w:r>
      <w:r w:rsidR="000C428C" w:rsidRPr="00B2070B">
        <w:rPr>
          <w:lang w:val="nl-BE"/>
        </w:rPr>
        <w:t>beginsel kunnen worden opgelost, maar dat biedt geen antwoord voor geschillen waarbij andere partijen en derden – in het bijzondere particulieren – betrokken zijn.</w:t>
      </w:r>
      <w:r w:rsidR="00062CA9" w:rsidRPr="005B01D2">
        <w:rPr>
          <w:rStyle w:val="Voetnootmarkering"/>
          <w:lang w:val="nl-BE"/>
        </w:rPr>
        <w:footnoteReference w:id="154"/>
      </w:r>
      <w:r w:rsidR="00062CA9" w:rsidRPr="005B01D2">
        <w:rPr>
          <w:lang w:val="nl-BE"/>
        </w:rPr>
        <w:t xml:space="preserve"> </w:t>
      </w:r>
      <w:r w:rsidR="005D70C6" w:rsidRPr="005B01D2">
        <w:rPr>
          <w:color w:val="000000"/>
          <w:lang w:val="nl-BE"/>
        </w:rPr>
        <w:t xml:space="preserve">Het uitgangspunt van de bijzondere wetgever </w:t>
      </w:r>
      <w:r w:rsidR="00870B21" w:rsidRPr="005B01D2">
        <w:rPr>
          <w:color w:val="000000"/>
          <w:lang w:val="nl-BE"/>
        </w:rPr>
        <w:t xml:space="preserve">was dat het in beginsel aan </w:t>
      </w:r>
      <w:r w:rsidR="0014704E" w:rsidRPr="005B01D2">
        <w:rPr>
          <w:color w:val="000000"/>
          <w:lang w:val="nl-BE"/>
        </w:rPr>
        <w:lastRenderedPageBreak/>
        <w:t>alle initiële partijen gezamenlijk is</w:t>
      </w:r>
      <w:r w:rsidR="00870B21" w:rsidRPr="005B01D2">
        <w:rPr>
          <w:color w:val="000000"/>
          <w:lang w:val="nl-BE"/>
        </w:rPr>
        <w:t xml:space="preserve"> om het samenwerkingsakkoord te wijzigen en dat </w:t>
      </w:r>
      <w:r w:rsidR="0014704E" w:rsidRPr="005B01D2">
        <w:rPr>
          <w:color w:val="000000"/>
          <w:lang w:val="nl-BE"/>
        </w:rPr>
        <w:t xml:space="preserve">het </w:t>
      </w:r>
      <w:r w:rsidR="00870B21" w:rsidRPr="005B01D2">
        <w:rPr>
          <w:color w:val="000000"/>
          <w:lang w:val="nl-BE"/>
        </w:rPr>
        <w:t xml:space="preserve">impliciete wijzigingen zoveel mogelijk moeten worden voorkomen. De bijzondere wetgever realiseerde zich </w:t>
      </w:r>
      <w:r w:rsidR="0014704E" w:rsidRPr="005B01D2">
        <w:rPr>
          <w:color w:val="000000"/>
          <w:lang w:val="nl-BE"/>
        </w:rPr>
        <w:t xml:space="preserve">evenwel </w:t>
      </w:r>
      <w:r w:rsidR="00870B21" w:rsidRPr="005B01D2">
        <w:rPr>
          <w:color w:val="000000"/>
          <w:lang w:val="nl-BE"/>
        </w:rPr>
        <w:t>ook wel dat de realiteit vaak weerbarstiger is dan de theorie</w:t>
      </w:r>
      <w:r w:rsidR="0014704E" w:rsidRPr="005B01D2">
        <w:rPr>
          <w:color w:val="000000"/>
          <w:lang w:val="nl-BE"/>
        </w:rPr>
        <w:t xml:space="preserve">. </w:t>
      </w:r>
      <w:r w:rsidR="00CA6EC7">
        <w:rPr>
          <w:color w:val="000000"/>
          <w:lang w:val="nl-BE"/>
        </w:rPr>
        <w:t>Hij</w:t>
      </w:r>
      <w:r w:rsidR="00870B21" w:rsidRPr="005B01D2">
        <w:rPr>
          <w:color w:val="000000"/>
          <w:lang w:val="nl-BE"/>
        </w:rPr>
        <w:t xml:space="preserve"> suggereerde </w:t>
      </w:r>
      <w:r w:rsidR="0014704E" w:rsidRPr="005B01D2">
        <w:rPr>
          <w:color w:val="000000"/>
          <w:lang w:val="nl-BE"/>
        </w:rPr>
        <w:t xml:space="preserve">dan </w:t>
      </w:r>
      <w:r w:rsidR="00C65169" w:rsidRPr="005B01D2">
        <w:rPr>
          <w:color w:val="000000"/>
          <w:lang w:val="nl-BE"/>
        </w:rPr>
        <w:t xml:space="preserve">als </w:t>
      </w:r>
      <w:r w:rsidR="0014704E" w:rsidRPr="005B01D2">
        <w:rPr>
          <w:color w:val="000000"/>
          <w:lang w:val="nl-BE"/>
        </w:rPr>
        <w:t>oplossing</w:t>
      </w:r>
      <w:r w:rsidR="00870B21" w:rsidRPr="005B01D2">
        <w:rPr>
          <w:color w:val="000000"/>
          <w:lang w:val="nl-BE"/>
        </w:rPr>
        <w:t xml:space="preserve"> o.m. overleg tussen de partijen, het evenredigheidsbeginsel en de </w:t>
      </w:r>
      <w:r w:rsidR="005D70C6" w:rsidRPr="005B01D2">
        <w:rPr>
          <w:color w:val="000000"/>
          <w:lang w:val="nl-BE"/>
        </w:rPr>
        <w:t xml:space="preserve">gewone interpretatieregels </w:t>
      </w:r>
      <w:r w:rsidR="00870B21" w:rsidRPr="005B01D2">
        <w:rPr>
          <w:color w:val="000000"/>
          <w:lang w:val="nl-BE"/>
        </w:rPr>
        <w:t xml:space="preserve">die </w:t>
      </w:r>
      <w:r w:rsidR="0014704E" w:rsidRPr="005B01D2">
        <w:rPr>
          <w:color w:val="000000"/>
          <w:lang w:val="nl-BE"/>
        </w:rPr>
        <w:t>g</w:t>
      </w:r>
      <w:r w:rsidR="005D70C6" w:rsidRPr="005B01D2">
        <w:rPr>
          <w:color w:val="000000"/>
          <w:lang w:val="nl-BE"/>
        </w:rPr>
        <w:t>elden voor het regelen van conflicten tussen gelijkwaardige normen</w:t>
      </w:r>
      <w:r w:rsidR="00870B21" w:rsidRPr="005B01D2">
        <w:rPr>
          <w:color w:val="000000"/>
          <w:lang w:val="nl-BE"/>
        </w:rPr>
        <w:t>,</w:t>
      </w:r>
      <w:r w:rsidR="007E3A2A" w:rsidRPr="005B01D2">
        <w:rPr>
          <w:color w:val="000000"/>
          <w:lang w:val="nl-BE"/>
        </w:rPr>
        <w:t xml:space="preserve"> zoals het </w:t>
      </w:r>
      <w:r w:rsidR="007E3A2A" w:rsidRPr="005B01D2">
        <w:rPr>
          <w:i/>
          <w:iCs/>
          <w:lang w:val="nl-BE"/>
        </w:rPr>
        <w:t xml:space="preserve">lex posterior </w:t>
      </w:r>
      <w:r w:rsidR="007E3A2A" w:rsidRPr="005B01D2">
        <w:rPr>
          <w:lang w:val="nl-BE"/>
        </w:rPr>
        <w:t>beginsel</w:t>
      </w:r>
      <w:r w:rsidR="005D70C6" w:rsidRPr="005B01D2">
        <w:rPr>
          <w:color w:val="000000"/>
          <w:lang w:val="nl-BE"/>
        </w:rPr>
        <w:t>.</w:t>
      </w:r>
      <w:r w:rsidR="007E3A2A" w:rsidRPr="005B01D2">
        <w:rPr>
          <w:rStyle w:val="Voetnootmarkering"/>
          <w:color w:val="000000"/>
          <w:lang w:val="nl-BE"/>
        </w:rPr>
        <w:footnoteReference w:id="155"/>
      </w:r>
      <w:r w:rsidR="005D70C6" w:rsidRPr="005B01D2">
        <w:rPr>
          <w:color w:val="000000"/>
          <w:lang w:val="nl-BE"/>
        </w:rPr>
        <w:t xml:space="preserve"> </w:t>
      </w:r>
      <w:r w:rsidR="00870B21" w:rsidRPr="005B01D2">
        <w:rPr>
          <w:color w:val="000000"/>
          <w:lang w:val="nl-BE"/>
        </w:rPr>
        <w:t xml:space="preserve">Maar elke jurist weet dat je met </w:t>
      </w:r>
      <w:r w:rsidR="00C65169" w:rsidRPr="005B01D2">
        <w:rPr>
          <w:color w:val="000000"/>
          <w:lang w:val="nl-BE"/>
        </w:rPr>
        <w:t xml:space="preserve">een handvol </w:t>
      </w:r>
      <w:r w:rsidR="0034113C">
        <w:rPr>
          <w:color w:val="000000"/>
          <w:lang w:val="nl-BE"/>
        </w:rPr>
        <w:t xml:space="preserve">botsende </w:t>
      </w:r>
      <w:r w:rsidR="00870B21" w:rsidRPr="005B01D2">
        <w:rPr>
          <w:color w:val="000000"/>
          <w:lang w:val="nl-BE"/>
        </w:rPr>
        <w:t>beginsel</w:t>
      </w:r>
      <w:r w:rsidR="0034113C">
        <w:rPr>
          <w:color w:val="000000"/>
          <w:lang w:val="nl-BE"/>
        </w:rPr>
        <w:t>en</w:t>
      </w:r>
      <w:r w:rsidR="00870B21" w:rsidRPr="005B01D2">
        <w:rPr>
          <w:color w:val="000000"/>
          <w:lang w:val="nl-BE"/>
        </w:rPr>
        <w:t xml:space="preserve"> vertrokken kan zijn voor </w:t>
      </w:r>
      <w:r w:rsidR="00C65169" w:rsidRPr="005B01D2">
        <w:rPr>
          <w:color w:val="000000"/>
          <w:lang w:val="nl-BE"/>
        </w:rPr>
        <w:t xml:space="preserve">lange </w:t>
      </w:r>
      <w:r w:rsidR="00870B21" w:rsidRPr="005B01D2">
        <w:rPr>
          <w:color w:val="000000"/>
          <w:lang w:val="nl-BE"/>
        </w:rPr>
        <w:t>discussies en betwistingen.</w:t>
      </w:r>
    </w:p>
    <w:p w14:paraId="18A5E854" w14:textId="77777777" w:rsidR="00391D3B" w:rsidRDefault="00391D3B">
      <w:pPr>
        <w:pStyle w:val="Lijstalinea"/>
        <w:jc w:val="both"/>
        <w:rPr>
          <w:lang w:val="nl-BE"/>
        </w:rPr>
      </w:pPr>
    </w:p>
    <w:p w14:paraId="2FCEAC25" w14:textId="218879C3" w:rsidR="00391D3B" w:rsidRDefault="00A8352C">
      <w:pPr>
        <w:autoSpaceDE w:val="0"/>
        <w:autoSpaceDN w:val="0"/>
        <w:adjustRightInd w:val="0"/>
        <w:jc w:val="both"/>
        <w:rPr>
          <w:lang w:val="nl-BE"/>
        </w:rPr>
      </w:pPr>
      <w:r w:rsidRPr="005B01D2">
        <w:rPr>
          <w:lang w:val="nl-BE"/>
        </w:rPr>
        <w:t>2</w:t>
      </w:r>
      <w:r w:rsidR="0014704E" w:rsidRPr="005B01D2">
        <w:rPr>
          <w:lang w:val="nl-BE"/>
        </w:rPr>
        <w:t>9</w:t>
      </w:r>
      <w:r w:rsidRPr="005B01D2">
        <w:rPr>
          <w:lang w:val="nl-BE"/>
        </w:rPr>
        <w:t>.</w:t>
      </w:r>
      <w:r w:rsidRPr="005B01D2">
        <w:rPr>
          <w:lang w:val="nl-BE"/>
        </w:rPr>
        <w:tab/>
      </w:r>
      <w:r w:rsidR="00EB7E75" w:rsidRPr="005B01D2">
        <w:rPr>
          <w:lang w:val="nl-BE"/>
        </w:rPr>
        <w:t xml:space="preserve">Zoals we </w:t>
      </w:r>
      <w:r w:rsidR="009C0026" w:rsidRPr="005B01D2">
        <w:rPr>
          <w:lang w:val="nl-BE"/>
        </w:rPr>
        <w:t>al van bij aanvang</w:t>
      </w:r>
      <w:r w:rsidR="00EB7E75" w:rsidRPr="005B01D2">
        <w:rPr>
          <w:lang w:val="nl-BE"/>
        </w:rPr>
        <w:t xml:space="preserve"> opmerkt</w:t>
      </w:r>
      <w:r w:rsidR="009C0026" w:rsidRPr="005B01D2">
        <w:rPr>
          <w:lang w:val="nl-BE"/>
        </w:rPr>
        <w:t>en (</w:t>
      </w:r>
      <w:r w:rsidR="00A87036" w:rsidRPr="00A87036">
        <w:rPr>
          <w:i/>
          <w:lang w:val="nl-BE"/>
        </w:rPr>
        <w:t>supra</w:t>
      </w:r>
      <w:r w:rsidR="009C0026" w:rsidRPr="005B01D2">
        <w:rPr>
          <w:lang w:val="nl-BE"/>
        </w:rPr>
        <w:t xml:space="preserve"> hoofdstukken </w:t>
      </w:r>
      <w:r w:rsidR="000C428C" w:rsidRPr="00B2070B">
        <w:rPr>
          <w:lang w:val="nl-BE"/>
        </w:rPr>
        <w:t>I en II</w:t>
      </w:r>
      <w:r w:rsidR="009C0026" w:rsidRPr="005B01D2">
        <w:rPr>
          <w:lang w:val="nl-BE"/>
        </w:rPr>
        <w:t>)</w:t>
      </w:r>
      <w:r w:rsidR="00EB7E75" w:rsidRPr="005B01D2">
        <w:rPr>
          <w:lang w:val="nl-BE"/>
        </w:rPr>
        <w:t>, kunnen zowel samenwerkingsakkoorden als verdragen verorden</w:t>
      </w:r>
      <w:r w:rsidR="0034113C">
        <w:rPr>
          <w:lang w:val="nl-BE"/>
        </w:rPr>
        <w:t>en</w:t>
      </w:r>
      <w:r w:rsidR="00EB7E75" w:rsidRPr="005B01D2">
        <w:rPr>
          <w:lang w:val="nl-BE"/>
        </w:rPr>
        <w:t xml:space="preserve">d van aard zijn en </w:t>
      </w:r>
      <w:r w:rsidR="009C0026" w:rsidRPr="005B01D2">
        <w:rPr>
          <w:lang w:val="nl-BE"/>
        </w:rPr>
        <w:t xml:space="preserve">burgers </w:t>
      </w:r>
      <w:r w:rsidR="00BF6940" w:rsidRPr="005B01D2">
        <w:rPr>
          <w:lang w:val="nl-BE"/>
        </w:rPr>
        <w:t xml:space="preserve">bijgevolg </w:t>
      </w:r>
      <w:r w:rsidR="00EB7E75" w:rsidRPr="005B01D2">
        <w:rPr>
          <w:lang w:val="nl-BE"/>
        </w:rPr>
        <w:t xml:space="preserve">rechtstreeks verbinden. </w:t>
      </w:r>
      <w:r w:rsidR="009C0026" w:rsidRPr="005B01D2">
        <w:rPr>
          <w:lang w:val="nl-BE"/>
        </w:rPr>
        <w:t>De</w:t>
      </w:r>
      <w:r w:rsidR="0014704E" w:rsidRPr="005B01D2">
        <w:rPr>
          <w:lang w:val="nl-BE"/>
        </w:rPr>
        <w:t>ze</w:t>
      </w:r>
      <w:r w:rsidR="009C0026" w:rsidRPr="005B01D2">
        <w:rPr>
          <w:lang w:val="nl-BE"/>
        </w:rPr>
        <w:t xml:space="preserve"> traditionele werkwijze is voor de interne rechtsorde van de partijen doorgaans </w:t>
      </w:r>
      <w:r w:rsidR="005E7227" w:rsidRPr="005B01D2">
        <w:rPr>
          <w:lang w:val="nl-BE"/>
        </w:rPr>
        <w:t>hondsbrutaal</w:t>
      </w:r>
      <w:r w:rsidR="009C0026" w:rsidRPr="005B01D2">
        <w:rPr>
          <w:lang w:val="nl-BE"/>
        </w:rPr>
        <w:t xml:space="preserve">: worden inconsistenties in de interne wetten en reglementen </w:t>
      </w:r>
      <w:r w:rsidR="0014704E" w:rsidRPr="005B01D2">
        <w:rPr>
          <w:lang w:val="nl-BE"/>
        </w:rPr>
        <w:t>door</w:t>
      </w:r>
      <w:r w:rsidR="009C0026" w:rsidRPr="005B01D2">
        <w:rPr>
          <w:lang w:val="nl-BE"/>
        </w:rPr>
        <w:t xml:space="preserve"> de partijen niet tijdig </w:t>
      </w:r>
      <w:r w:rsidR="0040541D" w:rsidRPr="005B01D2">
        <w:rPr>
          <w:lang w:val="nl-BE"/>
        </w:rPr>
        <w:t>getoiletteerd</w:t>
      </w:r>
      <w:r w:rsidR="009C0026" w:rsidRPr="005B01D2">
        <w:rPr>
          <w:lang w:val="nl-BE"/>
        </w:rPr>
        <w:t>, dan worden deze door de voorrangsregel zonder meer uit de weg geruimd</w:t>
      </w:r>
      <w:r w:rsidR="00BF6940" w:rsidRPr="005B01D2">
        <w:rPr>
          <w:lang w:val="nl-BE"/>
        </w:rPr>
        <w:t xml:space="preserve">, en </w:t>
      </w:r>
      <w:r w:rsidR="0014704E" w:rsidRPr="005B01D2">
        <w:rPr>
          <w:lang w:val="nl-BE"/>
        </w:rPr>
        <w:t xml:space="preserve">bijgevolg </w:t>
      </w:r>
      <w:r w:rsidR="00BF6940" w:rsidRPr="005B01D2">
        <w:rPr>
          <w:lang w:val="nl-BE"/>
        </w:rPr>
        <w:t>geacht niet te bestaan</w:t>
      </w:r>
      <w:r w:rsidR="009C0026" w:rsidRPr="005B01D2">
        <w:rPr>
          <w:lang w:val="nl-BE"/>
        </w:rPr>
        <w:t xml:space="preserve">. </w:t>
      </w:r>
      <w:r w:rsidR="005E7227" w:rsidRPr="005B01D2">
        <w:rPr>
          <w:lang w:val="nl-BE"/>
        </w:rPr>
        <w:t>Duidelijk en rechtszeker is een dergelijke situatie van naast elkaar bestaan</w:t>
      </w:r>
      <w:r w:rsidR="0014704E" w:rsidRPr="005B01D2">
        <w:rPr>
          <w:lang w:val="nl-BE"/>
        </w:rPr>
        <w:t>de</w:t>
      </w:r>
      <w:r w:rsidR="005E7227" w:rsidRPr="005B01D2">
        <w:rPr>
          <w:lang w:val="nl-BE"/>
        </w:rPr>
        <w:t xml:space="preserve"> conflicterende regels</w:t>
      </w:r>
      <w:r w:rsidR="002211C5" w:rsidRPr="005B01D2">
        <w:rPr>
          <w:lang w:val="nl-BE"/>
        </w:rPr>
        <w:t xml:space="preserve"> voor de burger allerminst. </w:t>
      </w:r>
      <w:r w:rsidR="005E7227" w:rsidRPr="005B01D2">
        <w:rPr>
          <w:lang w:val="nl-BE"/>
        </w:rPr>
        <w:t xml:space="preserve">Popelier wijst er </w:t>
      </w:r>
      <w:r w:rsidR="00BF6940" w:rsidRPr="005B01D2">
        <w:rPr>
          <w:lang w:val="nl-BE"/>
        </w:rPr>
        <w:t xml:space="preserve">dan ook terecht </w:t>
      </w:r>
      <w:r w:rsidR="002211C5" w:rsidRPr="005B01D2">
        <w:rPr>
          <w:lang w:val="nl-BE"/>
        </w:rPr>
        <w:t xml:space="preserve">op </w:t>
      </w:r>
      <w:r w:rsidR="00BF6940" w:rsidRPr="005B01D2">
        <w:rPr>
          <w:lang w:val="nl-BE"/>
        </w:rPr>
        <w:t xml:space="preserve">dat er op </w:t>
      </w:r>
      <w:r w:rsidR="002211C5" w:rsidRPr="005B01D2">
        <w:rPr>
          <w:lang w:val="nl-BE"/>
        </w:rPr>
        <w:t xml:space="preserve">de wetgever een plicht rust om onze rechtsorde zo doorzichtig mogelijk te </w:t>
      </w:r>
      <w:r w:rsidR="00BF6940" w:rsidRPr="005B01D2">
        <w:rPr>
          <w:lang w:val="nl-BE"/>
        </w:rPr>
        <w:t>houden</w:t>
      </w:r>
      <w:r w:rsidR="002211C5" w:rsidRPr="005B01D2">
        <w:rPr>
          <w:lang w:val="nl-BE"/>
        </w:rPr>
        <w:t>, door regels van internationaal en Europees recht zoveel mogelijk te begeleiden</w:t>
      </w:r>
      <w:r w:rsidR="00BF6940" w:rsidRPr="005B01D2">
        <w:rPr>
          <w:lang w:val="nl-BE"/>
        </w:rPr>
        <w:t>,</w:t>
      </w:r>
      <w:r w:rsidR="002211C5" w:rsidRPr="005B01D2">
        <w:rPr>
          <w:lang w:val="nl-BE"/>
        </w:rPr>
        <w:t xml:space="preserve"> </w:t>
      </w:r>
      <w:r w:rsidR="00A87036" w:rsidRPr="00A87036">
        <w:rPr>
          <w:lang w:val="nl-BE"/>
        </w:rPr>
        <w:t>ook in die gevallen waarin de doorwerking van dat recht automatisch gebeurt</w:t>
      </w:r>
      <w:r w:rsidR="002211C5" w:rsidRPr="005B01D2">
        <w:rPr>
          <w:lang w:val="nl-BE"/>
        </w:rPr>
        <w:t>.</w:t>
      </w:r>
      <w:r w:rsidR="002211C5" w:rsidRPr="005B01D2">
        <w:rPr>
          <w:rStyle w:val="Voetnootmarkering"/>
          <w:lang w:val="nl-BE"/>
        </w:rPr>
        <w:footnoteReference w:id="156"/>
      </w:r>
      <w:r w:rsidR="002211C5" w:rsidRPr="005B01D2">
        <w:rPr>
          <w:lang w:val="nl-BE"/>
        </w:rPr>
        <w:t xml:space="preserve"> Dezelfde bedenking gaat ook op voor samenwerkingsakkoorden. </w:t>
      </w:r>
      <w:r w:rsidR="00CE48AB" w:rsidRPr="005B01D2">
        <w:rPr>
          <w:lang w:val="nl-BE"/>
        </w:rPr>
        <w:t xml:space="preserve">Vanuit de ratio van doorzichtigheid aanvaardt de Raad van State bij </w:t>
      </w:r>
      <w:r w:rsidR="00713505" w:rsidRPr="005B01D2">
        <w:rPr>
          <w:lang w:val="nl-BE"/>
        </w:rPr>
        <w:t xml:space="preserve">wijze van </w:t>
      </w:r>
      <w:r w:rsidR="00CE48AB" w:rsidRPr="005B01D2">
        <w:rPr>
          <w:lang w:val="nl-BE"/>
        </w:rPr>
        <w:t xml:space="preserve">uitzondering dat een instemmingswet </w:t>
      </w:r>
      <w:r w:rsidR="00713505" w:rsidRPr="005B01D2">
        <w:rPr>
          <w:lang w:val="nl-BE"/>
        </w:rPr>
        <w:t xml:space="preserve">alsnog </w:t>
      </w:r>
      <w:r w:rsidR="00CE48AB" w:rsidRPr="005B01D2">
        <w:rPr>
          <w:lang w:val="nl-BE"/>
        </w:rPr>
        <w:t xml:space="preserve">verordenende bepalingen mag bevatten, voor zover het gaat om </w:t>
      </w:r>
      <w:r w:rsidR="00A87036" w:rsidRPr="00A87036">
        <w:rPr>
          <w:rFonts w:eastAsiaTheme="minorHAnsi"/>
          <w:lang w:val="nl-NL" w:eastAsia="en-US"/>
        </w:rPr>
        <w:t xml:space="preserve">regels die de wetgevende bepalingen </w:t>
      </w:r>
      <w:r w:rsidR="003D6762" w:rsidRPr="00A87036">
        <w:rPr>
          <w:rFonts w:eastAsiaTheme="minorHAnsi"/>
          <w:lang w:val="nl-NL" w:eastAsia="en-US"/>
        </w:rPr>
        <w:t>aanpas</w:t>
      </w:r>
      <w:r w:rsidR="003D6762">
        <w:rPr>
          <w:rFonts w:eastAsiaTheme="minorHAnsi"/>
          <w:lang w:val="nl-NL" w:eastAsia="en-US"/>
        </w:rPr>
        <w:t>sen</w:t>
      </w:r>
      <w:r w:rsidR="003D6762" w:rsidRPr="00A87036">
        <w:rPr>
          <w:rFonts w:eastAsiaTheme="minorHAnsi"/>
          <w:lang w:val="nl-NL" w:eastAsia="en-US"/>
        </w:rPr>
        <w:t xml:space="preserve"> </w:t>
      </w:r>
      <w:r w:rsidR="00A87036" w:rsidRPr="00A87036">
        <w:rPr>
          <w:rFonts w:eastAsiaTheme="minorHAnsi"/>
          <w:lang w:val="nl-NL" w:eastAsia="en-US"/>
        </w:rPr>
        <w:t>aan wat door het verdrag wordt vereist.</w:t>
      </w:r>
      <w:r w:rsidR="00A87036" w:rsidRPr="00A87036">
        <w:rPr>
          <w:rStyle w:val="Voetnootmarkering"/>
          <w:rFonts w:eastAsiaTheme="minorHAnsi"/>
          <w:lang w:val="nl-NL" w:eastAsia="en-US"/>
        </w:rPr>
        <w:footnoteReference w:id="157"/>
      </w:r>
    </w:p>
    <w:p w14:paraId="26AEC1D0" w14:textId="77777777" w:rsidR="002211C5" w:rsidRPr="005B01D2" w:rsidRDefault="002211C5" w:rsidP="00427AFC">
      <w:pPr>
        <w:jc w:val="both"/>
        <w:rPr>
          <w:lang w:val="nl-BE"/>
        </w:rPr>
      </w:pPr>
    </w:p>
    <w:p w14:paraId="194E0F26" w14:textId="77777777" w:rsidR="00CB14A2" w:rsidRPr="005B01D2" w:rsidRDefault="006C6053" w:rsidP="00427AFC">
      <w:pPr>
        <w:jc w:val="both"/>
        <w:rPr>
          <w:lang w:val="nl-BE"/>
        </w:rPr>
      </w:pPr>
      <w:r w:rsidRPr="005B01D2">
        <w:rPr>
          <w:lang w:val="nl-BE"/>
        </w:rPr>
        <w:t xml:space="preserve">Een logische vraag zou zijn of </w:t>
      </w:r>
      <w:r w:rsidR="000749E6" w:rsidRPr="005B01D2">
        <w:rPr>
          <w:lang w:val="nl-BE"/>
        </w:rPr>
        <w:t xml:space="preserve">verdragen en samenwerkingsakkoorden </w:t>
      </w:r>
      <w:r w:rsidR="004D4173" w:rsidRPr="005B01D2">
        <w:rPr>
          <w:lang w:val="nl-BE"/>
        </w:rPr>
        <w:t xml:space="preserve">dan </w:t>
      </w:r>
      <w:r w:rsidR="000749E6" w:rsidRPr="005B01D2">
        <w:rPr>
          <w:lang w:val="nl-BE"/>
        </w:rPr>
        <w:t xml:space="preserve">niet beter direct </w:t>
      </w:r>
      <w:r w:rsidRPr="005B01D2">
        <w:rPr>
          <w:lang w:val="nl-BE"/>
        </w:rPr>
        <w:t xml:space="preserve">de </w:t>
      </w:r>
      <w:r w:rsidR="0014704E" w:rsidRPr="005B01D2">
        <w:rPr>
          <w:lang w:val="nl-BE"/>
        </w:rPr>
        <w:t xml:space="preserve">ermee inconsistente </w:t>
      </w:r>
      <w:r w:rsidR="000749E6" w:rsidRPr="005B01D2">
        <w:rPr>
          <w:lang w:val="nl-BE"/>
        </w:rPr>
        <w:t xml:space="preserve">wetten </w:t>
      </w:r>
      <w:r w:rsidR="0014704E" w:rsidRPr="005B01D2">
        <w:rPr>
          <w:lang w:val="nl-BE"/>
        </w:rPr>
        <w:t xml:space="preserve">zelf </w:t>
      </w:r>
      <w:r w:rsidR="000749E6" w:rsidRPr="005B01D2">
        <w:rPr>
          <w:lang w:val="nl-BE"/>
        </w:rPr>
        <w:t>zouden wijzigen. De Raad van State aanvaardde</w:t>
      </w:r>
      <w:r w:rsidR="0014704E" w:rsidRPr="005B01D2">
        <w:rPr>
          <w:lang w:val="nl-BE"/>
        </w:rPr>
        <w:t xml:space="preserve"> in dat opzicht</w:t>
      </w:r>
      <w:r w:rsidR="000749E6" w:rsidRPr="005B01D2">
        <w:rPr>
          <w:lang w:val="nl-BE"/>
        </w:rPr>
        <w:t xml:space="preserve"> dat </w:t>
      </w:r>
      <w:r w:rsidR="00A8352C" w:rsidRPr="005B01D2">
        <w:rPr>
          <w:lang w:val="nl-BE"/>
        </w:rPr>
        <w:t xml:space="preserve">samenwerkingsakkoorden </w:t>
      </w:r>
      <w:r w:rsidR="000749E6" w:rsidRPr="005B01D2">
        <w:rPr>
          <w:lang w:val="nl-BE"/>
        </w:rPr>
        <w:t xml:space="preserve">formeel </w:t>
      </w:r>
      <w:r w:rsidR="00A8352C" w:rsidRPr="005B01D2">
        <w:rPr>
          <w:lang w:val="nl-BE"/>
        </w:rPr>
        <w:t xml:space="preserve">wetten </w:t>
      </w:r>
      <w:r w:rsidR="000749E6" w:rsidRPr="005B01D2">
        <w:rPr>
          <w:lang w:val="nl-BE"/>
        </w:rPr>
        <w:t xml:space="preserve">mogen </w:t>
      </w:r>
      <w:r w:rsidR="00A8352C" w:rsidRPr="005B01D2">
        <w:rPr>
          <w:lang w:val="nl-BE"/>
        </w:rPr>
        <w:t>wijzigen.</w:t>
      </w:r>
      <w:r w:rsidR="00BE4010" w:rsidRPr="005B01D2">
        <w:rPr>
          <w:rStyle w:val="Voetnootmarkering"/>
          <w:lang w:val="nl-BE"/>
        </w:rPr>
        <w:footnoteReference w:id="158"/>
      </w:r>
      <w:r w:rsidR="00BE4010" w:rsidRPr="005B01D2">
        <w:rPr>
          <w:lang w:val="nl-BE"/>
        </w:rPr>
        <w:t xml:space="preserve"> </w:t>
      </w:r>
      <w:r w:rsidR="000749E6" w:rsidRPr="005B01D2">
        <w:rPr>
          <w:lang w:val="nl-BE"/>
        </w:rPr>
        <w:t xml:space="preserve">Voor verdragen </w:t>
      </w:r>
      <w:r w:rsidR="00324E4B" w:rsidRPr="005B01D2">
        <w:rPr>
          <w:lang w:val="nl-BE"/>
        </w:rPr>
        <w:t xml:space="preserve">kan dit in beginsel ook, ook al </w:t>
      </w:r>
      <w:r w:rsidR="000749E6" w:rsidRPr="005B01D2">
        <w:rPr>
          <w:lang w:val="nl-BE"/>
        </w:rPr>
        <w:t xml:space="preserve">stelt de vraag zich </w:t>
      </w:r>
      <w:r w:rsidR="004D4173" w:rsidRPr="005B01D2">
        <w:rPr>
          <w:lang w:val="nl-BE"/>
        </w:rPr>
        <w:t>om praktische redenen minder</w:t>
      </w:r>
      <w:r w:rsidR="00324E4B" w:rsidRPr="005B01D2">
        <w:rPr>
          <w:lang w:val="nl-BE"/>
        </w:rPr>
        <w:t xml:space="preserve"> vaak. Ten </w:t>
      </w:r>
      <w:r w:rsidR="008E0E2F" w:rsidRPr="005B01D2">
        <w:rPr>
          <w:lang w:val="nl-BE"/>
        </w:rPr>
        <w:t>eerste</w:t>
      </w:r>
      <w:r w:rsidR="00324E4B" w:rsidRPr="005B01D2">
        <w:rPr>
          <w:lang w:val="nl-BE"/>
        </w:rPr>
        <w:t xml:space="preserve"> komt dit </w:t>
      </w:r>
      <w:r w:rsidR="008E0E2F" w:rsidRPr="005B01D2">
        <w:rPr>
          <w:lang w:val="nl-BE"/>
        </w:rPr>
        <w:t>omdat</w:t>
      </w:r>
      <w:r w:rsidR="004D4173" w:rsidRPr="005B01D2">
        <w:rPr>
          <w:lang w:val="nl-BE"/>
        </w:rPr>
        <w:t xml:space="preserve"> onze</w:t>
      </w:r>
      <w:r w:rsidR="008E0E2F" w:rsidRPr="005B01D2">
        <w:rPr>
          <w:lang w:val="nl-BE"/>
        </w:rPr>
        <w:t xml:space="preserve"> </w:t>
      </w:r>
      <w:r w:rsidR="000749E6" w:rsidRPr="005B01D2">
        <w:rPr>
          <w:lang w:val="nl-BE"/>
        </w:rPr>
        <w:t xml:space="preserve">verdragspartners </w:t>
      </w:r>
      <w:r w:rsidR="0014704E" w:rsidRPr="005B01D2">
        <w:rPr>
          <w:lang w:val="nl-BE"/>
        </w:rPr>
        <w:t xml:space="preserve">doorgaans </w:t>
      </w:r>
      <w:r w:rsidR="008E0E2F" w:rsidRPr="005B01D2">
        <w:rPr>
          <w:lang w:val="nl-BE"/>
        </w:rPr>
        <w:t>focussen op het te bereiken resultaat en zich hierbij niet wensen in te laten met aspecten van interne Belgische wet</w:t>
      </w:r>
      <w:r w:rsidR="004D4173" w:rsidRPr="005B01D2">
        <w:rPr>
          <w:lang w:val="nl-BE"/>
        </w:rPr>
        <w:t>geving</w:t>
      </w:r>
      <w:r w:rsidR="008E0E2F" w:rsidRPr="005B01D2">
        <w:rPr>
          <w:lang w:val="nl-BE"/>
        </w:rPr>
        <w:t xml:space="preserve"> en legistiek.</w:t>
      </w:r>
      <w:r w:rsidR="0014704E" w:rsidRPr="005B01D2">
        <w:rPr>
          <w:rStyle w:val="Voetnootmarkering"/>
          <w:lang w:val="nl-BE"/>
        </w:rPr>
        <w:footnoteReference w:id="159"/>
      </w:r>
      <w:r w:rsidR="008E0E2F" w:rsidRPr="005B01D2">
        <w:rPr>
          <w:lang w:val="nl-BE"/>
        </w:rPr>
        <w:t xml:space="preserve"> Gebeurt </w:t>
      </w:r>
      <w:r w:rsidR="00CB14A2" w:rsidRPr="005B01D2">
        <w:rPr>
          <w:lang w:val="nl-BE"/>
        </w:rPr>
        <w:t xml:space="preserve">dit alsnog, dan zal </w:t>
      </w:r>
      <w:r w:rsidR="0047290F" w:rsidRPr="005B01D2">
        <w:rPr>
          <w:lang w:val="nl-BE"/>
        </w:rPr>
        <w:t xml:space="preserve">– ten tweede – </w:t>
      </w:r>
      <w:r w:rsidR="00CB14A2" w:rsidRPr="005B01D2">
        <w:rPr>
          <w:lang w:val="nl-BE"/>
        </w:rPr>
        <w:t xml:space="preserve">de Raad van State zich </w:t>
      </w:r>
      <w:r w:rsidR="00324E4B" w:rsidRPr="005B01D2">
        <w:rPr>
          <w:lang w:val="nl-BE"/>
        </w:rPr>
        <w:t xml:space="preserve">er </w:t>
      </w:r>
      <w:r w:rsidR="0047290F" w:rsidRPr="005B01D2">
        <w:rPr>
          <w:lang w:val="nl-BE"/>
        </w:rPr>
        <w:t xml:space="preserve">eerder </w:t>
      </w:r>
      <w:r w:rsidR="00CB14A2" w:rsidRPr="005B01D2">
        <w:rPr>
          <w:lang w:val="nl-BE"/>
        </w:rPr>
        <w:t>terughoudend</w:t>
      </w:r>
      <w:r w:rsidR="00324E4B" w:rsidRPr="005B01D2">
        <w:rPr>
          <w:lang w:val="nl-BE"/>
        </w:rPr>
        <w:t xml:space="preserve"> over</w:t>
      </w:r>
      <w:r w:rsidR="00CB14A2" w:rsidRPr="005B01D2">
        <w:rPr>
          <w:lang w:val="nl-BE"/>
        </w:rPr>
        <w:t xml:space="preserve"> opstellen, al is het maar omdat het </w:t>
      </w:r>
      <w:r w:rsidR="0047290F" w:rsidRPr="005B01D2">
        <w:rPr>
          <w:lang w:val="nl-BE"/>
        </w:rPr>
        <w:t xml:space="preserve">met de verdragstekst </w:t>
      </w:r>
      <w:r w:rsidR="00CB14A2" w:rsidRPr="005B01D2">
        <w:rPr>
          <w:lang w:val="nl-BE"/>
        </w:rPr>
        <w:t>voor een voldongen feit wordt geplaatst</w:t>
      </w:r>
      <w:r w:rsidR="004D4173" w:rsidRPr="005B01D2">
        <w:rPr>
          <w:lang w:val="nl-BE"/>
        </w:rPr>
        <w:t xml:space="preserve">: de tekst is </w:t>
      </w:r>
      <w:r w:rsidR="0047290F" w:rsidRPr="005B01D2">
        <w:rPr>
          <w:lang w:val="nl-BE"/>
        </w:rPr>
        <w:t xml:space="preserve">al aangenomen </w:t>
      </w:r>
      <w:r w:rsidR="004D4173" w:rsidRPr="005B01D2">
        <w:rPr>
          <w:lang w:val="nl-BE"/>
        </w:rPr>
        <w:t xml:space="preserve">en voor een wijziging is de instemming van een vreemde </w:t>
      </w:r>
      <w:r w:rsidR="004D4173" w:rsidRPr="005B01D2">
        <w:rPr>
          <w:lang w:val="nl-BE"/>
        </w:rPr>
        <w:lastRenderedPageBreak/>
        <w:t>overheid vereist</w:t>
      </w:r>
      <w:r w:rsidR="00CB14A2" w:rsidRPr="005B01D2">
        <w:rPr>
          <w:lang w:val="nl-BE"/>
        </w:rPr>
        <w:t xml:space="preserve">. Het zal </w:t>
      </w:r>
      <w:r w:rsidR="004D4173" w:rsidRPr="005B01D2">
        <w:rPr>
          <w:lang w:val="nl-BE"/>
        </w:rPr>
        <w:t xml:space="preserve">dan ook slechts </w:t>
      </w:r>
      <w:r w:rsidR="00324E4B" w:rsidRPr="005B01D2">
        <w:rPr>
          <w:lang w:val="nl-BE"/>
        </w:rPr>
        <w:t xml:space="preserve">opmerkingen formuleren over de verdragstekst </w:t>
      </w:r>
      <w:r w:rsidR="004D4173" w:rsidRPr="005B01D2">
        <w:rPr>
          <w:lang w:val="nl-BE"/>
        </w:rPr>
        <w:t xml:space="preserve">indien </w:t>
      </w:r>
      <w:r w:rsidR="00324E4B" w:rsidRPr="005B01D2">
        <w:rPr>
          <w:lang w:val="nl-BE"/>
        </w:rPr>
        <w:t xml:space="preserve">deze aanleiding zou geven tot </w:t>
      </w:r>
      <w:r w:rsidR="00CB14A2" w:rsidRPr="005B01D2">
        <w:rPr>
          <w:lang w:val="nl-BE"/>
        </w:rPr>
        <w:t>funda</w:t>
      </w:r>
      <w:r w:rsidR="007766FD" w:rsidRPr="005B01D2">
        <w:rPr>
          <w:lang w:val="nl-BE"/>
        </w:rPr>
        <w:t xml:space="preserve">mentele knelpunten in </w:t>
      </w:r>
      <w:r w:rsidR="004D4173" w:rsidRPr="005B01D2">
        <w:rPr>
          <w:lang w:val="nl-BE"/>
        </w:rPr>
        <w:t>onze interne</w:t>
      </w:r>
      <w:r w:rsidR="007766FD" w:rsidRPr="005B01D2">
        <w:rPr>
          <w:lang w:val="nl-BE"/>
        </w:rPr>
        <w:t xml:space="preserve"> rechtsorde</w:t>
      </w:r>
      <w:r w:rsidR="00CB14A2" w:rsidRPr="005B01D2">
        <w:rPr>
          <w:lang w:val="nl-BE"/>
        </w:rPr>
        <w:t>.</w:t>
      </w:r>
      <w:r w:rsidR="00CB14A2" w:rsidRPr="005B01D2">
        <w:rPr>
          <w:rStyle w:val="Voetnootmarkering"/>
          <w:lang w:val="nl-BE"/>
        </w:rPr>
        <w:footnoteReference w:id="160"/>
      </w:r>
    </w:p>
    <w:p w14:paraId="62A7DC53" w14:textId="77777777" w:rsidR="00CB14A2" w:rsidRPr="005B01D2" w:rsidRDefault="00CB14A2" w:rsidP="00427AFC">
      <w:pPr>
        <w:jc w:val="both"/>
        <w:rPr>
          <w:lang w:val="nl-BE"/>
        </w:rPr>
      </w:pPr>
    </w:p>
    <w:p w14:paraId="5CBC4CD8" w14:textId="30574C5F" w:rsidR="00466698" w:rsidRPr="005B01D2" w:rsidRDefault="004D4173" w:rsidP="00E4789C">
      <w:pPr>
        <w:jc w:val="both"/>
        <w:rPr>
          <w:lang w:val="nl-BE"/>
        </w:rPr>
      </w:pPr>
      <w:r w:rsidRPr="005B01D2">
        <w:rPr>
          <w:lang w:val="nl-BE"/>
        </w:rPr>
        <w:t>Een dergelijke</w:t>
      </w:r>
      <w:r w:rsidR="00324E4B" w:rsidRPr="005B01D2">
        <w:rPr>
          <w:lang w:val="nl-BE"/>
        </w:rPr>
        <w:t>, directe</w:t>
      </w:r>
      <w:r w:rsidRPr="005B01D2">
        <w:rPr>
          <w:lang w:val="nl-BE"/>
        </w:rPr>
        <w:t xml:space="preserve"> werkwijze heeft evenwel andere nadelen. </w:t>
      </w:r>
      <w:r w:rsidR="005B0093" w:rsidRPr="005B01D2">
        <w:rPr>
          <w:lang w:val="nl-BE"/>
        </w:rPr>
        <w:t xml:space="preserve">Een interne bepaling die bij </w:t>
      </w:r>
      <w:r w:rsidRPr="005B01D2">
        <w:rPr>
          <w:lang w:val="nl-BE"/>
        </w:rPr>
        <w:t>samenwerkingsakkoord of verdrag</w:t>
      </w:r>
      <w:r w:rsidR="005B0093" w:rsidRPr="005B01D2">
        <w:rPr>
          <w:lang w:val="nl-BE"/>
        </w:rPr>
        <w:t xml:space="preserve"> wordt gewijzigd, </w:t>
      </w:r>
      <w:r w:rsidRPr="005B01D2">
        <w:rPr>
          <w:lang w:val="nl-BE"/>
        </w:rPr>
        <w:t>kan daarna</w:t>
      </w:r>
      <w:r w:rsidR="005B0093" w:rsidRPr="005B01D2">
        <w:rPr>
          <w:lang w:val="nl-BE"/>
        </w:rPr>
        <w:t xml:space="preserve"> immers </w:t>
      </w:r>
      <w:r w:rsidR="00E4789C" w:rsidRPr="005B01D2">
        <w:rPr>
          <w:lang w:val="nl-BE"/>
        </w:rPr>
        <w:t xml:space="preserve">in beginsel niet meer </w:t>
      </w:r>
      <w:r w:rsidR="005B0093" w:rsidRPr="005B01D2">
        <w:rPr>
          <w:lang w:val="nl-BE"/>
        </w:rPr>
        <w:t>eenzijdig worden gewijzigd.</w:t>
      </w:r>
      <w:r w:rsidR="009B5FF2" w:rsidRPr="005B01D2">
        <w:rPr>
          <w:rStyle w:val="Voetnootmarkering"/>
          <w:lang w:val="nl-BE"/>
        </w:rPr>
        <w:footnoteReference w:id="161"/>
      </w:r>
      <w:r w:rsidR="005B0093" w:rsidRPr="005B01D2">
        <w:rPr>
          <w:lang w:val="nl-BE"/>
        </w:rPr>
        <w:t xml:space="preserve"> </w:t>
      </w:r>
      <w:r w:rsidR="00E4789C" w:rsidRPr="005B01D2">
        <w:rPr>
          <w:lang w:val="nl-BE"/>
        </w:rPr>
        <w:t>D</w:t>
      </w:r>
      <w:r w:rsidR="005B0093" w:rsidRPr="005B01D2">
        <w:rPr>
          <w:lang w:val="nl-BE"/>
        </w:rPr>
        <w:t>e Raad van State</w:t>
      </w:r>
      <w:r w:rsidR="00E4789C" w:rsidRPr="005B01D2">
        <w:rPr>
          <w:lang w:val="nl-BE"/>
        </w:rPr>
        <w:t xml:space="preserve"> raadt dan ook aan om hier spaarzaam mee om te springen. Zo wees </w:t>
      </w:r>
      <w:r w:rsidR="00EE6390">
        <w:rPr>
          <w:lang w:val="nl-BE"/>
        </w:rPr>
        <w:t>hij</w:t>
      </w:r>
      <w:r w:rsidR="00E4789C" w:rsidRPr="005B01D2">
        <w:rPr>
          <w:lang w:val="nl-BE"/>
        </w:rPr>
        <w:t xml:space="preserve"> erop om in een verdrag slechts die bepalingen op te nemen die op het internationaal vlak bij onderlinge overeenkomst tussen de verdragsluitende partijen </w:t>
      </w:r>
      <w:r w:rsidR="00324E4B" w:rsidRPr="005B01D2">
        <w:rPr>
          <w:lang w:val="nl-BE"/>
        </w:rPr>
        <w:t>moeten</w:t>
      </w:r>
      <w:r w:rsidR="00E4789C" w:rsidRPr="005B01D2">
        <w:rPr>
          <w:lang w:val="nl-BE"/>
        </w:rPr>
        <w:t xml:space="preserve"> worden vastgesteld. Bepalingen waarvan het vaststellen aan de verschillende verdragspartijen kan worden overgelaten, dienen zo veel als mogelijk uit de verdragsteksten te worden geweerd. Zo raadde </w:t>
      </w:r>
      <w:r w:rsidR="00EE6390">
        <w:rPr>
          <w:lang w:val="nl-BE"/>
        </w:rPr>
        <w:t>hij</w:t>
      </w:r>
      <w:r w:rsidR="00EE6390" w:rsidRPr="00E93D19">
        <w:rPr>
          <w:lang w:val="nl-BE"/>
        </w:rPr>
        <w:t xml:space="preserve"> </w:t>
      </w:r>
      <w:r w:rsidR="00E4789C" w:rsidRPr="005B01D2">
        <w:rPr>
          <w:lang w:val="nl-BE"/>
        </w:rPr>
        <w:t xml:space="preserve">aan om </w:t>
      </w:r>
      <w:r w:rsidR="00996D71" w:rsidRPr="005B01D2">
        <w:rPr>
          <w:lang w:val="nl-BE"/>
        </w:rPr>
        <w:t xml:space="preserve">bepalingen uit </w:t>
      </w:r>
      <w:r w:rsidR="00324E4B" w:rsidRPr="005B01D2">
        <w:rPr>
          <w:lang w:val="nl-BE"/>
        </w:rPr>
        <w:t>een</w:t>
      </w:r>
      <w:r w:rsidR="00996D71" w:rsidRPr="005B01D2">
        <w:rPr>
          <w:lang w:val="nl-BE"/>
        </w:rPr>
        <w:t xml:space="preserve"> verdrag weg te laten </w:t>
      </w:r>
      <w:r w:rsidR="00996D71" w:rsidRPr="00E93D19">
        <w:rPr>
          <w:lang w:val="nl-BE"/>
        </w:rPr>
        <w:t>waar</w:t>
      </w:r>
      <w:r w:rsidR="00C03136">
        <w:rPr>
          <w:lang w:val="nl-BE"/>
        </w:rPr>
        <w:t>bij</w:t>
      </w:r>
      <w:r w:rsidR="00996D71" w:rsidRPr="005B01D2">
        <w:rPr>
          <w:lang w:val="nl-BE"/>
        </w:rPr>
        <w:t xml:space="preserve"> </w:t>
      </w:r>
      <w:r w:rsidR="00E4789C" w:rsidRPr="005B01D2">
        <w:rPr>
          <w:lang w:val="nl-BE"/>
        </w:rPr>
        <w:t xml:space="preserve">opdrachten </w:t>
      </w:r>
      <w:r w:rsidR="00996D71" w:rsidRPr="005B01D2">
        <w:rPr>
          <w:lang w:val="nl-BE"/>
        </w:rPr>
        <w:t xml:space="preserve">werden verleend aan </w:t>
      </w:r>
      <w:r w:rsidR="00324E4B" w:rsidRPr="005B01D2">
        <w:rPr>
          <w:lang w:val="nl-BE"/>
        </w:rPr>
        <w:t xml:space="preserve">een regering of </w:t>
      </w:r>
      <w:r w:rsidR="00C03136">
        <w:rPr>
          <w:lang w:val="nl-BE"/>
        </w:rPr>
        <w:t>die betrekking hebben op</w:t>
      </w:r>
      <w:r w:rsidR="00E4789C" w:rsidRPr="005B01D2">
        <w:rPr>
          <w:lang w:val="nl-BE"/>
        </w:rPr>
        <w:t xml:space="preserve"> het nemen van reglementaire besluiten, </w:t>
      </w:r>
      <w:r w:rsidR="00C03136">
        <w:rPr>
          <w:lang w:val="nl-BE"/>
        </w:rPr>
        <w:t>zoals</w:t>
      </w:r>
      <w:r w:rsidR="00E4789C" w:rsidRPr="005B01D2">
        <w:rPr>
          <w:lang w:val="nl-BE"/>
        </w:rPr>
        <w:t xml:space="preserve"> het regelen van de rechtspositie van de Vlaamse leden van het Bestuur van de Accreditatieorganisatie, de bekrachtiging van de beoordelingskaders, het bepalen van de tarieven voor het verlenen van accreditaties</w:t>
      </w:r>
      <w:r w:rsidR="00996D71" w:rsidRPr="005B01D2">
        <w:rPr>
          <w:lang w:val="nl-BE"/>
        </w:rPr>
        <w:t xml:space="preserve">. </w:t>
      </w:r>
      <w:r w:rsidR="00E4789C" w:rsidRPr="005B01D2">
        <w:rPr>
          <w:lang w:val="nl-BE"/>
        </w:rPr>
        <w:t>Door hun opn</w:t>
      </w:r>
      <w:r w:rsidR="00324E4B" w:rsidRPr="005B01D2">
        <w:rPr>
          <w:lang w:val="nl-BE"/>
        </w:rPr>
        <w:t>ame</w:t>
      </w:r>
      <w:r w:rsidR="00E4789C" w:rsidRPr="005B01D2">
        <w:rPr>
          <w:lang w:val="nl-BE"/>
        </w:rPr>
        <w:t xml:space="preserve"> in het verdrag en door de relatieve onveranderlijkheid van de verdragsbepalingen zouden deze bevoegdheidstoewijzingen van de kant van de Vlaamse Gemeenschap </w:t>
      </w:r>
      <w:r w:rsidR="00324E4B" w:rsidRPr="005B01D2">
        <w:rPr>
          <w:lang w:val="nl-BE"/>
        </w:rPr>
        <w:t xml:space="preserve">daarna </w:t>
      </w:r>
      <w:r w:rsidR="00E4789C" w:rsidRPr="005B01D2">
        <w:rPr>
          <w:lang w:val="nl-BE"/>
        </w:rPr>
        <w:t>in beginsel niet eenzijdig meer kunnen worden</w:t>
      </w:r>
      <w:r w:rsidR="00324E4B" w:rsidRPr="005B01D2">
        <w:rPr>
          <w:lang w:val="nl-BE"/>
        </w:rPr>
        <w:t xml:space="preserve"> gewijzigd</w:t>
      </w:r>
      <w:r w:rsidR="00996D71" w:rsidRPr="005B01D2">
        <w:rPr>
          <w:lang w:val="nl-BE"/>
        </w:rPr>
        <w:t>.</w:t>
      </w:r>
      <w:r w:rsidR="00996D71" w:rsidRPr="005B01D2">
        <w:rPr>
          <w:rStyle w:val="Voetnootmarkering"/>
          <w:lang w:val="nl-BE"/>
        </w:rPr>
        <w:footnoteReference w:id="162"/>
      </w:r>
      <w:r w:rsidR="00A87036" w:rsidRPr="00A87036">
        <w:rPr>
          <w:vertAlign w:val="superscript"/>
          <w:lang w:val="nl-BE"/>
        </w:rPr>
        <w:t>-</w:t>
      </w:r>
      <w:r w:rsidR="005B0093" w:rsidRPr="005B01D2">
        <w:rPr>
          <w:rStyle w:val="Voetnootmarkering"/>
          <w:lang w:val="nl-BE"/>
        </w:rPr>
        <w:footnoteReference w:id="163"/>
      </w:r>
      <w:r w:rsidR="000251AE" w:rsidRPr="005B01D2">
        <w:rPr>
          <w:lang w:val="nl-BE"/>
        </w:rPr>
        <w:t xml:space="preserve"> </w:t>
      </w:r>
      <w:r w:rsidR="00466698" w:rsidRPr="005B01D2">
        <w:rPr>
          <w:lang w:val="nl-BE"/>
        </w:rPr>
        <w:t>De opheffing van een wettelijke bepaling bij samenwerkingsakkoord kan we</w:t>
      </w:r>
      <w:r w:rsidR="00324E4B" w:rsidRPr="005B01D2">
        <w:rPr>
          <w:lang w:val="nl-BE"/>
        </w:rPr>
        <w:t>l</w:t>
      </w:r>
      <w:r w:rsidR="00466698" w:rsidRPr="005B01D2">
        <w:rPr>
          <w:lang w:val="nl-BE"/>
        </w:rPr>
        <w:t xml:space="preserve"> nuttig zijn </w:t>
      </w:r>
      <w:r w:rsidR="00324E4B" w:rsidRPr="005B01D2">
        <w:rPr>
          <w:lang w:val="nl-BE"/>
        </w:rPr>
        <w:t xml:space="preserve">in bepaalde specifieke situaties, zoals bv. </w:t>
      </w:r>
      <w:r w:rsidR="00466698" w:rsidRPr="005B01D2">
        <w:rPr>
          <w:lang w:val="nl-BE"/>
        </w:rPr>
        <w:t xml:space="preserve">daar waar de bevoegdheid </w:t>
      </w:r>
      <w:r w:rsidR="00324E4B" w:rsidRPr="005B01D2">
        <w:rPr>
          <w:lang w:val="nl-BE"/>
        </w:rPr>
        <w:t>over die wetsbepaling</w:t>
      </w:r>
      <w:r w:rsidR="00466698" w:rsidRPr="005B01D2">
        <w:rPr>
          <w:lang w:val="nl-BE"/>
        </w:rPr>
        <w:t xml:space="preserve"> door opeenvolgende staatshervormingen tot verschillende overheden</w:t>
      </w:r>
      <w:r w:rsidR="00B7108D" w:rsidRPr="005B01D2">
        <w:rPr>
          <w:lang w:val="nl-BE"/>
        </w:rPr>
        <w:t xml:space="preserve"> </w:t>
      </w:r>
      <w:r w:rsidR="00324E4B" w:rsidRPr="005B01D2">
        <w:rPr>
          <w:lang w:val="nl-BE"/>
        </w:rPr>
        <w:t>is komen te behoren</w:t>
      </w:r>
      <w:r w:rsidR="00B7108D" w:rsidRPr="005B01D2">
        <w:rPr>
          <w:lang w:val="nl-BE"/>
        </w:rPr>
        <w:t>.</w:t>
      </w:r>
      <w:r w:rsidR="00B7108D" w:rsidRPr="005B01D2">
        <w:rPr>
          <w:rStyle w:val="Voetnootmarkering"/>
          <w:lang w:val="nl-BE"/>
        </w:rPr>
        <w:footnoteReference w:id="164"/>
      </w:r>
      <w:r w:rsidR="00B7108D" w:rsidRPr="005B01D2">
        <w:rPr>
          <w:lang w:val="nl-BE"/>
        </w:rPr>
        <w:t xml:space="preserve"> </w:t>
      </w:r>
    </w:p>
    <w:p w14:paraId="3EDCDB80" w14:textId="77777777" w:rsidR="00466698" w:rsidRPr="005B01D2" w:rsidRDefault="00466698" w:rsidP="00E4789C">
      <w:pPr>
        <w:jc w:val="both"/>
        <w:rPr>
          <w:lang w:val="nl-BE"/>
        </w:rPr>
      </w:pPr>
    </w:p>
    <w:p w14:paraId="39DD9FF5" w14:textId="77777777" w:rsidR="00F52C08" w:rsidRPr="005B01D2" w:rsidRDefault="000251AE" w:rsidP="00F52C08">
      <w:pPr>
        <w:jc w:val="both"/>
        <w:rPr>
          <w:lang w:val="nl-BE"/>
        </w:rPr>
      </w:pPr>
      <w:r w:rsidRPr="005B01D2">
        <w:rPr>
          <w:lang w:val="nl-BE"/>
        </w:rPr>
        <w:t xml:space="preserve">Een gezamenlijk decreet </w:t>
      </w:r>
      <w:r w:rsidR="00466698" w:rsidRPr="005B01D2">
        <w:rPr>
          <w:lang w:val="nl-BE"/>
        </w:rPr>
        <w:t>heeft dan weer</w:t>
      </w:r>
      <w:r w:rsidRPr="005B01D2">
        <w:rPr>
          <w:lang w:val="nl-BE"/>
        </w:rPr>
        <w:t xml:space="preserve"> uitdrukkelijk </w:t>
      </w:r>
      <w:r w:rsidR="00466698" w:rsidRPr="005B01D2">
        <w:rPr>
          <w:lang w:val="nl-BE"/>
        </w:rPr>
        <w:t xml:space="preserve">ook tot roeping om </w:t>
      </w:r>
      <w:r w:rsidRPr="005B01D2">
        <w:rPr>
          <w:lang w:val="nl-BE"/>
        </w:rPr>
        <w:t xml:space="preserve">bepalingen van wetten, decreten en ordonnanties </w:t>
      </w:r>
      <w:r w:rsidR="00F52C08" w:rsidRPr="005B01D2">
        <w:rPr>
          <w:lang w:val="nl-BE"/>
        </w:rPr>
        <w:t xml:space="preserve">te </w:t>
      </w:r>
      <w:r w:rsidRPr="005B01D2">
        <w:rPr>
          <w:lang w:val="nl-BE"/>
        </w:rPr>
        <w:t>wijzigen, aan</w:t>
      </w:r>
      <w:r w:rsidR="00F52C08" w:rsidRPr="005B01D2">
        <w:rPr>
          <w:lang w:val="nl-BE"/>
        </w:rPr>
        <w:t xml:space="preserve"> te </w:t>
      </w:r>
      <w:r w:rsidRPr="005B01D2">
        <w:rPr>
          <w:lang w:val="nl-BE"/>
        </w:rPr>
        <w:t>vullen of op</w:t>
      </w:r>
      <w:r w:rsidR="00F52C08" w:rsidRPr="005B01D2">
        <w:rPr>
          <w:lang w:val="nl-BE"/>
        </w:rPr>
        <w:t xml:space="preserve"> te </w:t>
      </w:r>
      <w:r w:rsidRPr="005B01D2">
        <w:rPr>
          <w:lang w:val="nl-BE"/>
        </w:rPr>
        <w:t>heffen.</w:t>
      </w:r>
      <w:r w:rsidRPr="005B01D2">
        <w:rPr>
          <w:rStyle w:val="Voetnootmarkering"/>
          <w:lang w:val="nl-BE"/>
        </w:rPr>
        <w:footnoteReference w:id="165"/>
      </w:r>
      <w:r w:rsidR="00466698" w:rsidRPr="005B01D2">
        <w:rPr>
          <w:lang w:val="nl-BE"/>
        </w:rPr>
        <w:t xml:space="preserve"> Ook hier blijft het probleem dat een bepaling van e</w:t>
      </w:r>
      <w:r w:rsidR="00247DF0" w:rsidRPr="005B01D2">
        <w:rPr>
          <w:lang w:val="nl-BE"/>
        </w:rPr>
        <w:t xml:space="preserve">en gezamenlijk decreet (of een gezamenlijk besluit) </w:t>
      </w:r>
      <w:r w:rsidR="00491EC6" w:rsidRPr="005B01D2">
        <w:rPr>
          <w:lang w:val="nl-BE"/>
        </w:rPr>
        <w:t>daarna niet zonder meer eenzijdig kan worden gewijzigd. Een gezamenlijk decreet dient in beginsel te worden gewijzigd door een gezamenlijk decreet of een samenwerkingsakkoord dat gesloten is door dezelfde partijen.</w:t>
      </w:r>
      <w:r w:rsidR="00491EC6" w:rsidRPr="005B01D2">
        <w:rPr>
          <w:rStyle w:val="Voetnootmarkering"/>
          <w:lang w:val="nl-BE"/>
        </w:rPr>
        <w:footnoteReference w:id="166"/>
      </w:r>
      <w:r w:rsidR="00491EC6" w:rsidRPr="005B01D2">
        <w:rPr>
          <w:lang w:val="nl-BE"/>
        </w:rPr>
        <w:t xml:space="preserve"> </w:t>
      </w:r>
      <w:r w:rsidR="00F52C08" w:rsidRPr="005B01D2">
        <w:rPr>
          <w:lang w:val="nl-BE"/>
        </w:rPr>
        <w:t xml:space="preserve">Een eenzijdige wijziging blijft mogelijk, maar </w:t>
      </w:r>
      <w:r w:rsidR="009F6BB8" w:rsidRPr="005B01D2">
        <w:rPr>
          <w:lang w:val="nl-BE"/>
        </w:rPr>
        <w:t xml:space="preserve">enkel nadat het </w:t>
      </w:r>
      <w:r w:rsidR="00491EC6" w:rsidRPr="005B01D2">
        <w:rPr>
          <w:lang w:val="nl-BE"/>
        </w:rPr>
        <w:t>gezamenlijk decreet eerst w</w:t>
      </w:r>
      <w:r w:rsidR="009F6BB8" w:rsidRPr="005B01D2">
        <w:rPr>
          <w:lang w:val="nl-BE"/>
        </w:rPr>
        <w:t>erd opgeheven</w:t>
      </w:r>
      <w:r w:rsidR="00491EC6" w:rsidRPr="005B01D2">
        <w:rPr>
          <w:lang w:val="nl-BE"/>
        </w:rPr>
        <w:t xml:space="preserve">. Om zijn roeping </w:t>
      </w:r>
      <w:r w:rsidR="00F52C08" w:rsidRPr="005B01D2">
        <w:rPr>
          <w:lang w:val="nl-BE"/>
        </w:rPr>
        <w:t xml:space="preserve">om via het </w:t>
      </w:r>
      <w:r w:rsidR="00247DF0" w:rsidRPr="005B01D2">
        <w:rPr>
          <w:lang w:val="nl-BE"/>
        </w:rPr>
        <w:t xml:space="preserve">gezamenlijk decreet </w:t>
      </w:r>
      <w:r w:rsidR="00F52C08" w:rsidRPr="005B01D2">
        <w:rPr>
          <w:lang w:val="nl-BE"/>
        </w:rPr>
        <w:t xml:space="preserve">te komen tot </w:t>
      </w:r>
      <w:r w:rsidR="00247DF0" w:rsidRPr="005B01D2">
        <w:rPr>
          <w:lang w:val="nl-BE"/>
        </w:rPr>
        <w:t xml:space="preserve">eenvormige </w:t>
      </w:r>
      <w:r w:rsidR="00F52C08" w:rsidRPr="005B01D2">
        <w:rPr>
          <w:lang w:val="nl-BE"/>
        </w:rPr>
        <w:t xml:space="preserve">ingevoerde </w:t>
      </w:r>
      <w:r w:rsidR="00247DF0" w:rsidRPr="005B01D2">
        <w:rPr>
          <w:lang w:val="nl-BE"/>
        </w:rPr>
        <w:t xml:space="preserve">regeling in de rechtsorde van de verschillende </w:t>
      </w:r>
      <w:r w:rsidR="00247DF0" w:rsidRPr="005B01D2">
        <w:rPr>
          <w:lang w:val="nl-BE"/>
        </w:rPr>
        <w:lastRenderedPageBreak/>
        <w:t>partijen</w:t>
      </w:r>
      <w:r w:rsidR="009F6BB8" w:rsidRPr="005B01D2">
        <w:rPr>
          <w:lang w:val="nl-BE"/>
        </w:rPr>
        <w:t xml:space="preserve"> </w:t>
      </w:r>
      <w:r w:rsidR="00F52C08" w:rsidRPr="005B01D2">
        <w:rPr>
          <w:lang w:val="nl-BE"/>
        </w:rPr>
        <w:t>voorziet de bijzondere wet dat een gezamenlijk decreet steeds eenzijdig kan worden opge</w:t>
      </w:r>
      <w:r w:rsidR="009F6BB8" w:rsidRPr="005B01D2">
        <w:rPr>
          <w:lang w:val="nl-BE"/>
        </w:rPr>
        <w:t>heven</w:t>
      </w:r>
      <w:r w:rsidR="00F52C08" w:rsidRPr="005B01D2">
        <w:rPr>
          <w:lang w:val="nl-BE"/>
        </w:rPr>
        <w:t xml:space="preserve"> – mits overleg </w:t>
      </w:r>
      <w:r w:rsidR="009F6BB8" w:rsidRPr="005B01D2">
        <w:rPr>
          <w:lang w:val="nl-BE"/>
        </w:rPr>
        <w:t xml:space="preserve">en met inachtneming van het beginsel van de </w:t>
      </w:r>
      <w:r w:rsidR="00F52C08" w:rsidRPr="005B01D2">
        <w:rPr>
          <w:lang w:val="nl-BE"/>
        </w:rPr>
        <w:t>federale loyautei</w:t>
      </w:r>
      <w:r w:rsidR="009F6BB8" w:rsidRPr="005B01D2">
        <w:rPr>
          <w:lang w:val="nl-BE"/>
        </w:rPr>
        <w:t>t</w:t>
      </w:r>
      <w:r w:rsidR="00F52C08" w:rsidRPr="005B01D2">
        <w:rPr>
          <w:lang w:val="nl-BE"/>
        </w:rPr>
        <w:t xml:space="preserve"> – op welk punt het grondig verschilt van verdragen en samenwerkingsakkoorden (</w:t>
      </w:r>
      <w:r w:rsidR="00F52C08" w:rsidRPr="005B01D2">
        <w:rPr>
          <w:i/>
          <w:lang w:val="nl-BE"/>
        </w:rPr>
        <w:t>infra</w:t>
      </w:r>
      <w:r w:rsidR="00F52C08" w:rsidRPr="005B01D2">
        <w:rPr>
          <w:lang w:val="nl-BE"/>
        </w:rPr>
        <w:t xml:space="preserve"> hoofdstuk </w:t>
      </w:r>
      <w:r w:rsidR="000C428C" w:rsidRPr="00B2070B">
        <w:rPr>
          <w:lang w:val="nl-BE"/>
        </w:rPr>
        <w:t>X</w:t>
      </w:r>
      <w:r w:rsidR="00F52C08" w:rsidRPr="005B01D2">
        <w:rPr>
          <w:lang w:val="nl-BE"/>
        </w:rPr>
        <w:t>).</w:t>
      </w:r>
    </w:p>
    <w:p w14:paraId="064E4769" w14:textId="77777777" w:rsidR="00427AFC" w:rsidRPr="005B01D2" w:rsidRDefault="00427AFC" w:rsidP="00427AFC">
      <w:pPr>
        <w:jc w:val="both"/>
        <w:rPr>
          <w:lang w:val="nl-BE"/>
        </w:rPr>
      </w:pPr>
    </w:p>
    <w:p w14:paraId="04162C9D" w14:textId="77777777" w:rsidR="00BF1948" w:rsidRDefault="0017387F">
      <w:pPr>
        <w:pStyle w:val="Kop1"/>
        <w:ind w:left="360"/>
        <w:jc w:val="both"/>
        <w:rPr>
          <w:rFonts w:ascii="Times New Roman" w:hAnsi="Times New Roman" w:cs="Times New Roman"/>
          <w:sz w:val="24"/>
          <w:szCs w:val="24"/>
          <w:lang w:val="nl-BE"/>
        </w:rPr>
      </w:pPr>
      <w:r>
        <w:rPr>
          <w:rFonts w:ascii="Times New Roman" w:hAnsi="Times New Roman" w:cs="Times New Roman"/>
          <w:sz w:val="24"/>
          <w:szCs w:val="24"/>
          <w:lang w:val="nl-BE"/>
        </w:rPr>
        <w:t xml:space="preserve">VIII. </w:t>
      </w:r>
      <w:r w:rsidR="00427AFC" w:rsidRPr="005B01D2">
        <w:rPr>
          <w:rFonts w:ascii="Times New Roman" w:hAnsi="Times New Roman" w:cs="Times New Roman"/>
          <w:sz w:val="24"/>
          <w:szCs w:val="24"/>
          <w:lang w:val="nl-BE"/>
        </w:rPr>
        <w:t>Naleving en handhaving</w:t>
      </w:r>
    </w:p>
    <w:p w14:paraId="61BA2F9E" w14:textId="77777777" w:rsidR="000251AE" w:rsidRPr="005B01D2" w:rsidRDefault="000251AE" w:rsidP="000251AE">
      <w:pPr>
        <w:rPr>
          <w:lang w:val="nl-BE" w:eastAsia="en-US"/>
        </w:rPr>
      </w:pPr>
    </w:p>
    <w:p w14:paraId="3EC19D29" w14:textId="77777777" w:rsidR="00427AFC" w:rsidRPr="005B01D2" w:rsidRDefault="009F6BB8" w:rsidP="00427AFC">
      <w:pPr>
        <w:jc w:val="both"/>
        <w:rPr>
          <w:lang w:val="nl-BE" w:eastAsia="en-US"/>
        </w:rPr>
      </w:pPr>
      <w:r w:rsidRPr="005B01D2">
        <w:rPr>
          <w:lang w:val="nl-BE" w:eastAsia="en-US"/>
        </w:rPr>
        <w:t>30</w:t>
      </w:r>
      <w:r w:rsidR="003968B4" w:rsidRPr="005B01D2">
        <w:rPr>
          <w:lang w:val="nl-BE" w:eastAsia="en-US"/>
        </w:rPr>
        <w:t>.</w:t>
      </w:r>
      <w:r w:rsidR="003968B4" w:rsidRPr="005B01D2">
        <w:rPr>
          <w:lang w:val="nl-BE" w:eastAsia="en-US"/>
        </w:rPr>
        <w:tab/>
        <w:t>Samenwerkingsovereenkomsten zijn rechtsregels, die kunnen worden afgedwongen door particulieren op dezelfde wijze als andere rechtsregels. Net zoals bij verdragen kunnen particulieren zich op de rechtstreeks werkende bepalingen ervan beroepen voor de gewone rechter. In de mate dat ze belang hebben bij het middel kunnen ze zich bovendien ook beroepen op de naleving ervan in het kader van een beroep tegen de overheid voor de Raad van State</w:t>
      </w:r>
      <w:r w:rsidR="00A56E33" w:rsidRPr="005B01D2">
        <w:rPr>
          <w:rStyle w:val="Voetnootmarkering"/>
          <w:lang w:val="nl-BE" w:eastAsia="en-US"/>
        </w:rPr>
        <w:footnoteReference w:id="167"/>
      </w:r>
      <w:r w:rsidR="003968B4" w:rsidRPr="005B01D2">
        <w:rPr>
          <w:lang w:val="nl-BE" w:eastAsia="en-US"/>
        </w:rPr>
        <w:t xml:space="preserve"> of het Grondwettelijk Hof.</w:t>
      </w:r>
      <w:r w:rsidR="00E9439B" w:rsidRPr="005B01D2">
        <w:rPr>
          <w:lang w:val="nl-BE" w:eastAsia="en-US"/>
        </w:rPr>
        <w:t xml:space="preserve"> </w:t>
      </w:r>
    </w:p>
    <w:p w14:paraId="24B702CA" w14:textId="77777777" w:rsidR="003968B4" w:rsidRPr="005B01D2" w:rsidRDefault="003968B4" w:rsidP="000251AE">
      <w:pPr>
        <w:rPr>
          <w:lang w:val="nl-BE" w:eastAsia="en-US"/>
        </w:rPr>
      </w:pPr>
    </w:p>
    <w:p w14:paraId="1BF2D182" w14:textId="77777777" w:rsidR="00292967" w:rsidRPr="005B01D2" w:rsidRDefault="009F6BB8" w:rsidP="00427AFC">
      <w:pPr>
        <w:jc w:val="both"/>
        <w:rPr>
          <w:lang w:val="nl-BE" w:eastAsia="en-US"/>
        </w:rPr>
      </w:pPr>
      <w:r w:rsidRPr="005B01D2">
        <w:rPr>
          <w:lang w:val="nl-BE" w:eastAsia="en-US"/>
        </w:rPr>
        <w:t>31</w:t>
      </w:r>
      <w:r w:rsidR="003968B4" w:rsidRPr="005B01D2">
        <w:rPr>
          <w:lang w:val="nl-BE" w:eastAsia="en-US"/>
        </w:rPr>
        <w:t>.</w:t>
      </w:r>
      <w:r w:rsidR="003968B4" w:rsidRPr="005B01D2">
        <w:rPr>
          <w:lang w:val="nl-BE" w:eastAsia="en-US"/>
        </w:rPr>
        <w:tab/>
        <w:t xml:space="preserve">De afdwinging tussen de partijen </w:t>
      </w:r>
      <w:r w:rsidR="00EA76F6" w:rsidRPr="005B01D2">
        <w:rPr>
          <w:lang w:val="nl-BE" w:eastAsia="en-US"/>
        </w:rPr>
        <w:t xml:space="preserve">bij het samenwerkingsakkoord onderling </w:t>
      </w:r>
      <w:r w:rsidR="003968B4" w:rsidRPr="005B01D2">
        <w:rPr>
          <w:lang w:val="nl-BE" w:eastAsia="en-US"/>
        </w:rPr>
        <w:t>is daarentegen aan bijzondere regels onderworpen</w:t>
      </w:r>
      <w:r w:rsidR="00207F5C" w:rsidRPr="005B01D2">
        <w:rPr>
          <w:lang w:val="nl-BE" w:eastAsia="en-US"/>
        </w:rPr>
        <w:t>. Overeenkomstig</w:t>
      </w:r>
      <w:r w:rsidR="003968B4" w:rsidRPr="005B01D2">
        <w:rPr>
          <w:lang w:val="nl-BE" w:eastAsia="en-US"/>
        </w:rPr>
        <w:t xml:space="preserve"> artikel 92</w:t>
      </w:r>
      <w:r w:rsidR="003968B4" w:rsidRPr="005B01D2">
        <w:rPr>
          <w:i/>
          <w:iCs/>
          <w:lang w:val="nl-BE" w:eastAsia="en-US"/>
        </w:rPr>
        <w:t>bis</w:t>
      </w:r>
      <w:r w:rsidR="003968B4" w:rsidRPr="005B01D2">
        <w:rPr>
          <w:lang w:val="nl-BE" w:eastAsia="en-US"/>
        </w:rPr>
        <w:t xml:space="preserve">, § 5, BWHI </w:t>
      </w:r>
      <w:r w:rsidR="00207F5C" w:rsidRPr="005B01D2">
        <w:rPr>
          <w:lang w:val="nl-BE" w:eastAsia="en-US"/>
        </w:rPr>
        <w:t xml:space="preserve">worden de geschillen tussen de partijen bij een verplicht samenwerkingsakkoord beslecht door </w:t>
      </w:r>
      <w:r w:rsidR="003968B4" w:rsidRPr="005B01D2">
        <w:rPr>
          <w:lang w:val="nl-BE" w:eastAsia="en-US"/>
        </w:rPr>
        <w:t xml:space="preserve">een </w:t>
      </w:r>
      <w:r w:rsidR="00207F5C" w:rsidRPr="005B01D2">
        <w:rPr>
          <w:lang w:val="nl-BE" w:eastAsia="en-US"/>
        </w:rPr>
        <w:t xml:space="preserve">bij wet opgericht </w:t>
      </w:r>
      <w:r w:rsidR="003968B4" w:rsidRPr="005B01D2">
        <w:rPr>
          <w:lang w:val="nl-BE" w:eastAsia="en-US"/>
        </w:rPr>
        <w:t>samenwerkingsger</w:t>
      </w:r>
      <w:r w:rsidR="00A03CDC" w:rsidRPr="005B01D2">
        <w:rPr>
          <w:lang w:val="nl-BE" w:eastAsia="en-US"/>
        </w:rPr>
        <w:t>e</w:t>
      </w:r>
      <w:r w:rsidR="003968B4" w:rsidRPr="005B01D2">
        <w:rPr>
          <w:lang w:val="nl-BE" w:eastAsia="en-US"/>
        </w:rPr>
        <w:t>cht</w:t>
      </w:r>
      <w:r w:rsidR="00207F5C" w:rsidRPr="005B01D2">
        <w:rPr>
          <w:lang w:val="nl-BE" w:eastAsia="en-US"/>
        </w:rPr>
        <w:t>, waarvan elke partij één van de leden aanwijst</w:t>
      </w:r>
      <w:r w:rsidR="003968B4" w:rsidRPr="005B01D2">
        <w:rPr>
          <w:lang w:val="nl-BE" w:eastAsia="en-US"/>
        </w:rPr>
        <w:t xml:space="preserve">. </w:t>
      </w:r>
      <w:r w:rsidR="0012512F" w:rsidRPr="005B01D2">
        <w:rPr>
          <w:lang w:val="nl-BE" w:eastAsia="en-US"/>
        </w:rPr>
        <w:t xml:space="preserve">Dat mechanisme lijkt enigszins geïnspireerd door </w:t>
      </w:r>
      <w:r w:rsidR="00650FB2" w:rsidRPr="005B01D2">
        <w:rPr>
          <w:lang w:val="nl-BE" w:eastAsia="en-US"/>
        </w:rPr>
        <w:t xml:space="preserve">één van </w:t>
      </w:r>
      <w:r w:rsidR="0012512F" w:rsidRPr="005B01D2">
        <w:rPr>
          <w:lang w:val="nl-BE" w:eastAsia="en-US"/>
        </w:rPr>
        <w:t>de geschillenbeslechting</w:t>
      </w:r>
      <w:r w:rsidR="00650FB2" w:rsidRPr="005B01D2">
        <w:rPr>
          <w:lang w:val="nl-BE" w:eastAsia="en-US"/>
        </w:rPr>
        <w:t>en</w:t>
      </w:r>
      <w:r w:rsidR="0012512F" w:rsidRPr="005B01D2">
        <w:rPr>
          <w:lang w:val="nl-BE" w:eastAsia="en-US"/>
        </w:rPr>
        <w:t xml:space="preserve"> die naar voor word</w:t>
      </w:r>
      <w:r w:rsidR="00650FB2" w:rsidRPr="005B01D2">
        <w:rPr>
          <w:lang w:val="nl-BE" w:eastAsia="en-US"/>
        </w:rPr>
        <w:t>en</w:t>
      </w:r>
      <w:r w:rsidR="0012512F" w:rsidRPr="005B01D2">
        <w:rPr>
          <w:lang w:val="nl-BE" w:eastAsia="en-US"/>
        </w:rPr>
        <w:t xml:space="preserve"> geschoven in artikel 66 van het Weens Verdragenverdrag</w:t>
      </w:r>
      <w:r w:rsidR="00275E31" w:rsidRPr="005B01D2">
        <w:rPr>
          <w:lang w:val="nl-BE" w:eastAsia="en-US"/>
        </w:rPr>
        <w:t xml:space="preserve"> (WVV)</w:t>
      </w:r>
      <w:r w:rsidR="0012512F" w:rsidRPr="005B01D2">
        <w:rPr>
          <w:lang w:val="nl-BE" w:eastAsia="en-US"/>
        </w:rPr>
        <w:t>, waar echter zonder meer van kan worden afgeweken</w:t>
      </w:r>
      <w:r w:rsidR="00650FB2" w:rsidRPr="005B01D2">
        <w:rPr>
          <w:lang w:val="nl-BE" w:eastAsia="en-US"/>
        </w:rPr>
        <w:t xml:space="preserve"> bij akkoord van </w:t>
      </w:r>
      <w:r w:rsidR="0012512F" w:rsidRPr="005B01D2">
        <w:rPr>
          <w:lang w:val="nl-BE" w:eastAsia="en-US"/>
        </w:rPr>
        <w:t>de partijen</w:t>
      </w:r>
      <w:r w:rsidRPr="005B01D2">
        <w:rPr>
          <w:lang w:val="nl-BE" w:eastAsia="en-US"/>
        </w:rPr>
        <w:t>, iets</w:t>
      </w:r>
      <w:r w:rsidR="00E9439B" w:rsidRPr="005B01D2">
        <w:rPr>
          <w:lang w:val="nl-BE" w:eastAsia="en-US"/>
        </w:rPr>
        <w:t xml:space="preserve"> wat voor verplichte samenwerkingsakkoorden </w:t>
      </w:r>
      <w:r w:rsidR="00A87036" w:rsidRPr="00A87036">
        <w:rPr>
          <w:lang w:val="nl-BE" w:eastAsia="en-US"/>
        </w:rPr>
        <w:t xml:space="preserve">dan weer </w:t>
      </w:r>
      <w:r w:rsidR="00E9439B" w:rsidRPr="005B01D2">
        <w:rPr>
          <w:lang w:val="nl-BE" w:eastAsia="en-US"/>
        </w:rPr>
        <w:t>niet mogelijk is</w:t>
      </w:r>
      <w:r w:rsidR="0012512F" w:rsidRPr="005B01D2">
        <w:rPr>
          <w:lang w:val="nl-BE" w:eastAsia="en-US"/>
        </w:rPr>
        <w:t xml:space="preserve">. </w:t>
      </w:r>
      <w:r w:rsidR="003968B4" w:rsidRPr="005B01D2">
        <w:rPr>
          <w:lang w:val="nl-BE" w:eastAsia="en-US"/>
        </w:rPr>
        <w:t>Voor andere samenwerkingsakkoorden kan</w:t>
      </w:r>
      <w:r w:rsidR="00C551F6" w:rsidRPr="005B01D2">
        <w:rPr>
          <w:rStyle w:val="Voetnootmarkering"/>
          <w:lang w:val="nl-BE" w:eastAsia="en-US"/>
        </w:rPr>
        <w:footnoteReference w:id="168"/>
      </w:r>
      <w:r w:rsidR="003968B4" w:rsidRPr="005B01D2">
        <w:rPr>
          <w:lang w:val="nl-BE" w:eastAsia="en-US"/>
        </w:rPr>
        <w:t xml:space="preserve"> eveneens worden voor</w:t>
      </w:r>
      <w:r w:rsidR="00E715F9" w:rsidRPr="005B01D2">
        <w:rPr>
          <w:lang w:val="nl-BE" w:eastAsia="en-US"/>
        </w:rPr>
        <w:t xml:space="preserve">zien </w:t>
      </w:r>
      <w:r w:rsidR="00650FB2" w:rsidRPr="005B01D2">
        <w:rPr>
          <w:lang w:val="nl-BE" w:eastAsia="en-US"/>
        </w:rPr>
        <w:t xml:space="preserve">dat de geschillen tussen partijen enkel voor </w:t>
      </w:r>
      <w:r w:rsidR="00B7772E" w:rsidRPr="005B01D2">
        <w:rPr>
          <w:lang w:val="nl-BE" w:eastAsia="en-US"/>
        </w:rPr>
        <w:t>het</w:t>
      </w:r>
      <w:r w:rsidR="00650FB2" w:rsidRPr="005B01D2">
        <w:rPr>
          <w:lang w:val="nl-BE" w:eastAsia="en-US"/>
        </w:rPr>
        <w:t xml:space="preserve"> voormelde samenwerkingsgerecht kunnen worden gebracht</w:t>
      </w:r>
      <w:r w:rsidR="00E715F9" w:rsidRPr="005B01D2">
        <w:rPr>
          <w:lang w:val="nl-BE" w:eastAsia="en-US"/>
        </w:rPr>
        <w:t>.</w:t>
      </w:r>
      <w:r w:rsidR="00E715F9" w:rsidRPr="005B01D2">
        <w:rPr>
          <w:rStyle w:val="Voetnootmarkering"/>
          <w:lang w:val="nl-BE" w:eastAsia="en-US"/>
        </w:rPr>
        <w:footnoteReference w:id="169"/>
      </w:r>
      <w:r w:rsidR="00E715F9" w:rsidRPr="005B01D2">
        <w:rPr>
          <w:lang w:val="nl-BE" w:eastAsia="en-US"/>
        </w:rPr>
        <w:t xml:space="preserve"> Het is belangrijk op te merken dat daarbij enkel de partijen in de strikte zin worden geviseerd – de federale </w:t>
      </w:r>
      <w:r w:rsidR="00EA76F6" w:rsidRPr="005B01D2">
        <w:rPr>
          <w:lang w:val="nl-BE" w:eastAsia="en-US"/>
        </w:rPr>
        <w:t>overheid</w:t>
      </w:r>
      <w:r w:rsidR="00E715F9" w:rsidRPr="005B01D2">
        <w:rPr>
          <w:lang w:val="nl-BE" w:eastAsia="en-US"/>
        </w:rPr>
        <w:t xml:space="preserve">, de </w:t>
      </w:r>
      <w:r w:rsidR="00EA76F6" w:rsidRPr="005B01D2">
        <w:rPr>
          <w:lang w:val="nl-BE" w:eastAsia="en-US"/>
        </w:rPr>
        <w:t>g</w:t>
      </w:r>
      <w:r w:rsidR="00E715F9" w:rsidRPr="005B01D2">
        <w:rPr>
          <w:lang w:val="nl-BE" w:eastAsia="en-US"/>
        </w:rPr>
        <w:t xml:space="preserve">ewesten en de </w:t>
      </w:r>
      <w:r w:rsidR="00EA76F6" w:rsidRPr="005B01D2">
        <w:rPr>
          <w:lang w:val="nl-BE" w:eastAsia="en-US"/>
        </w:rPr>
        <w:t>g</w:t>
      </w:r>
      <w:r w:rsidR="00E715F9" w:rsidRPr="005B01D2">
        <w:rPr>
          <w:lang w:val="nl-BE" w:eastAsia="en-US"/>
        </w:rPr>
        <w:t>emeenschappen – en niet eventuele rechtspersonen die van hen afhangen.</w:t>
      </w:r>
      <w:r w:rsidR="00E715F9" w:rsidRPr="005B01D2">
        <w:rPr>
          <w:rStyle w:val="Voetnootmarkering"/>
          <w:lang w:val="nl-BE" w:eastAsia="en-US"/>
        </w:rPr>
        <w:footnoteReference w:id="170"/>
      </w:r>
      <w:r w:rsidR="00A907F0" w:rsidRPr="005B01D2">
        <w:rPr>
          <w:lang w:val="nl-BE" w:eastAsia="en-US"/>
        </w:rPr>
        <w:t xml:space="preserve"> </w:t>
      </w:r>
      <w:r w:rsidRPr="005B01D2">
        <w:rPr>
          <w:lang w:val="nl-BE" w:eastAsia="en-US"/>
        </w:rPr>
        <w:t>N</w:t>
      </w:r>
      <w:r w:rsidR="00A907F0" w:rsidRPr="005B01D2">
        <w:rPr>
          <w:lang w:val="nl-BE" w:eastAsia="en-US"/>
        </w:rPr>
        <w:t xml:space="preserve">iet-verplichte samenwerkingsakkoorden – </w:t>
      </w:r>
      <w:r w:rsidR="00A907F0" w:rsidRPr="005B01D2">
        <w:rPr>
          <w:i/>
          <w:iCs/>
          <w:lang w:val="nl-BE" w:eastAsia="en-US"/>
        </w:rPr>
        <w:t xml:space="preserve">a fortiori </w:t>
      </w:r>
      <w:r w:rsidR="00292967" w:rsidRPr="005B01D2">
        <w:rPr>
          <w:iCs/>
          <w:lang w:val="nl-BE" w:eastAsia="en-US"/>
        </w:rPr>
        <w:t xml:space="preserve">de </w:t>
      </w:r>
      <w:r w:rsidRPr="005B01D2">
        <w:rPr>
          <w:iCs/>
          <w:lang w:val="nl-BE" w:eastAsia="en-US"/>
        </w:rPr>
        <w:t xml:space="preserve">administratieve </w:t>
      </w:r>
      <w:r w:rsidR="00292967" w:rsidRPr="005B01D2">
        <w:rPr>
          <w:iCs/>
          <w:lang w:val="nl-BE" w:eastAsia="en-US"/>
        </w:rPr>
        <w:t xml:space="preserve">samenwerkingsakkoorden </w:t>
      </w:r>
      <w:r w:rsidR="00A907F0" w:rsidRPr="005B01D2">
        <w:rPr>
          <w:lang w:val="nl-BE" w:eastAsia="en-US"/>
        </w:rPr>
        <w:t xml:space="preserve"> – </w:t>
      </w:r>
      <w:r w:rsidRPr="005B01D2">
        <w:rPr>
          <w:lang w:val="nl-BE" w:eastAsia="en-US"/>
        </w:rPr>
        <w:t xml:space="preserve">kunnen </w:t>
      </w:r>
      <w:r w:rsidR="00A907F0" w:rsidRPr="005B01D2">
        <w:rPr>
          <w:lang w:val="nl-BE" w:eastAsia="en-US"/>
        </w:rPr>
        <w:t xml:space="preserve">dus </w:t>
      </w:r>
      <w:r w:rsidR="00EA76F6" w:rsidRPr="005B01D2">
        <w:rPr>
          <w:lang w:val="nl-BE" w:eastAsia="en-US"/>
        </w:rPr>
        <w:t xml:space="preserve">in beginsel </w:t>
      </w:r>
      <w:r w:rsidR="00A907F0" w:rsidRPr="005B01D2">
        <w:rPr>
          <w:lang w:val="nl-BE" w:eastAsia="en-US"/>
        </w:rPr>
        <w:t xml:space="preserve">worden ingeroepen </w:t>
      </w:r>
      <w:r w:rsidR="00650FB2" w:rsidRPr="005B01D2">
        <w:rPr>
          <w:lang w:val="nl-BE" w:eastAsia="en-US"/>
        </w:rPr>
        <w:t>door de</w:t>
      </w:r>
      <w:r w:rsidR="00A907F0" w:rsidRPr="005B01D2">
        <w:rPr>
          <w:lang w:val="nl-BE" w:eastAsia="en-US"/>
        </w:rPr>
        <w:t xml:space="preserve"> partijen bij die samenwerkingsovereenkomsten</w:t>
      </w:r>
      <w:r w:rsidR="00650FB2" w:rsidRPr="005B01D2">
        <w:rPr>
          <w:lang w:val="nl-BE" w:eastAsia="en-US"/>
        </w:rPr>
        <w:t xml:space="preserve"> voor de gewone Belgische rechter</w:t>
      </w:r>
      <w:r w:rsidR="00A907F0" w:rsidRPr="005B01D2">
        <w:rPr>
          <w:lang w:val="nl-BE" w:eastAsia="en-US"/>
        </w:rPr>
        <w:t>.</w:t>
      </w:r>
      <w:r w:rsidR="00A907F0" w:rsidRPr="005B01D2">
        <w:rPr>
          <w:rStyle w:val="Voetnootmarkering"/>
          <w:lang w:val="nl-BE" w:eastAsia="en-US"/>
        </w:rPr>
        <w:footnoteReference w:id="171"/>
      </w:r>
      <w:r w:rsidR="00A87036" w:rsidRPr="00A87036">
        <w:rPr>
          <w:vertAlign w:val="superscript"/>
          <w:lang w:val="nl-BE" w:eastAsia="en-US"/>
        </w:rPr>
        <w:t>-</w:t>
      </w:r>
      <w:r w:rsidR="00650FB2" w:rsidRPr="005B01D2">
        <w:rPr>
          <w:rStyle w:val="Voetnootmarkering"/>
          <w:lang w:val="nl-BE" w:eastAsia="en-US"/>
        </w:rPr>
        <w:footnoteReference w:id="172"/>
      </w:r>
      <w:r w:rsidR="00A56E33" w:rsidRPr="005B01D2">
        <w:rPr>
          <w:lang w:val="nl-BE" w:eastAsia="en-US"/>
        </w:rPr>
        <w:t xml:space="preserve"> D</w:t>
      </w:r>
      <w:r w:rsidR="00A03CDC" w:rsidRPr="005B01D2">
        <w:rPr>
          <w:lang w:val="nl-BE" w:eastAsia="en-US"/>
        </w:rPr>
        <w:t>e</w:t>
      </w:r>
      <w:r w:rsidR="00A56E33" w:rsidRPr="005B01D2">
        <w:rPr>
          <w:lang w:val="nl-BE" w:eastAsia="en-US"/>
        </w:rPr>
        <w:t xml:space="preserve"> </w:t>
      </w:r>
      <w:r w:rsidR="00A03CDC" w:rsidRPr="005B01D2">
        <w:rPr>
          <w:lang w:val="nl-BE" w:eastAsia="en-US"/>
        </w:rPr>
        <w:t>afwijkende</w:t>
      </w:r>
      <w:r w:rsidR="00A56E33" w:rsidRPr="005B01D2">
        <w:rPr>
          <w:lang w:val="nl-BE" w:eastAsia="en-US"/>
        </w:rPr>
        <w:t xml:space="preserve"> regeling </w:t>
      </w:r>
      <w:r w:rsidR="00A03CDC" w:rsidRPr="005B01D2">
        <w:rPr>
          <w:lang w:val="nl-BE" w:eastAsia="en-US"/>
        </w:rPr>
        <w:t xml:space="preserve">van samenwerkingsgerechten voor geschillen tussen partijen voor bepaalde samenwerkingsakkoorden, werd dan weer volledig </w:t>
      </w:r>
      <w:r w:rsidRPr="005B01D2">
        <w:rPr>
          <w:lang w:val="nl-BE" w:eastAsia="en-US"/>
        </w:rPr>
        <w:t>aan</w:t>
      </w:r>
      <w:r w:rsidR="00A03CDC" w:rsidRPr="005B01D2">
        <w:rPr>
          <w:lang w:val="nl-BE" w:eastAsia="en-US"/>
        </w:rPr>
        <w:t xml:space="preserve"> de kant geschoven </w:t>
      </w:r>
      <w:r w:rsidR="00A56E33" w:rsidRPr="005B01D2">
        <w:rPr>
          <w:lang w:val="nl-BE" w:eastAsia="en-US"/>
        </w:rPr>
        <w:t>voor gezamenlijke decreten.</w:t>
      </w:r>
    </w:p>
    <w:p w14:paraId="4D5C1EB3" w14:textId="77777777" w:rsidR="00292967" w:rsidRPr="005B01D2" w:rsidRDefault="00292967" w:rsidP="00427AFC">
      <w:pPr>
        <w:jc w:val="both"/>
        <w:rPr>
          <w:lang w:val="nl-BE" w:eastAsia="en-US"/>
        </w:rPr>
      </w:pPr>
    </w:p>
    <w:p w14:paraId="621294E3" w14:textId="77777777" w:rsidR="00427AFC" w:rsidRPr="005B01D2" w:rsidRDefault="003C0532" w:rsidP="00427AFC">
      <w:pPr>
        <w:jc w:val="both"/>
        <w:rPr>
          <w:lang w:val="nl-BE" w:eastAsia="en-US"/>
        </w:rPr>
      </w:pPr>
      <w:r w:rsidRPr="005B01D2">
        <w:rPr>
          <w:lang w:val="nl-BE" w:eastAsia="en-US"/>
        </w:rPr>
        <w:t xml:space="preserve">Dit doet de vraag </w:t>
      </w:r>
      <w:r w:rsidR="009F6BB8" w:rsidRPr="005B01D2">
        <w:rPr>
          <w:lang w:val="nl-BE" w:eastAsia="en-US"/>
        </w:rPr>
        <w:t>rijzen</w:t>
      </w:r>
      <w:r w:rsidRPr="005B01D2">
        <w:rPr>
          <w:lang w:val="nl-BE" w:eastAsia="en-US"/>
        </w:rPr>
        <w:t xml:space="preserve"> of </w:t>
      </w:r>
      <w:r w:rsidR="009F6BB8" w:rsidRPr="005B01D2">
        <w:rPr>
          <w:lang w:val="nl-BE" w:eastAsia="en-US"/>
        </w:rPr>
        <w:t xml:space="preserve">deze bijzondere </w:t>
      </w:r>
      <w:r w:rsidRPr="005B01D2">
        <w:rPr>
          <w:lang w:val="nl-BE" w:eastAsia="en-US"/>
        </w:rPr>
        <w:t xml:space="preserve">jurisdictie-bepalingen voor </w:t>
      </w:r>
      <w:r w:rsidR="003174D6">
        <w:rPr>
          <w:lang w:val="nl-BE" w:eastAsia="en-US"/>
        </w:rPr>
        <w:t xml:space="preserve">verplichte </w:t>
      </w:r>
      <w:r w:rsidRPr="005B01D2">
        <w:rPr>
          <w:lang w:val="nl-BE" w:eastAsia="en-US"/>
        </w:rPr>
        <w:t xml:space="preserve">samenwerkingsakkoorden </w:t>
      </w:r>
      <w:r w:rsidR="00610F8E" w:rsidRPr="005B01D2">
        <w:rPr>
          <w:lang w:val="nl-BE" w:eastAsia="en-US"/>
        </w:rPr>
        <w:t xml:space="preserve">– en </w:t>
      </w:r>
      <w:r w:rsidRPr="005B01D2">
        <w:rPr>
          <w:lang w:val="nl-BE" w:eastAsia="en-US"/>
        </w:rPr>
        <w:t>in het bijzonder de artikelen 92</w:t>
      </w:r>
      <w:r w:rsidR="00125CBB" w:rsidRPr="005B01D2">
        <w:rPr>
          <w:i/>
          <w:lang w:val="nl-BE" w:eastAsia="en-US"/>
        </w:rPr>
        <w:t>bis</w:t>
      </w:r>
      <w:r w:rsidRPr="005B01D2">
        <w:rPr>
          <w:lang w:val="nl-BE" w:eastAsia="en-US"/>
        </w:rPr>
        <w:t>, §§5 en 6, BWHI</w:t>
      </w:r>
      <w:r w:rsidR="00610F8E" w:rsidRPr="005B01D2">
        <w:rPr>
          <w:lang w:val="nl-BE" w:eastAsia="en-US"/>
        </w:rPr>
        <w:t xml:space="preserve"> –</w:t>
      </w:r>
      <w:r w:rsidRPr="005B01D2">
        <w:rPr>
          <w:lang w:val="nl-BE" w:eastAsia="en-US"/>
        </w:rPr>
        <w:t xml:space="preserve"> niet beter zonder meer</w:t>
      </w:r>
      <w:r w:rsidR="009F6BB8" w:rsidRPr="005B01D2">
        <w:rPr>
          <w:lang w:val="nl-BE" w:eastAsia="en-US"/>
        </w:rPr>
        <w:t xml:space="preserve"> zouden</w:t>
      </w:r>
      <w:r w:rsidRPr="005B01D2">
        <w:rPr>
          <w:lang w:val="nl-BE" w:eastAsia="en-US"/>
        </w:rPr>
        <w:t xml:space="preserve"> worden geschrapt. Naar ons weten werd de laatste 22 jaar nog geen </w:t>
      </w:r>
      <w:r w:rsidRPr="005B01D2">
        <w:rPr>
          <w:lang w:val="nl-BE" w:eastAsia="en-US"/>
        </w:rPr>
        <w:lastRenderedPageBreak/>
        <w:t xml:space="preserve">enkel samenwerkingsgerecht opgericht om een geschil tussen partijen over een </w:t>
      </w:r>
      <w:r w:rsidR="003174D6">
        <w:rPr>
          <w:lang w:val="nl-BE" w:eastAsia="en-US"/>
        </w:rPr>
        <w:t xml:space="preserve">verplicht </w:t>
      </w:r>
      <w:r w:rsidRPr="005B01D2">
        <w:rPr>
          <w:lang w:val="nl-BE" w:eastAsia="en-US"/>
        </w:rPr>
        <w:t>samenwerkingsakkoord te beslechten. Daarentegen blijken partijen bij een</w:t>
      </w:r>
      <w:r w:rsidRPr="00E93D19">
        <w:rPr>
          <w:lang w:val="nl-BE" w:eastAsia="en-US"/>
        </w:rPr>
        <w:t xml:space="preserve"> </w:t>
      </w:r>
      <w:r w:rsidR="003174D6">
        <w:rPr>
          <w:lang w:val="nl-BE" w:eastAsia="en-US"/>
        </w:rPr>
        <w:t>verplicht</w:t>
      </w:r>
      <w:r w:rsidRPr="005B01D2">
        <w:rPr>
          <w:lang w:val="nl-BE" w:eastAsia="en-US"/>
        </w:rPr>
        <w:t xml:space="preserve"> samenwerkingsakkoord, of de onder hen ressorterende organen of instellingen, </w:t>
      </w:r>
      <w:r w:rsidR="00BA3902" w:rsidRPr="005B01D2">
        <w:rPr>
          <w:lang w:val="nl-BE" w:eastAsia="en-US"/>
        </w:rPr>
        <w:t xml:space="preserve">thans al </w:t>
      </w:r>
      <w:r w:rsidRPr="005B01D2">
        <w:rPr>
          <w:lang w:val="nl-BE" w:eastAsia="en-US"/>
        </w:rPr>
        <w:t xml:space="preserve">weinig schroom te kennen om een geschil over een samenwerkingsakkoord </w:t>
      </w:r>
      <w:r w:rsidR="009F6BB8" w:rsidRPr="005B01D2">
        <w:rPr>
          <w:lang w:val="nl-BE" w:eastAsia="en-US"/>
        </w:rPr>
        <w:t xml:space="preserve">aan de gewone Belgische rechters </w:t>
      </w:r>
      <w:r w:rsidRPr="005B01D2">
        <w:rPr>
          <w:lang w:val="nl-BE" w:eastAsia="en-US"/>
        </w:rPr>
        <w:t xml:space="preserve">voor te leggen. </w:t>
      </w:r>
      <w:r w:rsidR="00A03CDC" w:rsidRPr="005B01D2">
        <w:rPr>
          <w:lang w:val="nl-BE" w:eastAsia="en-US"/>
        </w:rPr>
        <w:t xml:space="preserve"> </w:t>
      </w:r>
      <w:r w:rsidR="0012512F" w:rsidRPr="005B01D2">
        <w:rPr>
          <w:lang w:val="nl-BE" w:eastAsia="en-US"/>
        </w:rPr>
        <w:t xml:space="preserve"> </w:t>
      </w:r>
    </w:p>
    <w:p w14:paraId="7DE6BCD3" w14:textId="77777777" w:rsidR="00E715F9" w:rsidRPr="005B01D2" w:rsidRDefault="00E715F9" w:rsidP="000251AE">
      <w:pPr>
        <w:rPr>
          <w:lang w:val="nl-BE" w:eastAsia="en-US"/>
        </w:rPr>
      </w:pPr>
    </w:p>
    <w:p w14:paraId="17E6EE3B" w14:textId="132FABA4" w:rsidR="00427AFC" w:rsidRPr="00B2070B" w:rsidRDefault="00610F8E" w:rsidP="00427AFC">
      <w:pPr>
        <w:jc w:val="both"/>
        <w:rPr>
          <w:lang w:val="nl-BE" w:eastAsia="en-US"/>
        </w:rPr>
      </w:pPr>
      <w:r w:rsidRPr="00B2070B">
        <w:rPr>
          <w:lang w:val="nl-BE" w:eastAsia="en-US"/>
        </w:rPr>
        <w:t>32</w:t>
      </w:r>
      <w:r w:rsidR="00992423" w:rsidRPr="00B2070B">
        <w:rPr>
          <w:lang w:val="nl-BE" w:eastAsia="en-US"/>
        </w:rPr>
        <w:t>.</w:t>
      </w:r>
      <w:r w:rsidR="00992423" w:rsidRPr="00B2070B">
        <w:rPr>
          <w:lang w:val="nl-BE" w:eastAsia="en-US"/>
        </w:rPr>
        <w:tab/>
      </w:r>
      <w:r w:rsidR="00EC39F3" w:rsidRPr="00B2070B">
        <w:rPr>
          <w:lang w:val="nl-BE" w:eastAsia="en-US"/>
        </w:rPr>
        <w:t>Vernietigingsb</w:t>
      </w:r>
      <w:r w:rsidR="00992423" w:rsidRPr="00B2070B">
        <w:rPr>
          <w:lang w:val="nl-BE" w:eastAsia="en-US"/>
        </w:rPr>
        <w:t xml:space="preserve">eroepen </w:t>
      </w:r>
      <w:r w:rsidR="00EC39F3" w:rsidRPr="00B2070B">
        <w:rPr>
          <w:lang w:val="nl-BE" w:eastAsia="en-US"/>
        </w:rPr>
        <w:t xml:space="preserve">bij het Grondwettelijk Hof en de Raad van State </w:t>
      </w:r>
      <w:r w:rsidR="00992423" w:rsidRPr="00B2070B">
        <w:rPr>
          <w:lang w:val="nl-BE" w:eastAsia="en-US"/>
        </w:rPr>
        <w:t>tegen samenwerkingsakkoorden zijn niet mogelijk,</w:t>
      </w:r>
      <w:r w:rsidR="005F21AB" w:rsidRPr="00B2070B">
        <w:rPr>
          <w:rStyle w:val="Voetnootmarkering"/>
          <w:lang w:val="nl-BE" w:eastAsia="en-US"/>
        </w:rPr>
        <w:footnoteReference w:id="173"/>
      </w:r>
      <w:r w:rsidR="00992423" w:rsidRPr="00B2070B">
        <w:rPr>
          <w:lang w:val="nl-BE" w:eastAsia="en-US"/>
        </w:rPr>
        <w:t xml:space="preserve"> net zoals ook verdragen zelf </w:t>
      </w:r>
      <w:r w:rsidR="00EC39F3" w:rsidRPr="00B2070B">
        <w:rPr>
          <w:lang w:val="nl-BE" w:eastAsia="en-US"/>
        </w:rPr>
        <w:t xml:space="preserve">er </w:t>
      </w:r>
      <w:r w:rsidR="00992423" w:rsidRPr="00B2070B">
        <w:rPr>
          <w:lang w:val="nl-BE" w:eastAsia="en-US"/>
        </w:rPr>
        <w:t>niet</w:t>
      </w:r>
      <w:r w:rsidR="005F21AB" w:rsidRPr="00B2070B">
        <w:rPr>
          <w:lang w:val="nl-BE" w:eastAsia="en-US"/>
        </w:rPr>
        <w:t xml:space="preserve"> (rechtstreeks)</w:t>
      </w:r>
      <w:r w:rsidR="00992423" w:rsidRPr="00B2070B">
        <w:rPr>
          <w:lang w:val="nl-BE" w:eastAsia="en-US"/>
        </w:rPr>
        <w:t xml:space="preserve"> kunnen worden aangevochten.</w:t>
      </w:r>
      <w:r w:rsidR="002F4A3A" w:rsidRPr="00B2070B">
        <w:rPr>
          <w:rStyle w:val="Voetnootmarkering"/>
          <w:lang w:val="nl-BE" w:eastAsia="en-US"/>
        </w:rPr>
        <w:footnoteReference w:id="174"/>
      </w:r>
      <w:r w:rsidR="00992423" w:rsidRPr="00B2070B">
        <w:rPr>
          <w:lang w:val="nl-BE" w:eastAsia="en-US"/>
        </w:rPr>
        <w:t xml:space="preserve"> Daarentegen is het in beginsel wel mogelijk om </w:t>
      </w:r>
      <w:r w:rsidRPr="00B2070B">
        <w:rPr>
          <w:lang w:val="nl-BE" w:eastAsia="en-US"/>
        </w:rPr>
        <w:t xml:space="preserve">er </w:t>
      </w:r>
      <w:r w:rsidR="00992423" w:rsidRPr="00B2070B">
        <w:rPr>
          <w:lang w:val="nl-BE" w:eastAsia="en-US"/>
        </w:rPr>
        <w:t>– mits het vereiste belang kan worden aangetoond – de instemmingshandelingen met die instrumenten aan te vechten.</w:t>
      </w:r>
      <w:r w:rsidR="00F13443" w:rsidRPr="00B2070B">
        <w:rPr>
          <w:rStyle w:val="Voetnootmarkering"/>
          <w:lang w:val="nl-BE" w:eastAsia="en-US"/>
        </w:rPr>
        <w:footnoteReference w:id="175"/>
      </w:r>
      <w:r w:rsidR="00992423" w:rsidRPr="00B2070B">
        <w:rPr>
          <w:lang w:val="nl-BE" w:eastAsia="en-US"/>
        </w:rPr>
        <w:t xml:space="preserve"> Voor samenwerkingsakkoorden waar de wetgever mee moet instemmen zal dit </w:t>
      </w:r>
      <w:r w:rsidRPr="00B2070B">
        <w:rPr>
          <w:lang w:val="nl-BE" w:eastAsia="en-US"/>
        </w:rPr>
        <w:t xml:space="preserve">bij </w:t>
      </w:r>
      <w:r w:rsidR="00992423" w:rsidRPr="00B2070B">
        <w:rPr>
          <w:lang w:val="nl-BE" w:eastAsia="en-US"/>
        </w:rPr>
        <w:t>het Grondwettelijk Hof zijn</w:t>
      </w:r>
      <w:r w:rsidR="00992423" w:rsidRPr="00B2070B">
        <w:rPr>
          <w:rStyle w:val="Voetnootmarkering"/>
          <w:lang w:val="nl-BE" w:eastAsia="en-US"/>
        </w:rPr>
        <w:footnoteReference w:id="176"/>
      </w:r>
      <w:r w:rsidR="00992423" w:rsidRPr="00B2070B">
        <w:rPr>
          <w:lang w:val="nl-BE" w:eastAsia="en-US"/>
        </w:rPr>
        <w:t xml:space="preserve">; voor andere </w:t>
      </w:r>
      <w:r w:rsidR="007426A9" w:rsidRPr="00B2070B">
        <w:rPr>
          <w:lang w:val="nl-BE" w:eastAsia="en-US"/>
        </w:rPr>
        <w:t>is</w:t>
      </w:r>
      <w:r w:rsidR="00992423" w:rsidRPr="00B2070B">
        <w:rPr>
          <w:lang w:val="nl-BE" w:eastAsia="en-US"/>
        </w:rPr>
        <w:t xml:space="preserve"> in beginsel de Raad van State bevoegd.</w:t>
      </w:r>
      <w:r w:rsidR="00992423" w:rsidRPr="00B2070B">
        <w:rPr>
          <w:rStyle w:val="Voetnootmarkering"/>
          <w:lang w:val="nl-BE" w:eastAsia="en-US"/>
        </w:rPr>
        <w:footnoteReference w:id="177"/>
      </w:r>
      <w:r w:rsidR="002F4A3A" w:rsidRPr="00B2070B">
        <w:rPr>
          <w:lang w:val="nl-BE" w:eastAsia="en-US"/>
        </w:rPr>
        <w:t xml:space="preserve"> Bij dat onderzoek van de instemmingshandeling wordt de inhoud van het samenwerkingsakkoord mee in rekening genomen.</w:t>
      </w:r>
      <w:r w:rsidR="002F4A3A" w:rsidRPr="00B2070B">
        <w:rPr>
          <w:rStyle w:val="Voetnootmarkering"/>
          <w:lang w:val="nl-BE" w:eastAsia="en-US"/>
        </w:rPr>
        <w:footnoteReference w:id="178"/>
      </w:r>
      <w:r w:rsidR="00992423" w:rsidRPr="00B2070B">
        <w:rPr>
          <w:lang w:val="nl-BE" w:eastAsia="en-US"/>
        </w:rPr>
        <w:t xml:space="preserve"> Gelet op het feit dat de instemming van alle partijen een constitutieve voorwaarde is, zou het </w:t>
      </w:r>
      <w:r w:rsidR="00C03136" w:rsidRPr="00B2070B">
        <w:rPr>
          <w:lang w:val="nl-BE" w:eastAsia="en-US"/>
        </w:rPr>
        <w:t xml:space="preserve">ongeldig verklaren </w:t>
      </w:r>
      <w:r w:rsidR="00992423" w:rsidRPr="00B2070B">
        <w:rPr>
          <w:lang w:val="nl-BE" w:eastAsia="en-US"/>
        </w:rPr>
        <w:t xml:space="preserve">van </w:t>
      </w:r>
      <w:r w:rsidR="007426A9" w:rsidRPr="00B2070B">
        <w:rPr>
          <w:lang w:val="nl-BE" w:eastAsia="en-US"/>
        </w:rPr>
        <w:t>éé</w:t>
      </w:r>
      <w:r w:rsidR="00992423" w:rsidRPr="00B2070B">
        <w:rPr>
          <w:lang w:val="nl-BE" w:eastAsia="en-US"/>
        </w:rPr>
        <w:t xml:space="preserve">n van de instemmingshandelingen ertoe leiden dat ook het samenwerkingsakkoord zelf ophoudt te bestaan. Dat is anders dan bij verdragen, waar de nationale </w:t>
      </w:r>
      <w:r w:rsidR="000C428C" w:rsidRPr="00B2070B">
        <w:rPr>
          <w:lang w:val="nl-BE"/>
        </w:rPr>
        <w:t>ongeldigheidsverklaring</w:t>
      </w:r>
      <w:r w:rsidR="00992423" w:rsidRPr="00B2070B">
        <w:rPr>
          <w:lang w:val="nl-BE" w:eastAsia="en-US"/>
        </w:rPr>
        <w:t xml:space="preserve"> van de instemming, de internationale geldi</w:t>
      </w:r>
      <w:r w:rsidR="007426A9" w:rsidRPr="00B2070B">
        <w:rPr>
          <w:lang w:val="nl-BE" w:eastAsia="en-US"/>
        </w:rPr>
        <w:t>n</w:t>
      </w:r>
      <w:r w:rsidR="00992423" w:rsidRPr="00B2070B">
        <w:rPr>
          <w:lang w:val="nl-BE" w:eastAsia="en-US"/>
        </w:rPr>
        <w:t>g van het verdrag</w:t>
      </w:r>
      <w:r w:rsidR="002F4A3A" w:rsidRPr="00B2070B">
        <w:rPr>
          <w:lang w:val="nl-BE" w:eastAsia="en-US"/>
        </w:rPr>
        <w:t xml:space="preserve"> tussen partijen </w:t>
      </w:r>
      <w:r w:rsidR="007426A9" w:rsidRPr="00B2070B">
        <w:rPr>
          <w:lang w:val="nl-BE" w:eastAsia="en-US"/>
        </w:rPr>
        <w:t>niet noodzakelijk aantast</w:t>
      </w:r>
      <w:r w:rsidR="00992423" w:rsidRPr="00B2070B">
        <w:rPr>
          <w:lang w:val="nl-BE" w:eastAsia="en-US"/>
        </w:rPr>
        <w:t>.</w:t>
      </w:r>
      <w:r w:rsidR="00992423" w:rsidRPr="00B2070B">
        <w:rPr>
          <w:rStyle w:val="Voetnootmarkering"/>
          <w:lang w:val="nl-BE" w:eastAsia="en-US"/>
        </w:rPr>
        <w:footnoteReference w:id="179"/>
      </w:r>
      <w:r w:rsidR="00A901F2" w:rsidRPr="00B2070B">
        <w:rPr>
          <w:lang w:val="nl-BE" w:eastAsia="en-US"/>
        </w:rPr>
        <w:t xml:space="preserve"> </w:t>
      </w:r>
    </w:p>
    <w:p w14:paraId="114DFF6A" w14:textId="77777777" w:rsidR="00427AFC" w:rsidRPr="005B01D2" w:rsidRDefault="00427AFC" w:rsidP="00427AFC">
      <w:pPr>
        <w:rPr>
          <w:lang w:val="nl-BE"/>
        </w:rPr>
      </w:pPr>
    </w:p>
    <w:p w14:paraId="784C3EE6" w14:textId="77777777" w:rsidR="00BF1948" w:rsidRDefault="0017387F">
      <w:pPr>
        <w:pStyle w:val="Kop1"/>
        <w:ind w:left="851"/>
        <w:jc w:val="both"/>
        <w:rPr>
          <w:rFonts w:ascii="Times New Roman" w:hAnsi="Times New Roman" w:cs="Times New Roman"/>
          <w:sz w:val="24"/>
          <w:szCs w:val="24"/>
          <w:lang w:val="nl-BE"/>
        </w:rPr>
      </w:pPr>
      <w:r>
        <w:rPr>
          <w:rFonts w:ascii="Times New Roman" w:hAnsi="Times New Roman" w:cs="Times New Roman"/>
          <w:sz w:val="24"/>
          <w:szCs w:val="24"/>
          <w:lang w:val="nl-BE"/>
        </w:rPr>
        <w:t xml:space="preserve">IX. </w:t>
      </w:r>
      <w:r w:rsidR="00427AFC" w:rsidRPr="005B01D2">
        <w:rPr>
          <w:rFonts w:ascii="Times New Roman" w:hAnsi="Times New Roman" w:cs="Times New Roman"/>
          <w:sz w:val="24"/>
          <w:szCs w:val="24"/>
          <w:lang w:val="nl-BE"/>
        </w:rPr>
        <w:t>Bekendmaking en registratie</w:t>
      </w:r>
    </w:p>
    <w:p w14:paraId="20160301" w14:textId="77777777" w:rsidR="00583EA0" w:rsidRPr="005B01D2" w:rsidRDefault="00583EA0" w:rsidP="00583EA0">
      <w:pPr>
        <w:rPr>
          <w:lang w:val="nl-BE" w:eastAsia="en-US"/>
        </w:rPr>
      </w:pPr>
    </w:p>
    <w:p w14:paraId="077E042D" w14:textId="77777777" w:rsidR="002C7377" w:rsidRDefault="00F13443" w:rsidP="00427AFC">
      <w:pPr>
        <w:jc w:val="both"/>
        <w:rPr>
          <w:lang w:val="nl-BE" w:eastAsia="en-US"/>
        </w:rPr>
      </w:pPr>
      <w:r w:rsidRPr="005B01D2">
        <w:rPr>
          <w:lang w:val="nl-BE" w:eastAsia="en-US"/>
        </w:rPr>
        <w:t>33</w:t>
      </w:r>
      <w:r w:rsidR="000F3214" w:rsidRPr="005B01D2">
        <w:rPr>
          <w:lang w:val="nl-BE" w:eastAsia="en-US"/>
        </w:rPr>
        <w:t>.</w:t>
      </w:r>
      <w:r w:rsidR="00583EA0" w:rsidRPr="005B01D2">
        <w:rPr>
          <w:lang w:val="nl-BE" w:eastAsia="en-US"/>
        </w:rPr>
        <w:tab/>
        <w:t xml:space="preserve">Teneinde het overzicht te bewaren over </w:t>
      </w:r>
      <w:r w:rsidR="005E0EB9" w:rsidRPr="005B01D2">
        <w:rPr>
          <w:lang w:val="nl-BE" w:eastAsia="en-US"/>
        </w:rPr>
        <w:t xml:space="preserve">de status van de verdragsverplichtingen van de verschillende staten </w:t>
      </w:r>
      <w:r w:rsidR="00114B62" w:rsidRPr="005B01D2">
        <w:rPr>
          <w:lang w:val="nl-BE" w:eastAsia="en-US"/>
        </w:rPr>
        <w:t xml:space="preserve">bestaat de verplichting om </w:t>
      </w:r>
      <w:r w:rsidR="005E0EB9" w:rsidRPr="005B01D2">
        <w:rPr>
          <w:lang w:val="nl-BE" w:eastAsia="en-US"/>
        </w:rPr>
        <w:t xml:space="preserve">verdragen </w:t>
      </w:r>
      <w:r w:rsidR="00114B62" w:rsidRPr="005B01D2">
        <w:rPr>
          <w:lang w:val="nl-BE" w:eastAsia="en-US"/>
        </w:rPr>
        <w:t xml:space="preserve">te </w:t>
      </w:r>
      <w:r w:rsidR="005E0EB9" w:rsidRPr="005B01D2">
        <w:rPr>
          <w:lang w:val="nl-BE" w:eastAsia="en-US"/>
        </w:rPr>
        <w:t>registre</w:t>
      </w:r>
      <w:r w:rsidR="00114B62" w:rsidRPr="005B01D2">
        <w:rPr>
          <w:lang w:val="nl-BE" w:eastAsia="en-US"/>
        </w:rPr>
        <w:t>ren bij de secretaris-</w:t>
      </w:r>
      <w:r w:rsidR="00114B62" w:rsidRPr="005B01D2">
        <w:rPr>
          <w:lang w:val="nl-BE" w:eastAsia="en-US"/>
        </w:rPr>
        <w:lastRenderedPageBreak/>
        <w:t>generaal van de Verenigde Naties</w:t>
      </w:r>
      <w:r w:rsidR="00AC34B8" w:rsidRPr="005B01D2">
        <w:rPr>
          <w:lang w:val="nl-BE" w:eastAsia="en-US"/>
        </w:rPr>
        <w:t>, die deze vervolgens publiceert</w:t>
      </w:r>
      <w:r w:rsidR="005E0EB9" w:rsidRPr="005B01D2">
        <w:rPr>
          <w:lang w:val="nl-BE" w:eastAsia="en-US"/>
        </w:rPr>
        <w:t>.</w:t>
      </w:r>
      <w:r w:rsidR="00114B62" w:rsidRPr="005B01D2">
        <w:rPr>
          <w:rStyle w:val="Voetnootmarkering"/>
          <w:lang w:val="nl-BE" w:eastAsia="en-US"/>
        </w:rPr>
        <w:footnoteReference w:id="180"/>
      </w:r>
      <w:r w:rsidR="00A87036" w:rsidRPr="00A87036">
        <w:rPr>
          <w:vertAlign w:val="superscript"/>
          <w:lang w:val="nl-BE" w:eastAsia="en-US"/>
        </w:rPr>
        <w:t>-</w:t>
      </w:r>
      <w:r w:rsidR="003D3228" w:rsidRPr="005B01D2">
        <w:rPr>
          <w:rStyle w:val="Voetnootmarkering"/>
          <w:lang w:val="nl-BE" w:eastAsia="en-US"/>
        </w:rPr>
        <w:footnoteReference w:id="181"/>
      </w:r>
      <w:r w:rsidR="005E0EB9" w:rsidRPr="005B01D2">
        <w:rPr>
          <w:lang w:val="nl-BE" w:eastAsia="en-US"/>
        </w:rPr>
        <w:t xml:space="preserve"> Vele verdragen wijzen daartoe een depositaris aan, </w:t>
      </w:r>
      <w:r w:rsidR="00AC34B8" w:rsidRPr="005B01D2">
        <w:rPr>
          <w:lang w:val="nl-BE" w:eastAsia="en-US"/>
        </w:rPr>
        <w:t>die o.m. de verplichting heeft om zorgt te dragen van de registratie van het verdrag</w:t>
      </w:r>
      <w:r w:rsidR="005E0EB9" w:rsidRPr="005B01D2">
        <w:rPr>
          <w:lang w:val="nl-BE" w:eastAsia="en-US"/>
        </w:rPr>
        <w:t>.</w:t>
      </w:r>
      <w:r w:rsidR="00AC34B8" w:rsidRPr="005B01D2">
        <w:rPr>
          <w:rStyle w:val="Voetnootmarkering"/>
          <w:lang w:val="nl-BE" w:eastAsia="en-US"/>
        </w:rPr>
        <w:footnoteReference w:id="182"/>
      </w:r>
      <w:r w:rsidR="005E0EB9" w:rsidRPr="005B01D2">
        <w:rPr>
          <w:lang w:val="nl-BE" w:eastAsia="en-US"/>
        </w:rPr>
        <w:t xml:space="preserve"> </w:t>
      </w:r>
    </w:p>
    <w:p w14:paraId="0872D86A" w14:textId="77777777" w:rsidR="002C7377" w:rsidRDefault="002C7377" w:rsidP="00427AFC">
      <w:pPr>
        <w:jc w:val="both"/>
        <w:rPr>
          <w:lang w:val="nl-BE" w:eastAsia="en-US"/>
        </w:rPr>
      </w:pPr>
    </w:p>
    <w:p w14:paraId="47E8BC1D" w14:textId="56C75925" w:rsidR="00DD3878" w:rsidRPr="00B2070B" w:rsidRDefault="00707121" w:rsidP="00B2070B">
      <w:pPr>
        <w:jc w:val="both"/>
        <w:rPr>
          <w:lang w:val="nl-NL"/>
        </w:rPr>
      </w:pPr>
      <w:r w:rsidRPr="005B01D2">
        <w:rPr>
          <w:lang w:val="nl-BE" w:eastAsia="en-US"/>
        </w:rPr>
        <w:t xml:space="preserve">Naar </w:t>
      </w:r>
      <w:r w:rsidR="00EB26AF" w:rsidRPr="005B01D2">
        <w:rPr>
          <w:lang w:val="nl-BE" w:eastAsia="en-US"/>
        </w:rPr>
        <w:t>analogie</w:t>
      </w:r>
      <w:r w:rsidRPr="005B01D2">
        <w:rPr>
          <w:lang w:val="nl-BE" w:eastAsia="en-US"/>
        </w:rPr>
        <w:t xml:space="preserve"> hiermee werd v</w:t>
      </w:r>
      <w:r w:rsidR="005E0EB9" w:rsidRPr="005B01D2">
        <w:rPr>
          <w:lang w:val="nl-BE" w:eastAsia="en-US"/>
        </w:rPr>
        <w:t xml:space="preserve">oor samenwerkingsakkoorden </w:t>
      </w:r>
      <w:r w:rsidRPr="005B01D2">
        <w:rPr>
          <w:lang w:val="nl-BE" w:eastAsia="en-US"/>
        </w:rPr>
        <w:t xml:space="preserve">voorzien in </w:t>
      </w:r>
      <w:r w:rsidR="005E0EB9" w:rsidRPr="005B01D2">
        <w:rPr>
          <w:lang w:val="nl-BE" w:eastAsia="en-US"/>
        </w:rPr>
        <w:t xml:space="preserve">het depot </w:t>
      </w:r>
      <w:r w:rsidRPr="005B01D2">
        <w:rPr>
          <w:lang w:val="nl-BE" w:eastAsia="en-US"/>
        </w:rPr>
        <w:t xml:space="preserve">ervan </w:t>
      </w:r>
      <w:r w:rsidR="005E0EB9" w:rsidRPr="005B01D2">
        <w:rPr>
          <w:lang w:val="nl-BE" w:eastAsia="en-US"/>
        </w:rPr>
        <w:t>bij de Centrale Secretarie van het Overlegcomité.</w:t>
      </w:r>
      <w:r w:rsidR="005E0EB9" w:rsidRPr="005B01D2">
        <w:rPr>
          <w:rStyle w:val="Voetnootmarkering"/>
          <w:lang w:val="nl-BE" w:eastAsia="en-US"/>
        </w:rPr>
        <w:footnoteReference w:id="183"/>
      </w:r>
      <w:r w:rsidR="005E0EB9" w:rsidRPr="005B01D2">
        <w:rPr>
          <w:lang w:val="nl-BE" w:eastAsia="en-US"/>
        </w:rPr>
        <w:t xml:space="preserve"> De bedoeling is dat er zo op termijn </w:t>
      </w:r>
      <w:r w:rsidR="00427AFC" w:rsidRPr="005B01D2">
        <w:rPr>
          <w:lang w:val="nl-BE"/>
        </w:rPr>
        <w:t>één centrale locatie</w:t>
      </w:r>
      <w:r w:rsidR="005E0EB9" w:rsidRPr="005B01D2">
        <w:rPr>
          <w:lang w:val="nl-BE"/>
        </w:rPr>
        <w:t xml:space="preserve"> zal</w:t>
      </w:r>
      <w:r w:rsidR="00427AFC" w:rsidRPr="005B01D2">
        <w:rPr>
          <w:lang w:val="nl-BE"/>
        </w:rPr>
        <w:t xml:space="preserve"> zijn waar alle samenwerkingsakkoorden worden gearchiveerd</w:t>
      </w:r>
      <w:r w:rsidR="005E0EB9" w:rsidRPr="005B01D2">
        <w:rPr>
          <w:lang w:val="nl-BE"/>
        </w:rPr>
        <w:t xml:space="preserve">, </w:t>
      </w:r>
      <w:r w:rsidRPr="005B01D2">
        <w:rPr>
          <w:lang w:val="nl-BE"/>
        </w:rPr>
        <w:t xml:space="preserve">waardoor de Centrale Secretarie </w:t>
      </w:r>
      <w:r w:rsidRPr="005B01D2">
        <w:rPr>
          <w:lang w:val="nl-BE" w:eastAsia="en-US"/>
        </w:rPr>
        <w:t xml:space="preserve">eensluidend verklaarde afschriften van het samenwerkingsakkoord kan bezorgen aan de partijen erbij en </w:t>
      </w:r>
      <w:r w:rsidRPr="005B01D2">
        <w:rPr>
          <w:lang w:val="nl-BE"/>
        </w:rPr>
        <w:t>de samenwerkingsakkoorden</w:t>
      </w:r>
      <w:r w:rsidR="005E0EB9" w:rsidRPr="005B01D2">
        <w:rPr>
          <w:lang w:val="nl-BE"/>
        </w:rPr>
        <w:t xml:space="preserve"> via een databank </w:t>
      </w:r>
      <w:r w:rsidRPr="005B01D2">
        <w:rPr>
          <w:lang w:val="nl-BE"/>
        </w:rPr>
        <w:t xml:space="preserve">ter beschikking zal </w:t>
      </w:r>
      <w:r w:rsidR="005E0EB9" w:rsidRPr="005B01D2">
        <w:rPr>
          <w:lang w:val="nl-BE"/>
        </w:rPr>
        <w:t xml:space="preserve">kunnen </w:t>
      </w:r>
      <w:r w:rsidRPr="005B01D2">
        <w:rPr>
          <w:lang w:val="nl-BE"/>
        </w:rPr>
        <w:t>stellen</w:t>
      </w:r>
      <w:r w:rsidR="005E0EB9" w:rsidRPr="005B01D2">
        <w:rPr>
          <w:lang w:val="nl-BE"/>
        </w:rPr>
        <w:t xml:space="preserve"> van het publiek.</w:t>
      </w:r>
      <w:r w:rsidR="005E0EB9" w:rsidRPr="005B01D2">
        <w:rPr>
          <w:rStyle w:val="Voetnootmarkering"/>
          <w:lang w:val="nl-BE"/>
        </w:rPr>
        <w:footnoteReference w:id="184"/>
      </w:r>
      <w:r w:rsidR="005E0EB9" w:rsidRPr="005B01D2">
        <w:rPr>
          <w:lang w:val="nl-BE"/>
        </w:rPr>
        <w:t xml:space="preserve"> </w:t>
      </w:r>
      <w:r w:rsidR="002C7377">
        <w:rPr>
          <w:lang w:val="nl-BE"/>
        </w:rPr>
        <w:t>De registratie van samenwerkingsakkoorden (vooral van administratieve samenwerkingsakkoorden) en van de erbij horende informatie (bv. over het wetgevend traject) blijkt evenwel vrij in</w:t>
      </w:r>
      <w:r w:rsidR="0090050D">
        <w:rPr>
          <w:lang w:val="nl-BE"/>
        </w:rPr>
        <w:t xml:space="preserve">stabiel te zijn. </w:t>
      </w:r>
      <w:r w:rsidR="0040541D">
        <w:rPr>
          <w:lang w:val="nl-BE"/>
        </w:rPr>
        <w:t>Het</w:t>
      </w:r>
      <w:r w:rsidR="008A44D4">
        <w:rPr>
          <w:lang w:val="nl-BE"/>
        </w:rPr>
        <w:t xml:space="preserve"> voorstel </w:t>
      </w:r>
      <w:r w:rsidR="0090050D">
        <w:rPr>
          <w:lang w:val="nl-BE"/>
        </w:rPr>
        <w:t xml:space="preserve">om </w:t>
      </w:r>
      <w:r w:rsidR="0090050D">
        <w:rPr>
          <w:lang w:val="nl-NL"/>
        </w:rPr>
        <w:t>a</w:t>
      </w:r>
      <w:r w:rsidR="000C428C" w:rsidRPr="00B2070B">
        <w:rPr>
          <w:lang w:val="nl-NL"/>
        </w:rPr>
        <w:t xml:space="preserve">lle samenwerkingsakkoorden </w:t>
      </w:r>
      <w:r w:rsidR="0090050D">
        <w:rPr>
          <w:lang w:val="nl-NL"/>
        </w:rPr>
        <w:t xml:space="preserve">principieel </w:t>
      </w:r>
      <w:r w:rsidR="000C428C" w:rsidRPr="00B2070B">
        <w:rPr>
          <w:lang w:val="nl-NL"/>
        </w:rPr>
        <w:t>ter goedkeuring (of</w:t>
      </w:r>
      <w:r w:rsidR="0090050D">
        <w:rPr>
          <w:lang w:val="nl-NL"/>
        </w:rPr>
        <w:t xml:space="preserve"> ter akte name van goedkeuring) voor te leggen aan het Overlegcomité, zou niet alleen recht doen aan zijn rol van algemeen</w:t>
      </w:r>
      <w:r w:rsidR="008A44D4">
        <w:rPr>
          <w:lang w:val="nl-NL"/>
        </w:rPr>
        <w:t>,</w:t>
      </w:r>
      <w:r w:rsidR="0090050D">
        <w:rPr>
          <w:lang w:val="nl-NL"/>
        </w:rPr>
        <w:t xml:space="preserve"> interfederaal</w:t>
      </w:r>
      <w:r w:rsidR="008A44D4">
        <w:rPr>
          <w:lang w:val="nl-NL"/>
        </w:rPr>
        <w:t>,</w:t>
      </w:r>
      <w:r w:rsidR="0090050D">
        <w:rPr>
          <w:lang w:val="nl-NL"/>
        </w:rPr>
        <w:t xml:space="preserve"> </w:t>
      </w:r>
      <w:r w:rsidR="008A44D4">
        <w:rPr>
          <w:lang w:val="nl-NL"/>
        </w:rPr>
        <w:t xml:space="preserve">gouvernementeel </w:t>
      </w:r>
      <w:r w:rsidR="0090050D">
        <w:rPr>
          <w:lang w:val="nl-NL"/>
        </w:rPr>
        <w:t>overlegorgaan</w:t>
      </w:r>
      <w:r w:rsidR="008A44D4">
        <w:rPr>
          <w:lang w:val="nl-NL"/>
        </w:rPr>
        <w:t>, maar zou tevens de systematische registratie van samenwerkingsakkoorden moeten bevorderen.</w:t>
      </w:r>
    </w:p>
    <w:p w14:paraId="46857C6D" w14:textId="77777777" w:rsidR="001A289E" w:rsidRPr="00B2070B" w:rsidRDefault="001A289E" w:rsidP="00427AFC">
      <w:pPr>
        <w:jc w:val="both"/>
        <w:rPr>
          <w:lang w:val="nl-NL"/>
        </w:rPr>
      </w:pPr>
    </w:p>
    <w:p w14:paraId="0A033DEA" w14:textId="77777777" w:rsidR="00427AFC" w:rsidRPr="005B01D2" w:rsidRDefault="00A13034" w:rsidP="00427AFC">
      <w:pPr>
        <w:jc w:val="both"/>
        <w:rPr>
          <w:lang w:val="nl-BE" w:eastAsia="en-US"/>
        </w:rPr>
      </w:pPr>
      <w:r w:rsidRPr="005B01D2">
        <w:rPr>
          <w:lang w:val="nl-BE"/>
        </w:rPr>
        <w:t xml:space="preserve">Vele samenwerkingsakkoorden worden thans </w:t>
      </w:r>
      <w:r w:rsidR="001A289E" w:rsidRPr="005B01D2">
        <w:rPr>
          <w:lang w:val="nl-BE"/>
        </w:rPr>
        <w:t xml:space="preserve">evenwel </w:t>
      </w:r>
      <w:r w:rsidRPr="005B01D2">
        <w:rPr>
          <w:lang w:val="nl-BE"/>
        </w:rPr>
        <w:t xml:space="preserve">nog steeds niet publiek bekendgemaakt en de in het vooruitzicht gestelde publieke databank is nog steeds niet operationeel. </w:t>
      </w:r>
      <w:r w:rsidR="00EB26AF" w:rsidRPr="005B01D2">
        <w:rPr>
          <w:lang w:val="nl-BE"/>
        </w:rPr>
        <w:t xml:space="preserve">Wat </w:t>
      </w:r>
      <w:r w:rsidR="003F7171" w:rsidRPr="005B01D2">
        <w:rPr>
          <w:lang w:val="nl-BE"/>
        </w:rPr>
        <w:t>die</w:t>
      </w:r>
      <w:r w:rsidR="00EB26AF" w:rsidRPr="005B01D2">
        <w:rPr>
          <w:lang w:val="nl-BE"/>
        </w:rPr>
        <w:t xml:space="preserve"> publieke databank</w:t>
      </w:r>
      <w:r w:rsidR="003F7171" w:rsidRPr="005B01D2">
        <w:rPr>
          <w:lang w:val="nl-BE"/>
        </w:rPr>
        <w:t xml:space="preserve"> betreft</w:t>
      </w:r>
      <w:r w:rsidR="00EB26AF" w:rsidRPr="005B01D2">
        <w:rPr>
          <w:lang w:val="nl-BE"/>
        </w:rPr>
        <w:t xml:space="preserve"> rijst de vraag of die rol niet beter zou worden toevertrouwd aan het Coördinatiebureau van de Raad van State, die via de Reflex-databank nu al het volledige Belgische recht </w:t>
      </w:r>
      <w:r w:rsidR="004302C8">
        <w:rPr>
          <w:lang w:val="nl-BE"/>
        </w:rPr>
        <w:t xml:space="preserve">vrijwel </w:t>
      </w:r>
      <w:r w:rsidR="00EB26AF" w:rsidRPr="005B01D2">
        <w:rPr>
          <w:lang w:val="nl-BE"/>
        </w:rPr>
        <w:t>in realtime probeert op te volgen en beschikbaar te maken</w:t>
      </w:r>
      <w:r w:rsidRPr="005B01D2">
        <w:rPr>
          <w:lang w:val="nl-BE"/>
        </w:rPr>
        <w:t>.</w:t>
      </w:r>
      <w:r w:rsidRPr="005B01D2">
        <w:rPr>
          <w:rStyle w:val="Voetnootmarkering"/>
          <w:lang w:val="nl-BE"/>
        </w:rPr>
        <w:footnoteReference w:id="185"/>
      </w:r>
    </w:p>
    <w:p w14:paraId="396AE518" w14:textId="77777777" w:rsidR="00583EA0" w:rsidRPr="005B01D2" w:rsidRDefault="00583EA0" w:rsidP="00583EA0">
      <w:pPr>
        <w:rPr>
          <w:lang w:val="nl-BE" w:eastAsia="en-US"/>
        </w:rPr>
      </w:pPr>
    </w:p>
    <w:p w14:paraId="54E38E34" w14:textId="38B3C632" w:rsidR="00427AFC" w:rsidRPr="005B01D2" w:rsidRDefault="00F13443" w:rsidP="00427AFC">
      <w:pPr>
        <w:jc w:val="both"/>
        <w:rPr>
          <w:lang w:val="nl-BE" w:eastAsia="en-US"/>
        </w:rPr>
      </w:pPr>
      <w:r w:rsidRPr="005B01D2">
        <w:rPr>
          <w:lang w:val="nl-BE" w:eastAsia="en-US"/>
        </w:rPr>
        <w:t>34</w:t>
      </w:r>
      <w:r w:rsidR="00583EA0" w:rsidRPr="005B01D2">
        <w:rPr>
          <w:lang w:val="nl-BE" w:eastAsia="en-US"/>
        </w:rPr>
        <w:t>.</w:t>
      </w:r>
      <w:r w:rsidR="00583EA0" w:rsidRPr="005B01D2">
        <w:rPr>
          <w:lang w:val="nl-BE" w:eastAsia="en-US"/>
        </w:rPr>
        <w:tab/>
      </w:r>
      <w:r w:rsidRPr="005B01D2">
        <w:rPr>
          <w:lang w:val="nl-BE" w:eastAsia="en-US"/>
        </w:rPr>
        <w:t>Overeenkomstig artikel 190 van de Grondwet moeten a</w:t>
      </w:r>
      <w:r w:rsidR="00583EA0" w:rsidRPr="005B01D2">
        <w:rPr>
          <w:lang w:val="nl-BE" w:eastAsia="en-US"/>
        </w:rPr>
        <w:t>lle norm</w:t>
      </w:r>
      <w:r w:rsidR="009D2E2E" w:rsidRPr="005B01D2">
        <w:rPr>
          <w:lang w:val="nl-BE" w:eastAsia="en-US"/>
        </w:rPr>
        <w:t>ati</w:t>
      </w:r>
      <w:r w:rsidR="003F7171" w:rsidRPr="005B01D2">
        <w:rPr>
          <w:lang w:val="nl-BE" w:eastAsia="en-US"/>
        </w:rPr>
        <w:t>e</w:t>
      </w:r>
      <w:r w:rsidR="009D2E2E" w:rsidRPr="005B01D2">
        <w:rPr>
          <w:lang w:val="nl-BE" w:eastAsia="en-US"/>
        </w:rPr>
        <w:t>ve tekst</w:t>
      </w:r>
      <w:r w:rsidR="00583EA0" w:rsidRPr="005B01D2">
        <w:rPr>
          <w:lang w:val="nl-BE" w:eastAsia="en-US"/>
        </w:rPr>
        <w:t>en worden bekendgemaakt vooraleer ze tegenstelbaar kunnen zijn aan particulieren.</w:t>
      </w:r>
      <w:r w:rsidR="001225A0" w:rsidRPr="005B01D2">
        <w:rPr>
          <w:rStyle w:val="Voetnootmarkering"/>
          <w:lang w:val="nl-BE" w:eastAsia="en-US"/>
        </w:rPr>
        <w:footnoteReference w:id="186"/>
      </w:r>
      <w:r w:rsidR="00583EA0" w:rsidRPr="005B01D2">
        <w:rPr>
          <w:lang w:val="nl-BE" w:eastAsia="en-US"/>
        </w:rPr>
        <w:t xml:space="preserve"> Dat geldt eveneens voor verdragen</w:t>
      </w:r>
      <w:r w:rsidRPr="005B01D2">
        <w:rPr>
          <w:lang w:val="nl-BE" w:eastAsia="en-US"/>
        </w:rPr>
        <w:t>,</w:t>
      </w:r>
      <w:r w:rsidR="00583EA0" w:rsidRPr="005B01D2">
        <w:rPr>
          <w:lang w:val="nl-BE" w:eastAsia="en-US"/>
        </w:rPr>
        <w:t xml:space="preserve"> samenwerkingsakkoorden</w:t>
      </w:r>
      <w:r w:rsidRPr="005B01D2">
        <w:rPr>
          <w:lang w:val="nl-BE" w:eastAsia="en-US"/>
        </w:rPr>
        <w:t>, en hun afgeleid recht.</w:t>
      </w:r>
      <w:r w:rsidRPr="005B01D2">
        <w:rPr>
          <w:rStyle w:val="Voetnootmarkering"/>
          <w:lang w:val="nl-BE" w:eastAsia="en-US"/>
        </w:rPr>
        <w:footnoteReference w:id="187"/>
      </w:r>
      <w:r w:rsidR="00583EA0" w:rsidRPr="005B01D2">
        <w:rPr>
          <w:lang w:val="nl-BE" w:eastAsia="en-US"/>
        </w:rPr>
        <w:t xml:space="preserve"> </w:t>
      </w:r>
      <w:r w:rsidRPr="005B01D2">
        <w:rPr>
          <w:lang w:val="nl-BE" w:eastAsia="en-US"/>
        </w:rPr>
        <w:t xml:space="preserve">Al deze teksten moeten </w:t>
      </w:r>
      <w:r w:rsidR="00583EA0" w:rsidRPr="005B01D2">
        <w:rPr>
          <w:lang w:val="nl-BE" w:eastAsia="en-US"/>
        </w:rPr>
        <w:t xml:space="preserve">worden bekendgemaakt </w:t>
      </w:r>
      <w:r w:rsidR="00A70D26">
        <w:rPr>
          <w:lang w:val="nl-BE" w:eastAsia="en-US"/>
        </w:rPr>
        <w:t xml:space="preserve">op de wijze bij wet bepaald, </w:t>
      </w:r>
      <w:r w:rsidR="00583EA0" w:rsidRPr="005B01D2">
        <w:rPr>
          <w:lang w:val="nl-BE" w:eastAsia="en-US"/>
        </w:rPr>
        <w:t>in het Belgisch Staatsblad</w:t>
      </w:r>
      <w:r w:rsidRPr="005B01D2">
        <w:rPr>
          <w:lang w:val="nl-BE" w:eastAsia="en-US"/>
        </w:rPr>
        <w:t>,</w:t>
      </w:r>
      <w:r w:rsidR="001A02FF" w:rsidRPr="005B01D2">
        <w:rPr>
          <w:rStyle w:val="Voetnootmarkering"/>
          <w:lang w:val="nl-BE" w:eastAsia="en-US"/>
        </w:rPr>
        <w:footnoteReference w:id="188"/>
      </w:r>
      <w:r w:rsidR="00C66F18" w:rsidRPr="005B01D2">
        <w:rPr>
          <w:lang w:val="nl-BE" w:eastAsia="en-US"/>
        </w:rPr>
        <w:t xml:space="preserve"> </w:t>
      </w:r>
      <w:r w:rsidRPr="005B01D2">
        <w:rPr>
          <w:lang w:val="nl-BE" w:eastAsia="en-US"/>
        </w:rPr>
        <w:t>maar i</w:t>
      </w:r>
      <w:r w:rsidR="00583EA0" w:rsidRPr="005B01D2">
        <w:rPr>
          <w:lang w:val="nl-BE" w:eastAsia="en-US"/>
        </w:rPr>
        <w:t>n de praktijk loopt het wel eens mis.</w:t>
      </w:r>
      <w:r w:rsidR="004C361D" w:rsidRPr="005B01D2">
        <w:rPr>
          <w:rStyle w:val="Voetnootmarkering"/>
          <w:lang w:val="nl-BE" w:eastAsia="en-US"/>
        </w:rPr>
        <w:footnoteReference w:id="189"/>
      </w:r>
      <w:r w:rsidR="00583EA0" w:rsidRPr="005B01D2">
        <w:rPr>
          <w:lang w:val="nl-BE" w:eastAsia="en-US"/>
        </w:rPr>
        <w:t xml:space="preserve"> </w:t>
      </w:r>
    </w:p>
    <w:p w14:paraId="38D33B7B" w14:textId="77777777" w:rsidR="00427AFC" w:rsidRPr="005B01D2" w:rsidRDefault="00427AFC" w:rsidP="00427AFC">
      <w:pPr>
        <w:jc w:val="both"/>
        <w:rPr>
          <w:lang w:val="nl-BE" w:eastAsia="en-US"/>
        </w:rPr>
      </w:pPr>
    </w:p>
    <w:p w14:paraId="1A9DA851" w14:textId="50F5EF3F" w:rsidR="00A43EFE" w:rsidRDefault="004C361D" w:rsidP="00695056">
      <w:pPr>
        <w:jc w:val="both"/>
        <w:rPr>
          <w:lang w:val="nl-BE" w:eastAsia="en-US"/>
        </w:rPr>
      </w:pPr>
      <w:r w:rsidRPr="005B01D2">
        <w:rPr>
          <w:lang w:val="nl-BE" w:eastAsia="en-US"/>
        </w:rPr>
        <w:lastRenderedPageBreak/>
        <w:t>35</w:t>
      </w:r>
      <w:r w:rsidR="00C66F18" w:rsidRPr="005B01D2">
        <w:rPr>
          <w:lang w:val="nl-BE" w:eastAsia="en-US"/>
        </w:rPr>
        <w:t xml:space="preserve">. </w:t>
      </w:r>
      <w:r w:rsidR="009D2E2E" w:rsidRPr="005B01D2">
        <w:rPr>
          <w:lang w:val="nl-BE" w:eastAsia="en-US"/>
        </w:rPr>
        <w:tab/>
      </w:r>
      <w:r w:rsidR="00583EA0" w:rsidRPr="005B01D2">
        <w:rPr>
          <w:lang w:val="nl-BE" w:eastAsia="en-US"/>
        </w:rPr>
        <w:t>Bij verdragen – en zeker bij afgeleid recht onder die verdragen, of wijzigingen van bijvoorbeeld technische bijlagen bij die verdragen</w:t>
      </w:r>
      <w:r w:rsidR="001225A0" w:rsidRPr="005B01D2">
        <w:rPr>
          <w:rStyle w:val="Voetnootmarkering"/>
          <w:lang w:val="nl-BE" w:eastAsia="en-US"/>
        </w:rPr>
        <w:footnoteReference w:id="190"/>
      </w:r>
      <w:r w:rsidR="00583EA0" w:rsidRPr="005B01D2">
        <w:rPr>
          <w:lang w:val="nl-BE" w:eastAsia="en-US"/>
        </w:rPr>
        <w:t xml:space="preserve"> – durft het soms lang te duren vooraleer ze bekend worden gemaakt.</w:t>
      </w:r>
      <w:r w:rsidR="00C30C22" w:rsidRPr="005B01D2">
        <w:rPr>
          <w:rStyle w:val="Voetnootmarkering"/>
          <w:lang w:val="nl-BE" w:eastAsia="en-US"/>
        </w:rPr>
        <w:footnoteReference w:id="191"/>
      </w:r>
      <w:r w:rsidR="00583EA0" w:rsidRPr="005B01D2">
        <w:rPr>
          <w:lang w:val="nl-BE" w:eastAsia="en-US"/>
        </w:rPr>
        <w:t xml:space="preserve"> Voor verdragen waar de federale overheid partij bij is</w:t>
      </w:r>
      <w:r w:rsidRPr="005B01D2">
        <w:rPr>
          <w:lang w:val="nl-BE" w:eastAsia="en-US"/>
        </w:rPr>
        <w:t>,</w:t>
      </w:r>
      <w:r w:rsidR="00583EA0" w:rsidRPr="005B01D2">
        <w:rPr>
          <w:lang w:val="nl-BE" w:eastAsia="en-US"/>
        </w:rPr>
        <w:t xml:space="preserve"> wordt daar niettemin in beginsel op toegezien door </w:t>
      </w:r>
      <w:r w:rsidR="00A547ED" w:rsidRPr="005B01D2">
        <w:rPr>
          <w:lang w:val="nl-BE" w:eastAsia="en-US"/>
        </w:rPr>
        <w:t>de federale minister van buitenlandse zaken</w:t>
      </w:r>
      <w:r w:rsidR="00583EA0" w:rsidRPr="005B01D2">
        <w:rPr>
          <w:lang w:val="nl-BE" w:eastAsia="en-US"/>
        </w:rPr>
        <w:t>.</w:t>
      </w:r>
      <w:r w:rsidR="00A547ED" w:rsidRPr="005B01D2">
        <w:rPr>
          <w:rStyle w:val="Voetnootmarkering"/>
          <w:lang w:val="nl-BE" w:eastAsia="en-US"/>
        </w:rPr>
        <w:footnoteReference w:id="192"/>
      </w:r>
      <w:r w:rsidR="00583EA0" w:rsidRPr="005B01D2">
        <w:rPr>
          <w:lang w:val="nl-BE" w:eastAsia="en-US"/>
        </w:rPr>
        <w:t xml:space="preserve"> Bij verdragen die enkel worden gesloten door de gemeenschappen en de gewesten komt die dienst echter niet tussen. </w:t>
      </w:r>
    </w:p>
    <w:p w14:paraId="2D4EDB9B" w14:textId="77777777" w:rsidR="00A43EFE" w:rsidRDefault="00A43EFE" w:rsidP="00695056">
      <w:pPr>
        <w:jc w:val="both"/>
        <w:rPr>
          <w:lang w:val="nl-BE" w:eastAsia="en-US"/>
        </w:rPr>
      </w:pPr>
    </w:p>
    <w:p w14:paraId="454B9B48" w14:textId="77777777" w:rsidR="005729F9" w:rsidRDefault="00A43EFE" w:rsidP="00695056">
      <w:pPr>
        <w:jc w:val="both"/>
        <w:rPr>
          <w:lang w:val="nl-BE" w:eastAsia="en-US"/>
        </w:rPr>
      </w:pPr>
      <w:r w:rsidRPr="00A43EFE">
        <w:rPr>
          <w:lang w:val="nl-BE" w:eastAsia="en-US"/>
        </w:rPr>
        <w:t xml:space="preserve">Het meest problematische voor de rechtsonderhorige is uiteraard het geval waarbij de bekendmaking van een samenwerkingsakkoord uitblijft. </w:t>
      </w:r>
      <w:r w:rsidR="00583EA0" w:rsidRPr="005B01D2">
        <w:rPr>
          <w:lang w:val="nl-BE" w:eastAsia="en-US"/>
        </w:rPr>
        <w:t xml:space="preserve">Voor samenwerkingsakkoorden </w:t>
      </w:r>
      <w:r w:rsidR="005E0EB9" w:rsidRPr="005B01D2">
        <w:rPr>
          <w:lang w:val="nl-BE" w:eastAsia="en-US"/>
        </w:rPr>
        <w:t xml:space="preserve">waar de federale overheid partij </w:t>
      </w:r>
      <w:r w:rsidR="00964E5F" w:rsidRPr="005B01D2">
        <w:rPr>
          <w:lang w:val="nl-BE" w:eastAsia="en-US"/>
        </w:rPr>
        <w:t xml:space="preserve">bij is </w:t>
      </w:r>
      <w:r w:rsidR="00695056" w:rsidRPr="005B01D2">
        <w:rPr>
          <w:lang w:val="nl-BE" w:eastAsia="en-US"/>
        </w:rPr>
        <w:t>zorgt de</w:t>
      </w:r>
      <w:r w:rsidR="005E0EB9" w:rsidRPr="005B01D2">
        <w:rPr>
          <w:lang w:val="nl-BE" w:eastAsia="en-US"/>
        </w:rPr>
        <w:t xml:space="preserve"> </w:t>
      </w:r>
      <w:r w:rsidR="00427AFC" w:rsidRPr="005B01D2">
        <w:rPr>
          <w:lang w:val="nl-BE"/>
        </w:rPr>
        <w:t>Centrale Secretarie van het Overlegcomité voor de bekendmaking in het Belgisch Staatsblad</w:t>
      </w:r>
      <w:r w:rsidR="00695056" w:rsidRPr="005B01D2">
        <w:rPr>
          <w:lang w:val="nl-BE"/>
        </w:rPr>
        <w:t xml:space="preserve"> </w:t>
      </w:r>
      <w:r w:rsidR="00427AFC" w:rsidRPr="005B01D2">
        <w:rPr>
          <w:lang w:val="nl-BE"/>
        </w:rPr>
        <w:t>voor zover het (enige) origineel ondertekende exemplaar werd gedeponeerd bij de Centrale Secretarie van het Overlegcomité</w:t>
      </w:r>
      <w:r w:rsidR="00583EA0" w:rsidRPr="005B01D2">
        <w:rPr>
          <w:lang w:val="nl-BE" w:eastAsia="en-US"/>
        </w:rPr>
        <w:t>.</w:t>
      </w:r>
      <w:r w:rsidR="00695056" w:rsidRPr="005B01D2">
        <w:rPr>
          <w:rStyle w:val="Voetnootmarkering"/>
          <w:lang w:val="nl-BE" w:eastAsia="en-US"/>
        </w:rPr>
        <w:footnoteReference w:id="193"/>
      </w:r>
      <w:r w:rsidR="00695056" w:rsidRPr="005B01D2">
        <w:rPr>
          <w:lang w:val="nl-BE" w:eastAsia="en-US"/>
        </w:rPr>
        <w:t xml:space="preserve"> De Centrale Secretarie van het Overlegcomité staat echter uitdrukkelijk niet in voor de bekendmaking van de samenwerkingsakkoorden waar de federale overheid geen partij bij is, ook al werden ze aan het Overlegcomité voorgelegd. Daar</w:t>
      </w:r>
      <w:r w:rsidR="00E12E81" w:rsidRPr="005B01D2">
        <w:rPr>
          <w:lang w:val="nl-BE" w:eastAsia="en-US"/>
        </w:rPr>
        <w:t>over dienen de partijen onderling afspraken te maken, waarbij in de eerste plaats zal worden gekeken naar het regeringslid dat oorspronkelijk het init</w:t>
      </w:r>
      <w:r w:rsidR="004302C8">
        <w:rPr>
          <w:lang w:val="nl-BE" w:eastAsia="en-US"/>
        </w:rPr>
        <w:t>i</w:t>
      </w:r>
      <w:r w:rsidR="00E12E81" w:rsidRPr="005B01D2">
        <w:rPr>
          <w:lang w:val="nl-BE" w:eastAsia="en-US"/>
        </w:rPr>
        <w:t>atief nam tot het sluiten van het samenwerkingsakkoord</w:t>
      </w:r>
      <w:r w:rsidR="00695056" w:rsidRPr="005B01D2">
        <w:rPr>
          <w:lang w:val="nl-BE" w:eastAsia="en-US"/>
        </w:rPr>
        <w:t>. Dat kan</w:t>
      </w:r>
      <w:r w:rsidR="00C30C22" w:rsidRPr="005B01D2">
        <w:rPr>
          <w:lang w:val="nl-BE" w:eastAsia="en-US"/>
        </w:rPr>
        <w:t xml:space="preserve"> – zoals dit soms het geval is voor gemengde, gemeenschaps- en/of gewestverdragen –</w:t>
      </w:r>
      <w:r w:rsidR="00695056" w:rsidRPr="005B01D2">
        <w:rPr>
          <w:lang w:val="nl-BE" w:eastAsia="en-US"/>
        </w:rPr>
        <w:t xml:space="preserve"> uiteraard fout lopen. </w:t>
      </w:r>
      <w:r w:rsidR="001A02FF" w:rsidRPr="005B01D2">
        <w:rPr>
          <w:lang w:val="nl-BE" w:eastAsia="en-US"/>
        </w:rPr>
        <w:t xml:space="preserve">Het spreekt echter voor zich dat </w:t>
      </w:r>
      <w:r w:rsidR="00E12E81" w:rsidRPr="005B01D2">
        <w:rPr>
          <w:lang w:val="nl-BE" w:eastAsia="en-US"/>
        </w:rPr>
        <w:t xml:space="preserve">bij gebreke aan een </w:t>
      </w:r>
      <w:r w:rsidR="001A02FF" w:rsidRPr="005B01D2">
        <w:rPr>
          <w:lang w:val="nl-BE" w:eastAsia="en-US"/>
        </w:rPr>
        <w:t>bekend</w:t>
      </w:r>
      <w:r w:rsidR="00E12E81" w:rsidRPr="005B01D2">
        <w:rPr>
          <w:lang w:val="nl-BE" w:eastAsia="en-US"/>
        </w:rPr>
        <w:t>making</w:t>
      </w:r>
      <w:r w:rsidR="00C30C22" w:rsidRPr="005B01D2">
        <w:rPr>
          <w:lang w:val="nl-BE" w:eastAsia="en-US"/>
        </w:rPr>
        <w:t xml:space="preserve"> </w:t>
      </w:r>
      <w:r w:rsidR="004C361D" w:rsidRPr="005B01D2">
        <w:rPr>
          <w:lang w:val="nl-BE" w:eastAsia="en-US"/>
        </w:rPr>
        <w:t xml:space="preserve">ze </w:t>
      </w:r>
      <w:r w:rsidR="00C30C22" w:rsidRPr="005B01D2">
        <w:rPr>
          <w:lang w:val="nl-BE" w:eastAsia="en-US"/>
        </w:rPr>
        <w:t>niet tegenwerpbaar zijn aan particulieren</w:t>
      </w:r>
      <w:r w:rsidR="001A02FF" w:rsidRPr="005B01D2">
        <w:rPr>
          <w:lang w:val="nl-BE" w:eastAsia="en-US"/>
        </w:rPr>
        <w:t>.</w:t>
      </w:r>
      <w:r w:rsidR="001A02FF" w:rsidRPr="005B01D2">
        <w:rPr>
          <w:rStyle w:val="Voetnootmarkering"/>
          <w:lang w:val="nl-BE" w:eastAsia="en-US"/>
        </w:rPr>
        <w:footnoteReference w:id="194"/>
      </w:r>
      <w:r w:rsidR="00C66F18" w:rsidRPr="005B01D2">
        <w:rPr>
          <w:lang w:val="nl-BE" w:eastAsia="en-US"/>
        </w:rPr>
        <w:t xml:space="preserve"> </w:t>
      </w:r>
      <w:r w:rsidR="005729F9">
        <w:rPr>
          <w:lang w:val="nl-BE" w:eastAsia="en-US"/>
        </w:rPr>
        <w:t>Bij een ongecoördineerde wijze van bekendmaking van de verschillende instemmingsakten bij een samenwerkingsakkoord, kunnen er vragen rijzen naar de precieze datum van inwerkingtreding van het samenwerkingsakkoord (</w:t>
      </w:r>
      <w:r w:rsidR="000C428C" w:rsidRPr="00B2070B">
        <w:rPr>
          <w:i/>
          <w:lang w:val="nl-BE" w:eastAsia="en-US"/>
        </w:rPr>
        <w:t>supra</w:t>
      </w:r>
      <w:r w:rsidR="005729F9">
        <w:rPr>
          <w:lang w:val="nl-BE" w:eastAsia="en-US"/>
        </w:rPr>
        <w:t xml:space="preserve"> hoofdstuk V).</w:t>
      </w:r>
    </w:p>
    <w:p w14:paraId="0090E80F" w14:textId="77777777" w:rsidR="005729F9" w:rsidRDefault="005729F9" w:rsidP="00695056">
      <w:pPr>
        <w:jc w:val="both"/>
        <w:rPr>
          <w:lang w:val="nl-BE" w:eastAsia="en-US"/>
        </w:rPr>
      </w:pPr>
    </w:p>
    <w:p w14:paraId="52234530" w14:textId="77777777" w:rsidR="001A02FF" w:rsidRPr="005B01D2" w:rsidRDefault="00C66F18" w:rsidP="00695056">
      <w:pPr>
        <w:jc w:val="both"/>
        <w:rPr>
          <w:lang w:val="nl-BE" w:eastAsia="en-US"/>
        </w:rPr>
      </w:pPr>
      <w:r w:rsidRPr="005B01D2">
        <w:rPr>
          <w:lang w:val="nl-BE" w:eastAsia="en-US"/>
        </w:rPr>
        <w:t>Voor gezamenlijke decreten geldt de gewone regeling voor decreten en ordonnanties. D</w:t>
      </w:r>
      <w:r w:rsidR="00E12E81" w:rsidRPr="005B01D2">
        <w:rPr>
          <w:lang w:val="nl-BE" w:eastAsia="en-US"/>
        </w:rPr>
        <w:t>eze</w:t>
      </w:r>
      <w:r w:rsidRPr="005B01D2">
        <w:rPr>
          <w:lang w:val="nl-BE" w:eastAsia="en-US"/>
        </w:rPr>
        <w:t xml:space="preserve"> geldt ook voor de instemmings</w:t>
      </w:r>
      <w:r w:rsidR="00DD2E72" w:rsidRPr="005B01D2">
        <w:rPr>
          <w:lang w:val="nl-BE" w:eastAsia="en-US"/>
        </w:rPr>
        <w:t>wetten</w:t>
      </w:r>
      <w:r w:rsidRPr="005B01D2">
        <w:rPr>
          <w:lang w:val="nl-BE" w:eastAsia="en-US"/>
        </w:rPr>
        <w:t xml:space="preserve"> met verdragen en samenwerkingsakkoorden.</w:t>
      </w:r>
      <w:r w:rsidR="006D65E2" w:rsidRPr="005B01D2">
        <w:rPr>
          <w:rStyle w:val="Voetnootmarkering"/>
          <w:lang w:val="nl-BE" w:eastAsia="en-US"/>
        </w:rPr>
        <w:footnoteReference w:id="195"/>
      </w:r>
    </w:p>
    <w:p w14:paraId="2E22360E" w14:textId="77777777" w:rsidR="00E12E81" w:rsidRPr="005B01D2" w:rsidRDefault="00E12E81" w:rsidP="00695056">
      <w:pPr>
        <w:jc w:val="both"/>
        <w:rPr>
          <w:lang w:val="nl-BE" w:eastAsia="en-US"/>
        </w:rPr>
      </w:pPr>
    </w:p>
    <w:p w14:paraId="71808070" w14:textId="3502B7A8" w:rsidR="00C66F18" w:rsidRPr="005B01D2" w:rsidRDefault="00A87036" w:rsidP="00695056">
      <w:pPr>
        <w:jc w:val="both"/>
        <w:rPr>
          <w:lang w:val="nl-BE" w:eastAsia="en-US"/>
        </w:rPr>
      </w:pPr>
      <w:r w:rsidRPr="00A87036">
        <w:rPr>
          <w:lang w:val="nl-BE"/>
        </w:rPr>
        <w:t>De partijen bij een samenwerkingsakkoord dienen bijzondere aandacht te besteden aan de bekendmaking van samenwerkingsakk</w:t>
      </w:r>
      <w:r w:rsidR="004302C8">
        <w:rPr>
          <w:lang w:val="nl-BE"/>
        </w:rPr>
        <w:t>o</w:t>
      </w:r>
      <w:r w:rsidRPr="00A87036">
        <w:rPr>
          <w:lang w:val="nl-BE"/>
        </w:rPr>
        <w:t xml:space="preserve">orden in het </w:t>
      </w:r>
      <w:r w:rsidRPr="00A87036">
        <w:rPr>
          <w:i/>
          <w:iCs/>
          <w:lang w:val="nl-BE"/>
        </w:rPr>
        <w:t>Belgisch Staatsblad</w:t>
      </w:r>
      <w:r w:rsidRPr="00A87036">
        <w:rPr>
          <w:lang w:val="nl-BE"/>
        </w:rPr>
        <w:t>. Om die reden zouden ze de bekendmakingsverplichting veiligheidshalve best ook iets ruimer toepassen,</w:t>
      </w:r>
      <w:r w:rsidRPr="00A87036">
        <w:rPr>
          <w:rStyle w:val="Voetnootmarkering"/>
          <w:lang w:val="nl-BE"/>
        </w:rPr>
        <w:footnoteReference w:id="196"/>
      </w:r>
      <w:r w:rsidR="001D52BE">
        <w:rPr>
          <w:vertAlign w:val="superscript"/>
          <w:lang w:val="nl-BE"/>
        </w:rPr>
        <w:t>-</w:t>
      </w:r>
      <w:r w:rsidRPr="00A87036">
        <w:rPr>
          <w:rStyle w:val="Voetnootmarkering"/>
          <w:lang w:val="nl-BE"/>
        </w:rPr>
        <w:lastRenderedPageBreak/>
        <w:footnoteReference w:id="197"/>
      </w:r>
      <w:r w:rsidRPr="00A87036">
        <w:rPr>
          <w:lang w:val="nl-BE"/>
        </w:rPr>
        <w:t xml:space="preserve"> en rijst de vraag of voortaan niet beter één overheid verantwoordelijk zou zijn om alle samenwerkingsakkoorden </w:t>
      </w:r>
      <w:r w:rsidR="005729F9">
        <w:rPr>
          <w:lang w:val="nl-BE"/>
        </w:rPr>
        <w:t xml:space="preserve">(eventueel samen met de verschillende instemmingsakten erbij) </w:t>
      </w:r>
      <w:r w:rsidRPr="00A87036">
        <w:rPr>
          <w:lang w:val="nl-BE"/>
        </w:rPr>
        <w:t xml:space="preserve">in het </w:t>
      </w:r>
      <w:r w:rsidRPr="00A87036">
        <w:rPr>
          <w:i/>
          <w:iCs/>
          <w:lang w:val="nl-BE"/>
        </w:rPr>
        <w:t>Belgisch Staatsblad</w:t>
      </w:r>
      <w:r w:rsidRPr="00A87036">
        <w:rPr>
          <w:lang w:val="nl-BE"/>
        </w:rPr>
        <w:t xml:space="preserve"> bekend te maken.</w:t>
      </w:r>
    </w:p>
    <w:p w14:paraId="69CC4238" w14:textId="77777777" w:rsidR="00427AFC" w:rsidRPr="005B01D2" w:rsidRDefault="00427AFC" w:rsidP="00427AFC">
      <w:pPr>
        <w:rPr>
          <w:lang w:val="nl-BE"/>
        </w:rPr>
      </w:pPr>
    </w:p>
    <w:p w14:paraId="5C155029" w14:textId="77777777" w:rsidR="00BF1948" w:rsidRDefault="0017387F">
      <w:pPr>
        <w:pStyle w:val="Kop1"/>
        <w:ind w:left="851"/>
        <w:jc w:val="both"/>
        <w:rPr>
          <w:rFonts w:ascii="Times New Roman" w:hAnsi="Times New Roman" w:cs="Times New Roman"/>
          <w:sz w:val="24"/>
          <w:szCs w:val="24"/>
          <w:lang w:val="nl-BE"/>
        </w:rPr>
      </w:pPr>
      <w:r>
        <w:rPr>
          <w:rFonts w:ascii="Times New Roman" w:hAnsi="Times New Roman" w:cs="Times New Roman"/>
          <w:sz w:val="24"/>
          <w:szCs w:val="24"/>
          <w:lang w:val="nl-BE"/>
        </w:rPr>
        <w:t xml:space="preserve">X. </w:t>
      </w:r>
      <w:r w:rsidR="00427AFC" w:rsidRPr="005B01D2">
        <w:rPr>
          <w:rFonts w:ascii="Times New Roman" w:hAnsi="Times New Roman" w:cs="Times New Roman"/>
          <w:sz w:val="24"/>
          <w:szCs w:val="24"/>
          <w:lang w:val="nl-BE"/>
        </w:rPr>
        <w:t>Beëindiging</w:t>
      </w:r>
      <w:r w:rsidR="008F67B3" w:rsidRPr="005B01D2">
        <w:rPr>
          <w:rFonts w:ascii="Times New Roman" w:hAnsi="Times New Roman" w:cs="Times New Roman"/>
          <w:sz w:val="24"/>
          <w:szCs w:val="24"/>
          <w:lang w:val="nl-BE"/>
        </w:rPr>
        <w:t xml:space="preserve"> </w:t>
      </w:r>
    </w:p>
    <w:p w14:paraId="38B10B5D" w14:textId="77777777" w:rsidR="0049102B" w:rsidRPr="005B01D2" w:rsidRDefault="0049102B" w:rsidP="0049102B">
      <w:pPr>
        <w:rPr>
          <w:lang w:val="nl-BE" w:eastAsia="en-US"/>
        </w:rPr>
      </w:pPr>
    </w:p>
    <w:p w14:paraId="7B0DB9C9" w14:textId="77777777" w:rsidR="00391D3B" w:rsidRDefault="00AC436E">
      <w:pPr>
        <w:jc w:val="both"/>
        <w:rPr>
          <w:lang w:val="nl-BE" w:eastAsia="en-US"/>
        </w:rPr>
      </w:pPr>
      <w:r w:rsidRPr="005B01D2">
        <w:rPr>
          <w:lang w:val="nl-BE" w:eastAsia="en-US"/>
        </w:rPr>
        <w:t>36</w:t>
      </w:r>
      <w:r w:rsidR="0049102B" w:rsidRPr="005B01D2">
        <w:rPr>
          <w:lang w:val="nl-BE" w:eastAsia="en-US"/>
        </w:rPr>
        <w:t>.</w:t>
      </w:r>
      <w:r w:rsidR="0049102B" w:rsidRPr="005B01D2">
        <w:rPr>
          <w:lang w:val="nl-BE" w:eastAsia="en-US"/>
        </w:rPr>
        <w:tab/>
        <w:t>Samenwerkings</w:t>
      </w:r>
      <w:r w:rsidR="00B91315" w:rsidRPr="005B01D2">
        <w:rPr>
          <w:lang w:val="nl-BE" w:eastAsia="en-US"/>
        </w:rPr>
        <w:t>akkoorden</w:t>
      </w:r>
      <w:r w:rsidR="0049102B" w:rsidRPr="005B01D2">
        <w:rPr>
          <w:lang w:val="nl-BE" w:eastAsia="en-US"/>
        </w:rPr>
        <w:t>, net als verdragen, regelen best zelf hun beëindiging. Daarbij moet een onderscheid worden gemaakt tussen de gevallen waarin de overeenkomst in overeenstemming tussen de partijen wordt beëindigd, en het geval van de eenzijdige opzegging.</w:t>
      </w:r>
    </w:p>
    <w:p w14:paraId="589D4D67" w14:textId="77777777" w:rsidR="0049102B" w:rsidRPr="005B01D2" w:rsidRDefault="0049102B" w:rsidP="0049102B">
      <w:pPr>
        <w:rPr>
          <w:lang w:val="nl-BE" w:eastAsia="en-US"/>
        </w:rPr>
      </w:pPr>
    </w:p>
    <w:p w14:paraId="25AF4C26" w14:textId="77777777" w:rsidR="00427AFC" w:rsidRPr="005B01D2" w:rsidRDefault="0049102B" w:rsidP="00427AFC">
      <w:pPr>
        <w:jc w:val="both"/>
        <w:rPr>
          <w:lang w:val="nl-BE" w:eastAsia="en-US"/>
        </w:rPr>
      </w:pPr>
      <w:r w:rsidRPr="005B01D2">
        <w:rPr>
          <w:lang w:val="nl-BE" w:eastAsia="en-US"/>
        </w:rPr>
        <w:t>3</w:t>
      </w:r>
      <w:r w:rsidR="00AC436E" w:rsidRPr="005B01D2">
        <w:rPr>
          <w:lang w:val="nl-BE" w:eastAsia="en-US"/>
        </w:rPr>
        <w:t>7</w:t>
      </w:r>
      <w:r w:rsidRPr="005B01D2">
        <w:rPr>
          <w:lang w:val="nl-BE" w:eastAsia="en-US"/>
        </w:rPr>
        <w:t>.</w:t>
      </w:r>
      <w:r w:rsidRPr="005B01D2">
        <w:rPr>
          <w:lang w:val="nl-BE" w:eastAsia="en-US"/>
        </w:rPr>
        <w:tab/>
        <w:t xml:space="preserve">De beëindiging van </w:t>
      </w:r>
      <w:r w:rsidR="00B91315" w:rsidRPr="005B01D2">
        <w:rPr>
          <w:lang w:val="nl-BE" w:eastAsia="en-US"/>
        </w:rPr>
        <w:t>een verdrag of samenwerkingsakkoord gebeurt in beginsel in overeenstemming tussen de partijen</w:t>
      </w:r>
      <w:r w:rsidRPr="005B01D2">
        <w:rPr>
          <w:lang w:val="nl-BE" w:eastAsia="en-US"/>
        </w:rPr>
        <w:t>. Dat kan al worden geregeld in de oorspronkelijke overeenkomst, maar indien d</w:t>
      </w:r>
      <w:r w:rsidR="00AC436E" w:rsidRPr="005B01D2">
        <w:rPr>
          <w:lang w:val="nl-BE" w:eastAsia="en-US"/>
        </w:rPr>
        <w:t>i</w:t>
      </w:r>
      <w:r w:rsidRPr="005B01D2">
        <w:rPr>
          <w:lang w:val="nl-BE" w:eastAsia="en-US"/>
        </w:rPr>
        <w:t>t niet het geval is</w:t>
      </w:r>
      <w:r w:rsidR="00C33176" w:rsidRPr="005B01D2">
        <w:rPr>
          <w:lang w:val="nl-BE" w:eastAsia="en-US"/>
        </w:rPr>
        <w:t>,</w:t>
      </w:r>
      <w:r w:rsidRPr="005B01D2">
        <w:rPr>
          <w:lang w:val="nl-BE" w:eastAsia="en-US"/>
        </w:rPr>
        <w:t xml:space="preserve"> moet er een nieuwe overeenkomst worden gesloten. In dat verband heeft de Raad van State geoordeeld dat ook samenwerkingsakkoorden die feitelijk obsoleet geworden zijn, bijvoorbeeld omdat ze gesloten waren met het oog op een specifieke aanbestedingsprocedure die voor een bepaalde datum moest worden afgerond, slechts formeel kon</w:t>
      </w:r>
      <w:r w:rsidR="000C55CF">
        <w:rPr>
          <w:lang w:val="nl-BE" w:eastAsia="en-US"/>
        </w:rPr>
        <w:t>de</w:t>
      </w:r>
      <w:r w:rsidR="002A7507">
        <w:rPr>
          <w:lang w:val="nl-BE" w:eastAsia="en-US"/>
        </w:rPr>
        <w:t>n</w:t>
      </w:r>
      <w:r w:rsidRPr="005B01D2">
        <w:rPr>
          <w:lang w:val="nl-BE" w:eastAsia="en-US"/>
        </w:rPr>
        <w:t xml:space="preserve"> worden beëindigd door het sluiten van een nieuwe overeenkomst, en </w:t>
      </w:r>
      <w:r w:rsidR="00C33176" w:rsidRPr="005B01D2">
        <w:rPr>
          <w:lang w:val="nl-BE" w:eastAsia="en-US"/>
        </w:rPr>
        <w:t xml:space="preserve">dat dit </w:t>
      </w:r>
      <w:r w:rsidRPr="005B01D2">
        <w:rPr>
          <w:lang w:val="nl-BE" w:eastAsia="en-US"/>
        </w:rPr>
        <w:t xml:space="preserve">niet eenzijdig kon worden gedaan door </w:t>
      </w:r>
      <w:r w:rsidR="00AC436E" w:rsidRPr="005B01D2">
        <w:rPr>
          <w:lang w:val="nl-BE" w:eastAsia="en-US"/>
        </w:rPr>
        <w:t>éé</w:t>
      </w:r>
      <w:r w:rsidRPr="005B01D2">
        <w:rPr>
          <w:lang w:val="nl-BE" w:eastAsia="en-US"/>
        </w:rPr>
        <w:t>n van de partijen.</w:t>
      </w:r>
      <w:r w:rsidRPr="005B01D2">
        <w:rPr>
          <w:rStyle w:val="Voetnootmarkering"/>
          <w:lang w:val="nl-BE" w:eastAsia="en-US"/>
        </w:rPr>
        <w:footnoteReference w:id="198"/>
      </w:r>
      <w:r w:rsidR="005D3D8B" w:rsidRPr="005B01D2">
        <w:rPr>
          <w:lang w:val="nl-BE" w:eastAsia="en-US"/>
        </w:rPr>
        <w:t xml:space="preserve"> Ook het opheffen van een gezamenlijk decreet of ordonnantie vereist </w:t>
      </w:r>
      <w:r w:rsidR="00C33176" w:rsidRPr="005B01D2">
        <w:rPr>
          <w:lang w:val="nl-BE" w:eastAsia="en-US"/>
        </w:rPr>
        <w:t xml:space="preserve">in beginsel </w:t>
      </w:r>
      <w:r w:rsidR="005D3D8B" w:rsidRPr="005B01D2">
        <w:rPr>
          <w:lang w:val="nl-BE" w:eastAsia="en-US"/>
        </w:rPr>
        <w:t>een nieuw gezamenlijk decreet of ordonnantie</w:t>
      </w:r>
      <w:r w:rsidR="00B91315" w:rsidRPr="005B01D2">
        <w:rPr>
          <w:lang w:val="nl-BE" w:eastAsia="en-US"/>
        </w:rPr>
        <w:t>,</w:t>
      </w:r>
      <w:r w:rsidR="00AC436E" w:rsidRPr="005B01D2">
        <w:rPr>
          <w:lang w:val="nl-BE" w:eastAsia="en-US"/>
        </w:rPr>
        <w:t xml:space="preserve"> of een samenwerkingsakkoord</w:t>
      </w:r>
      <w:r w:rsidR="005D3D8B" w:rsidRPr="005B01D2">
        <w:rPr>
          <w:lang w:val="nl-BE" w:eastAsia="en-US"/>
        </w:rPr>
        <w:t>.</w:t>
      </w:r>
      <w:r w:rsidR="005D3D8B" w:rsidRPr="005B01D2">
        <w:rPr>
          <w:rStyle w:val="Voetnootmarkering"/>
          <w:lang w:val="nl-BE" w:eastAsia="en-US"/>
        </w:rPr>
        <w:footnoteReference w:id="199"/>
      </w:r>
      <w:r w:rsidR="00C33176" w:rsidRPr="005B01D2">
        <w:rPr>
          <w:lang w:val="nl-BE" w:eastAsia="en-US"/>
        </w:rPr>
        <w:t xml:space="preserve"> </w:t>
      </w:r>
    </w:p>
    <w:p w14:paraId="51091E94" w14:textId="77777777" w:rsidR="0049102B" w:rsidRPr="005B01D2" w:rsidRDefault="0049102B" w:rsidP="0049102B">
      <w:pPr>
        <w:rPr>
          <w:lang w:val="nl-BE" w:eastAsia="en-US"/>
        </w:rPr>
      </w:pPr>
    </w:p>
    <w:p w14:paraId="65E6E642" w14:textId="77777777" w:rsidR="005D3D8B" w:rsidRPr="005B01D2" w:rsidRDefault="005D3D8B" w:rsidP="005D3D8B">
      <w:pPr>
        <w:jc w:val="both"/>
        <w:rPr>
          <w:lang w:val="nl-BE" w:eastAsia="en-US"/>
        </w:rPr>
      </w:pPr>
      <w:r w:rsidRPr="005B01D2">
        <w:rPr>
          <w:lang w:val="nl-BE" w:eastAsia="en-US"/>
        </w:rPr>
        <w:t>3</w:t>
      </w:r>
      <w:r w:rsidR="00AC436E" w:rsidRPr="005B01D2">
        <w:rPr>
          <w:lang w:val="nl-BE" w:eastAsia="en-US"/>
        </w:rPr>
        <w:t>8</w:t>
      </w:r>
      <w:r w:rsidRPr="005B01D2">
        <w:rPr>
          <w:lang w:val="nl-BE" w:eastAsia="en-US"/>
        </w:rPr>
        <w:t>.</w:t>
      </w:r>
      <w:r w:rsidRPr="005B01D2">
        <w:rPr>
          <w:lang w:val="nl-BE" w:eastAsia="en-US"/>
        </w:rPr>
        <w:tab/>
        <w:t xml:space="preserve">Het werkelijke probleem is dan ook de vraag of, en zo ja, hoe, verdragen en samenwerkingsakkoorden </w:t>
      </w:r>
      <w:r w:rsidR="00EB26AF" w:rsidRPr="005B01D2">
        <w:rPr>
          <w:lang w:val="nl-BE" w:eastAsia="en-US"/>
        </w:rPr>
        <w:t>eenzijdig</w:t>
      </w:r>
      <w:r w:rsidRPr="005B01D2">
        <w:rPr>
          <w:lang w:val="nl-BE" w:eastAsia="en-US"/>
        </w:rPr>
        <w:t xml:space="preserve"> kunnen worden opgezegd. </w:t>
      </w:r>
    </w:p>
    <w:p w14:paraId="661C71A7" w14:textId="77777777" w:rsidR="005D3D8B" w:rsidRPr="005B01D2" w:rsidRDefault="005D3D8B" w:rsidP="005D3D8B">
      <w:pPr>
        <w:jc w:val="both"/>
        <w:rPr>
          <w:lang w:val="nl-BE" w:eastAsia="en-US"/>
        </w:rPr>
      </w:pPr>
    </w:p>
    <w:p w14:paraId="6C410149" w14:textId="77777777" w:rsidR="00B91315" w:rsidRPr="005B01D2" w:rsidRDefault="00EB26AF" w:rsidP="005D3D8B">
      <w:pPr>
        <w:jc w:val="both"/>
        <w:rPr>
          <w:lang w:val="nl-BE" w:eastAsia="en-US"/>
        </w:rPr>
      </w:pPr>
      <w:r w:rsidRPr="005B01D2">
        <w:rPr>
          <w:lang w:val="nl-BE" w:eastAsia="en-US"/>
        </w:rPr>
        <w:t>Indien</w:t>
      </w:r>
      <w:r w:rsidR="00427AFC" w:rsidRPr="005B01D2">
        <w:rPr>
          <w:lang w:val="nl-BE" w:eastAsia="en-US"/>
        </w:rPr>
        <w:t xml:space="preserve"> het verdrag of het samenwerkingsakkoord </w:t>
      </w:r>
      <w:r w:rsidRPr="005B01D2">
        <w:rPr>
          <w:lang w:val="nl-BE" w:eastAsia="en-US"/>
        </w:rPr>
        <w:t>daarin</w:t>
      </w:r>
      <w:r w:rsidR="00427AFC" w:rsidRPr="005B01D2">
        <w:rPr>
          <w:lang w:val="nl-BE" w:eastAsia="en-US"/>
        </w:rPr>
        <w:t xml:space="preserve"> </w:t>
      </w:r>
      <w:r w:rsidRPr="005B01D2">
        <w:rPr>
          <w:lang w:val="nl-BE" w:eastAsia="en-US"/>
        </w:rPr>
        <w:t>voorzien</w:t>
      </w:r>
      <w:r w:rsidR="00427AFC" w:rsidRPr="005B01D2">
        <w:rPr>
          <w:lang w:val="nl-BE" w:eastAsia="en-US"/>
        </w:rPr>
        <w:t xml:space="preserve"> is het antwoord in beginsel </w:t>
      </w:r>
      <w:r w:rsidRPr="005B01D2">
        <w:rPr>
          <w:lang w:val="nl-BE" w:eastAsia="en-US"/>
        </w:rPr>
        <w:t>ja,</w:t>
      </w:r>
      <w:r w:rsidR="00427AFC" w:rsidRPr="005B01D2">
        <w:rPr>
          <w:lang w:val="nl-BE" w:eastAsia="en-US"/>
        </w:rPr>
        <w:t xml:space="preserve"> mits de voorwaarden – gewoonlijk het naleven van een bepaalde opzegtermijn – worden nageleefd. Toch is er een belangrijk </w:t>
      </w:r>
      <w:r w:rsidRPr="005B01D2">
        <w:rPr>
          <w:lang w:val="nl-BE" w:eastAsia="en-US"/>
        </w:rPr>
        <w:t>verschil</w:t>
      </w:r>
      <w:r w:rsidR="00427AFC" w:rsidRPr="005B01D2">
        <w:rPr>
          <w:lang w:val="nl-BE" w:eastAsia="en-US"/>
        </w:rPr>
        <w:t xml:space="preserve"> tussen de situatie van verdragen en die van samenwerkingsakkoorden. Waar de opzegging van internationale verdragen </w:t>
      </w:r>
      <w:r w:rsidR="00B91315" w:rsidRPr="005B01D2">
        <w:rPr>
          <w:lang w:val="nl-BE" w:eastAsia="en-US"/>
        </w:rPr>
        <w:t xml:space="preserve">traditioneel wordt beschouwd als </w:t>
      </w:r>
      <w:r w:rsidR="00427AFC" w:rsidRPr="005B01D2">
        <w:rPr>
          <w:lang w:val="nl-BE" w:eastAsia="en-US"/>
        </w:rPr>
        <w:t xml:space="preserve">een </w:t>
      </w:r>
      <w:r w:rsidRPr="005B01D2">
        <w:rPr>
          <w:lang w:val="nl-BE" w:eastAsia="en-US"/>
        </w:rPr>
        <w:t xml:space="preserve">prerogatief van </w:t>
      </w:r>
      <w:r w:rsidR="0091378E" w:rsidRPr="005B01D2">
        <w:rPr>
          <w:lang w:val="nl-BE" w:eastAsia="en-US"/>
        </w:rPr>
        <w:t>de uitvoerende macht</w:t>
      </w:r>
      <w:r w:rsidR="00275E31" w:rsidRPr="005B01D2">
        <w:rPr>
          <w:lang w:val="nl-BE" w:eastAsia="en-US"/>
        </w:rPr>
        <w:t xml:space="preserve"> in het sluiten van verdragen</w:t>
      </w:r>
      <w:r w:rsidR="00AC436E" w:rsidRPr="005B01D2">
        <w:rPr>
          <w:lang w:val="nl-BE" w:eastAsia="en-US"/>
        </w:rPr>
        <w:t>,</w:t>
      </w:r>
      <w:r w:rsidR="00DF01A8" w:rsidRPr="005B01D2">
        <w:rPr>
          <w:rStyle w:val="Voetnootmarkering"/>
          <w:lang w:val="nl-BE" w:eastAsia="en-US"/>
        </w:rPr>
        <w:footnoteReference w:id="200"/>
      </w:r>
      <w:r w:rsidR="00427AFC" w:rsidRPr="005B01D2">
        <w:rPr>
          <w:lang w:val="nl-BE" w:eastAsia="en-US"/>
        </w:rPr>
        <w:t xml:space="preserve"> heeft de Raad van State geoordeeld dat dit niet geldt voor samenwerkingsakkoorden en dat daarvoor parlementaire instemming vereist</w:t>
      </w:r>
      <w:r w:rsidR="00C33176" w:rsidRPr="005B01D2">
        <w:rPr>
          <w:lang w:val="nl-BE" w:eastAsia="en-US"/>
        </w:rPr>
        <w:t xml:space="preserve"> is</w:t>
      </w:r>
      <w:r w:rsidR="00427AFC" w:rsidRPr="005B01D2">
        <w:rPr>
          <w:lang w:val="nl-BE" w:eastAsia="en-US"/>
        </w:rPr>
        <w:t>.</w:t>
      </w:r>
      <w:r w:rsidR="00DF01A8" w:rsidRPr="005B01D2">
        <w:rPr>
          <w:rStyle w:val="Voetnootmarkering"/>
          <w:lang w:val="nl-BE" w:eastAsia="en-US"/>
        </w:rPr>
        <w:footnoteReference w:id="201"/>
      </w:r>
      <w:r w:rsidR="00427AFC" w:rsidRPr="005B01D2">
        <w:rPr>
          <w:lang w:val="nl-BE" w:eastAsia="en-US"/>
        </w:rPr>
        <w:t xml:space="preserve"> Om die </w:t>
      </w:r>
      <w:r w:rsidR="00427AFC" w:rsidRPr="005B01D2">
        <w:rPr>
          <w:lang w:val="nl-BE" w:eastAsia="en-US"/>
        </w:rPr>
        <w:lastRenderedPageBreak/>
        <w:t>oplossing te verantwoorden ber</w:t>
      </w:r>
      <w:r w:rsidR="005A73AA" w:rsidRPr="005B01D2">
        <w:rPr>
          <w:lang w:val="nl-BE" w:eastAsia="en-US"/>
        </w:rPr>
        <w:t>o</w:t>
      </w:r>
      <w:r w:rsidR="00427AFC" w:rsidRPr="005B01D2">
        <w:rPr>
          <w:lang w:val="nl-BE" w:eastAsia="en-US"/>
        </w:rPr>
        <w:t>e</w:t>
      </w:r>
      <w:r w:rsidR="005A73AA" w:rsidRPr="005B01D2">
        <w:rPr>
          <w:lang w:val="nl-BE" w:eastAsia="en-US"/>
        </w:rPr>
        <w:t>p</w:t>
      </w:r>
      <w:r w:rsidR="00427AFC" w:rsidRPr="005B01D2">
        <w:rPr>
          <w:lang w:val="nl-BE" w:eastAsia="en-US"/>
        </w:rPr>
        <w:t>t de Raad van State zich enerzijds op het beginsel van het parallellisme der vormen</w:t>
      </w:r>
      <w:r w:rsidR="004A772E" w:rsidRPr="005B01D2">
        <w:rPr>
          <w:rStyle w:val="Voetnootmarkering"/>
          <w:lang w:val="nl-BE" w:eastAsia="en-US"/>
        </w:rPr>
        <w:footnoteReference w:id="202"/>
      </w:r>
      <w:r w:rsidR="00427AFC" w:rsidRPr="005B01D2">
        <w:rPr>
          <w:lang w:val="nl-BE" w:eastAsia="en-US"/>
        </w:rPr>
        <w:t>, maar anderzijds ook op een aantal vermeende verschillen tussen verdragen en samenwerkingsakkoorden.</w:t>
      </w:r>
      <w:r w:rsidR="00DF01A8" w:rsidRPr="005B01D2">
        <w:rPr>
          <w:rStyle w:val="Voetnootmarkering"/>
          <w:lang w:val="nl-BE" w:eastAsia="en-US"/>
        </w:rPr>
        <w:footnoteReference w:id="203"/>
      </w:r>
      <w:r w:rsidR="00427AFC" w:rsidRPr="005B01D2">
        <w:rPr>
          <w:lang w:val="nl-BE" w:eastAsia="en-US"/>
        </w:rPr>
        <w:t xml:space="preserve"> In dat verband wijst de Raad op het feit dat samenwerkingsakkoorden worden gesloten door “de bevoegde overheid”, wat ook een parlement kan zijn, en dus niet noodzakelijk de Koning of de </w:t>
      </w:r>
      <w:r w:rsidR="00C33176" w:rsidRPr="005B01D2">
        <w:rPr>
          <w:lang w:val="nl-BE" w:eastAsia="en-US"/>
        </w:rPr>
        <w:t>r</w:t>
      </w:r>
      <w:r w:rsidR="00427AFC" w:rsidRPr="005B01D2">
        <w:rPr>
          <w:lang w:val="nl-BE" w:eastAsia="en-US"/>
        </w:rPr>
        <w:t xml:space="preserve">egering impliceert. Bovendien wijst de Raad op het vereiste van parlementaire instemming als voorwaarde voor de totstandkoming van samenwerkingsakkoorden, terwijl verdragen ook zonder parlementaire instemming al (internationale) rechtsgevolgen </w:t>
      </w:r>
      <w:r w:rsidR="004A772E" w:rsidRPr="005B01D2">
        <w:rPr>
          <w:lang w:val="nl-BE" w:eastAsia="en-US"/>
        </w:rPr>
        <w:t xml:space="preserve">zouden </w:t>
      </w:r>
      <w:r w:rsidR="00427AFC" w:rsidRPr="005B01D2">
        <w:rPr>
          <w:lang w:val="nl-BE" w:eastAsia="en-US"/>
        </w:rPr>
        <w:t>kunnen hebben. Ten slotte werd er ook op gewezen dat samenwerkingsakkoorden wetten, decreten en ordonnanties kunnen wijzigen, zodat de instemming – maar ook de opzegging – een parlementair optreden vereist.</w:t>
      </w:r>
      <w:r w:rsidR="00432D39" w:rsidRPr="005B01D2">
        <w:rPr>
          <w:lang w:val="nl-BE" w:eastAsia="en-US"/>
        </w:rPr>
        <w:t xml:space="preserve"> </w:t>
      </w:r>
    </w:p>
    <w:p w14:paraId="14DB43C2" w14:textId="77777777" w:rsidR="00B91315" w:rsidRPr="005B01D2" w:rsidRDefault="00B91315" w:rsidP="005D3D8B">
      <w:pPr>
        <w:jc w:val="both"/>
        <w:rPr>
          <w:lang w:val="nl-BE" w:eastAsia="en-US"/>
        </w:rPr>
      </w:pPr>
    </w:p>
    <w:p w14:paraId="3AC3353B" w14:textId="5F9B3CED" w:rsidR="005D3D8B" w:rsidRPr="005B01D2" w:rsidRDefault="00432D39" w:rsidP="005B5BFE">
      <w:pPr>
        <w:jc w:val="both"/>
        <w:rPr>
          <w:lang w:val="nl-BE" w:eastAsia="en-US"/>
        </w:rPr>
      </w:pPr>
      <w:r w:rsidRPr="005B01D2">
        <w:rPr>
          <w:lang w:val="nl-BE" w:eastAsia="en-US"/>
        </w:rPr>
        <w:t xml:space="preserve">In de rechtsleer wordt </w:t>
      </w:r>
      <w:r w:rsidR="00B91315" w:rsidRPr="005B01D2">
        <w:rPr>
          <w:lang w:val="nl-BE" w:eastAsia="en-US"/>
        </w:rPr>
        <w:t xml:space="preserve">evenwel – terecht – </w:t>
      </w:r>
      <w:r w:rsidRPr="005B01D2">
        <w:rPr>
          <w:lang w:val="nl-BE" w:eastAsia="en-US"/>
        </w:rPr>
        <w:t xml:space="preserve">betoogd dat die regeling ook zou moeten gelden voor </w:t>
      </w:r>
      <w:r w:rsidR="00B91315" w:rsidRPr="005B01D2">
        <w:rPr>
          <w:lang w:val="nl-BE" w:eastAsia="en-US"/>
        </w:rPr>
        <w:t xml:space="preserve">de opzegging van </w:t>
      </w:r>
      <w:r w:rsidRPr="005B01D2">
        <w:rPr>
          <w:lang w:val="nl-BE" w:eastAsia="en-US"/>
        </w:rPr>
        <w:t>verdragen.</w:t>
      </w:r>
      <w:r w:rsidRPr="005B01D2">
        <w:rPr>
          <w:rStyle w:val="Voetnootmarkering"/>
          <w:lang w:val="nl-BE" w:eastAsia="en-US"/>
        </w:rPr>
        <w:footnoteReference w:id="204"/>
      </w:r>
      <w:r w:rsidR="00B91315" w:rsidRPr="005B01D2">
        <w:rPr>
          <w:lang w:val="nl-BE" w:eastAsia="en-US"/>
        </w:rPr>
        <w:t xml:space="preserve"> We menen dat dit </w:t>
      </w:r>
      <w:r w:rsidR="00151B0E" w:rsidRPr="005B01D2">
        <w:rPr>
          <w:lang w:val="nl-BE" w:eastAsia="en-US"/>
        </w:rPr>
        <w:t xml:space="preserve">thans </w:t>
      </w:r>
      <w:r w:rsidR="00B91315" w:rsidRPr="005B01D2">
        <w:rPr>
          <w:lang w:val="nl-BE" w:eastAsia="en-US"/>
        </w:rPr>
        <w:t xml:space="preserve">de </w:t>
      </w:r>
      <w:r w:rsidR="00A87036" w:rsidRPr="00A87036">
        <w:rPr>
          <w:i/>
          <w:lang w:val="nl-BE" w:eastAsia="en-US"/>
        </w:rPr>
        <w:t>lege lata</w:t>
      </w:r>
      <w:r w:rsidR="00B91315" w:rsidRPr="005B01D2">
        <w:rPr>
          <w:lang w:val="nl-BE" w:eastAsia="en-US"/>
        </w:rPr>
        <w:t xml:space="preserve"> al het geval is. </w:t>
      </w:r>
      <w:r w:rsidR="00F36740" w:rsidRPr="005B01D2">
        <w:rPr>
          <w:lang w:val="nl-BE" w:eastAsia="en-US"/>
        </w:rPr>
        <w:t xml:space="preserve">Er moet </w:t>
      </w:r>
      <w:r w:rsidR="00275E31" w:rsidRPr="005B01D2">
        <w:rPr>
          <w:lang w:val="nl-BE" w:eastAsia="en-US"/>
        </w:rPr>
        <w:t xml:space="preserve">immers </w:t>
      </w:r>
      <w:r w:rsidR="00F36740" w:rsidRPr="005B01D2">
        <w:rPr>
          <w:lang w:val="nl-BE" w:eastAsia="en-US"/>
        </w:rPr>
        <w:t xml:space="preserve">juridisch een onderscheid worden gemaakt tussen enerzijds </w:t>
      </w:r>
      <w:r w:rsidR="00275E31" w:rsidRPr="005B01D2">
        <w:rPr>
          <w:lang w:val="nl-BE" w:eastAsia="en-US"/>
        </w:rPr>
        <w:t xml:space="preserve">het initiëren en </w:t>
      </w:r>
      <w:r w:rsidR="000C55CF">
        <w:rPr>
          <w:lang w:val="nl-BE" w:eastAsia="en-US"/>
        </w:rPr>
        <w:t>de</w:t>
      </w:r>
      <w:r w:rsidR="000C55CF" w:rsidRPr="005B01D2">
        <w:rPr>
          <w:lang w:val="nl-BE" w:eastAsia="en-US"/>
        </w:rPr>
        <w:t xml:space="preserve"> </w:t>
      </w:r>
      <w:r w:rsidR="008D71D3">
        <w:rPr>
          <w:lang w:val="nl-BE" w:eastAsia="en-US"/>
        </w:rPr>
        <w:t xml:space="preserve">uiteindelijke </w:t>
      </w:r>
      <w:r w:rsidR="00F36740" w:rsidRPr="005B01D2">
        <w:rPr>
          <w:lang w:val="nl-BE" w:eastAsia="en-US"/>
        </w:rPr>
        <w:t>kennisgeving van de opzegging (aan de depositaris of de verdragspartners) en ander</w:t>
      </w:r>
      <w:r w:rsidR="008D71D3">
        <w:rPr>
          <w:lang w:val="nl-BE" w:eastAsia="en-US"/>
        </w:rPr>
        <w:t>zijd</w:t>
      </w:r>
      <w:r w:rsidR="00F36740" w:rsidRPr="005B01D2">
        <w:rPr>
          <w:lang w:val="nl-BE" w:eastAsia="en-US"/>
        </w:rPr>
        <w:t xml:space="preserve">s het </w:t>
      </w:r>
      <w:r w:rsidR="00F36740" w:rsidRPr="005B01D2">
        <w:rPr>
          <w:lang w:val="nl-BE"/>
        </w:rPr>
        <w:t xml:space="preserve">hoog politiek en juridisch toezicht op de beslissing tot opzegging die ervoor zorgt dat deze de juridische effecten kan hebben in de interne rechtsorde. </w:t>
      </w:r>
      <w:r w:rsidR="00151B0E" w:rsidRPr="005B01D2">
        <w:rPr>
          <w:lang w:val="nl-BE"/>
        </w:rPr>
        <w:t xml:space="preserve">De Raad van State verduidelijkte de verhouding tussen de uitvoerende macht en het parlement in het sluiten van verdragen als volgt </w:t>
      </w:r>
      <w:r w:rsidR="009D3DA3" w:rsidRPr="005B01D2">
        <w:rPr>
          <w:lang w:val="nl-BE"/>
        </w:rPr>
        <w:t xml:space="preserve">naar aanleiding van </w:t>
      </w:r>
      <w:r w:rsidR="005854FE" w:rsidRPr="005B01D2">
        <w:rPr>
          <w:lang w:val="nl-BE"/>
        </w:rPr>
        <w:t>vragen over voorbehouden bij verdragen: “(Er)</w:t>
      </w:r>
      <w:r w:rsidR="00A87036" w:rsidRPr="00A87036">
        <w:rPr>
          <w:lang w:val="nl-NL"/>
        </w:rPr>
        <w:t xml:space="preserve"> kan worden ingestemd dat het maken van voorbehouden (…) het prerogatief is van de Koning, nadat hierover consensus is bereikt met de gewest- en gemeenschapsregeringen (…). Vermits (…) voorbehouden de draagwijdte van de verplichtingen bepalen die voor België – en zijn burgers – uit de Overeenkomst voortvloeien, moeten deze ook aan de bevoegde parlementen ter instemming worden voorgelegd, bij gebreke waarvan ze geen uitwerking in de Belgische interne rechtsorde zullen hebben (…). Er is dan ook nood aan een afstemming over de voorgenomen (…) voorbehouden, niet alleen tussen de Koning en de gemeenschaps- en gewestregeringen (…), maar ook tussen de uitvoerende macht en het betrokken parlement”.</w:t>
      </w:r>
      <w:r w:rsidR="00151B0E" w:rsidRPr="005B01D2">
        <w:rPr>
          <w:rStyle w:val="Voetnootmarkering"/>
          <w:lang w:val="nl-BE"/>
        </w:rPr>
        <w:footnoteReference w:id="205"/>
      </w:r>
      <w:r w:rsidR="00F36740" w:rsidRPr="005B01D2">
        <w:rPr>
          <w:lang w:val="nl-BE"/>
        </w:rPr>
        <w:t xml:space="preserve"> </w:t>
      </w:r>
      <w:r w:rsidR="009D3DA3" w:rsidRPr="005B01D2">
        <w:rPr>
          <w:lang w:val="nl-BE"/>
        </w:rPr>
        <w:t xml:space="preserve">De logica </w:t>
      </w:r>
      <w:r w:rsidR="001D52BE">
        <w:rPr>
          <w:lang w:val="nl-BE"/>
        </w:rPr>
        <w:t xml:space="preserve">van artikel 167, § 5, van de Grondwet </w:t>
      </w:r>
      <w:r w:rsidR="009D3DA3" w:rsidRPr="005B01D2">
        <w:rPr>
          <w:lang w:val="nl-BE"/>
        </w:rPr>
        <w:t xml:space="preserve">valt overigens moeilijk </w:t>
      </w:r>
      <w:r w:rsidR="001D52BE">
        <w:rPr>
          <w:lang w:val="nl-BE"/>
        </w:rPr>
        <w:t>te begrijpen: zo zou</w:t>
      </w:r>
      <w:r w:rsidR="009D3DA3" w:rsidRPr="005B01D2">
        <w:rPr>
          <w:lang w:val="nl-BE"/>
        </w:rPr>
        <w:t xml:space="preserve"> de uitvoerende macht </w:t>
      </w:r>
      <w:r w:rsidR="00275E31" w:rsidRPr="005B01D2">
        <w:rPr>
          <w:lang w:val="nl-BE"/>
        </w:rPr>
        <w:t xml:space="preserve">bv. </w:t>
      </w:r>
      <w:r w:rsidR="009D3DA3" w:rsidRPr="005B01D2">
        <w:rPr>
          <w:lang w:val="nl-BE"/>
        </w:rPr>
        <w:t xml:space="preserve">wel eenzijdig </w:t>
      </w:r>
      <w:r w:rsidR="00275E31" w:rsidRPr="005B01D2">
        <w:rPr>
          <w:lang w:val="nl-BE"/>
        </w:rPr>
        <w:t xml:space="preserve">een </w:t>
      </w:r>
      <w:r w:rsidR="00A70D26">
        <w:rPr>
          <w:lang w:val="nl-BE"/>
        </w:rPr>
        <w:t>politiek</w:t>
      </w:r>
      <w:r w:rsidR="00275E31" w:rsidRPr="00E93D19">
        <w:rPr>
          <w:lang w:val="nl-BE"/>
        </w:rPr>
        <w:t xml:space="preserve"> </w:t>
      </w:r>
      <w:r w:rsidR="00275E31" w:rsidRPr="005B01D2">
        <w:rPr>
          <w:lang w:val="nl-BE"/>
        </w:rPr>
        <w:t xml:space="preserve">drastische beslissing </w:t>
      </w:r>
      <w:r w:rsidR="001D52BE">
        <w:rPr>
          <w:lang w:val="nl-BE"/>
        </w:rPr>
        <w:t xml:space="preserve">kunnen </w:t>
      </w:r>
      <w:r w:rsidR="00275E31" w:rsidRPr="005B01D2">
        <w:rPr>
          <w:lang w:val="nl-BE"/>
        </w:rPr>
        <w:t xml:space="preserve">nemen als </w:t>
      </w:r>
      <w:r w:rsidR="000C55CF">
        <w:rPr>
          <w:lang w:val="nl-BE"/>
        </w:rPr>
        <w:t>de</w:t>
      </w:r>
      <w:r w:rsidR="000C55CF" w:rsidRPr="005B01D2">
        <w:rPr>
          <w:lang w:val="nl-BE"/>
        </w:rPr>
        <w:t xml:space="preserve"> </w:t>
      </w:r>
      <w:r w:rsidR="009D3DA3" w:rsidRPr="005B01D2">
        <w:rPr>
          <w:lang w:val="nl-BE"/>
        </w:rPr>
        <w:t>opzegging van het EVRM,</w:t>
      </w:r>
      <w:r w:rsidR="00CB013E">
        <w:rPr>
          <w:rStyle w:val="Voetnootmarkering"/>
          <w:lang w:val="nl-BE"/>
        </w:rPr>
        <w:footnoteReference w:id="206"/>
      </w:r>
      <w:r w:rsidR="009D3DA3" w:rsidRPr="005B01D2">
        <w:rPr>
          <w:lang w:val="nl-BE"/>
        </w:rPr>
        <w:t xml:space="preserve"> terwijl het parlement </w:t>
      </w:r>
      <w:r w:rsidR="00275E31" w:rsidRPr="005B01D2">
        <w:rPr>
          <w:lang w:val="nl-BE"/>
        </w:rPr>
        <w:t xml:space="preserve">daarentegen </w:t>
      </w:r>
      <w:r w:rsidR="009D3DA3" w:rsidRPr="005B01D2">
        <w:rPr>
          <w:lang w:val="nl-BE"/>
        </w:rPr>
        <w:t>wel eerst heeft moeten instemmen om bij d</w:t>
      </w:r>
      <w:r w:rsidR="008D71D3">
        <w:rPr>
          <w:lang w:val="nl-BE"/>
        </w:rPr>
        <w:t>it</w:t>
      </w:r>
      <w:r w:rsidR="009D3DA3" w:rsidRPr="005B01D2">
        <w:rPr>
          <w:lang w:val="nl-BE"/>
        </w:rPr>
        <w:t xml:space="preserve"> verdrag partij te </w:t>
      </w:r>
      <w:r w:rsidR="00D43D4C">
        <w:rPr>
          <w:lang w:val="nl-BE"/>
        </w:rPr>
        <w:t xml:space="preserve">kunnen </w:t>
      </w:r>
      <w:r w:rsidR="009D3DA3" w:rsidRPr="005B01D2">
        <w:rPr>
          <w:lang w:val="nl-BE"/>
        </w:rPr>
        <w:t>worden.</w:t>
      </w:r>
      <w:r w:rsidR="001D52BE">
        <w:rPr>
          <w:rStyle w:val="Voetnootmarkering"/>
          <w:lang w:val="nl-BE"/>
        </w:rPr>
        <w:footnoteReference w:id="207"/>
      </w:r>
      <w:r w:rsidR="009D3DA3" w:rsidRPr="005B01D2">
        <w:rPr>
          <w:lang w:val="nl-BE"/>
        </w:rPr>
        <w:t xml:space="preserve"> En </w:t>
      </w:r>
      <w:r w:rsidR="00275E31" w:rsidRPr="005B01D2">
        <w:rPr>
          <w:lang w:val="nl-BE"/>
        </w:rPr>
        <w:t xml:space="preserve">zo sluiten we terug aan bij het </w:t>
      </w:r>
      <w:r w:rsidR="009D3DA3" w:rsidRPr="005B01D2">
        <w:rPr>
          <w:lang w:val="nl-BE"/>
        </w:rPr>
        <w:t xml:space="preserve">parallelisme der vormen </w:t>
      </w:r>
      <w:r w:rsidR="00275E31" w:rsidRPr="005B01D2">
        <w:rPr>
          <w:lang w:val="nl-BE"/>
        </w:rPr>
        <w:t xml:space="preserve">uit het voormeld advies </w:t>
      </w:r>
      <w:r w:rsidR="00A87036" w:rsidRPr="00A87036">
        <w:rPr>
          <w:lang w:val="nl-NL"/>
        </w:rPr>
        <w:t>59.829/AV</w:t>
      </w:r>
      <w:r w:rsidR="00275E31" w:rsidRPr="005B01D2">
        <w:rPr>
          <w:lang w:val="nl-NL"/>
        </w:rPr>
        <w:t>.</w:t>
      </w:r>
      <w:r w:rsidR="00F36740" w:rsidRPr="005B01D2">
        <w:rPr>
          <w:lang w:val="nl-BE" w:eastAsia="en-US"/>
        </w:rPr>
        <w:t xml:space="preserve"> </w:t>
      </w:r>
    </w:p>
    <w:p w14:paraId="6DDDE469" w14:textId="77777777" w:rsidR="005A73AA" w:rsidRPr="005B01D2" w:rsidRDefault="005A73AA" w:rsidP="005D3D8B">
      <w:pPr>
        <w:jc w:val="both"/>
        <w:rPr>
          <w:lang w:val="nl-BE" w:eastAsia="en-US"/>
        </w:rPr>
      </w:pPr>
    </w:p>
    <w:p w14:paraId="74907106" w14:textId="77777777" w:rsidR="00D43D4C" w:rsidRDefault="00275E31" w:rsidP="00BE6E44">
      <w:pPr>
        <w:autoSpaceDE w:val="0"/>
        <w:adjustRightInd w:val="0"/>
        <w:jc w:val="both"/>
        <w:rPr>
          <w:lang w:val="nl-BE"/>
        </w:rPr>
      </w:pPr>
      <w:r w:rsidRPr="005B01D2">
        <w:rPr>
          <w:lang w:val="nl-BE" w:eastAsia="en-US"/>
        </w:rPr>
        <w:lastRenderedPageBreak/>
        <w:t>39.</w:t>
      </w:r>
      <w:r w:rsidRPr="005B01D2">
        <w:rPr>
          <w:lang w:val="nl-BE" w:eastAsia="en-US"/>
        </w:rPr>
        <w:tab/>
      </w:r>
      <w:r w:rsidR="00EB26AF" w:rsidRPr="005B01D2">
        <w:rPr>
          <w:lang w:val="nl-BE" w:eastAsia="en-US"/>
        </w:rPr>
        <w:t>Indien er niet in een opzegmogelijkheid wordt voorzien</w:t>
      </w:r>
      <w:r w:rsidR="00FF713C">
        <w:rPr>
          <w:lang w:val="nl-BE" w:eastAsia="en-US"/>
        </w:rPr>
        <w:t>,</w:t>
      </w:r>
      <w:r w:rsidR="00EB26AF" w:rsidRPr="005B01D2">
        <w:rPr>
          <w:lang w:val="nl-BE" w:eastAsia="en-US"/>
        </w:rPr>
        <w:t xml:space="preserve"> heerst er rechtsonzekerheid.</w:t>
      </w:r>
      <w:r w:rsidR="005A73AA" w:rsidRPr="005B01D2">
        <w:rPr>
          <w:lang w:val="nl-BE" w:eastAsia="en-US"/>
        </w:rPr>
        <w:t xml:space="preserve"> Voor </w:t>
      </w:r>
      <w:r w:rsidR="00EB26AF" w:rsidRPr="005B01D2">
        <w:rPr>
          <w:lang w:val="nl-BE" w:eastAsia="en-US"/>
        </w:rPr>
        <w:t>verdragen</w:t>
      </w:r>
      <w:r w:rsidR="005A73AA" w:rsidRPr="005B01D2">
        <w:rPr>
          <w:lang w:val="nl-BE" w:eastAsia="en-US"/>
        </w:rPr>
        <w:t xml:space="preserve"> regelen de artikelen </w:t>
      </w:r>
      <w:r w:rsidR="00E05527" w:rsidRPr="005B01D2">
        <w:rPr>
          <w:lang w:val="nl-BE" w:eastAsia="en-US"/>
        </w:rPr>
        <w:t xml:space="preserve">42-45 en </w:t>
      </w:r>
      <w:r w:rsidR="005A73AA" w:rsidRPr="005B01D2">
        <w:rPr>
          <w:lang w:val="nl-BE" w:eastAsia="en-US"/>
        </w:rPr>
        <w:t>5</w:t>
      </w:r>
      <w:r w:rsidR="00E05527" w:rsidRPr="005B01D2">
        <w:rPr>
          <w:lang w:val="nl-BE" w:eastAsia="en-US"/>
        </w:rPr>
        <w:t>4-</w:t>
      </w:r>
      <w:r w:rsidR="005A73AA" w:rsidRPr="005B01D2">
        <w:rPr>
          <w:lang w:val="nl-BE" w:eastAsia="en-US"/>
        </w:rPr>
        <w:t>6</w:t>
      </w:r>
      <w:r w:rsidR="00546E8A" w:rsidRPr="005B01D2">
        <w:rPr>
          <w:lang w:val="nl-BE" w:eastAsia="en-US"/>
        </w:rPr>
        <w:t>8</w:t>
      </w:r>
      <w:r w:rsidR="005A73AA" w:rsidRPr="005B01D2">
        <w:rPr>
          <w:lang w:val="nl-BE" w:eastAsia="en-US"/>
        </w:rPr>
        <w:t xml:space="preserve"> van het Weens Verdragenverdrag de situatie</w:t>
      </w:r>
      <w:r w:rsidR="0083626B" w:rsidRPr="005B01D2">
        <w:rPr>
          <w:lang w:val="nl-BE" w:eastAsia="en-US"/>
        </w:rPr>
        <w:t>, maar niet sluitend.</w:t>
      </w:r>
      <w:r w:rsidR="00556323" w:rsidRPr="005B01D2">
        <w:rPr>
          <w:rStyle w:val="Voetnootmarkering"/>
          <w:lang w:val="nl-BE" w:eastAsia="en-US"/>
        </w:rPr>
        <w:footnoteReference w:id="208"/>
      </w:r>
      <w:r w:rsidR="0083626B" w:rsidRPr="005B01D2">
        <w:rPr>
          <w:lang w:val="nl-BE" w:eastAsia="en-US"/>
        </w:rPr>
        <w:t xml:space="preserve"> In beginsel kan eenzijdige opzegging niet, maar die mogelijkhe</w:t>
      </w:r>
      <w:r w:rsidR="00427AFC" w:rsidRPr="005B01D2">
        <w:rPr>
          <w:lang w:val="nl-BE"/>
        </w:rPr>
        <w:t xml:space="preserve">id wordt toch aanvaard wanneer </w:t>
      </w:r>
      <w:r w:rsidR="00333C71" w:rsidRPr="005B01D2">
        <w:rPr>
          <w:lang w:val="nl-BE"/>
        </w:rPr>
        <w:t xml:space="preserve">bv. </w:t>
      </w:r>
      <w:r w:rsidR="00427AFC" w:rsidRPr="005B01D2">
        <w:rPr>
          <w:lang w:val="nl-BE"/>
        </w:rPr>
        <w:t>vaststaat, dat de partijen de bedoeling hadden de mogelijkheid van opzegging of terugtrekking toe te laten of wanneer het recht op opzegging of terugtrekking uit de aard van het verdrag kan worden afgeleid</w:t>
      </w:r>
      <w:r w:rsidR="009B4EA7" w:rsidRPr="005B01D2">
        <w:rPr>
          <w:lang w:val="nl-BE"/>
        </w:rPr>
        <w:t xml:space="preserve">, </w:t>
      </w:r>
      <w:r w:rsidR="00597130" w:rsidRPr="005B01D2">
        <w:rPr>
          <w:lang w:val="nl-BE"/>
        </w:rPr>
        <w:t xml:space="preserve">of bv. in bijzondere situaties zoals </w:t>
      </w:r>
      <w:r w:rsidR="009B4EA7" w:rsidRPr="005B01D2">
        <w:rPr>
          <w:lang w:val="nl-BE"/>
        </w:rPr>
        <w:t>een materiële schending van het verdrag</w:t>
      </w:r>
      <w:r w:rsidR="00597130" w:rsidRPr="005B01D2">
        <w:rPr>
          <w:lang w:val="nl-BE"/>
        </w:rPr>
        <w:t>,</w:t>
      </w:r>
      <w:r w:rsidR="009B4EA7" w:rsidRPr="005B01D2">
        <w:rPr>
          <w:lang w:val="nl-BE"/>
        </w:rPr>
        <w:t xml:space="preserve"> wezenlijke verandering der omstandigheden</w:t>
      </w:r>
      <w:r w:rsidR="00597130" w:rsidRPr="005B01D2">
        <w:rPr>
          <w:lang w:val="nl-BE"/>
        </w:rPr>
        <w:t xml:space="preserve"> of </w:t>
      </w:r>
      <w:r w:rsidR="009D34EE" w:rsidRPr="005B01D2">
        <w:rPr>
          <w:lang w:val="nl-BE"/>
        </w:rPr>
        <w:t>een ondertussen obsoleet verdrag</w:t>
      </w:r>
      <w:r w:rsidR="00B83BE8" w:rsidRPr="005B01D2">
        <w:rPr>
          <w:lang w:val="nl-BE"/>
        </w:rPr>
        <w:t>.</w:t>
      </w:r>
      <w:r w:rsidR="0083626B" w:rsidRPr="005B01D2">
        <w:rPr>
          <w:lang w:val="nl-BE"/>
        </w:rPr>
        <w:t xml:space="preserve"> </w:t>
      </w:r>
      <w:r w:rsidR="00B83BE8" w:rsidRPr="005B01D2">
        <w:rPr>
          <w:lang w:val="nl-BE"/>
        </w:rPr>
        <w:t xml:space="preserve">Dit </w:t>
      </w:r>
      <w:r w:rsidR="009D34EE" w:rsidRPr="005B01D2">
        <w:rPr>
          <w:lang w:val="nl-BE"/>
        </w:rPr>
        <w:t>kan</w:t>
      </w:r>
      <w:r w:rsidR="0083626B" w:rsidRPr="005B01D2">
        <w:rPr>
          <w:lang w:val="nl-BE"/>
        </w:rPr>
        <w:t xml:space="preserve"> belangrijke uitleggingsproblemen met zich meebreng</w:t>
      </w:r>
      <w:r w:rsidR="009D34EE" w:rsidRPr="005B01D2">
        <w:rPr>
          <w:lang w:val="nl-BE"/>
        </w:rPr>
        <w:t>en</w:t>
      </w:r>
      <w:r w:rsidR="0083626B" w:rsidRPr="005B01D2">
        <w:rPr>
          <w:lang w:val="nl-BE"/>
        </w:rPr>
        <w:t xml:space="preserve">. </w:t>
      </w:r>
    </w:p>
    <w:p w14:paraId="644CEE23" w14:textId="77777777" w:rsidR="00D43D4C" w:rsidRDefault="00D43D4C" w:rsidP="00BE6E44">
      <w:pPr>
        <w:autoSpaceDE w:val="0"/>
        <w:adjustRightInd w:val="0"/>
        <w:jc w:val="both"/>
        <w:rPr>
          <w:lang w:val="nl-BE"/>
        </w:rPr>
      </w:pPr>
    </w:p>
    <w:p w14:paraId="23010837" w14:textId="32C580EF" w:rsidR="009D34EE" w:rsidRPr="005B01D2" w:rsidRDefault="000C428C" w:rsidP="00BE6E44">
      <w:pPr>
        <w:autoSpaceDE w:val="0"/>
        <w:adjustRightInd w:val="0"/>
        <w:jc w:val="both"/>
        <w:rPr>
          <w:lang w:val="nl-BE"/>
        </w:rPr>
      </w:pPr>
      <w:r w:rsidRPr="00B2070B">
        <w:rPr>
          <w:lang w:val="nl-BE"/>
        </w:rPr>
        <w:t>Voor</w:t>
      </w:r>
      <w:r w:rsidR="0083626B" w:rsidRPr="00B2070B">
        <w:rPr>
          <w:lang w:val="nl-BE"/>
        </w:rPr>
        <w:t xml:space="preserve"> </w:t>
      </w:r>
      <w:r w:rsidR="00EB26AF" w:rsidRPr="00B2070B">
        <w:rPr>
          <w:lang w:val="nl-BE"/>
        </w:rPr>
        <w:t>samenwerkingsakkoorden</w:t>
      </w:r>
      <w:r w:rsidR="0083626B" w:rsidRPr="005B01D2">
        <w:rPr>
          <w:lang w:val="nl-BE"/>
        </w:rPr>
        <w:t xml:space="preserve"> </w:t>
      </w:r>
      <w:r w:rsidR="00432D39" w:rsidRPr="005B01D2">
        <w:rPr>
          <w:lang w:val="nl-BE"/>
        </w:rPr>
        <w:t xml:space="preserve">is een eenzijdige opzegging </w:t>
      </w:r>
      <w:r w:rsidR="00EB26AF" w:rsidRPr="005B01D2">
        <w:rPr>
          <w:lang w:val="nl-BE"/>
        </w:rPr>
        <w:t>niet</w:t>
      </w:r>
      <w:r w:rsidR="00432D39" w:rsidRPr="005B01D2">
        <w:rPr>
          <w:lang w:val="nl-BE"/>
        </w:rPr>
        <w:t xml:space="preserve"> voorzien, en de klassieke adviespraktijk ging er dan ook van uit dat dit niet kan,</w:t>
      </w:r>
      <w:r w:rsidR="00432D39" w:rsidRPr="005B01D2">
        <w:rPr>
          <w:rStyle w:val="Voetnootmarkering"/>
          <w:lang w:val="nl-BE"/>
        </w:rPr>
        <w:footnoteReference w:id="209"/>
      </w:r>
      <w:r w:rsidR="00432D39" w:rsidRPr="005B01D2">
        <w:rPr>
          <w:lang w:val="nl-BE"/>
        </w:rPr>
        <w:t xml:space="preserve"> maar de vraag rijst of die</w:t>
      </w:r>
      <w:r w:rsidR="009A5A2B" w:rsidRPr="005B01D2">
        <w:rPr>
          <w:lang w:val="nl-BE"/>
        </w:rPr>
        <w:t xml:space="preserve"> radicale</w:t>
      </w:r>
      <w:r w:rsidR="00432D39" w:rsidRPr="005B01D2">
        <w:rPr>
          <w:lang w:val="nl-BE"/>
        </w:rPr>
        <w:t xml:space="preserve"> positie houdbaar blijft</w:t>
      </w:r>
      <w:r w:rsidR="009A5A2B" w:rsidRPr="005B01D2">
        <w:rPr>
          <w:lang w:val="nl-BE"/>
        </w:rPr>
        <w:t>.</w:t>
      </w:r>
      <w:r w:rsidR="006B0288">
        <w:rPr>
          <w:lang w:val="nl-BE"/>
        </w:rPr>
        <w:t xml:space="preserve"> </w:t>
      </w:r>
      <w:r w:rsidR="009A5A2B" w:rsidRPr="005B01D2">
        <w:rPr>
          <w:lang w:val="nl-BE"/>
        </w:rPr>
        <w:t xml:space="preserve">Naast de ambigue situatie van verdragen moet immers ook worden gewezen op de regeling voor </w:t>
      </w:r>
      <w:r w:rsidR="00EB26AF" w:rsidRPr="005B01D2">
        <w:rPr>
          <w:lang w:val="nl-BE"/>
        </w:rPr>
        <w:t>gezamenlijke decreten</w:t>
      </w:r>
      <w:r w:rsidR="009A5A2B" w:rsidRPr="005B01D2">
        <w:rPr>
          <w:lang w:val="nl-BE"/>
        </w:rPr>
        <w:t>. Daarvoor bepaalt artikel 92</w:t>
      </w:r>
      <w:r w:rsidR="009A5A2B" w:rsidRPr="005B01D2">
        <w:rPr>
          <w:i/>
          <w:iCs/>
          <w:lang w:val="nl-BE"/>
        </w:rPr>
        <w:t>bis</w:t>
      </w:r>
      <w:r w:rsidR="009A5A2B" w:rsidRPr="005B01D2">
        <w:rPr>
          <w:lang w:val="nl-BE"/>
        </w:rPr>
        <w:t xml:space="preserve">/1, § 4, tweede lid, BWHI immers dat dergelijke instrumenten ook door </w:t>
      </w:r>
      <w:r w:rsidR="009D34EE" w:rsidRPr="005B01D2">
        <w:rPr>
          <w:lang w:val="nl-BE"/>
        </w:rPr>
        <w:t>het</w:t>
      </w:r>
      <w:r w:rsidR="009A5A2B" w:rsidRPr="005B01D2">
        <w:rPr>
          <w:lang w:val="nl-BE"/>
        </w:rPr>
        <w:t xml:space="preserve"> parlement </w:t>
      </w:r>
      <w:r w:rsidR="009D34EE" w:rsidRPr="005B01D2">
        <w:rPr>
          <w:lang w:val="nl-BE"/>
        </w:rPr>
        <w:t xml:space="preserve">van één partij </w:t>
      </w:r>
      <w:r w:rsidR="009A5A2B" w:rsidRPr="005B01D2">
        <w:rPr>
          <w:lang w:val="nl-BE"/>
        </w:rPr>
        <w:t>kunnen worden opgeheven “na overleg”.</w:t>
      </w:r>
      <w:r w:rsidR="00532022">
        <w:rPr>
          <w:lang w:val="nl-BE"/>
        </w:rPr>
        <w:t xml:space="preserve"> </w:t>
      </w:r>
      <w:r w:rsidRPr="00B2070B">
        <w:rPr>
          <w:lang w:val="nl-NL"/>
        </w:rPr>
        <w:t>Merk op dat de bijzondere wetgever er bij het uitwerken van de eenzijdige opheffing van gezamenlijke decreten vanuit ging dat ook een samenwerkingsakkoord steeds eenzijdig kan worden opgeheven, hetzij volgens de modaliteiten opgenomen in het samenwerkingsakkoord, hetzij door het respecteren van een redelijke opzegtermijn</w:t>
      </w:r>
      <w:r w:rsidR="00532022">
        <w:rPr>
          <w:lang w:val="nl-NL"/>
        </w:rPr>
        <w:t>.</w:t>
      </w:r>
      <w:r w:rsidR="00E6494D" w:rsidRPr="005B01D2">
        <w:rPr>
          <w:rStyle w:val="Voetnootmarkering"/>
          <w:lang w:val="nl-BE"/>
        </w:rPr>
        <w:footnoteReference w:id="210"/>
      </w:r>
      <w:r w:rsidR="009A5A2B" w:rsidRPr="005B01D2">
        <w:rPr>
          <w:lang w:val="nl-BE"/>
        </w:rPr>
        <w:t xml:space="preserve"> De Raad van State</w:t>
      </w:r>
      <w:r w:rsidR="00B83BE8" w:rsidRPr="005B01D2">
        <w:rPr>
          <w:lang w:val="nl-BE"/>
        </w:rPr>
        <w:t xml:space="preserve"> </w:t>
      </w:r>
      <w:r w:rsidR="009A5A2B" w:rsidRPr="005B01D2">
        <w:rPr>
          <w:lang w:val="nl-BE"/>
        </w:rPr>
        <w:t xml:space="preserve">heeft </w:t>
      </w:r>
      <w:r w:rsidR="00532022">
        <w:rPr>
          <w:lang w:val="nl-BE"/>
        </w:rPr>
        <w:t xml:space="preserve">de mogelijkheid van eenzijdige opzegging van gezamenlijke decreten </w:t>
      </w:r>
      <w:r w:rsidR="009A5A2B" w:rsidRPr="005B01D2">
        <w:rPr>
          <w:lang w:val="nl-BE"/>
        </w:rPr>
        <w:t xml:space="preserve">enigszins genuanceerd door dit eenzijdig optreden te onderwerpen aan </w:t>
      </w:r>
      <w:r w:rsidR="00B83BE8" w:rsidRPr="005B01D2">
        <w:rPr>
          <w:lang w:val="nl-BE"/>
        </w:rPr>
        <w:t xml:space="preserve">het beginsel van </w:t>
      </w:r>
      <w:r w:rsidR="009A5A2B" w:rsidRPr="005B01D2">
        <w:rPr>
          <w:lang w:val="nl-BE"/>
        </w:rPr>
        <w:t>de federale loyauteit en het uit te sluiten voor gezamenlijke decreten en ordonnanties die in de plaats zouden komen van een verplicht samenwerkingsakkoord,</w:t>
      </w:r>
      <w:r w:rsidR="00BE6E44" w:rsidRPr="005B01D2">
        <w:rPr>
          <w:rStyle w:val="Voetnootmarkering"/>
          <w:lang w:val="nl-BE"/>
        </w:rPr>
        <w:footnoteReference w:id="211"/>
      </w:r>
      <w:r w:rsidR="009A5A2B" w:rsidRPr="005B01D2">
        <w:rPr>
          <w:lang w:val="nl-BE"/>
        </w:rPr>
        <w:t xml:space="preserve"> maar het principe van de eenzijdige opzegging is </w:t>
      </w:r>
      <w:r w:rsidR="009D34EE" w:rsidRPr="005B01D2">
        <w:rPr>
          <w:lang w:val="nl-BE"/>
        </w:rPr>
        <w:t>wel</w:t>
      </w:r>
      <w:r w:rsidR="009A5A2B" w:rsidRPr="005B01D2">
        <w:rPr>
          <w:lang w:val="nl-BE"/>
        </w:rPr>
        <w:t xml:space="preserve"> overeind gebleven. Bovendien kan – zeker voor niet-regelgevende samenwerkingsakkoorden – ook de parallel worden gemaakt met contracten van onbepaalde duur, die naar ons burgerlijk recht juist wel steeds opzegbaar zijn</w:t>
      </w:r>
      <w:r w:rsidR="00BE6E44" w:rsidRPr="005B01D2">
        <w:rPr>
          <w:lang w:val="nl-BE"/>
        </w:rPr>
        <w:t>, gelet op het verbod op eeuwigdurende verbintenissen</w:t>
      </w:r>
      <w:r w:rsidR="009A5A2B" w:rsidRPr="005B01D2">
        <w:rPr>
          <w:lang w:val="nl-BE"/>
        </w:rPr>
        <w:t>.</w:t>
      </w:r>
      <w:r w:rsidR="00BE6E44" w:rsidRPr="005B01D2">
        <w:rPr>
          <w:rStyle w:val="Voetnootmarkering"/>
          <w:lang w:val="nl-BE"/>
        </w:rPr>
        <w:footnoteReference w:id="212"/>
      </w:r>
      <w:r w:rsidR="00BE6E44" w:rsidRPr="005B01D2">
        <w:rPr>
          <w:lang w:val="nl-BE"/>
        </w:rPr>
        <w:t xml:space="preserve"> Een dergelijk uitgangspunt, m.n. dat samenwerkingsakkoorden eenzijdig kunnen worden opgezegd, lijkt ook het meest in lijn te liggen van het beginsel van de autonomie van de deelstaten en de federale overheid</w:t>
      </w:r>
      <w:r w:rsidR="00BE6E44" w:rsidRPr="005B01D2">
        <w:rPr>
          <w:rStyle w:val="Voetnootmarkering"/>
        </w:rPr>
        <w:footnoteReference w:id="213"/>
      </w:r>
      <w:r w:rsidR="00BE6E44" w:rsidRPr="005B01D2">
        <w:rPr>
          <w:lang w:val="nl-BE"/>
        </w:rPr>
        <w:t xml:space="preserve"> en met het beginsel van de continuïteit en veranderlijkheid van de openbare dienst.</w:t>
      </w:r>
      <w:r w:rsidR="00BE6E44" w:rsidRPr="005B01D2">
        <w:rPr>
          <w:rStyle w:val="Voetnootmarkering"/>
        </w:rPr>
        <w:footnoteReference w:id="214"/>
      </w:r>
      <w:r w:rsidR="00BE6E44" w:rsidRPr="005B01D2">
        <w:rPr>
          <w:vertAlign w:val="superscript"/>
          <w:lang w:val="nl-BE"/>
        </w:rPr>
        <w:t>-</w:t>
      </w:r>
      <w:r w:rsidR="00BE6E44" w:rsidRPr="005B01D2">
        <w:rPr>
          <w:rStyle w:val="Voetnootmarkering"/>
        </w:rPr>
        <w:footnoteReference w:id="215"/>
      </w:r>
      <w:r w:rsidR="00BE6E44" w:rsidRPr="005B01D2">
        <w:rPr>
          <w:lang w:val="nl-BE"/>
        </w:rPr>
        <w:t xml:space="preserve"> </w:t>
      </w:r>
      <w:r w:rsidR="00A70D26">
        <w:rPr>
          <w:lang w:val="nl-BE"/>
        </w:rPr>
        <w:t>.</w:t>
      </w:r>
    </w:p>
    <w:p w14:paraId="79A4DC13" w14:textId="77777777" w:rsidR="009D34EE" w:rsidRPr="005B01D2" w:rsidRDefault="009D34EE" w:rsidP="00BE6E44">
      <w:pPr>
        <w:autoSpaceDE w:val="0"/>
        <w:adjustRightInd w:val="0"/>
        <w:jc w:val="both"/>
        <w:rPr>
          <w:lang w:val="nl-BE"/>
        </w:rPr>
      </w:pPr>
    </w:p>
    <w:p w14:paraId="449BCAA6" w14:textId="6B4FAAC8" w:rsidR="00BE6E44" w:rsidRPr="005B01D2" w:rsidRDefault="00BE6E44" w:rsidP="00BE6E44">
      <w:pPr>
        <w:autoSpaceDE w:val="0"/>
        <w:adjustRightInd w:val="0"/>
        <w:jc w:val="both"/>
        <w:rPr>
          <w:lang w:val="nl-BE"/>
        </w:rPr>
      </w:pPr>
      <w:r w:rsidRPr="005B01D2">
        <w:rPr>
          <w:lang w:val="nl-BE"/>
        </w:rPr>
        <w:t>De Raad van State heeft zich sinds</w:t>
      </w:r>
      <w:r w:rsidR="009D34EE" w:rsidRPr="005B01D2">
        <w:rPr>
          <w:lang w:val="nl-BE"/>
        </w:rPr>
        <w:t xml:space="preserve"> de invoering van gemeenschappelijke decreten </w:t>
      </w:r>
      <w:r w:rsidRPr="005B01D2">
        <w:rPr>
          <w:lang w:val="nl-BE"/>
        </w:rPr>
        <w:t>nog niet formeel uitgesproken over de mogelijkheid om samenwerkingsakkoorden</w:t>
      </w:r>
      <w:r w:rsidR="009D34EE" w:rsidRPr="005B01D2">
        <w:rPr>
          <w:lang w:val="nl-BE"/>
        </w:rPr>
        <w:t xml:space="preserve"> eenzijdig</w:t>
      </w:r>
      <w:r w:rsidRPr="005B01D2">
        <w:rPr>
          <w:lang w:val="nl-BE"/>
        </w:rPr>
        <w:t xml:space="preserve"> op te zeggen, maar in advies 59.829/AV werd </w:t>
      </w:r>
      <w:r w:rsidR="009D34EE" w:rsidRPr="005B01D2">
        <w:rPr>
          <w:lang w:val="nl-BE"/>
        </w:rPr>
        <w:t xml:space="preserve">wel al </w:t>
      </w:r>
      <w:r w:rsidRPr="005B01D2">
        <w:rPr>
          <w:lang w:val="nl-BE"/>
        </w:rPr>
        <w:t xml:space="preserve">de deur op een kier gezet, nu de Raad </w:t>
      </w:r>
      <w:r w:rsidR="00D74967" w:rsidRPr="005B01D2">
        <w:rPr>
          <w:lang w:val="nl-BE"/>
        </w:rPr>
        <w:t xml:space="preserve">dat </w:t>
      </w:r>
      <w:r w:rsidR="00D74967" w:rsidRPr="005B01D2">
        <w:rPr>
          <w:lang w:val="nl-BE"/>
        </w:rPr>
        <w:lastRenderedPageBreak/>
        <w:t>probleem blijkbaar voor een andere dag bewaart.</w:t>
      </w:r>
      <w:r w:rsidR="00D74967" w:rsidRPr="005B01D2">
        <w:rPr>
          <w:rStyle w:val="Voetnootmarkering"/>
          <w:lang w:val="nl-BE"/>
        </w:rPr>
        <w:footnoteReference w:id="216"/>
      </w:r>
      <w:r w:rsidR="00D74967" w:rsidRPr="005B01D2">
        <w:rPr>
          <w:lang w:val="nl-BE"/>
        </w:rPr>
        <w:t xml:space="preserve"> Het knelpunt lijkt vooral te zijn wat de modaliteiten van een dergelijke opzegging zouden moeten zijn, </w:t>
      </w:r>
      <w:r w:rsidR="00900AE2" w:rsidRPr="005B01D2">
        <w:rPr>
          <w:lang w:val="nl-BE"/>
        </w:rPr>
        <w:t xml:space="preserve">evenals </w:t>
      </w:r>
      <w:r w:rsidR="00D74967" w:rsidRPr="005B01D2">
        <w:rPr>
          <w:lang w:val="nl-BE"/>
        </w:rPr>
        <w:t>wat de rechtsgevolgen</w:t>
      </w:r>
      <w:r w:rsidR="009D34EE" w:rsidRPr="005B01D2">
        <w:rPr>
          <w:lang w:val="nl-BE"/>
        </w:rPr>
        <w:t xml:space="preserve"> ervan  –</w:t>
      </w:r>
      <w:r w:rsidR="00D74967" w:rsidRPr="005B01D2">
        <w:rPr>
          <w:lang w:val="nl-BE"/>
        </w:rPr>
        <w:t xml:space="preserve"> zowel voor de partij die opzegt, als voor de overige partijen</w:t>
      </w:r>
      <w:r w:rsidR="009D34EE" w:rsidRPr="005B01D2">
        <w:rPr>
          <w:lang w:val="nl-BE"/>
        </w:rPr>
        <w:t xml:space="preserve"> –</w:t>
      </w:r>
      <w:r w:rsidR="00900AE2" w:rsidRPr="005B01D2">
        <w:rPr>
          <w:lang w:val="nl-BE"/>
        </w:rPr>
        <w:t>zouden moeten zijn</w:t>
      </w:r>
      <w:r w:rsidR="00D74967" w:rsidRPr="005B01D2">
        <w:rPr>
          <w:lang w:val="nl-BE"/>
        </w:rPr>
        <w:t xml:space="preserve">. Daarom blijft het </w:t>
      </w:r>
      <w:r w:rsidR="00900AE2" w:rsidRPr="005B01D2">
        <w:rPr>
          <w:lang w:val="nl-BE"/>
        </w:rPr>
        <w:t xml:space="preserve">aangewezen dat de </w:t>
      </w:r>
      <w:r w:rsidR="00D74967" w:rsidRPr="005B01D2">
        <w:rPr>
          <w:lang w:val="nl-BE"/>
        </w:rPr>
        <w:t>partijen d</w:t>
      </w:r>
      <w:r w:rsidR="00900AE2" w:rsidRPr="005B01D2">
        <w:rPr>
          <w:lang w:val="nl-BE"/>
        </w:rPr>
        <w:t xml:space="preserve">eze hypothese uitdrukkelijk </w:t>
      </w:r>
      <w:r w:rsidR="00D74967" w:rsidRPr="005B01D2">
        <w:rPr>
          <w:lang w:val="nl-BE"/>
        </w:rPr>
        <w:t xml:space="preserve">zelf </w:t>
      </w:r>
      <w:r w:rsidR="009D34EE" w:rsidRPr="005B01D2">
        <w:rPr>
          <w:lang w:val="nl-BE"/>
        </w:rPr>
        <w:t xml:space="preserve">al bij aanvang </w:t>
      </w:r>
      <w:r w:rsidR="00900AE2" w:rsidRPr="005B01D2">
        <w:rPr>
          <w:lang w:val="nl-BE"/>
        </w:rPr>
        <w:t xml:space="preserve">in het samenwerkingsakkoord </w:t>
      </w:r>
      <w:r w:rsidR="00D74967" w:rsidRPr="005B01D2">
        <w:rPr>
          <w:lang w:val="nl-BE"/>
        </w:rPr>
        <w:t>regelen.</w:t>
      </w:r>
      <w:r w:rsidR="00D74967" w:rsidRPr="005B01D2">
        <w:rPr>
          <w:rStyle w:val="Voetnootmarkering"/>
          <w:lang w:val="nl-BE"/>
        </w:rPr>
        <w:footnoteReference w:id="217"/>
      </w:r>
    </w:p>
    <w:p w14:paraId="27BA24FD" w14:textId="77777777" w:rsidR="00427AFC" w:rsidRPr="005B01D2" w:rsidRDefault="00427AFC" w:rsidP="00427AFC">
      <w:pPr>
        <w:jc w:val="both"/>
        <w:rPr>
          <w:lang w:val="nl-BE"/>
        </w:rPr>
      </w:pPr>
    </w:p>
    <w:p w14:paraId="7ACBC605" w14:textId="683B9A81" w:rsidR="002203BB" w:rsidRPr="005B01D2" w:rsidRDefault="0046112F" w:rsidP="00427AFC">
      <w:pPr>
        <w:jc w:val="both"/>
        <w:rPr>
          <w:lang w:val="nl-BE"/>
        </w:rPr>
      </w:pPr>
      <w:r w:rsidRPr="005B01D2">
        <w:rPr>
          <w:lang w:val="nl-BE"/>
        </w:rPr>
        <w:t>40</w:t>
      </w:r>
      <w:r w:rsidR="004811F6" w:rsidRPr="005B01D2">
        <w:rPr>
          <w:lang w:val="nl-BE"/>
        </w:rPr>
        <w:t>.</w:t>
      </w:r>
      <w:r w:rsidR="004811F6" w:rsidRPr="005B01D2">
        <w:rPr>
          <w:lang w:val="nl-BE"/>
        </w:rPr>
        <w:tab/>
      </w:r>
      <w:r w:rsidR="002203BB" w:rsidRPr="005B01D2">
        <w:rPr>
          <w:lang w:val="nl-BE"/>
        </w:rPr>
        <w:t>De beëindiging van een gezamenlijk decreet is daarentegen wel geregeld in artikel 92</w:t>
      </w:r>
      <w:r w:rsidR="002203BB" w:rsidRPr="005B01D2">
        <w:rPr>
          <w:i/>
          <w:iCs/>
          <w:lang w:val="nl-BE"/>
        </w:rPr>
        <w:t>bis</w:t>
      </w:r>
      <w:r w:rsidR="002203BB" w:rsidRPr="005B01D2">
        <w:rPr>
          <w:lang w:val="nl-BE"/>
        </w:rPr>
        <w:t xml:space="preserve">/1, § 4, tweede </w:t>
      </w:r>
      <w:r w:rsidR="00193F73" w:rsidRPr="005B01D2">
        <w:rPr>
          <w:lang w:val="nl-BE"/>
        </w:rPr>
        <w:t xml:space="preserve">lid </w:t>
      </w:r>
      <w:r w:rsidR="00BA3794" w:rsidRPr="005B01D2">
        <w:rPr>
          <w:lang w:val="nl-BE"/>
        </w:rPr>
        <w:t xml:space="preserve">en derde </w:t>
      </w:r>
      <w:r w:rsidR="002203BB" w:rsidRPr="005B01D2">
        <w:rPr>
          <w:lang w:val="nl-BE"/>
        </w:rPr>
        <w:t xml:space="preserve">lid, </w:t>
      </w:r>
      <w:r w:rsidR="00193F73" w:rsidRPr="005B01D2">
        <w:rPr>
          <w:lang w:val="nl-BE"/>
        </w:rPr>
        <w:t xml:space="preserve">tweede zin, </w:t>
      </w:r>
      <w:r w:rsidR="002203BB" w:rsidRPr="005B01D2">
        <w:rPr>
          <w:lang w:val="nl-BE"/>
        </w:rPr>
        <w:t>BWHI maar d</w:t>
      </w:r>
      <w:r w:rsidR="00674B9A" w:rsidRPr="005B01D2">
        <w:rPr>
          <w:lang w:val="nl-BE"/>
        </w:rPr>
        <w:t>ie bepaling levert dan weer nieuwe complicaties op. Het eenvoudigst is het geval waarin de partijen gezamenlijk met een nieuw gezamenlijk decreet</w:t>
      </w:r>
      <w:r w:rsidR="00BA3794" w:rsidRPr="005B01D2">
        <w:rPr>
          <w:lang w:val="nl-BE"/>
        </w:rPr>
        <w:t xml:space="preserve"> of een nieuw samenwerkingsakkoord</w:t>
      </w:r>
      <w:r w:rsidR="00F21D30" w:rsidRPr="005B01D2">
        <w:rPr>
          <w:lang w:val="nl-BE"/>
        </w:rPr>
        <w:t xml:space="preserve"> </w:t>
      </w:r>
      <w:r w:rsidR="00674B9A" w:rsidRPr="005B01D2">
        <w:rPr>
          <w:lang w:val="nl-BE"/>
        </w:rPr>
        <w:t xml:space="preserve">een einde stellen aan het </w:t>
      </w:r>
      <w:r w:rsidR="00BA3794" w:rsidRPr="005B01D2">
        <w:rPr>
          <w:lang w:val="nl-BE"/>
        </w:rPr>
        <w:t>initiële gezamenlijke decreet</w:t>
      </w:r>
      <w:r w:rsidR="00674B9A" w:rsidRPr="005B01D2">
        <w:rPr>
          <w:lang w:val="nl-BE"/>
        </w:rPr>
        <w:t>, waarbij ze de regeling eenvoudigweg opheffen</w:t>
      </w:r>
      <w:r w:rsidR="00A87036" w:rsidRPr="00A87036">
        <w:rPr>
          <w:lang w:val="nl-BE"/>
        </w:rPr>
        <w:t xml:space="preserve"> </w:t>
      </w:r>
      <w:r w:rsidR="00674B9A" w:rsidRPr="005B01D2">
        <w:rPr>
          <w:lang w:val="nl-BE"/>
        </w:rPr>
        <w:t xml:space="preserve">of een nieuwe eenvormige regeling in de plaats stellen. Daarnaast kan een gezamenlijk decreet ook eenzijdig worden beëindigd, namelijk door het aannemen </w:t>
      </w:r>
      <w:r w:rsidR="004811F6" w:rsidRPr="005B01D2">
        <w:rPr>
          <w:lang w:val="nl-BE"/>
        </w:rPr>
        <w:t xml:space="preserve">door één van de partijen </w:t>
      </w:r>
      <w:r w:rsidR="00674B9A" w:rsidRPr="005B01D2">
        <w:rPr>
          <w:lang w:val="nl-BE"/>
        </w:rPr>
        <w:t xml:space="preserve">van een </w:t>
      </w:r>
      <w:r w:rsidR="004811F6" w:rsidRPr="005B01D2">
        <w:rPr>
          <w:lang w:val="nl-BE"/>
        </w:rPr>
        <w:t xml:space="preserve">ermee </w:t>
      </w:r>
      <w:r w:rsidR="00674B9A" w:rsidRPr="005B01D2">
        <w:rPr>
          <w:lang w:val="nl-BE"/>
        </w:rPr>
        <w:t xml:space="preserve">strijdig decreet. </w:t>
      </w:r>
      <w:r w:rsidR="00BA3794" w:rsidRPr="005B01D2">
        <w:rPr>
          <w:lang w:val="nl-BE"/>
        </w:rPr>
        <w:t xml:space="preserve">Uit de bijzondere wet blijkt dat </w:t>
      </w:r>
      <w:r w:rsidR="009861AD" w:rsidRPr="005B01D2">
        <w:rPr>
          <w:lang w:val="nl-BE"/>
        </w:rPr>
        <w:t>hier</w:t>
      </w:r>
      <w:r w:rsidR="00BA3794" w:rsidRPr="005B01D2">
        <w:rPr>
          <w:lang w:val="nl-BE"/>
        </w:rPr>
        <w:t xml:space="preserve"> overleg aan moet voorafgaan. </w:t>
      </w:r>
      <w:r w:rsidR="009861AD" w:rsidRPr="005B01D2">
        <w:rPr>
          <w:lang w:val="nl-BE"/>
        </w:rPr>
        <w:t xml:space="preserve">Hiermee </w:t>
      </w:r>
      <w:r w:rsidR="004811F6" w:rsidRPr="005B01D2">
        <w:rPr>
          <w:lang w:val="nl-BE"/>
        </w:rPr>
        <w:t>combineert de bijzonde</w:t>
      </w:r>
      <w:r w:rsidR="00F85F2A">
        <w:rPr>
          <w:lang w:val="nl-BE"/>
        </w:rPr>
        <w:t>r</w:t>
      </w:r>
      <w:r w:rsidR="004811F6" w:rsidRPr="005B01D2">
        <w:rPr>
          <w:lang w:val="nl-BE"/>
        </w:rPr>
        <w:t xml:space="preserve">e wetgever </w:t>
      </w:r>
      <w:r w:rsidR="009861AD" w:rsidRPr="005B01D2">
        <w:rPr>
          <w:lang w:val="nl-BE"/>
        </w:rPr>
        <w:t xml:space="preserve">twee procedures: </w:t>
      </w:r>
      <w:r w:rsidR="00400D75">
        <w:rPr>
          <w:lang w:val="nl-BE"/>
        </w:rPr>
        <w:t>enerzijds</w:t>
      </w:r>
      <w:r w:rsidR="004811F6" w:rsidRPr="005B01D2">
        <w:rPr>
          <w:lang w:val="nl-BE"/>
        </w:rPr>
        <w:t xml:space="preserve"> </w:t>
      </w:r>
      <w:r w:rsidR="009861AD" w:rsidRPr="005B01D2">
        <w:rPr>
          <w:lang w:val="nl-BE"/>
        </w:rPr>
        <w:t>een redelijke opzegtermijn</w:t>
      </w:r>
      <w:r w:rsidR="009D43FF" w:rsidRPr="005B01D2">
        <w:rPr>
          <w:lang w:val="nl-BE"/>
        </w:rPr>
        <w:t>,</w:t>
      </w:r>
      <w:r w:rsidR="009861AD" w:rsidRPr="005B01D2">
        <w:rPr>
          <w:lang w:val="nl-BE"/>
        </w:rPr>
        <w:t xml:space="preserve"> </w:t>
      </w:r>
      <w:r w:rsidR="009D43FF" w:rsidRPr="005B01D2">
        <w:rPr>
          <w:lang w:val="nl-BE"/>
        </w:rPr>
        <w:t xml:space="preserve">tijdens dewelke </w:t>
      </w:r>
      <w:r w:rsidR="00400D75">
        <w:rPr>
          <w:lang w:val="nl-BE"/>
        </w:rPr>
        <w:t>anderzijds</w:t>
      </w:r>
      <w:r w:rsidR="00400D75">
        <w:rPr>
          <w:lang w:val="nl-BE"/>
        </w:rPr>
        <w:t xml:space="preserve"> </w:t>
      </w:r>
      <w:r w:rsidR="002A7507">
        <w:rPr>
          <w:lang w:val="nl-BE"/>
        </w:rPr>
        <w:t xml:space="preserve">ook </w:t>
      </w:r>
      <w:r w:rsidR="009D43FF" w:rsidRPr="005B01D2">
        <w:rPr>
          <w:lang w:val="nl-BE"/>
        </w:rPr>
        <w:t xml:space="preserve">een poging </w:t>
      </w:r>
      <w:r w:rsidR="004811F6" w:rsidRPr="005B01D2">
        <w:rPr>
          <w:lang w:val="nl-BE"/>
        </w:rPr>
        <w:t xml:space="preserve">moet worden gedaan om </w:t>
      </w:r>
      <w:r w:rsidR="009D43FF" w:rsidRPr="005B01D2">
        <w:rPr>
          <w:lang w:val="nl-BE"/>
        </w:rPr>
        <w:t>overeenstemming te bereiken.</w:t>
      </w:r>
      <w:r w:rsidR="009D43FF" w:rsidRPr="005B01D2">
        <w:rPr>
          <w:rStyle w:val="Voetnootmarkering"/>
          <w:lang w:val="nl-BE"/>
        </w:rPr>
        <w:footnoteReference w:id="218"/>
      </w:r>
      <w:r w:rsidR="009D43FF" w:rsidRPr="005B01D2">
        <w:rPr>
          <w:lang w:val="nl-BE"/>
        </w:rPr>
        <w:t xml:space="preserve"> De omstandigheden voor het aanwenden van deze procedure en het verloop ervan kunnen worden beoordeeld in het licht van het evenredigheidsbeginsel en in het licht van het beginsel van de federale loyauteit, maar op het einde van de rit </w:t>
      </w:r>
      <w:r w:rsidR="00A87036" w:rsidRPr="00A87036">
        <w:rPr>
          <w:lang w:val="nl-NL"/>
        </w:rPr>
        <w:t xml:space="preserve">kan de </w:t>
      </w:r>
      <w:r w:rsidR="009D43FF" w:rsidRPr="005B01D2">
        <w:rPr>
          <w:lang w:val="nl-BE"/>
        </w:rPr>
        <w:t xml:space="preserve">initiërende partij </w:t>
      </w:r>
      <w:r w:rsidR="00400D75">
        <w:rPr>
          <w:lang w:val="nl-BE"/>
        </w:rPr>
        <w:t xml:space="preserve">het gezamenlijk decreet </w:t>
      </w:r>
      <w:r w:rsidR="009D43FF" w:rsidRPr="005B01D2">
        <w:rPr>
          <w:lang w:val="nl-BE"/>
        </w:rPr>
        <w:t>unilateraal opheffen.</w:t>
      </w:r>
      <w:r w:rsidR="009D43FF" w:rsidRPr="005B01D2">
        <w:rPr>
          <w:rStyle w:val="Voetnootmarkering"/>
          <w:lang w:val="nl-BE"/>
        </w:rPr>
        <w:footnoteReference w:id="219"/>
      </w:r>
      <w:r w:rsidR="009D43FF" w:rsidRPr="005B01D2">
        <w:rPr>
          <w:lang w:val="nl-BE"/>
        </w:rPr>
        <w:t xml:space="preserve"> </w:t>
      </w:r>
      <w:r w:rsidR="00A87036" w:rsidRPr="00A87036">
        <w:rPr>
          <w:lang w:val="nl-BE"/>
        </w:rPr>
        <w:t xml:space="preserve">Indien de </w:t>
      </w:r>
      <w:r w:rsidR="004811F6" w:rsidRPr="005B01D2">
        <w:rPr>
          <w:lang w:val="nl-BE"/>
        </w:rPr>
        <w:t>opheffing</w:t>
      </w:r>
      <w:r w:rsidR="00A87036" w:rsidRPr="00A87036">
        <w:rPr>
          <w:lang w:val="nl-BE"/>
        </w:rPr>
        <w:t xml:space="preserve"> eenzijdig gebeurt</w:t>
      </w:r>
      <w:r w:rsidR="00193F73" w:rsidRPr="005B01D2">
        <w:rPr>
          <w:lang w:val="nl-BE"/>
        </w:rPr>
        <w:t>,</w:t>
      </w:r>
      <w:r w:rsidR="00A87036" w:rsidRPr="00A87036">
        <w:rPr>
          <w:lang w:val="nl-BE"/>
        </w:rPr>
        <w:t xml:space="preserve"> houdt het gezamenlijk decreet ook niet </w:t>
      </w:r>
      <w:r w:rsidR="003A32C5" w:rsidRPr="005B01D2">
        <w:rPr>
          <w:lang w:val="nl-BE"/>
        </w:rPr>
        <w:t xml:space="preserve">automatisch </w:t>
      </w:r>
      <w:r w:rsidR="00A87036" w:rsidRPr="00A87036">
        <w:rPr>
          <w:lang w:val="nl-BE"/>
        </w:rPr>
        <w:t xml:space="preserve">op </w:t>
      </w:r>
      <w:r w:rsidR="00193F73" w:rsidRPr="005B01D2">
        <w:rPr>
          <w:lang w:val="nl-BE"/>
        </w:rPr>
        <w:t xml:space="preserve">als interne wetgevende akten </w:t>
      </w:r>
      <w:r w:rsidR="00A87036" w:rsidRPr="00A87036">
        <w:rPr>
          <w:lang w:val="nl-BE"/>
        </w:rPr>
        <w:t>in de rechtsorde van de andere partij</w:t>
      </w:r>
      <w:r w:rsidR="00193F73" w:rsidRPr="005B01D2">
        <w:rPr>
          <w:lang w:val="nl-BE"/>
        </w:rPr>
        <w:t xml:space="preserve"> of partij</w:t>
      </w:r>
      <w:r w:rsidR="00A87036" w:rsidRPr="00A87036">
        <w:rPr>
          <w:lang w:val="nl-BE"/>
        </w:rPr>
        <w:t>en.</w:t>
      </w:r>
      <w:r w:rsidR="00193F73" w:rsidRPr="005B01D2">
        <w:rPr>
          <w:rStyle w:val="Voetnootmarkering"/>
          <w:lang w:val="nl-BE"/>
        </w:rPr>
        <w:footnoteReference w:id="220"/>
      </w:r>
      <w:r w:rsidR="00A87036" w:rsidRPr="00A87036">
        <w:rPr>
          <w:lang w:val="nl-BE"/>
        </w:rPr>
        <w:t xml:space="preserve"> </w:t>
      </w:r>
      <w:r w:rsidR="003A32C5" w:rsidRPr="005B01D2">
        <w:rPr>
          <w:lang w:val="nl-BE"/>
        </w:rPr>
        <w:t>Wel</w:t>
      </w:r>
      <w:r w:rsidR="00A87036" w:rsidRPr="00A87036">
        <w:rPr>
          <w:lang w:val="nl-BE"/>
        </w:rPr>
        <w:t xml:space="preserve"> kan worden aangenomen dat na de eenzijdige </w:t>
      </w:r>
      <w:r w:rsidR="00674B9A" w:rsidRPr="005B01D2">
        <w:rPr>
          <w:lang w:val="nl-BE"/>
        </w:rPr>
        <w:t>opheffing</w:t>
      </w:r>
      <w:r w:rsidR="00A87036" w:rsidRPr="00A87036">
        <w:rPr>
          <w:lang w:val="nl-BE"/>
        </w:rPr>
        <w:t xml:space="preserve"> van een gezamenlijk decreet </w:t>
      </w:r>
      <w:r w:rsidR="003A32C5" w:rsidRPr="005B01D2">
        <w:rPr>
          <w:lang w:val="nl-BE"/>
        </w:rPr>
        <w:t>de</w:t>
      </w:r>
      <w:r w:rsidR="00A87036" w:rsidRPr="00A87036">
        <w:rPr>
          <w:lang w:val="nl-BE"/>
        </w:rPr>
        <w:t xml:space="preserve"> wederzijdse verplichtingen tussen de partijen </w:t>
      </w:r>
      <w:r w:rsidR="00E24949" w:rsidRPr="005B01D2">
        <w:rPr>
          <w:lang w:val="nl-BE"/>
        </w:rPr>
        <w:t xml:space="preserve">onderling </w:t>
      </w:r>
      <w:r w:rsidR="00A87036" w:rsidRPr="00A87036">
        <w:rPr>
          <w:lang w:val="nl-BE"/>
        </w:rPr>
        <w:t>komen te vervallen</w:t>
      </w:r>
      <w:r w:rsidR="00193F73" w:rsidRPr="005B01D2">
        <w:rPr>
          <w:lang w:val="nl-BE"/>
        </w:rPr>
        <w:t xml:space="preserve"> in de relatie met </w:t>
      </w:r>
      <w:r w:rsidR="00A87036" w:rsidRPr="00A87036">
        <w:rPr>
          <w:lang w:val="nl-BE"/>
        </w:rPr>
        <w:t xml:space="preserve">de partij die eenzijdige het gezamenlijk decreet heeft </w:t>
      </w:r>
      <w:r w:rsidR="00674B9A" w:rsidRPr="005B01D2">
        <w:rPr>
          <w:lang w:val="nl-BE"/>
        </w:rPr>
        <w:t>opgeheven</w:t>
      </w:r>
      <w:r w:rsidR="00193F73" w:rsidRPr="005B01D2">
        <w:rPr>
          <w:lang w:val="nl-BE"/>
        </w:rPr>
        <w:t>.</w:t>
      </w:r>
      <w:r w:rsidR="00A87036" w:rsidRPr="00A87036">
        <w:rPr>
          <w:lang w:val="nl-BE"/>
        </w:rPr>
        <w:t xml:space="preserve"> </w:t>
      </w:r>
      <w:r w:rsidR="00193F73" w:rsidRPr="005B01D2">
        <w:rPr>
          <w:lang w:val="nl-BE"/>
        </w:rPr>
        <w:t>D</w:t>
      </w:r>
      <w:r w:rsidR="00A87036" w:rsidRPr="00A87036">
        <w:rPr>
          <w:lang w:val="nl-BE"/>
        </w:rPr>
        <w:t xml:space="preserve">e </w:t>
      </w:r>
      <w:r w:rsidR="003A32C5" w:rsidRPr="005B01D2">
        <w:rPr>
          <w:lang w:val="nl-BE"/>
        </w:rPr>
        <w:t xml:space="preserve">overgebleven </w:t>
      </w:r>
      <w:r w:rsidR="00A87036" w:rsidRPr="00A87036">
        <w:rPr>
          <w:lang w:val="nl-BE"/>
        </w:rPr>
        <w:t xml:space="preserve">partijen </w:t>
      </w:r>
      <w:r w:rsidR="003A32C5" w:rsidRPr="005B01D2">
        <w:rPr>
          <w:lang w:val="nl-BE"/>
        </w:rPr>
        <w:t>kunnen dan onderling verder gaan</w:t>
      </w:r>
      <w:r w:rsidR="003A32C5" w:rsidRPr="005B01D2">
        <w:rPr>
          <w:rStyle w:val="Voetnootmarkering"/>
          <w:lang w:val="nl-BE"/>
        </w:rPr>
        <w:footnoteReference w:id="221"/>
      </w:r>
      <w:r w:rsidR="003A32C5" w:rsidRPr="005B01D2">
        <w:rPr>
          <w:lang w:val="nl-BE"/>
        </w:rPr>
        <w:t xml:space="preserve"> of beslissen om </w:t>
      </w:r>
      <w:r w:rsidR="00A87036" w:rsidRPr="00A87036">
        <w:rPr>
          <w:lang w:val="nl-BE"/>
        </w:rPr>
        <w:t xml:space="preserve">elk </w:t>
      </w:r>
      <w:r w:rsidR="004811F6" w:rsidRPr="005B01D2">
        <w:rPr>
          <w:lang w:val="nl-BE"/>
        </w:rPr>
        <w:t xml:space="preserve">ook </w:t>
      </w:r>
      <w:r w:rsidR="00A87036" w:rsidRPr="00A87036">
        <w:rPr>
          <w:lang w:val="nl-BE"/>
        </w:rPr>
        <w:t xml:space="preserve">hun eigen weg </w:t>
      </w:r>
      <w:r w:rsidR="003A32C5" w:rsidRPr="005B01D2">
        <w:rPr>
          <w:lang w:val="nl-BE"/>
        </w:rPr>
        <w:t>te</w:t>
      </w:r>
      <w:r w:rsidR="00A87036" w:rsidRPr="00A87036">
        <w:rPr>
          <w:lang w:val="nl-BE"/>
        </w:rPr>
        <w:t xml:space="preserve"> gaan </w:t>
      </w:r>
      <w:r w:rsidR="00E24949" w:rsidRPr="005B01D2">
        <w:rPr>
          <w:lang w:val="nl-BE"/>
        </w:rPr>
        <w:t xml:space="preserve">door het gezamenlijk decreet op hun beurt op te </w:t>
      </w:r>
      <w:r w:rsidR="003A32C5" w:rsidRPr="005B01D2">
        <w:rPr>
          <w:lang w:val="nl-BE"/>
        </w:rPr>
        <w:t>heffen</w:t>
      </w:r>
      <w:r w:rsidR="00A87036" w:rsidRPr="00A87036">
        <w:rPr>
          <w:lang w:val="nl-BE"/>
        </w:rPr>
        <w:t xml:space="preserve">. </w:t>
      </w:r>
    </w:p>
    <w:p w14:paraId="7678A83F" w14:textId="77777777" w:rsidR="00BF1948" w:rsidRDefault="0017387F">
      <w:pPr>
        <w:pStyle w:val="Kop1"/>
        <w:ind w:left="851"/>
        <w:jc w:val="both"/>
        <w:rPr>
          <w:rFonts w:ascii="Times New Roman" w:hAnsi="Times New Roman" w:cs="Times New Roman"/>
          <w:sz w:val="24"/>
          <w:szCs w:val="24"/>
          <w:lang w:val="nl-BE"/>
        </w:rPr>
      </w:pPr>
      <w:r>
        <w:rPr>
          <w:rFonts w:ascii="Times New Roman" w:hAnsi="Times New Roman" w:cs="Times New Roman"/>
          <w:sz w:val="24"/>
          <w:szCs w:val="24"/>
          <w:lang w:val="nl-BE"/>
        </w:rPr>
        <w:t xml:space="preserve">XI. </w:t>
      </w:r>
      <w:r w:rsidR="00EB26AF" w:rsidRPr="005B01D2">
        <w:rPr>
          <w:rFonts w:ascii="Times New Roman" w:hAnsi="Times New Roman" w:cs="Times New Roman"/>
          <w:sz w:val="24"/>
          <w:szCs w:val="24"/>
          <w:lang w:val="nl-BE"/>
        </w:rPr>
        <w:t>Besluit</w:t>
      </w:r>
    </w:p>
    <w:p w14:paraId="0DDB7199" w14:textId="77777777" w:rsidR="00DB1352" w:rsidRPr="005B01D2" w:rsidRDefault="00DB1352">
      <w:pPr>
        <w:pBdr>
          <w:bottom w:val="single" w:sz="6" w:space="1" w:color="auto"/>
        </w:pBdr>
        <w:jc w:val="both"/>
        <w:rPr>
          <w:lang w:val="nl-BE"/>
        </w:rPr>
      </w:pPr>
    </w:p>
    <w:p w14:paraId="36A1C609" w14:textId="77777777" w:rsidR="008940DD" w:rsidRPr="005B01D2" w:rsidRDefault="004811F6" w:rsidP="00DB1352">
      <w:pPr>
        <w:pBdr>
          <w:bottom w:val="single" w:sz="6" w:space="1" w:color="auto"/>
        </w:pBdr>
        <w:jc w:val="both"/>
        <w:rPr>
          <w:lang w:val="nl-BE"/>
        </w:rPr>
      </w:pPr>
      <w:r w:rsidRPr="005B01D2">
        <w:rPr>
          <w:lang w:val="nl-BE"/>
        </w:rPr>
        <w:t>4</w:t>
      </w:r>
      <w:r w:rsidR="0046112F" w:rsidRPr="005B01D2">
        <w:rPr>
          <w:lang w:val="nl-BE"/>
        </w:rPr>
        <w:t>1</w:t>
      </w:r>
      <w:r w:rsidR="00DB1352" w:rsidRPr="005B01D2">
        <w:rPr>
          <w:lang w:val="nl-BE"/>
        </w:rPr>
        <w:t>.</w:t>
      </w:r>
      <w:r w:rsidR="00DB1352" w:rsidRPr="005B01D2">
        <w:rPr>
          <w:lang w:val="nl-BE"/>
        </w:rPr>
        <w:tab/>
        <w:t xml:space="preserve">In deze bijdrage </w:t>
      </w:r>
      <w:r w:rsidR="0011463A" w:rsidRPr="005B01D2">
        <w:rPr>
          <w:lang w:val="nl-BE"/>
        </w:rPr>
        <w:t>onderzochten we</w:t>
      </w:r>
      <w:r w:rsidR="00DB1352" w:rsidRPr="005B01D2">
        <w:rPr>
          <w:lang w:val="nl-BE"/>
        </w:rPr>
        <w:t xml:space="preserve"> </w:t>
      </w:r>
      <w:r w:rsidR="0011463A" w:rsidRPr="005B01D2">
        <w:rPr>
          <w:lang w:val="nl-BE"/>
        </w:rPr>
        <w:t>het rechtskader voor</w:t>
      </w:r>
      <w:r w:rsidR="00DB1352" w:rsidRPr="005B01D2">
        <w:rPr>
          <w:lang w:val="nl-BE"/>
        </w:rPr>
        <w:t xml:space="preserve"> samenwerkingsakkoorden in de Belgische rechtsorde. Het rechtskader voor samenwerkingsakkoorden is slechts heel beperkt geregeld in de artikelen </w:t>
      </w:r>
      <w:r w:rsidR="00886D91" w:rsidRPr="005B01D2">
        <w:rPr>
          <w:lang w:val="nl-BE"/>
        </w:rPr>
        <w:t>92</w:t>
      </w:r>
      <w:r w:rsidR="00A87036" w:rsidRPr="00A87036">
        <w:rPr>
          <w:i/>
          <w:lang w:val="nl-BE"/>
        </w:rPr>
        <w:t>bis</w:t>
      </w:r>
      <w:r w:rsidR="00886D91" w:rsidRPr="005B01D2">
        <w:rPr>
          <w:lang w:val="nl-BE"/>
        </w:rPr>
        <w:t>, §§ 1, 5 en 6,</w:t>
      </w:r>
      <w:r w:rsidR="00E608D8" w:rsidRPr="005B01D2">
        <w:rPr>
          <w:lang w:val="nl-BE"/>
        </w:rPr>
        <w:t xml:space="preserve"> en 92</w:t>
      </w:r>
      <w:r w:rsidR="00A87036" w:rsidRPr="00A87036">
        <w:rPr>
          <w:i/>
          <w:lang w:val="nl-BE"/>
        </w:rPr>
        <w:t>bis</w:t>
      </w:r>
      <w:r w:rsidR="00E608D8" w:rsidRPr="005B01D2">
        <w:rPr>
          <w:lang w:val="nl-BE"/>
        </w:rPr>
        <w:t>/1, §4, derde lid, BWHI</w:t>
      </w:r>
      <w:r w:rsidR="00DB1352" w:rsidRPr="005B01D2">
        <w:rPr>
          <w:lang w:val="nl-BE"/>
        </w:rPr>
        <w:t xml:space="preserve">. </w:t>
      </w:r>
      <w:r w:rsidRPr="005B01D2">
        <w:rPr>
          <w:lang w:val="nl-BE"/>
        </w:rPr>
        <w:t>De</w:t>
      </w:r>
      <w:r w:rsidR="00DB1352" w:rsidRPr="005B01D2">
        <w:rPr>
          <w:lang w:val="nl-BE"/>
        </w:rPr>
        <w:t xml:space="preserve"> Zesde Staatshervorming </w:t>
      </w:r>
      <w:r w:rsidRPr="005B01D2">
        <w:rPr>
          <w:lang w:val="nl-BE"/>
        </w:rPr>
        <w:t xml:space="preserve">heeft </w:t>
      </w:r>
      <w:r w:rsidR="00DB1352" w:rsidRPr="005B01D2">
        <w:rPr>
          <w:lang w:val="nl-BE"/>
        </w:rPr>
        <w:t>dat kader verrijkt. In de eerste plaats is er nu een formeel rechtskader voor uitvoerende samenwerkingsakkoorden, waaruit de Raad van State</w:t>
      </w:r>
      <w:r w:rsidR="00225953" w:rsidRPr="005B01D2">
        <w:rPr>
          <w:lang w:val="nl-BE"/>
        </w:rPr>
        <w:t xml:space="preserve"> </w:t>
      </w:r>
      <w:r w:rsidR="00DB1352" w:rsidRPr="005B01D2">
        <w:rPr>
          <w:lang w:val="nl-BE"/>
        </w:rPr>
        <w:t xml:space="preserve">– die door een vergetelheid van de wetgever over die uitvoerende samenwerkingsakkoorden zelf geen advies mag geven </w:t>
      </w:r>
      <w:r w:rsidR="008940DD" w:rsidRPr="005B01D2">
        <w:rPr>
          <w:lang w:val="nl-BE"/>
        </w:rPr>
        <w:t>–</w:t>
      </w:r>
      <w:r w:rsidR="00DB1352" w:rsidRPr="005B01D2">
        <w:rPr>
          <w:lang w:val="nl-BE"/>
        </w:rPr>
        <w:t xml:space="preserve"> </w:t>
      </w:r>
      <w:r w:rsidR="008940DD" w:rsidRPr="005B01D2">
        <w:rPr>
          <w:lang w:val="nl-BE"/>
        </w:rPr>
        <w:t xml:space="preserve">bovendien een versterkt legaliteitsbeginsel heeft afgeleid. Bovendien is er nu ook een kader voor gezamenlijke decreten en ordonnanties, dat eigenlijk op een aantal punten, zoals de eenzijdige opzegging, beter is uitgewerkt dan de regeling voor samenwerkingsakkoorden. De vraag dringt zich dan ook op of die twee instrumenten, die de </w:t>
      </w:r>
      <w:r w:rsidR="008940DD" w:rsidRPr="005B01D2">
        <w:rPr>
          <w:lang w:val="nl-BE"/>
        </w:rPr>
        <w:lastRenderedPageBreak/>
        <w:t xml:space="preserve">bijzondere wetgever grotendeels als inwisselbaar lijkt te beschouwen, op die punten bijgevolg niet wat meer naar elkaar moeten toegroeien. </w:t>
      </w:r>
    </w:p>
    <w:p w14:paraId="77371DBC" w14:textId="77777777" w:rsidR="008940DD" w:rsidRPr="005B01D2" w:rsidRDefault="008940DD" w:rsidP="00DB1352">
      <w:pPr>
        <w:pBdr>
          <w:bottom w:val="single" w:sz="6" w:space="1" w:color="auto"/>
        </w:pBdr>
        <w:jc w:val="both"/>
        <w:rPr>
          <w:lang w:val="nl-BE"/>
        </w:rPr>
      </w:pPr>
    </w:p>
    <w:p w14:paraId="187CA6AB" w14:textId="77777777" w:rsidR="00D20B58" w:rsidRDefault="0046112F" w:rsidP="00D20B58">
      <w:pPr>
        <w:pBdr>
          <w:bottom w:val="single" w:sz="6" w:space="1" w:color="auto"/>
        </w:pBdr>
        <w:jc w:val="both"/>
        <w:rPr>
          <w:lang w:val="nl-BE"/>
        </w:rPr>
      </w:pPr>
      <w:r w:rsidRPr="005B01D2">
        <w:rPr>
          <w:lang w:val="nl-BE"/>
        </w:rPr>
        <w:t>42</w:t>
      </w:r>
      <w:r w:rsidR="008940DD" w:rsidRPr="005B01D2">
        <w:rPr>
          <w:lang w:val="nl-BE"/>
        </w:rPr>
        <w:t>.</w:t>
      </w:r>
      <w:r w:rsidR="008940DD" w:rsidRPr="005B01D2">
        <w:rPr>
          <w:lang w:val="nl-BE"/>
        </w:rPr>
        <w:tab/>
        <w:t xml:space="preserve">Als centrale rechtsvraag vroegen we ons af of ook de analogie met verdragen een inspiratiebron kan </w:t>
      </w:r>
      <w:r w:rsidR="00225953" w:rsidRPr="005B01D2">
        <w:rPr>
          <w:lang w:val="nl-BE"/>
        </w:rPr>
        <w:t xml:space="preserve">zijn en </w:t>
      </w:r>
      <w:r w:rsidR="008940DD" w:rsidRPr="005B01D2">
        <w:rPr>
          <w:lang w:val="nl-BE"/>
        </w:rPr>
        <w:t xml:space="preserve">blijven om het statuut van samenwerkingsakkoorden verder uit te </w:t>
      </w:r>
      <w:r w:rsidR="00225953" w:rsidRPr="005B01D2">
        <w:rPr>
          <w:lang w:val="nl-BE"/>
        </w:rPr>
        <w:t xml:space="preserve">klaren of uit te </w:t>
      </w:r>
      <w:r w:rsidR="008940DD" w:rsidRPr="005B01D2">
        <w:rPr>
          <w:lang w:val="nl-BE"/>
        </w:rPr>
        <w:t xml:space="preserve">werken, </w:t>
      </w:r>
      <w:r w:rsidR="004811F6" w:rsidRPr="005B01D2">
        <w:rPr>
          <w:lang w:val="nl-BE"/>
        </w:rPr>
        <w:t xml:space="preserve">voor de gevallen </w:t>
      </w:r>
      <w:r w:rsidR="008940DD" w:rsidRPr="005B01D2">
        <w:rPr>
          <w:lang w:val="nl-BE"/>
        </w:rPr>
        <w:t xml:space="preserve">waar de bijzondere wetgever in gebreke is gebleven. Het antwoord is: het hangt ervan af. </w:t>
      </w:r>
    </w:p>
    <w:p w14:paraId="01129ADC" w14:textId="77777777" w:rsidR="00D20B58" w:rsidRDefault="00D20B58" w:rsidP="00D20B58">
      <w:pPr>
        <w:pBdr>
          <w:bottom w:val="single" w:sz="6" w:space="1" w:color="auto"/>
        </w:pBdr>
        <w:jc w:val="both"/>
        <w:rPr>
          <w:lang w:val="nl-BE"/>
        </w:rPr>
      </w:pPr>
    </w:p>
    <w:p w14:paraId="41CB87E5" w14:textId="77777777" w:rsidR="00D20B58" w:rsidRPr="00E93D19" w:rsidRDefault="00D20B58" w:rsidP="00D20B58">
      <w:pPr>
        <w:pBdr>
          <w:bottom w:val="single" w:sz="6" w:space="1" w:color="auto"/>
        </w:pBdr>
        <w:jc w:val="both"/>
        <w:rPr>
          <w:lang w:val="nl-BE"/>
        </w:rPr>
      </w:pPr>
      <w:r w:rsidRPr="00E93D19">
        <w:rPr>
          <w:bCs/>
          <w:lang w:val="nl-BE"/>
        </w:rPr>
        <w:t>43</w:t>
      </w:r>
      <w:r w:rsidRPr="00E93D19">
        <w:rPr>
          <w:lang w:val="nl-BE"/>
        </w:rPr>
        <w:t>.</w:t>
      </w:r>
      <w:r w:rsidRPr="00E93D19">
        <w:rPr>
          <w:lang w:val="nl-BE"/>
        </w:rPr>
        <w:tab/>
        <w:t xml:space="preserve">Het uitgangspunt van deze bijdrage is de gelijkenis tussen samenwerkingsakkoorden en verdragen, in die zin dat ze beide </w:t>
      </w:r>
      <w:r w:rsidRPr="00E93D19">
        <w:rPr>
          <w:i/>
          <w:lang w:val="nl-BE"/>
        </w:rPr>
        <w:t>overeenkomsten</w:t>
      </w:r>
      <w:r w:rsidRPr="00E93D19">
        <w:rPr>
          <w:lang w:val="nl-BE"/>
        </w:rPr>
        <w:t xml:space="preserve"> zijn, gesloten tussen autonome bevoegde overheden, die </w:t>
      </w:r>
      <w:r w:rsidRPr="00E93D19">
        <w:rPr>
          <w:i/>
          <w:lang w:val="nl-BE"/>
        </w:rPr>
        <w:t>juridisch</w:t>
      </w:r>
      <w:r w:rsidRPr="00E93D19">
        <w:rPr>
          <w:lang w:val="nl-BE"/>
        </w:rPr>
        <w:t xml:space="preserve"> verbindend zijn en die zelfs normatieve werking kunnen hebben voor </w:t>
      </w:r>
      <w:r w:rsidRPr="00E93D19">
        <w:rPr>
          <w:i/>
          <w:lang w:val="nl-BE"/>
        </w:rPr>
        <w:t>particulieren</w:t>
      </w:r>
      <w:r w:rsidRPr="00E93D19">
        <w:rPr>
          <w:lang w:val="nl-BE"/>
        </w:rPr>
        <w:t>. Met andere woorden, beide instrumenten kunnen bijgevolg verordenende bepalingen bevatten die rechtstreeks toepasselijk zijn op burgers (</w:t>
      </w:r>
      <w:r w:rsidRPr="00E93D19">
        <w:rPr>
          <w:i/>
          <w:lang w:val="nl-BE"/>
        </w:rPr>
        <w:t xml:space="preserve">supra </w:t>
      </w:r>
      <w:r w:rsidRPr="00E93D19">
        <w:rPr>
          <w:lang w:val="nl-BE"/>
        </w:rPr>
        <w:t>nr. 6). Die gelijkenis moet echter genuanceerd worden omwille van het verschillende toepasselijke rechtskader, en de verschillende politieke context waarin ze moeten worden ingezet (</w:t>
      </w:r>
      <w:r w:rsidRPr="00E93D19">
        <w:rPr>
          <w:i/>
          <w:lang w:val="nl-BE"/>
        </w:rPr>
        <w:t xml:space="preserve">supra </w:t>
      </w:r>
      <w:r w:rsidRPr="00E93D19">
        <w:rPr>
          <w:lang w:val="nl-BE"/>
        </w:rPr>
        <w:t xml:space="preserve">nrs. 7 en 29). </w:t>
      </w:r>
    </w:p>
    <w:p w14:paraId="382928D8" w14:textId="77777777" w:rsidR="00D20B58" w:rsidRDefault="00D20B58" w:rsidP="00DB1352">
      <w:pPr>
        <w:pBdr>
          <w:bottom w:val="single" w:sz="6" w:space="1" w:color="auto"/>
        </w:pBdr>
        <w:jc w:val="both"/>
        <w:rPr>
          <w:lang w:val="nl-BE"/>
        </w:rPr>
      </w:pPr>
    </w:p>
    <w:p w14:paraId="7DBE814E" w14:textId="081F9BDC" w:rsidR="00D9315B" w:rsidRPr="005B01D2" w:rsidRDefault="008940DD">
      <w:pPr>
        <w:pBdr>
          <w:bottom w:val="single" w:sz="6" w:space="1" w:color="auto"/>
        </w:pBdr>
        <w:jc w:val="both"/>
        <w:rPr>
          <w:lang w:val="nl-BE"/>
        </w:rPr>
      </w:pPr>
      <w:r w:rsidRPr="005B01D2">
        <w:rPr>
          <w:lang w:val="nl-BE"/>
        </w:rPr>
        <w:t xml:space="preserve">Verdragen zijn als consensueel instrument een goed referentiepunt voor </w:t>
      </w:r>
      <w:r w:rsidR="006E5CBD" w:rsidRPr="005B01D2">
        <w:rPr>
          <w:lang w:val="nl-BE"/>
        </w:rPr>
        <w:t xml:space="preserve">verschillende </w:t>
      </w:r>
      <w:r w:rsidRPr="005B01D2">
        <w:rPr>
          <w:lang w:val="nl-BE"/>
        </w:rPr>
        <w:t xml:space="preserve">vragen </w:t>
      </w:r>
      <w:r w:rsidR="006E5CBD" w:rsidRPr="005B01D2">
        <w:rPr>
          <w:lang w:val="nl-BE"/>
        </w:rPr>
        <w:t xml:space="preserve">zoals o.m. </w:t>
      </w:r>
      <w:r w:rsidRPr="005B01D2">
        <w:rPr>
          <w:lang w:val="nl-BE"/>
        </w:rPr>
        <w:t xml:space="preserve">met betrekking tot de autonomie van de partijen met betrekking tot </w:t>
      </w:r>
      <w:r w:rsidR="00225953" w:rsidRPr="005B01D2">
        <w:rPr>
          <w:lang w:val="nl-BE"/>
        </w:rPr>
        <w:t xml:space="preserve">de </w:t>
      </w:r>
      <w:r w:rsidRPr="005B01D2">
        <w:rPr>
          <w:lang w:val="nl-BE"/>
        </w:rPr>
        <w:t>interpretatie en wijziging van overeenkomsten</w:t>
      </w:r>
      <w:r w:rsidR="008C72EF" w:rsidRPr="005B01D2">
        <w:rPr>
          <w:lang w:val="nl-BE"/>
        </w:rPr>
        <w:t xml:space="preserve"> (</w:t>
      </w:r>
      <w:r w:rsidR="00A87036" w:rsidRPr="00A87036">
        <w:rPr>
          <w:i/>
          <w:lang w:val="nl-BE"/>
        </w:rPr>
        <w:t>supra</w:t>
      </w:r>
      <w:r w:rsidR="008C72EF" w:rsidRPr="005B01D2">
        <w:rPr>
          <w:lang w:val="nl-BE"/>
        </w:rPr>
        <w:t xml:space="preserve"> nr. </w:t>
      </w:r>
      <w:r w:rsidR="000C428C" w:rsidRPr="00B2070B">
        <w:rPr>
          <w:lang w:val="nl-BE"/>
        </w:rPr>
        <w:t>6</w:t>
      </w:r>
      <w:r w:rsidR="008C72EF" w:rsidRPr="005B01D2">
        <w:rPr>
          <w:lang w:val="nl-BE"/>
        </w:rPr>
        <w:t>), de mogelijkheid voor partiële werking, voorbehouden (</w:t>
      </w:r>
      <w:r w:rsidR="008C72EF" w:rsidRPr="005B01D2">
        <w:rPr>
          <w:i/>
          <w:lang w:val="nl-BE"/>
        </w:rPr>
        <w:t xml:space="preserve">supra </w:t>
      </w:r>
      <w:r w:rsidR="008C72EF" w:rsidRPr="005B01D2">
        <w:rPr>
          <w:lang w:val="nl-BE"/>
        </w:rPr>
        <w:t xml:space="preserve">nr. </w:t>
      </w:r>
      <w:r w:rsidR="000C428C" w:rsidRPr="00B2070B">
        <w:rPr>
          <w:lang w:val="nl-BE"/>
        </w:rPr>
        <w:t>15</w:t>
      </w:r>
      <w:r w:rsidR="008C72EF" w:rsidRPr="005B01D2">
        <w:rPr>
          <w:lang w:val="nl-BE"/>
        </w:rPr>
        <w:t>), voorlopige toepassing en terugwerkende kracht (</w:t>
      </w:r>
      <w:r w:rsidR="008C72EF" w:rsidRPr="005B01D2">
        <w:rPr>
          <w:i/>
          <w:lang w:val="nl-BE"/>
        </w:rPr>
        <w:t xml:space="preserve">supra </w:t>
      </w:r>
      <w:r w:rsidR="008C72EF" w:rsidRPr="005B01D2">
        <w:rPr>
          <w:lang w:val="nl-BE"/>
        </w:rPr>
        <w:t xml:space="preserve">nrs. </w:t>
      </w:r>
      <w:r w:rsidR="000C428C" w:rsidRPr="00B2070B">
        <w:rPr>
          <w:lang w:val="nl-BE"/>
        </w:rPr>
        <w:t>17 en 18</w:t>
      </w:r>
      <w:r w:rsidR="008C72EF" w:rsidRPr="005B01D2">
        <w:rPr>
          <w:lang w:val="nl-BE"/>
        </w:rPr>
        <w:t>)</w:t>
      </w:r>
      <w:r w:rsidRPr="005B01D2">
        <w:rPr>
          <w:lang w:val="nl-BE"/>
        </w:rPr>
        <w:t xml:space="preserve">. Daar staat </w:t>
      </w:r>
      <w:r w:rsidR="00225953" w:rsidRPr="005B01D2">
        <w:rPr>
          <w:lang w:val="nl-BE"/>
        </w:rPr>
        <w:t xml:space="preserve">dan weer </w:t>
      </w:r>
      <w:r w:rsidRPr="005B01D2">
        <w:rPr>
          <w:lang w:val="nl-BE"/>
        </w:rPr>
        <w:t xml:space="preserve">tegenover dat samenwerkingsakkoorden in de eerste plaats een intern rechtsinstrument zijn, met een beperkt aantal interne overheden als partijen en – </w:t>
      </w:r>
      <w:r w:rsidR="004811F6" w:rsidRPr="005B01D2">
        <w:rPr>
          <w:lang w:val="nl-BE"/>
        </w:rPr>
        <w:t xml:space="preserve">behoudens voor administratieve </w:t>
      </w:r>
      <w:r w:rsidRPr="005B01D2">
        <w:rPr>
          <w:lang w:val="nl-BE"/>
        </w:rPr>
        <w:t xml:space="preserve">samenwerkingsakkoorden – </w:t>
      </w:r>
      <w:r w:rsidR="004F321A">
        <w:rPr>
          <w:lang w:val="nl-BE"/>
        </w:rPr>
        <w:t>hun bestaan</w:t>
      </w:r>
      <w:r w:rsidRPr="005B01D2">
        <w:rPr>
          <w:lang w:val="nl-BE"/>
        </w:rPr>
        <w:t xml:space="preserve"> volledig </w:t>
      </w:r>
      <w:r w:rsidR="004F321A">
        <w:rPr>
          <w:lang w:val="nl-BE"/>
        </w:rPr>
        <w:t>danken</w:t>
      </w:r>
      <w:r w:rsidRPr="005B01D2">
        <w:rPr>
          <w:lang w:val="nl-BE"/>
        </w:rPr>
        <w:t xml:space="preserve"> aan de parlementaire instemming, terwijl </w:t>
      </w:r>
      <w:r w:rsidR="004811F6" w:rsidRPr="005B01D2">
        <w:rPr>
          <w:lang w:val="nl-BE"/>
        </w:rPr>
        <w:t>bij verdragen ook vreemde overheden partij zijn</w:t>
      </w:r>
      <w:r w:rsidR="003C0F9B" w:rsidRPr="005B01D2">
        <w:rPr>
          <w:lang w:val="nl-BE"/>
        </w:rPr>
        <w:t xml:space="preserve"> en deze </w:t>
      </w:r>
      <w:r w:rsidRPr="005B01D2">
        <w:rPr>
          <w:lang w:val="nl-BE"/>
        </w:rPr>
        <w:t>ook zonder parlementaire instemming</w:t>
      </w:r>
      <w:r w:rsidR="005349BF" w:rsidRPr="005B01D2">
        <w:rPr>
          <w:lang w:val="nl-BE"/>
        </w:rPr>
        <w:t xml:space="preserve"> </w:t>
      </w:r>
      <w:r w:rsidR="00225953" w:rsidRPr="005B01D2">
        <w:rPr>
          <w:lang w:val="nl-BE"/>
        </w:rPr>
        <w:t xml:space="preserve">al enige </w:t>
      </w:r>
      <w:r w:rsidR="005349BF" w:rsidRPr="005B01D2">
        <w:rPr>
          <w:lang w:val="nl-BE"/>
        </w:rPr>
        <w:t xml:space="preserve">rechtsgevolgen </w:t>
      </w:r>
      <w:r w:rsidR="00225953" w:rsidRPr="005B01D2">
        <w:rPr>
          <w:lang w:val="nl-BE"/>
        </w:rPr>
        <w:t xml:space="preserve">zouden </w:t>
      </w:r>
      <w:r w:rsidR="005349BF" w:rsidRPr="005B01D2">
        <w:rPr>
          <w:lang w:val="nl-BE"/>
        </w:rPr>
        <w:t>kunnen hebben</w:t>
      </w:r>
      <w:r w:rsidR="008C72EF" w:rsidRPr="005B01D2">
        <w:rPr>
          <w:lang w:val="nl-BE"/>
        </w:rPr>
        <w:t xml:space="preserve"> (</w:t>
      </w:r>
      <w:r w:rsidR="008C72EF" w:rsidRPr="005B01D2">
        <w:rPr>
          <w:i/>
          <w:lang w:val="nl-BE"/>
        </w:rPr>
        <w:t xml:space="preserve">supra </w:t>
      </w:r>
      <w:r w:rsidR="008C72EF" w:rsidRPr="005B01D2">
        <w:rPr>
          <w:lang w:val="nl-BE"/>
        </w:rPr>
        <w:t xml:space="preserve">nr. </w:t>
      </w:r>
      <w:r w:rsidR="000C428C" w:rsidRPr="00B2070B">
        <w:rPr>
          <w:lang w:val="nl-BE"/>
        </w:rPr>
        <w:t>13</w:t>
      </w:r>
      <w:r w:rsidR="008C72EF" w:rsidRPr="005B01D2">
        <w:rPr>
          <w:lang w:val="nl-BE"/>
        </w:rPr>
        <w:t>)</w:t>
      </w:r>
      <w:r w:rsidRPr="005B01D2">
        <w:rPr>
          <w:lang w:val="nl-BE"/>
        </w:rPr>
        <w:t>.</w:t>
      </w:r>
      <w:r w:rsidR="00225953" w:rsidRPr="005B01D2">
        <w:rPr>
          <w:rStyle w:val="Voetnootmarkering"/>
          <w:lang w:val="nl-BE"/>
        </w:rPr>
        <w:footnoteReference w:id="222"/>
      </w:r>
      <w:r w:rsidRPr="005B01D2">
        <w:rPr>
          <w:lang w:val="nl-BE"/>
        </w:rPr>
        <w:t xml:space="preserve"> Dat maakt dat </w:t>
      </w:r>
      <w:r w:rsidR="003C0F9B" w:rsidRPr="005B01D2">
        <w:rPr>
          <w:lang w:val="nl-BE"/>
        </w:rPr>
        <w:t xml:space="preserve">de Belgische rechter voor verdragen soms wat meer flexibiliteit toont en dat </w:t>
      </w:r>
      <w:r w:rsidR="005349BF" w:rsidRPr="005B01D2">
        <w:rPr>
          <w:lang w:val="nl-BE"/>
        </w:rPr>
        <w:t>aspecten die verband houden met die instemming</w:t>
      </w:r>
      <w:r w:rsidR="00BA421D">
        <w:rPr>
          <w:lang w:val="nl-BE"/>
        </w:rPr>
        <w:t xml:space="preserve"> van </w:t>
      </w:r>
      <w:r w:rsidR="005349BF" w:rsidRPr="005B01D2">
        <w:rPr>
          <w:lang w:val="nl-BE"/>
        </w:rPr>
        <w:t>samenwerkingsakkoorden aan afwijkende</w:t>
      </w:r>
      <w:r w:rsidR="003C0F9B" w:rsidRPr="005B01D2">
        <w:rPr>
          <w:lang w:val="nl-BE"/>
        </w:rPr>
        <w:t>, striktere</w:t>
      </w:r>
      <w:r w:rsidR="005349BF" w:rsidRPr="005B01D2">
        <w:rPr>
          <w:lang w:val="nl-BE"/>
        </w:rPr>
        <w:t xml:space="preserve"> waarborgen zijn onderworpen.</w:t>
      </w:r>
    </w:p>
    <w:p w14:paraId="10739256" w14:textId="012F26BF" w:rsidR="00D9315B" w:rsidRPr="005B01D2" w:rsidRDefault="000C428C">
      <w:pPr>
        <w:pBdr>
          <w:bottom w:val="single" w:sz="6" w:space="1" w:color="auto"/>
        </w:pBdr>
        <w:jc w:val="both"/>
        <w:rPr>
          <w:lang w:val="nl-BE"/>
        </w:rPr>
      </w:pPr>
      <w:r w:rsidRPr="00B2070B">
        <w:rPr>
          <w:lang w:val="nl-BE"/>
        </w:rPr>
        <w:t>44.</w:t>
      </w:r>
      <w:r w:rsidRPr="00B2070B">
        <w:rPr>
          <w:lang w:val="nl-BE"/>
        </w:rPr>
        <w:tab/>
        <w:t>Als we kijken</w:t>
      </w:r>
      <w:r w:rsidR="00D9315B" w:rsidRPr="00B942B9">
        <w:rPr>
          <w:lang w:val="nl-BE"/>
        </w:rPr>
        <w:t xml:space="preserve"> naar</w:t>
      </w:r>
      <w:r w:rsidR="00D9315B" w:rsidRPr="005B01D2">
        <w:rPr>
          <w:lang w:val="nl-BE"/>
        </w:rPr>
        <w:t xml:space="preserve"> de totstandkoming en sluiting, en ook naar de wijziging</w:t>
      </w:r>
      <w:r w:rsidR="002B07F8" w:rsidRPr="005B01D2">
        <w:rPr>
          <w:lang w:val="nl-BE"/>
        </w:rPr>
        <w:t>, van verdragen en samenwerkingsakkoorden</w:t>
      </w:r>
      <w:r w:rsidR="00D9315B" w:rsidRPr="005B01D2">
        <w:rPr>
          <w:lang w:val="nl-BE"/>
        </w:rPr>
        <w:t xml:space="preserve"> stellen we vast hoe </w:t>
      </w:r>
      <w:r w:rsidR="00B93106" w:rsidRPr="005B01D2">
        <w:rPr>
          <w:lang w:val="nl-BE"/>
        </w:rPr>
        <w:t>vo</w:t>
      </w:r>
      <w:r w:rsidR="002B07F8" w:rsidRPr="005B01D2">
        <w:rPr>
          <w:lang w:val="nl-BE"/>
        </w:rPr>
        <w:t xml:space="preserve">or beide instrumenten </w:t>
      </w:r>
      <w:r w:rsidR="00D9315B" w:rsidRPr="005B01D2">
        <w:rPr>
          <w:lang w:val="nl-BE"/>
        </w:rPr>
        <w:t xml:space="preserve">de rol van het parlement </w:t>
      </w:r>
      <w:r w:rsidR="003C0F9B" w:rsidRPr="005B01D2">
        <w:rPr>
          <w:lang w:val="nl-BE"/>
        </w:rPr>
        <w:t>sowieso eerder</w:t>
      </w:r>
      <w:r w:rsidR="00D9315B" w:rsidRPr="005B01D2">
        <w:rPr>
          <w:lang w:val="nl-BE"/>
        </w:rPr>
        <w:t xml:space="preserve"> beperkt is</w:t>
      </w:r>
      <w:r w:rsidR="003C0F9B" w:rsidRPr="005B01D2">
        <w:rPr>
          <w:lang w:val="nl-BE"/>
        </w:rPr>
        <w:t xml:space="preserve"> (</w:t>
      </w:r>
      <w:r w:rsidR="00A87036" w:rsidRPr="00A87036">
        <w:rPr>
          <w:i/>
          <w:lang w:val="nl-BE"/>
        </w:rPr>
        <w:t>supra</w:t>
      </w:r>
      <w:r w:rsidR="003C0F9B" w:rsidRPr="005B01D2">
        <w:rPr>
          <w:lang w:val="nl-BE"/>
        </w:rPr>
        <w:t xml:space="preserve"> nr. </w:t>
      </w:r>
      <w:r w:rsidRPr="00B2070B">
        <w:rPr>
          <w:lang w:val="nl-BE"/>
        </w:rPr>
        <w:t>15</w:t>
      </w:r>
      <w:r w:rsidR="003C0F9B" w:rsidRPr="005B01D2">
        <w:rPr>
          <w:lang w:val="nl-BE"/>
        </w:rPr>
        <w:t>)</w:t>
      </w:r>
      <w:r w:rsidR="00D9315B" w:rsidRPr="005B01D2">
        <w:rPr>
          <w:lang w:val="nl-BE"/>
        </w:rPr>
        <w:t xml:space="preserve">. Toch zijn er betere vooruitzichten voor samenwerkingsakkoorden. </w:t>
      </w:r>
      <w:r w:rsidR="0087127B">
        <w:rPr>
          <w:lang w:val="nl-BE"/>
        </w:rPr>
        <w:t xml:space="preserve">We viseren hiermee niet zozeer de mogelijkheid om interparlementaire samenwerkingsakkoorden te sluiten. Deze mogelijkheid is immers relatief beperkt tot aangelegenheden die behoren tot het prerogatief van het parlement, en binnen die marge kunnen onze parlementen overigens ook </w:t>
      </w:r>
      <w:r w:rsidR="009A27D9">
        <w:rPr>
          <w:lang w:val="nl-BE"/>
        </w:rPr>
        <w:t xml:space="preserve">bv. </w:t>
      </w:r>
      <w:r w:rsidR="0087127B">
        <w:rPr>
          <w:lang w:val="nl-BE"/>
        </w:rPr>
        <w:t>internationale interparlementaire samenwerking aangaan, en in dit kader akkoorden sluiten</w:t>
      </w:r>
      <w:r w:rsidR="0073270A" w:rsidRPr="005B01D2">
        <w:rPr>
          <w:lang w:val="nl-BE"/>
        </w:rPr>
        <w:t xml:space="preserve"> (</w:t>
      </w:r>
      <w:r w:rsidR="0073270A" w:rsidRPr="005B01D2">
        <w:rPr>
          <w:i/>
          <w:lang w:val="nl-BE"/>
        </w:rPr>
        <w:t xml:space="preserve">supra </w:t>
      </w:r>
      <w:r w:rsidR="0073270A" w:rsidRPr="005B01D2">
        <w:rPr>
          <w:lang w:val="nl-BE"/>
        </w:rPr>
        <w:t xml:space="preserve">nr. </w:t>
      </w:r>
      <w:r w:rsidRPr="00B2070B">
        <w:rPr>
          <w:lang w:val="nl-BE"/>
        </w:rPr>
        <w:t>9</w:t>
      </w:r>
      <w:r w:rsidR="0073270A" w:rsidRPr="005B01D2">
        <w:rPr>
          <w:lang w:val="nl-BE"/>
        </w:rPr>
        <w:t>)</w:t>
      </w:r>
      <w:r w:rsidR="0087127B">
        <w:rPr>
          <w:lang w:val="nl-BE"/>
        </w:rPr>
        <w:t xml:space="preserve">. We viseren hiermee </w:t>
      </w:r>
      <w:r w:rsidR="009A27D9">
        <w:rPr>
          <w:lang w:val="nl-BE"/>
        </w:rPr>
        <w:t>enerzijds het versterkt legaliteitsbeginsel waardoor de essentiële beleidskeuzes in het (basis)samenwerkingsakkoord moeten staan dat ter instemming aan de wetgever wordt voorgelegd</w:t>
      </w:r>
      <w:r w:rsidR="00B942B9">
        <w:rPr>
          <w:lang w:val="nl-BE"/>
        </w:rPr>
        <w:t xml:space="preserve"> (</w:t>
      </w:r>
      <w:r w:rsidRPr="00B2070B">
        <w:rPr>
          <w:i/>
          <w:lang w:val="nl-BE"/>
        </w:rPr>
        <w:t>supra</w:t>
      </w:r>
      <w:r w:rsidR="00B942B9">
        <w:rPr>
          <w:lang w:val="nl-BE"/>
        </w:rPr>
        <w:t xml:space="preserve"> nr. 24)</w:t>
      </w:r>
      <w:r w:rsidR="009A27D9">
        <w:rPr>
          <w:lang w:val="nl-BE"/>
        </w:rPr>
        <w:t xml:space="preserve">, en anderzijds, het </w:t>
      </w:r>
      <w:r w:rsidR="00D9315B" w:rsidRPr="005B01D2">
        <w:rPr>
          <w:lang w:val="nl-BE"/>
        </w:rPr>
        <w:t>artikel 92</w:t>
      </w:r>
      <w:r w:rsidR="00A87036" w:rsidRPr="00A87036">
        <w:rPr>
          <w:i/>
          <w:lang w:val="nl-BE"/>
        </w:rPr>
        <w:t>bis</w:t>
      </w:r>
      <w:r w:rsidR="00D9315B" w:rsidRPr="005B01D2">
        <w:rPr>
          <w:lang w:val="nl-BE"/>
        </w:rPr>
        <w:t xml:space="preserve">/1,§ 2, </w:t>
      </w:r>
      <w:r w:rsidR="000C4F26">
        <w:rPr>
          <w:lang w:val="nl-BE"/>
        </w:rPr>
        <w:t>BWHI</w:t>
      </w:r>
      <w:r w:rsidR="00D9315B" w:rsidRPr="005B01D2">
        <w:rPr>
          <w:lang w:val="nl-BE"/>
        </w:rPr>
        <w:t xml:space="preserve"> </w:t>
      </w:r>
      <w:r w:rsidR="0087127B">
        <w:rPr>
          <w:lang w:val="nl-BE"/>
        </w:rPr>
        <w:t xml:space="preserve">dat </w:t>
      </w:r>
      <w:r w:rsidR="00D9315B" w:rsidRPr="005B01D2">
        <w:rPr>
          <w:lang w:val="nl-BE"/>
        </w:rPr>
        <w:t>uitdrukkelijk in een initiatief</w:t>
      </w:r>
      <w:r w:rsidR="0073270A" w:rsidRPr="005B01D2">
        <w:rPr>
          <w:lang w:val="nl-BE"/>
        </w:rPr>
        <w:t>s- en amenderings</w:t>
      </w:r>
      <w:r w:rsidR="00D9315B" w:rsidRPr="005B01D2">
        <w:rPr>
          <w:lang w:val="nl-BE"/>
        </w:rPr>
        <w:t xml:space="preserve">recht voor het parlement met betrekking tot gezamenlijke decreten </w:t>
      </w:r>
      <w:r w:rsidR="0087127B">
        <w:rPr>
          <w:lang w:val="nl-BE"/>
        </w:rPr>
        <w:t xml:space="preserve">voorziet en </w:t>
      </w:r>
      <w:r w:rsidR="00400D75">
        <w:rPr>
          <w:lang w:val="nl-BE"/>
        </w:rPr>
        <w:t>dat</w:t>
      </w:r>
      <w:r w:rsidR="003C0F9B" w:rsidRPr="005B01D2">
        <w:rPr>
          <w:lang w:val="nl-BE"/>
        </w:rPr>
        <w:t xml:space="preserve"> op het eerste zich</w:t>
      </w:r>
      <w:r w:rsidR="009A27D9">
        <w:rPr>
          <w:lang w:val="nl-BE"/>
        </w:rPr>
        <w:t>t</w:t>
      </w:r>
      <w:r w:rsidR="003C0F9B" w:rsidRPr="005B01D2">
        <w:rPr>
          <w:lang w:val="nl-BE"/>
        </w:rPr>
        <w:t xml:space="preserve"> </w:t>
      </w:r>
      <w:proofErr w:type="spellStart"/>
      <w:r w:rsidR="003C0F9B" w:rsidRPr="005B01D2">
        <w:rPr>
          <w:lang w:val="nl-BE"/>
        </w:rPr>
        <w:t>transponeerbaar</w:t>
      </w:r>
      <w:proofErr w:type="spellEnd"/>
      <w:r w:rsidR="003C0F9B" w:rsidRPr="005B01D2">
        <w:rPr>
          <w:lang w:val="nl-BE"/>
        </w:rPr>
        <w:t xml:space="preserve"> </w:t>
      </w:r>
      <w:r w:rsidR="009A27D9">
        <w:rPr>
          <w:lang w:val="nl-BE"/>
        </w:rPr>
        <w:t>is</w:t>
      </w:r>
      <w:r w:rsidR="003C0F9B" w:rsidRPr="005B01D2">
        <w:rPr>
          <w:lang w:val="nl-BE"/>
        </w:rPr>
        <w:t xml:space="preserve"> naar samenwerkingsakkoorden </w:t>
      </w:r>
      <w:r w:rsidR="0073270A" w:rsidRPr="005B01D2">
        <w:rPr>
          <w:lang w:val="nl-BE"/>
        </w:rPr>
        <w:t>(</w:t>
      </w:r>
      <w:r w:rsidR="0073270A" w:rsidRPr="005B01D2">
        <w:rPr>
          <w:i/>
          <w:lang w:val="nl-BE"/>
        </w:rPr>
        <w:t xml:space="preserve">supra </w:t>
      </w:r>
      <w:r w:rsidR="0073270A" w:rsidRPr="005B01D2">
        <w:rPr>
          <w:lang w:val="nl-BE"/>
        </w:rPr>
        <w:t xml:space="preserve">nr. </w:t>
      </w:r>
      <w:r w:rsidRPr="00B2070B">
        <w:rPr>
          <w:lang w:val="nl-BE"/>
        </w:rPr>
        <w:t>10</w:t>
      </w:r>
      <w:r w:rsidR="0073270A" w:rsidRPr="005B01D2">
        <w:rPr>
          <w:lang w:val="nl-BE"/>
        </w:rPr>
        <w:t>)</w:t>
      </w:r>
      <w:r w:rsidR="00D9315B" w:rsidRPr="005B01D2">
        <w:rPr>
          <w:lang w:val="nl-BE"/>
        </w:rPr>
        <w:t xml:space="preserve">. </w:t>
      </w:r>
    </w:p>
    <w:p w14:paraId="3CC1B09A" w14:textId="77777777" w:rsidR="00D9315B" w:rsidRPr="005B01D2" w:rsidRDefault="00D9315B">
      <w:pPr>
        <w:pBdr>
          <w:bottom w:val="single" w:sz="6" w:space="1" w:color="auto"/>
        </w:pBdr>
        <w:jc w:val="both"/>
        <w:rPr>
          <w:lang w:val="nl-BE"/>
        </w:rPr>
      </w:pPr>
    </w:p>
    <w:p w14:paraId="6DA0E919" w14:textId="77777777" w:rsidR="00D9315B" w:rsidRPr="005B01D2" w:rsidRDefault="003C0F9B">
      <w:pPr>
        <w:pBdr>
          <w:bottom w:val="single" w:sz="6" w:space="1" w:color="auto"/>
        </w:pBdr>
        <w:jc w:val="both"/>
        <w:rPr>
          <w:lang w:val="nl-BE"/>
        </w:rPr>
      </w:pPr>
      <w:r w:rsidRPr="005B01D2">
        <w:rPr>
          <w:lang w:val="nl-BE"/>
        </w:rPr>
        <w:t>4</w:t>
      </w:r>
      <w:r w:rsidR="0046112F" w:rsidRPr="005B01D2">
        <w:rPr>
          <w:lang w:val="nl-BE"/>
        </w:rPr>
        <w:t>5</w:t>
      </w:r>
      <w:r w:rsidR="00D9315B" w:rsidRPr="005B01D2">
        <w:rPr>
          <w:lang w:val="nl-BE"/>
        </w:rPr>
        <w:t xml:space="preserve">. Wat de temporele werking betreft is het uitgangspunt voor verdragen en samenwerkingsakkoorden dat dit best </w:t>
      </w:r>
      <w:r w:rsidR="00462780" w:rsidRPr="005B01D2">
        <w:rPr>
          <w:lang w:val="nl-BE"/>
        </w:rPr>
        <w:t xml:space="preserve">uitdrukkelijk </w:t>
      </w:r>
      <w:r w:rsidR="00D9315B" w:rsidRPr="005B01D2">
        <w:rPr>
          <w:lang w:val="nl-BE"/>
        </w:rPr>
        <w:t xml:space="preserve">door de partijen wordt geregeld. De suppletieve regeling voor samenwerkingsakkoorden wijkt node af van het verdragenrecht, </w:t>
      </w:r>
      <w:r w:rsidR="00D9315B" w:rsidRPr="005B01D2">
        <w:rPr>
          <w:lang w:val="nl-BE"/>
        </w:rPr>
        <w:lastRenderedPageBreak/>
        <w:t>omdat de inwerkingtreding zo nauw verbonden is met de parlementaire instemming</w:t>
      </w:r>
      <w:r w:rsidR="00E96218" w:rsidRPr="005B01D2">
        <w:rPr>
          <w:lang w:val="nl-BE"/>
        </w:rPr>
        <w:t xml:space="preserve"> (</w:t>
      </w:r>
      <w:r w:rsidR="00E96218" w:rsidRPr="005B01D2">
        <w:rPr>
          <w:i/>
          <w:lang w:val="nl-BE"/>
        </w:rPr>
        <w:t xml:space="preserve">supra </w:t>
      </w:r>
      <w:r w:rsidR="00E96218" w:rsidRPr="005B01D2">
        <w:rPr>
          <w:lang w:val="nl-BE"/>
        </w:rPr>
        <w:t xml:space="preserve">nr. </w:t>
      </w:r>
      <w:r w:rsidR="000C428C" w:rsidRPr="00B2070B">
        <w:rPr>
          <w:lang w:val="nl-BE"/>
        </w:rPr>
        <w:t>16</w:t>
      </w:r>
      <w:r w:rsidR="00E96218" w:rsidRPr="005B01D2">
        <w:rPr>
          <w:lang w:val="nl-BE"/>
        </w:rPr>
        <w:t>)</w:t>
      </w:r>
      <w:r w:rsidR="00D9315B" w:rsidRPr="005B01D2">
        <w:rPr>
          <w:lang w:val="nl-BE"/>
        </w:rPr>
        <w:t xml:space="preserve">. </w:t>
      </w:r>
      <w:r w:rsidR="007E5D6D" w:rsidRPr="005B01D2">
        <w:rPr>
          <w:lang w:val="nl-BE"/>
        </w:rPr>
        <w:t xml:space="preserve">Wat de </w:t>
      </w:r>
      <w:r w:rsidR="00D9315B" w:rsidRPr="005B01D2">
        <w:rPr>
          <w:lang w:val="nl-BE"/>
        </w:rPr>
        <w:t>beëindiging van de verdragen en samenwerkingsakkoorden</w:t>
      </w:r>
      <w:r w:rsidR="007E5D6D" w:rsidRPr="005B01D2">
        <w:rPr>
          <w:lang w:val="nl-BE"/>
        </w:rPr>
        <w:t xml:space="preserve"> betreft, blijkt dan weer dat </w:t>
      </w:r>
      <w:r w:rsidR="00D9315B" w:rsidRPr="005B01D2">
        <w:rPr>
          <w:lang w:val="nl-BE"/>
        </w:rPr>
        <w:t>de mogelijkheden van eenzijdige opzegging voor samenwerkingsakkoorden vooralsnog onderontwikkeld zijn</w:t>
      </w:r>
      <w:r w:rsidR="00E96218" w:rsidRPr="005B01D2">
        <w:rPr>
          <w:lang w:val="nl-BE"/>
        </w:rPr>
        <w:t xml:space="preserve"> (</w:t>
      </w:r>
      <w:r w:rsidR="00E96218" w:rsidRPr="005B01D2">
        <w:rPr>
          <w:i/>
          <w:lang w:val="nl-BE"/>
        </w:rPr>
        <w:t xml:space="preserve">supra </w:t>
      </w:r>
      <w:r w:rsidR="00E96218" w:rsidRPr="005B01D2">
        <w:rPr>
          <w:lang w:val="nl-BE"/>
        </w:rPr>
        <w:t xml:space="preserve">nr. </w:t>
      </w:r>
      <w:r w:rsidR="000C428C" w:rsidRPr="00B2070B">
        <w:rPr>
          <w:lang w:val="nl-BE"/>
        </w:rPr>
        <w:t>39</w:t>
      </w:r>
      <w:r w:rsidR="00E96218" w:rsidRPr="005B01D2">
        <w:rPr>
          <w:lang w:val="nl-BE"/>
        </w:rPr>
        <w:t>)</w:t>
      </w:r>
      <w:r w:rsidR="00D9315B" w:rsidRPr="005B01D2">
        <w:rPr>
          <w:lang w:val="nl-BE"/>
        </w:rPr>
        <w:t>.</w:t>
      </w:r>
    </w:p>
    <w:p w14:paraId="511B462A" w14:textId="77777777" w:rsidR="00D9315B" w:rsidRPr="005B01D2" w:rsidRDefault="00D9315B">
      <w:pPr>
        <w:pBdr>
          <w:bottom w:val="single" w:sz="6" w:space="1" w:color="auto"/>
        </w:pBdr>
        <w:jc w:val="both"/>
        <w:rPr>
          <w:lang w:val="nl-BE"/>
        </w:rPr>
      </w:pPr>
    </w:p>
    <w:p w14:paraId="1E5F8A42" w14:textId="77777777" w:rsidR="00D9315B" w:rsidRPr="005B01D2" w:rsidRDefault="003C0F9B">
      <w:pPr>
        <w:pBdr>
          <w:bottom w:val="single" w:sz="6" w:space="1" w:color="auto"/>
        </w:pBdr>
        <w:jc w:val="both"/>
        <w:rPr>
          <w:lang w:val="nl-BE"/>
        </w:rPr>
      </w:pPr>
      <w:r w:rsidRPr="005B01D2">
        <w:rPr>
          <w:lang w:val="nl-BE"/>
        </w:rPr>
        <w:t>4</w:t>
      </w:r>
      <w:r w:rsidR="0046112F" w:rsidRPr="005B01D2">
        <w:rPr>
          <w:lang w:val="nl-BE"/>
        </w:rPr>
        <w:t>6</w:t>
      </w:r>
      <w:r w:rsidR="002B07F8" w:rsidRPr="005B01D2">
        <w:rPr>
          <w:lang w:val="nl-BE"/>
        </w:rPr>
        <w:t>.</w:t>
      </w:r>
      <w:r w:rsidR="002B07F8" w:rsidRPr="005B01D2">
        <w:rPr>
          <w:lang w:val="nl-BE"/>
        </w:rPr>
        <w:tab/>
        <w:t>Grote verschillen zijn er op het vlak van de handhaving</w:t>
      </w:r>
      <w:r w:rsidR="00E96218" w:rsidRPr="005B01D2">
        <w:rPr>
          <w:lang w:val="nl-BE"/>
        </w:rPr>
        <w:t>,</w:t>
      </w:r>
      <w:r w:rsidR="002B07F8" w:rsidRPr="005B01D2">
        <w:rPr>
          <w:lang w:val="nl-BE"/>
        </w:rPr>
        <w:t xml:space="preserve"> de bekendmaking en de registratie</w:t>
      </w:r>
      <w:r w:rsidR="00C31B07" w:rsidRPr="005B01D2">
        <w:rPr>
          <w:lang w:val="nl-BE"/>
        </w:rPr>
        <w:t xml:space="preserve"> niet</w:t>
      </w:r>
      <w:r w:rsidR="002B07F8" w:rsidRPr="005B01D2">
        <w:rPr>
          <w:lang w:val="nl-BE"/>
        </w:rPr>
        <w:t xml:space="preserve">. Bij de handhaving valt de bijzondere rol op die wordt toegekend aan scheidsgerechten, een mechanisme dat door het verdragenrecht </w:t>
      </w:r>
      <w:r w:rsidR="00C31B07" w:rsidRPr="005B01D2">
        <w:rPr>
          <w:lang w:val="nl-BE"/>
        </w:rPr>
        <w:t>is</w:t>
      </w:r>
      <w:r w:rsidR="002B07F8" w:rsidRPr="005B01D2">
        <w:rPr>
          <w:lang w:val="nl-BE"/>
        </w:rPr>
        <w:t xml:space="preserve"> geïnspireerd</w:t>
      </w:r>
      <w:r w:rsidR="00C31B07" w:rsidRPr="005B01D2">
        <w:rPr>
          <w:lang w:val="nl-BE"/>
        </w:rPr>
        <w:t>, maar tot op heden nog nooit werd toegepast</w:t>
      </w:r>
      <w:r w:rsidR="00E96218" w:rsidRPr="005B01D2">
        <w:rPr>
          <w:lang w:val="nl-BE"/>
        </w:rPr>
        <w:t xml:space="preserve"> (</w:t>
      </w:r>
      <w:r w:rsidR="00E96218" w:rsidRPr="005B01D2">
        <w:rPr>
          <w:i/>
          <w:lang w:val="nl-BE"/>
        </w:rPr>
        <w:t xml:space="preserve">supra </w:t>
      </w:r>
      <w:r w:rsidR="00E96218" w:rsidRPr="005B01D2">
        <w:rPr>
          <w:lang w:val="nl-BE"/>
        </w:rPr>
        <w:t>nr</w:t>
      </w:r>
      <w:r w:rsidR="000F3214" w:rsidRPr="005B01D2">
        <w:rPr>
          <w:lang w:val="nl-BE"/>
        </w:rPr>
        <w:t>s</w:t>
      </w:r>
      <w:r w:rsidR="00E96218" w:rsidRPr="005B01D2">
        <w:rPr>
          <w:lang w:val="nl-BE"/>
        </w:rPr>
        <w:t xml:space="preserve">. </w:t>
      </w:r>
      <w:r w:rsidR="000C428C" w:rsidRPr="00B2070B">
        <w:rPr>
          <w:lang w:val="nl-BE"/>
        </w:rPr>
        <w:t>30-32</w:t>
      </w:r>
      <w:r w:rsidR="00E96218" w:rsidRPr="005B01D2">
        <w:rPr>
          <w:lang w:val="nl-BE"/>
        </w:rPr>
        <w:t>)</w:t>
      </w:r>
      <w:r w:rsidR="002B07F8" w:rsidRPr="005B01D2">
        <w:rPr>
          <w:lang w:val="nl-BE"/>
        </w:rPr>
        <w:t xml:space="preserve">. Wat de bekendmaking betreft is de basisregel van artikel 190 van de Grondwet dat alle normatieve </w:t>
      </w:r>
      <w:r w:rsidR="00462780" w:rsidRPr="005B01D2">
        <w:rPr>
          <w:lang w:val="nl-BE"/>
        </w:rPr>
        <w:t xml:space="preserve">handelingen </w:t>
      </w:r>
      <w:r w:rsidR="002B07F8" w:rsidRPr="005B01D2">
        <w:rPr>
          <w:lang w:val="nl-BE"/>
        </w:rPr>
        <w:t xml:space="preserve">moeten worden bekendgemaakt voor ze aan particulieren kunnen worden tegengeworpen. Voor beide instrumenten blijken er in de praktijk op dat vlak </w:t>
      </w:r>
      <w:r w:rsidRPr="005B01D2">
        <w:rPr>
          <w:lang w:val="nl-BE"/>
        </w:rPr>
        <w:t>meer dan eens fout te lopen</w:t>
      </w:r>
      <w:r w:rsidR="002B07F8" w:rsidRPr="005B01D2">
        <w:rPr>
          <w:lang w:val="nl-BE"/>
        </w:rPr>
        <w:t>.</w:t>
      </w:r>
    </w:p>
    <w:p w14:paraId="5247C703" w14:textId="77777777" w:rsidR="002B07F8" w:rsidRPr="005B01D2" w:rsidRDefault="002B07F8">
      <w:pPr>
        <w:pBdr>
          <w:bottom w:val="single" w:sz="6" w:space="1" w:color="auto"/>
        </w:pBdr>
        <w:jc w:val="both"/>
        <w:rPr>
          <w:lang w:val="nl-BE"/>
        </w:rPr>
      </w:pPr>
    </w:p>
    <w:p w14:paraId="26AAB168" w14:textId="77777777" w:rsidR="002B07F8" w:rsidRPr="005B01D2" w:rsidRDefault="00235750">
      <w:pPr>
        <w:pBdr>
          <w:bottom w:val="single" w:sz="6" w:space="1" w:color="auto"/>
        </w:pBdr>
        <w:jc w:val="both"/>
        <w:rPr>
          <w:lang w:val="nl-BE"/>
        </w:rPr>
      </w:pPr>
      <w:r w:rsidRPr="005B01D2">
        <w:rPr>
          <w:lang w:val="nl-BE"/>
        </w:rPr>
        <w:t>4</w:t>
      </w:r>
      <w:r w:rsidR="0046112F" w:rsidRPr="005B01D2">
        <w:rPr>
          <w:lang w:val="nl-BE"/>
        </w:rPr>
        <w:t>7</w:t>
      </w:r>
      <w:r w:rsidR="002B07F8" w:rsidRPr="005B01D2">
        <w:rPr>
          <w:lang w:val="nl-BE"/>
        </w:rPr>
        <w:t>.</w:t>
      </w:r>
      <w:r w:rsidR="002B07F8" w:rsidRPr="005B01D2">
        <w:rPr>
          <w:lang w:val="nl-BE"/>
        </w:rPr>
        <w:tab/>
        <w:t xml:space="preserve">Wat ten slotte het afgeleide recht betreft zijn de verschillen </w:t>
      </w:r>
      <w:r w:rsidR="002B07F8" w:rsidRPr="005B01D2">
        <w:rPr>
          <w:i/>
          <w:iCs/>
          <w:lang w:val="nl-BE"/>
        </w:rPr>
        <w:t xml:space="preserve">prima facie </w:t>
      </w:r>
      <w:r w:rsidR="002B07F8" w:rsidRPr="005B01D2">
        <w:rPr>
          <w:lang w:val="nl-BE"/>
        </w:rPr>
        <w:t>het grootst, door het verschillende rechtskader</w:t>
      </w:r>
      <w:r w:rsidR="000F3214" w:rsidRPr="005B01D2">
        <w:rPr>
          <w:lang w:val="nl-BE"/>
        </w:rPr>
        <w:t xml:space="preserve"> (</w:t>
      </w:r>
      <w:r w:rsidR="000F3214" w:rsidRPr="005B01D2">
        <w:rPr>
          <w:i/>
          <w:lang w:val="nl-BE"/>
        </w:rPr>
        <w:t xml:space="preserve">supra </w:t>
      </w:r>
      <w:r w:rsidR="007E5D6D" w:rsidRPr="005B01D2">
        <w:rPr>
          <w:lang w:val="nl-BE"/>
        </w:rPr>
        <w:t xml:space="preserve">hoofdstuk </w:t>
      </w:r>
      <w:r w:rsidR="000C428C" w:rsidRPr="00B2070B">
        <w:rPr>
          <w:lang w:val="nl-BE"/>
        </w:rPr>
        <w:t>VI</w:t>
      </w:r>
      <w:r w:rsidR="000F3214" w:rsidRPr="005B01D2">
        <w:rPr>
          <w:lang w:val="nl-BE"/>
        </w:rPr>
        <w:t>)</w:t>
      </w:r>
      <w:r w:rsidR="002B07F8" w:rsidRPr="005B01D2">
        <w:rPr>
          <w:lang w:val="nl-BE"/>
        </w:rPr>
        <w:t xml:space="preserve">. Artikel 34 van de Grondwet maakt een verregaande overdracht van de machten aan </w:t>
      </w:r>
      <w:r w:rsidR="003C0F9B" w:rsidRPr="005B01D2">
        <w:rPr>
          <w:lang w:val="nl-BE"/>
        </w:rPr>
        <w:t xml:space="preserve">internationale </w:t>
      </w:r>
      <w:r w:rsidR="002B07F8" w:rsidRPr="005B01D2">
        <w:rPr>
          <w:lang w:val="nl-BE"/>
        </w:rPr>
        <w:t xml:space="preserve">organen opgericht bij verdrag mogelijk. Bij samenwerkingsakkoorden vallen we in de eerste plaats terug op de </w:t>
      </w:r>
      <w:r w:rsidR="003C0F9B" w:rsidRPr="005B01D2">
        <w:rPr>
          <w:lang w:val="nl-BE"/>
        </w:rPr>
        <w:t xml:space="preserve">gemene </w:t>
      </w:r>
      <w:r w:rsidR="002B07F8" w:rsidRPr="005B01D2">
        <w:rPr>
          <w:lang w:val="nl-BE"/>
        </w:rPr>
        <w:t xml:space="preserve">regels voor delegatie </w:t>
      </w:r>
      <w:r w:rsidR="003C0F9B" w:rsidRPr="005B01D2">
        <w:rPr>
          <w:lang w:val="nl-BE"/>
        </w:rPr>
        <w:t xml:space="preserve">volgens </w:t>
      </w:r>
      <w:r w:rsidR="002B07F8" w:rsidRPr="005B01D2">
        <w:rPr>
          <w:lang w:val="nl-BE"/>
        </w:rPr>
        <w:t>het interne recht. De adviespraktijk van de Raad van State, is op dat vlak zelfs enigszins strenger, doordat daarin minstens voor uitvoerende samenwerkingsakkoorden een bijzonder legaliteitsbeginsel wordt naar voor geschoven</w:t>
      </w:r>
      <w:r w:rsidRPr="005B01D2">
        <w:rPr>
          <w:lang w:val="nl-BE"/>
        </w:rPr>
        <w:t>. Anderzijds zijn vereenvoudigde wijzigen van niet-essentiële aspecten van een samenwerkingsakkoorden mogelijk zonder parlementaire instemming, terwijl dit bij verdragen enkel kan met instemming, op zijn minst in de vorm van een anticipatieve, voorwaardelijke instemming.</w:t>
      </w:r>
    </w:p>
    <w:p w14:paraId="7D64AB29" w14:textId="77777777" w:rsidR="00427AFC" w:rsidRPr="005B01D2" w:rsidRDefault="00427AFC" w:rsidP="00427AFC">
      <w:pPr>
        <w:pBdr>
          <w:bottom w:val="single" w:sz="6" w:space="1" w:color="auto"/>
        </w:pBdr>
        <w:jc w:val="both"/>
        <w:rPr>
          <w:lang w:val="nl-BE"/>
        </w:rPr>
      </w:pPr>
    </w:p>
    <w:p w14:paraId="1A072F92" w14:textId="77777777" w:rsidR="002B07F8" w:rsidRPr="005B01D2" w:rsidRDefault="00A87036">
      <w:pPr>
        <w:pBdr>
          <w:bottom w:val="single" w:sz="6" w:space="1" w:color="auto"/>
        </w:pBdr>
        <w:jc w:val="both"/>
        <w:rPr>
          <w:lang w:val="nl-BE"/>
        </w:rPr>
      </w:pPr>
      <w:r w:rsidRPr="00A87036">
        <w:rPr>
          <w:bCs/>
          <w:lang w:val="nl-BE"/>
        </w:rPr>
        <w:t>4</w:t>
      </w:r>
      <w:r w:rsidR="0046112F" w:rsidRPr="005B01D2">
        <w:rPr>
          <w:bCs/>
          <w:lang w:val="nl-BE"/>
        </w:rPr>
        <w:t>8</w:t>
      </w:r>
      <w:r w:rsidR="002B07F8" w:rsidRPr="005B01D2">
        <w:rPr>
          <w:lang w:val="nl-BE"/>
        </w:rPr>
        <w:t>.</w:t>
      </w:r>
      <w:r w:rsidR="002B07F8" w:rsidRPr="005B01D2">
        <w:rPr>
          <w:lang w:val="nl-BE"/>
        </w:rPr>
        <w:tab/>
      </w:r>
      <w:r w:rsidR="00332C2E" w:rsidRPr="005B01D2">
        <w:rPr>
          <w:lang w:val="nl-BE"/>
        </w:rPr>
        <w:t>Uiteindelijk</w:t>
      </w:r>
      <w:r w:rsidR="002B07F8" w:rsidRPr="005B01D2">
        <w:rPr>
          <w:lang w:val="nl-BE"/>
        </w:rPr>
        <w:t xml:space="preserve"> kunnen uit het bovenstaande onderzoek ook een aantal praktische conclusies worden getrokken om het rechtskader voor </w:t>
      </w:r>
      <w:r w:rsidR="0026474C" w:rsidRPr="005B01D2">
        <w:rPr>
          <w:lang w:val="nl-BE"/>
        </w:rPr>
        <w:t>samenwerkingsakkoorden beter uit te werken.</w:t>
      </w:r>
    </w:p>
    <w:p w14:paraId="20B8A844" w14:textId="77777777" w:rsidR="0026474C" w:rsidRPr="005B01D2" w:rsidRDefault="0026474C">
      <w:pPr>
        <w:pBdr>
          <w:bottom w:val="single" w:sz="6" w:space="1" w:color="auto"/>
        </w:pBdr>
        <w:jc w:val="both"/>
        <w:rPr>
          <w:lang w:val="nl-BE"/>
        </w:rPr>
      </w:pPr>
    </w:p>
    <w:p w14:paraId="671C0354" w14:textId="5A38AA1C" w:rsidR="0026474C" w:rsidRPr="005B01D2" w:rsidRDefault="0026474C">
      <w:pPr>
        <w:pBdr>
          <w:bottom w:val="single" w:sz="6" w:space="1" w:color="auto"/>
        </w:pBdr>
        <w:jc w:val="both"/>
        <w:rPr>
          <w:lang w:val="nl-BE"/>
        </w:rPr>
      </w:pPr>
      <w:r w:rsidRPr="005B01D2">
        <w:rPr>
          <w:lang w:val="nl-BE"/>
        </w:rPr>
        <w:t>In de eerste plaats zouden alle samenwerkingsakkoorden principieel aan het parlement moeten worden voorgelegd. De huidige criteria in artikel 92</w:t>
      </w:r>
      <w:r w:rsidRPr="005B01D2">
        <w:rPr>
          <w:i/>
          <w:iCs/>
          <w:lang w:val="nl-BE"/>
        </w:rPr>
        <w:t>bis</w:t>
      </w:r>
      <w:r w:rsidRPr="005B01D2">
        <w:rPr>
          <w:lang w:val="nl-BE"/>
        </w:rPr>
        <w:t>, §1, tweede lid, BWHI zijn sowieso vaak ambigu in de praktijk, en bovendien is er vanuit democratisch oogpunt geen goede reden te bedenken waarom sommige samenwerkingsakkoorden aan parlementaire controle moeten ontsnappen, te meer daar in beginsel ook alle verdragen moeten worden voorgelegd aan de wetgever</w:t>
      </w:r>
      <w:r w:rsidR="000F3214" w:rsidRPr="005B01D2">
        <w:rPr>
          <w:lang w:val="nl-BE"/>
        </w:rPr>
        <w:t xml:space="preserve"> (</w:t>
      </w:r>
      <w:r w:rsidR="000F3214" w:rsidRPr="005B01D2">
        <w:rPr>
          <w:i/>
          <w:lang w:val="nl-BE"/>
        </w:rPr>
        <w:t xml:space="preserve">supra </w:t>
      </w:r>
      <w:r w:rsidR="000F3214" w:rsidRPr="005B01D2">
        <w:rPr>
          <w:lang w:val="nl-BE"/>
        </w:rPr>
        <w:t xml:space="preserve">nr. </w:t>
      </w:r>
      <w:r w:rsidR="000C428C" w:rsidRPr="00B2070B">
        <w:rPr>
          <w:lang w:val="nl-BE"/>
        </w:rPr>
        <w:t>14</w:t>
      </w:r>
      <w:r w:rsidR="000F3214" w:rsidRPr="005B01D2">
        <w:rPr>
          <w:lang w:val="nl-BE"/>
        </w:rPr>
        <w:t>)</w:t>
      </w:r>
      <w:r w:rsidRPr="005B01D2">
        <w:rPr>
          <w:lang w:val="nl-BE"/>
        </w:rPr>
        <w:t>.</w:t>
      </w:r>
      <w:r w:rsidR="00E91712" w:rsidRPr="005B01D2">
        <w:rPr>
          <w:lang w:val="nl-BE"/>
        </w:rPr>
        <w:t xml:space="preserve"> Meer algemeen moet worden nagedacht over een versterkte rol voor het parlement, zowel met betrekking tot samenwerkingsakkoorden als met betrekking tot verdragen</w:t>
      </w:r>
      <w:r w:rsidR="00462780" w:rsidRPr="005B01D2">
        <w:rPr>
          <w:lang w:val="nl-BE"/>
        </w:rPr>
        <w:t xml:space="preserve">, die niet beperkt blijft tot een loutere </w:t>
      </w:r>
      <w:r w:rsidR="00A87036" w:rsidRPr="00A87036">
        <w:rPr>
          <w:i/>
          <w:lang w:val="nl-BE"/>
        </w:rPr>
        <w:t>rubber-stamping</w:t>
      </w:r>
      <w:r w:rsidR="00462780" w:rsidRPr="005B01D2">
        <w:rPr>
          <w:lang w:val="nl-BE"/>
        </w:rPr>
        <w:t xml:space="preserve"> van wat al door de uitvoerende macht werd </w:t>
      </w:r>
      <w:r w:rsidR="000C4F26">
        <w:rPr>
          <w:lang w:val="nl-BE"/>
        </w:rPr>
        <w:t>overeengekomen</w:t>
      </w:r>
      <w:r w:rsidR="00D20B58" w:rsidRPr="00E93D19">
        <w:rPr>
          <w:lang w:val="nl-BE"/>
        </w:rPr>
        <w:t xml:space="preserve"> </w:t>
      </w:r>
      <w:r w:rsidR="000F3214" w:rsidRPr="005B01D2">
        <w:rPr>
          <w:lang w:val="nl-BE"/>
        </w:rPr>
        <w:t>(</w:t>
      </w:r>
      <w:r w:rsidR="000F3214" w:rsidRPr="005B01D2">
        <w:rPr>
          <w:i/>
          <w:lang w:val="nl-BE"/>
        </w:rPr>
        <w:t>supra</w:t>
      </w:r>
      <w:r w:rsidR="000F3214" w:rsidRPr="005B01D2">
        <w:rPr>
          <w:lang w:val="nl-BE"/>
        </w:rPr>
        <w:t xml:space="preserve"> nr. </w:t>
      </w:r>
      <w:r w:rsidR="000C428C" w:rsidRPr="00B2070B">
        <w:rPr>
          <w:lang w:val="nl-BE"/>
        </w:rPr>
        <w:t>10</w:t>
      </w:r>
      <w:r w:rsidR="000F3214" w:rsidRPr="005B01D2">
        <w:rPr>
          <w:lang w:val="nl-BE"/>
        </w:rPr>
        <w:t>)</w:t>
      </w:r>
      <w:r w:rsidR="00E91712" w:rsidRPr="005B01D2">
        <w:rPr>
          <w:lang w:val="nl-BE"/>
        </w:rPr>
        <w:t>.</w:t>
      </w:r>
      <w:r w:rsidR="00235750" w:rsidRPr="005B01D2">
        <w:rPr>
          <w:lang w:val="nl-BE"/>
        </w:rPr>
        <w:t xml:space="preserve"> Naar analogie met vereenvoudigde verdragswijzigingen, zou</w:t>
      </w:r>
      <w:r w:rsidR="000108A9" w:rsidRPr="005B01D2">
        <w:rPr>
          <w:lang w:val="nl-BE"/>
        </w:rPr>
        <w:t xml:space="preserve"> </w:t>
      </w:r>
      <w:r w:rsidR="00F410BA" w:rsidRPr="005B01D2">
        <w:rPr>
          <w:lang w:val="nl-BE"/>
        </w:rPr>
        <w:t xml:space="preserve">in elk geval </w:t>
      </w:r>
      <w:r w:rsidR="000108A9" w:rsidRPr="005B01D2">
        <w:rPr>
          <w:lang w:val="nl-BE"/>
        </w:rPr>
        <w:t xml:space="preserve">best worden voorzien dat </w:t>
      </w:r>
      <w:r w:rsidR="00F410BA" w:rsidRPr="005B01D2">
        <w:rPr>
          <w:lang w:val="nl-BE"/>
        </w:rPr>
        <w:t xml:space="preserve">voor </w:t>
      </w:r>
      <w:r w:rsidR="000108A9" w:rsidRPr="005B01D2">
        <w:rPr>
          <w:lang w:val="nl-BE"/>
        </w:rPr>
        <w:t xml:space="preserve">latere </w:t>
      </w:r>
      <w:r w:rsidR="00235750" w:rsidRPr="005B01D2">
        <w:rPr>
          <w:lang w:val="nl-BE"/>
        </w:rPr>
        <w:t xml:space="preserve">vereenvoudigde wijzigingen van samenwerkingsakkoorden </w:t>
      </w:r>
      <w:r w:rsidR="00F410BA" w:rsidRPr="005B01D2">
        <w:rPr>
          <w:lang w:val="nl-BE"/>
        </w:rPr>
        <w:t xml:space="preserve">het ontwerp eerst </w:t>
      </w:r>
      <w:r w:rsidR="000108A9" w:rsidRPr="005B01D2">
        <w:rPr>
          <w:lang w:val="nl-BE"/>
        </w:rPr>
        <w:t>aan het parlement ter kennis worden gebracht, waarbij die de mogelijkheid krijgt om er zich desgevallend tegen te verzetten</w:t>
      </w:r>
      <w:r w:rsidR="00A87036" w:rsidRPr="00A87036">
        <w:rPr>
          <w:lang w:val="nl-BE"/>
        </w:rPr>
        <w:t xml:space="preserve"> (</w:t>
      </w:r>
      <w:r w:rsidR="00A87036" w:rsidRPr="00A87036">
        <w:rPr>
          <w:i/>
          <w:lang w:val="nl-BE"/>
        </w:rPr>
        <w:t>supra</w:t>
      </w:r>
      <w:r w:rsidR="00A87036" w:rsidRPr="00A87036">
        <w:rPr>
          <w:lang w:val="nl-BE"/>
        </w:rPr>
        <w:t xml:space="preserve"> </w:t>
      </w:r>
      <w:r w:rsidR="000C428C" w:rsidRPr="00B2070B">
        <w:rPr>
          <w:lang w:val="nl-BE"/>
        </w:rPr>
        <w:t>nr. 25).</w:t>
      </w:r>
    </w:p>
    <w:p w14:paraId="38B8AA6C" w14:textId="77777777" w:rsidR="0026474C" w:rsidRPr="005B01D2" w:rsidRDefault="0026474C">
      <w:pPr>
        <w:pBdr>
          <w:bottom w:val="single" w:sz="6" w:space="1" w:color="auto"/>
        </w:pBdr>
        <w:jc w:val="both"/>
        <w:rPr>
          <w:lang w:val="nl-BE"/>
        </w:rPr>
      </w:pPr>
    </w:p>
    <w:p w14:paraId="77439726" w14:textId="77777777" w:rsidR="0026474C" w:rsidRPr="005B01D2" w:rsidRDefault="0026474C">
      <w:pPr>
        <w:pBdr>
          <w:bottom w:val="single" w:sz="6" w:space="1" w:color="auto"/>
        </w:pBdr>
        <w:jc w:val="both"/>
        <w:rPr>
          <w:lang w:val="nl-BE"/>
        </w:rPr>
      </w:pPr>
    </w:p>
    <w:p w14:paraId="770A9745" w14:textId="787AC522" w:rsidR="0026474C" w:rsidRPr="005B01D2" w:rsidRDefault="0026474C">
      <w:pPr>
        <w:pBdr>
          <w:bottom w:val="single" w:sz="6" w:space="1" w:color="auto"/>
        </w:pBdr>
        <w:jc w:val="both"/>
        <w:rPr>
          <w:lang w:val="nl-BE"/>
        </w:rPr>
      </w:pPr>
      <w:r w:rsidRPr="005B01D2">
        <w:rPr>
          <w:lang w:val="nl-BE"/>
        </w:rPr>
        <w:t xml:space="preserve">Ten </w:t>
      </w:r>
      <w:r w:rsidR="0020623F">
        <w:rPr>
          <w:lang w:val="nl-BE"/>
        </w:rPr>
        <w:t>tweede</w:t>
      </w:r>
      <w:r w:rsidR="0020623F" w:rsidRPr="005B01D2">
        <w:rPr>
          <w:lang w:val="nl-BE"/>
        </w:rPr>
        <w:t xml:space="preserve"> </w:t>
      </w:r>
      <w:r w:rsidRPr="005B01D2">
        <w:rPr>
          <w:lang w:val="nl-BE"/>
        </w:rPr>
        <w:t>zou de authentificatie van de tekst kunnen worden vereenvoudigd, door naast de ondertekening ook een authentificatie door het Overlegcomité mogelijk te maken</w:t>
      </w:r>
      <w:r w:rsidR="001C139B" w:rsidRPr="005B01D2">
        <w:rPr>
          <w:lang w:val="nl-BE"/>
        </w:rPr>
        <w:t xml:space="preserve"> (</w:t>
      </w:r>
      <w:r w:rsidR="00A87036" w:rsidRPr="00A87036">
        <w:rPr>
          <w:i/>
          <w:lang w:val="nl-BE"/>
        </w:rPr>
        <w:t>supra</w:t>
      </w:r>
      <w:r w:rsidR="001C139B" w:rsidRPr="005B01D2">
        <w:rPr>
          <w:lang w:val="nl-BE"/>
        </w:rPr>
        <w:t xml:space="preserve"> nr. </w:t>
      </w:r>
      <w:r w:rsidR="000C428C" w:rsidRPr="00B2070B">
        <w:rPr>
          <w:lang w:val="nl-BE"/>
        </w:rPr>
        <w:t>12</w:t>
      </w:r>
      <w:r w:rsidR="001C139B" w:rsidRPr="005B01D2">
        <w:rPr>
          <w:lang w:val="nl-BE"/>
        </w:rPr>
        <w:t>)</w:t>
      </w:r>
      <w:r w:rsidRPr="005B01D2">
        <w:rPr>
          <w:lang w:val="nl-BE"/>
        </w:rPr>
        <w:t>. D</w:t>
      </w:r>
      <w:r w:rsidR="00EB5D18">
        <w:rPr>
          <w:lang w:val="nl-BE"/>
        </w:rPr>
        <w:t>at</w:t>
      </w:r>
      <w:r w:rsidRPr="005B01D2">
        <w:rPr>
          <w:lang w:val="nl-BE"/>
        </w:rPr>
        <w:t xml:space="preserve"> orga</w:t>
      </w:r>
      <w:r w:rsidR="00EB5D18">
        <w:rPr>
          <w:lang w:val="nl-BE"/>
        </w:rPr>
        <w:t>a</w:t>
      </w:r>
      <w:r w:rsidRPr="005B01D2">
        <w:rPr>
          <w:lang w:val="nl-BE"/>
        </w:rPr>
        <w:t xml:space="preserve">n zou dan bovendien, mits wijziging van de gecoördineerde van 12 januari 1973 wetten op de Raad van State, ook meteen kunnen worden gemachtigd om op een gecentraliseerde manier de adviesaanvraag over een samenwerkingsakkoord in te dienen, </w:t>
      </w:r>
      <w:r w:rsidRPr="005B01D2">
        <w:rPr>
          <w:lang w:val="nl-BE"/>
        </w:rPr>
        <w:lastRenderedPageBreak/>
        <w:t xml:space="preserve">zodat </w:t>
      </w:r>
      <w:r w:rsidR="00F406CE" w:rsidRPr="005B01D2">
        <w:rPr>
          <w:lang w:val="nl-BE"/>
        </w:rPr>
        <w:t xml:space="preserve">hiervoor </w:t>
      </w:r>
      <w:r w:rsidRPr="005B01D2">
        <w:rPr>
          <w:lang w:val="nl-BE"/>
        </w:rPr>
        <w:t xml:space="preserve">niet langer moet worden gewacht op de cascade </w:t>
      </w:r>
      <w:r w:rsidR="000108A9" w:rsidRPr="005B01D2">
        <w:rPr>
          <w:lang w:val="nl-BE"/>
        </w:rPr>
        <w:t>a</w:t>
      </w:r>
      <w:r w:rsidRPr="005B01D2">
        <w:rPr>
          <w:lang w:val="nl-BE"/>
        </w:rPr>
        <w:t>an instemmingshandelingen.</w:t>
      </w:r>
      <w:r w:rsidR="00EB5D18">
        <w:rPr>
          <w:rStyle w:val="Voetnootmarkering"/>
          <w:lang w:val="nl-BE"/>
        </w:rPr>
        <w:footnoteReference w:id="223"/>
      </w:r>
    </w:p>
    <w:p w14:paraId="6C5A25AE" w14:textId="73D9508D" w:rsidR="0026474C" w:rsidRDefault="0026474C">
      <w:pPr>
        <w:pBdr>
          <w:bottom w:val="single" w:sz="6" w:space="1" w:color="auto"/>
        </w:pBdr>
        <w:jc w:val="both"/>
        <w:rPr>
          <w:lang w:val="nl-BE"/>
        </w:rPr>
      </w:pPr>
    </w:p>
    <w:p w14:paraId="1C3035D3" w14:textId="18E9A6DC" w:rsidR="0020623F" w:rsidRPr="005B01D2" w:rsidRDefault="0020623F" w:rsidP="0020623F">
      <w:pPr>
        <w:pBdr>
          <w:bottom w:val="single" w:sz="6" w:space="1" w:color="auto"/>
        </w:pBdr>
        <w:jc w:val="both"/>
        <w:rPr>
          <w:lang w:val="nl-BE"/>
        </w:rPr>
      </w:pPr>
      <w:r w:rsidRPr="005B01D2">
        <w:rPr>
          <w:lang w:val="nl-BE"/>
        </w:rPr>
        <w:t xml:space="preserve">Ten </w:t>
      </w:r>
      <w:r>
        <w:rPr>
          <w:lang w:val="nl-BE"/>
        </w:rPr>
        <w:t>derde</w:t>
      </w:r>
      <w:r w:rsidRPr="005B01D2">
        <w:rPr>
          <w:lang w:val="nl-BE"/>
        </w:rPr>
        <w:t xml:space="preserve"> is er nood aan een betere bekendmaking van samenwerkingsakkoorden en verdragen. Vooral voor samenwerkingsakkoorden dringt zich een beter systeem van registratie op, zodat een goede, omvattende, publiek toegankelijke centrale databank van alle samenwerkingsakkoorden (in ruime zin) beschikbaar zou kunnen worden gesteld (</w:t>
      </w:r>
      <w:r w:rsidRPr="00A87036">
        <w:rPr>
          <w:i/>
          <w:lang w:val="nl-BE"/>
        </w:rPr>
        <w:t>supra</w:t>
      </w:r>
      <w:r w:rsidRPr="005B01D2">
        <w:rPr>
          <w:lang w:val="nl-BE"/>
        </w:rPr>
        <w:t xml:space="preserve"> nr. </w:t>
      </w:r>
      <w:r w:rsidRPr="00727097">
        <w:rPr>
          <w:lang w:val="nl-BE"/>
        </w:rPr>
        <w:t>33</w:t>
      </w:r>
      <w:r w:rsidRPr="005B01D2">
        <w:rPr>
          <w:lang w:val="nl-BE"/>
        </w:rPr>
        <w:t>).</w:t>
      </w:r>
    </w:p>
    <w:p w14:paraId="72F42B5B" w14:textId="77777777" w:rsidR="0020623F" w:rsidRPr="005B01D2" w:rsidRDefault="0020623F">
      <w:pPr>
        <w:pBdr>
          <w:bottom w:val="single" w:sz="6" w:space="1" w:color="auto"/>
        </w:pBdr>
        <w:jc w:val="both"/>
        <w:rPr>
          <w:lang w:val="nl-BE"/>
        </w:rPr>
      </w:pPr>
    </w:p>
    <w:p w14:paraId="5964688A" w14:textId="77777777" w:rsidR="0026474C" w:rsidRPr="005B01D2" w:rsidRDefault="0026474C">
      <w:pPr>
        <w:pBdr>
          <w:bottom w:val="single" w:sz="6" w:space="1" w:color="auto"/>
        </w:pBdr>
        <w:jc w:val="both"/>
        <w:rPr>
          <w:lang w:val="nl-BE"/>
        </w:rPr>
      </w:pPr>
      <w:r w:rsidRPr="005B01D2">
        <w:rPr>
          <w:lang w:val="nl-BE"/>
        </w:rPr>
        <w:t xml:space="preserve">Ten vierde lijkt er muziek te zitten in het instrument van de gezamenlijke decreten en ordonnanties, als alternatief voor samenwerkingsakkoorden. Het lijkt dan ook zinvol om </w:t>
      </w:r>
      <w:r w:rsidR="00E91712" w:rsidRPr="005B01D2">
        <w:rPr>
          <w:lang w:val="nl-BE"/>
        </w:rPr>
        <w:t>artikel 92</w:t>
      </w:r>
      <w:r w:rsidR="00E91712" w:rsidRPr="005B01D2">
        <w:rPr>
          <w:i/>
          <w:iCs/>
          <w:lang w:val="nl-BE"/>
        </w:rPr>
        <w:t>bis</w:t>
      </w:r>
      <w:r w:rsidR="00E91712" w:rsidRPr="005B01D2">
        <w:rPr>
          <w:lang w:val="nl-BE"/>
        </w:rPr>
        <w:t>/1, BWHI aan te passen om</w:t>
      </w:r>
      <w:r w:rsidRPr="005B01D2">
        <w:rPr>
          <w:lang w:val="nl-BE"/>
        </w:rPr>
        <w:t xml:space="preserve"> ook de participatie van </w:t>
      </w:r>
      <w:r w:rsidR="00E91712" w:rsidRPr="005B01D2">
        <w:rPr>
          <w:lang w:val="nl-BE"/>
        </w:rPr>
        <w:t xml:space="preserve">de federale </w:t>
      </w:r>
      <w:r w:rsidR="00F406CE" w:rsidRPr="005B01D2">
        <w:rPr>
          <w:lang w:val="nl-BE"/>
        </w:rPr>
        <w:t>overheid</w:t>
      </w:r>
      <w:r w:rsidR="00E91712" w:rsidRPr="005B01D2">
        <w:rPr>
          <w:lang w:val="nl-BE"/>
        </w:rPr>
        <w:t xml:space="preserve"> mogelijk te maken</w:t>
      </w:r>
      <w:r w:rsidR="001C139B" w:rsidRPr="005B01D2">
        <w:rPr>
          <w:lang w:val="nl-BE"/>
        </w:rPr>
        <w:t xml:space="preserve"> (</w:t>
      </w:r>
      <w:r w:rsidR="001C139B" w:rsidRPr="005B01D2">
        <w:rPr>
          <w:i/>
          <w:lang w:val="nl-BE"/>
        </w:rPr>
        <w:t xml:space="preserve">supra </w:t>
      </w:r>
      <w:r w:rsidR="00A87036" w:rsidRPr="00A87036">
        <w:rPr>
          <w:lang w:val="nl-BE"/>
        </w:rPr>
        <w:t xml:space="preserve">nr. </w:t>
      </w:r>
      <w:r w:rsidR="000C428C" w:rsidRPr="00B2070B">
        <w:rPr>
          <w:lang w:val="nl-BE"/>
        </w:rPr>
        <w:t>10</w:t>
      </w:r>
      <w:r w:rsidR="00A87036" w:rsidRPr="00A87036">
        <w:rPr>
          <w:lang w:val="nl-BE"/>
        </w:rPr>
        <w:t>)</w:t>
      </w:r>
      <w:r w:rsidR="00E91712" w:rsidRPr="005B01D2">
        <w:rPr>
          <w:lang w:val="nl-BE"/>
        </w:rPr>
        <w:t>.</w:t>
      </w:r>
    </w:p>
    <w:p w14:paraId="7C0B585C" w14:textId="77777777" w:rsidR="00E91712" w:rsidRPr="005B01D2" w:rsidRDefault="00E91712">
      <w:pPr>
        <w:pBdr>
          <w:bottom w:val="single" w:sz="6" w:space="1" w:color="auto"/>
        </w:pBdr>
        <w:jc w:val="both"/>
        <w:rPr>
          <w:lang w:val="nl-BE"/>
        </w:rPr>
      </w:pPr>
    </w:p>
    <w:p w14:paraId="5A49C6A5" w14:textId="77777777" w:rsidR="000108A9" w:rsidRPr="005B01D2" w:rsidRDefault="00E91712">
      <w:pPr>
        <w:pBdr>
          <w:bottom w:val="single" w:sz="6" w:space="1" w:color="auto"/>
        </w:pBdr>
        <w:jc w:val="both"/>
        <w:rPr>
          <w:lang w:val="nl-BE"/>
        </w:rPr>
      </w:pPr>
      <w:r w:rsidRPr="005B01D2">
        <w:rPr>
          <w:lang w:val="nl-BE"/>
        </w:rPr>
        <w:t xml:space="preserve">Ten vijfde kan de regeling voor de samenwerkingsgerechten op de schop. In de praktijk wordt die toch niet toegepast, en </w:t>
      </w:r>
      <w:r w:rsidR="00F406CE" w:rsidRPr="005B01D2">
        <w:rPr>
          <w:lang w:val="nl-BE"/>
        </w:rPr>
        <w:t xml:space="preserve">aarzelen </w:t>
      </w:r>
      <w:r w:rsidRPr="005B01D2">
        <w:rPr>
          <w:lang w:val="nl-BE"/>
        </w:rPr>
        <w:t xml:space="preserve">de </w:t>
      </w:r>
      <w:r w:rsidR="00F406CE" w:rsidRPr="005B01D2">
        <w:rPr>
          <w:lang w:val="nl-BE"/>
        </w:rPr>
        <w:t xml:space="preserve">betrokken </w:t>
      </w:r>
      <w:r w:rsidRPr="005B01D2">
        <w:rPr>
          <w:lang w:val="nl-BE"/>
        </w:rPr>
        <w:t xml:space="preserve">overheden </w:t>
      </w:r>
      <w:r w:rsidR="00F406CE" w:rsidRPr="005B01D2">
        <w:rPr>
          <w:lang w:val="nl-BE"/>
        </w:rPr>
        <w:t>niet</w:t>
      </w:r>
      <w:r w:rsidRPr="005B01D2">
        <w:rPr>
          <w:lang w:val="nl-BE"/>
        </w:rPr>
        <w:t xml:space="preserve"> om elkaar te bekampen op basis van die samenwerkingsakkoorden</w:t>
      </w:r>
      <w:r w:rsidR="00F406CE" w:rsidRPr="005B01D2">
        <w:rPr>
          <w:lang w:val="nl-BE"/>
        </w:rPr>
        <w:t xml:space="preserve"> voor de gewone rechter</w:t>
      </w:r>
      <w:r w:rsidRPr="005B01D2">
        <w:rPr>
          <w:lang w:val="nl-BE"/>
        </w:rPr>
        <w:t xml:space="preserve">. Er is </w:t>
      </w:r>
      <w:r w:rsidR="00F406CE" w:rsidRPr="005B01D2">
        <w:rPr>
          <w:lang w:val="nl-BE"/>
        </w:rPr>
        <w:t xml:space="preserve">overigens </w:t>
      </w:r>
      <w:r w:rsidRPr="005B01D2">
        <w:rPr>
          <w:lang w:val="nl-BE"/>
        </w:rPr>
        <w:t xml:space="preserve">geen goede reden om de inroepbaarheid van samenwerkingsakkoorden aan regels te onderwerpen die niet gelden voor andere </w:t>
      </w:r>
      <w:r w:rsidR="00F406CE" w:rsidRPr="005B01D2">
        <w:rPr>
          <w:lang w:val="nl-BE"/>
        </w:rPr>
        <w:t xml:space="preserve">interne </w:t>
      </w:r>
      <w:r w:rsidRPr="005B01D2">
        <w:rPr>
          <w:lang w:val="nl-BE"/>
        </w:rPr>
        <w:t>normen, zoals constitutionele bepalingen, of zelfs gezamenlijke decreten en ordonnanties</w:t>
      </w:r>
      <w:r w:rsidR="001C139B" w:rsidRPr="005B01D2">
        <w:rPr>
          <w:lang w:val="nl-BE"/>
        </w:rPr>
        <w:t xml:space="preserve"> (</w:t>
      </w:r>
      <w:r w:rsidR="001C139B" w:rsidRPr="005B01D2">
        <w:rPr>
          <w:i/>
          <w:lang w:val="nl-BE"/>
        </w:rPr>
        <w:t xml:space="preserve">supra </w:t>
      </w:r>
      <w:r w:rsidR="001C139B" w:rsidRPr="005B01D2">
        <w:rPr>
          <w:lang w:val="nl-BE"/>
        </w:rPr>
        <w:t xml:space="preserve">nr. </w:t>
      </w:r>
      <w:r w:rsidR="000C428C" w:rsidRPr="00B2070B">
        <w:rPr>
          <w:lang w:val="nl-BE"/>
        </w:rPr>
        <w:t>31</w:t>
      </w:r>
      <w:r w:rsidR="001C139B" w:rsidRPr="005B01D2">
        <w:rPr>
          <w:lang w:val="nl-BE"/>
        </w:rPr>
        <w:t>)</w:t>
      </w:r>
      <w:r w:rsidRPr="005B01D2">
        <w:rPr>
          <w:lang w:val="nl-BE"/>
        </w:rPr>
        <w:t>.</w:t>
      </w:r>
      <w:r w:rsidR="00F406CE" w:rsidRPr="005B01D2" w:rsidDel="00F406CE">
        <w:rPr>
          <w:lang w:val="nl-BE"/>
        </w:rPr>
        <w:t xml:space="preserve"> </w:t>
      </w:r>
    </w:p>
    <w:p w14:paraId="5B568048" w14:textId="77777777" w:rsidR="000108A9" w:rsidRPr="005B01D2" w:rsidRDefault="000108A9">
      <w:pPr>
        <w:pBdr>
          <w:bottom w:val="single" w:sz="6" w:space="1" w:color="auto"/>
        </w:pBdr>
        <w:jc w:val="both"/>
        <w:rPr>
          <w:lang w:val="nl-BE"/>
        </w:rPr>
      </w:pPr>
    </w:p>
    <w:p w14:paraId="208429EB" w14:textId="77777777" w:rsidR="0026474C" w:rsidRPr="005B01D2" w:rsidRDefault="00E91712">
      <w:pPr>
        <w:pBdr>
          <w:bottom w:val="single" w:sz="6" w:space="1" w:color="auto"/>
        </w:pBdr>
        <w:jc w:val="both"/>
        <w:rPr>
          <w:lang w:val="nl-BE"/>
        </w:rPr>
      </w:pPr>
      <w:r w:rsidRPr="005B01D2">
        <w:rPr>
          <w:lang w:val="nl-BE"/>
        </w:rPr>
        <w:t>Ten zesde moet in elk geval de lacune worden opgelost waardoor administratieve en uitvoerende samenwerkingsakkoorden voorlopig niet kunnen worden voorgelegd voor advies aan de Raad van State. Dat lijkt een simpele vergetelheid, maar vereist wel wetgevend optreden om te worden rechtgezet.</w:t>
      </w:r>
      <w:r w:rsidR="00F406CE" w:rsidRPr="005B01D2">
        <w:rPr>
          <w:lang w:val="nl-BE"/>
        </w:rPr>
        <w:t xml:space="preserve"> Het kan de kwaliteit van die normen enkel maar ten goede komen</w:t>
      </w:r>
      <w:r w:rsidR="005946C0" w:rsidRPr="005B01D2">
        <w:rPr>
          <w:lang w:val="nl-BE"/>
        </w:rPr>
        <w:t xml:space="preserve">, en op die manier </w:t>
      </w:r>
      <w:r w:rsidR="000108A9" w:rsidRPr="005B01D2">
        <w:rPr>
          <w:lang w:val="nl-BE"/>
        </w:rPr>
        <w:t xml:space="preserve">zou </w:t>
      </w:r>
      <w:r w:rsidR="005946C0" w:rsidRPr="005B01D2">
        <w:rPr>
          <w:lang w:val="nl-BE"/>
        </w:rPr>
        <w:t xml:space="preserve">het nodige vertrouwen </w:t>
      </w:r>
      <w:r w:rsidR="000108A9" w:rsidRPr="005B01D2">
        <w:rPr>
          <w:lang w:val="nl-BE"/>
        </w:rPr>
        <w:t>kunnen worden gecreëerd voor een ruimer</w:t>
      </w:r>
      <w:r w:rsidR="005946C0" w:rsidRPr="005B01D2">
        <w:rPr>
          <w:lang w:val="nl-BE"/>
        </w:rPr>
        <w:t xml:space="preserve"> gebruik van deze instrumenten</w:t>
      </w:r>
      <w:r w:rsidR="000108A9" w:rsidRPr="005B01D2">
        <w:rPr>
          <w:lang w:val="nl-BE"/>
        </w:rPr>
        <w:t>,</w:t>
      </w:r>
      <w:r w:rsidR="005946C0" w:rsidRPr="005B01D2">
        <w:rPr>
          <w:lang w:val="nl-BE"/>
        </w:rPr>
        <w:t xml:space="preserve"> </w:t>
      </w:r>
      <w:r w:rsidR="000108A9" w:rsidRPr="005B01D2">
        <w:rPr>
          <w:lang w:val="nl-BE"/>
        </w:rPr>
        <w:t xml:space="preserve">daar </w:t>
      </w:r>
      <w:r w:rsidR="005946C0" w:rsidRPr="005B01D2">
        <w:rPr>
          <w:lang w:val="nl-BE"/>
        </w:rPr>
        <w:t xml:space="preserve">waar de </w:t>
      </w:r>
      <w:r w:rsidR="000108A9" w:rsidRPr="005B01D2">
        <w:rPr>
          <w:lang w:val="nl-BE"/>
        </w:rPr>
        <w:t>rechter er</w:t>
      </w:r>
      <w:r w:rsidR="005946C0" w:rsidRPr="005B01D2">
        <w:rPr>
          <w:lang w:val="nl-BE"/>
        </w:rPr>
        <w:t xml:space="preserve"> thans nog eerder terughoudend </w:t>
      </w:r>
      <w:r w:rsidR="000108A9" w:rsidRPr="005B01D2">
        <w:rPr>
          <w:lang w:val="nl-BE"/>
        </w:rPr>
        <w:t xml:space="preserve">tegenover </w:t>
      </w:r>
      <w:r w:rsidR="005946C0" w:rsidRPr="005B01D2">
        <w:rPr>
          <w:lang w:val="nl-BE"/>
        </w:rPr>
        <w:t>staat (</w:t>
      </w:r>
      <w:r w:rsidR="00A87036" w:rsidRPr="00A87036">
        <w:rPr>
          <w:i/>
          <w:lang w:val="nl-BE"/>
        </w:rPr>
        <w:t>supra</w:t>
      </w:r>
      <w:r w:rsidR="005946C0" w:rsidRPr="005B01D2">
        <w:rPr>
          <w:lang w:val="nl-BE"/>
        </w:rPr>
        <w:t xml:space="preserve"> nrs. </w:t>
      </w:r>
      <w:r w:rsidR="000C428C" w:rsidRPr="00B2070B">
        <w:rPr>
          <w:lang w:val="nl-BE"/>
        </w:rPr>
        <w:t>14, 25 en 41</w:t>
      </w:r>
      <w:r w:rsidR="005946C0" w:rsidRPr="005B01D2">
        <w:rPr>
          <w:lang w:val="nl-BE"/>
        </w:rPr>
        <w:t xml:space="preserve">). </w:t>
      </w:r>
    </w:p>
    <w:p w14:paraId="0948D518" w14:textId="77777777" w:rsidR="00E91712" w:rsidRPr="005B01D2" w:rsidRDefault="00E91712">
      <w:pPr>
        <w:pBdr>
          <w:bottom w:val="single" w:sz="6" w:space="1" w:color="auto"/>
        </w:pBdr>
        <w:jc w:val="both"/>
        <w:rPr>
          <w:lang w:val="nl-BE"/>
        </w:rPr>
      </w:pPr>
    </w:p>
    <w:p w14:paraId="4A23C073" w14:textId="77777777" w:rsidR="00E91712" w:rsidRDefault="00101C62">
      <w:pPr>
        <w:pBdr>
          <w:bottom w:val="single" w:sz="6" w:space="1" w:color="auto"/>
        </w:pBdr>
        <w:jc w:val="both"/>
        <w:rPr>
          <w:lang w:val="nl-BE"/>
        </w:rPr>
      </w:pPr>
      <w:r w:rsidRPr="005B01D2">
        <w:rPr>
          <w:lang w:val="nl-BE"/>
        </w:rPr>
        <w:t>Tot slot</w:t>
      </w:r>
      <w:r w:rsidR="00E91712" w:rsidRPr="005B01D2">
        <w:rPr>
          <w:lang w:val="nl-BE"/>
        </w:rPr>
        <w:t xml:space="preserve"> lijkt de tijd rijp om minder categorisch afwijzend te staan tegenover eenzijdige opzeggingen van samenwerkingsakkoorden. Net zoals bij verdragen kunnen er goede redenen zijn waarom een samenwerkingsovereenkomst na verloop van tijd simpelweg niet meer voldoet</w:t>
      </w:r>
      <w:r w:rsidR="001C139B" w:rsidRPr="005B01D2">
        <w:rPr>
          <w:lang w:val="nl-BE"/>
        </w:rPr>
        <w:t xml:space="preserve"> (</w:t>
      </w:r>
      <w:r w:rsidR="00A87036" w:rsidRPr="00A87036">
        <w:rPr>
          <w:i/>
          <w:lang w:val="nl-BE"/>
        </w:rPr>
        <w:t>supra</w:t>
      </w:r>
      <w:r w:rsidR="00DD2E72" w:rsidRPr="005B01D2">
        <w:rPr>
          <w:lang w:val="nl-BE"/>
        </w:rPr>
        <w:t xml:space="preserve"> nr. </w:t>
      </w:r>
      <w:r w:rsidR="000C428C" w:rsidRPr="00B2070B">
        <w:rPr>
          <w:lang w:val="nl-BE"/>
        </w:rPr>
        <w:t>39</w:t>
      </w:r>
      <w:r w:rsidR="001C139B" w:rsidRPr="005B01D2">
        <w:rPr>
          <w:lang w:val="nl-BE"/>
        </w:rPr>
        <w:t>)</w:t>
      </w:r>
      <w:r w:rsidR="0031760A" w:rsidRPr="005B01D2">
        <w:rPr>
          <w:lang w:val="nl-BE"/>
        </w:rPr>
        <w:t>. Evenmin lijkt het gepast</w:t>
      </w:r>
      <w:r w:rsidR="00150A6C" w:rsidRPr="005B01D2">
        <w:rPr>
          <w:lang w:val="nl-BE"/>
        </w:rPr>
        <w:t xml:space="preserve"> om een partij </w:t>
      </w:r>
      <w:r w:rsidR="0031760A" w:rsidRPr="005B01D2">
        <w:rPr>
          <w:lang w:val="nl-BE"/>
        </w:rPr>
        <w:t xml:space="preserve">mordicus </w:t>
      </w:r>
      <w:r w:rsidR="000108A9" w:rsidRPr="005B01D2">
        <w:rPr>
          <w:lang w:val="nl-BE"/>
        </w:rPr>
        <w:t>in</w:t>
      </w:r>
      <w:r w:rsidR="0031760A" w:rsidRPr="005B01D2">
        <w:rPr>
          <w:lang w:val="nl-BE"/>
        </w:rPr>
        <w:t xml:space="preserve"> een </w:t>
      </w:r>
      <w:r w:rsidR="00150A6C" w:rsidRPr="005B01D2">
        <w:rPr>
          <w:lang w:val="nl-BE"/>
        </w:rPr>
        <w:t xml:space="preserve">samenwerkingsakkoord </w:t>
      </w:r>
      <w:r w:rsidR="0031760A" w:rsidRPr="005B01D2">
        <w:rPr>
          <w:lang w:val="nl-BE"/>
        </w:rPr>
        <w:t xml:space="preserve">gevangen te houden in geval van het </w:t>
      </w:r>
      <w:r w:rsidR="000108A9" w:rsidRPr="005B01D2">
        <w:rPr>
          <w:lang w:val="nl-BE"/>
        </w:rPr>
        <w:t xml:space="preserve">te lang </w:t>
      </w:r>
      <w:r w:rsidR="00150A6C" w:rsidRPr="005B01D2">
        <w:rPr>
          <w:lang w:val="nl-BE"/>
        </w:rPr>
        <w:t xml:space="preserve">uitblijven van een wilsovereenstemming </w:t>
      </w:r>
      <w:r w:rsidR="0031760A" w:rsidRPr="005B01D2">
        <w:rPr>
          <w:lang w:val="nl-BE"/>
        </w:rPr>
        <w:t>tussen alle partijen over de beëindiging ervan</w:t>
      </w:r>
      <w:r w:rsidR="00E91712" w:rsidRPr="005B01D2">
        <w:rPr>
          <w:lang w:val="nl-BE"/>
        </w:rPr>
        <w:t xml:space="preserve">. In afwachting moet er in elk geval over worden gewaakt – door de bevoegde overheden en door de Raad van State – dat de partijen vooral zelf in </w:t>
      </w:r>
      <w:r w:rsidRPr="005B01D2">
        <w:rPr>
          <w:lang w:val="nl-BE"/>
        </w:rPr>
        <w:t xml:space="preserve">de samenwerkingsakkoorden die ze sluiten </w:t>
      </w:r>
      <w:r w:rsidR="0031760A" w:rsidRPr="005B01D2">
        <w:rPr>
          <w:lang w:val="nl-BE"/>
        </w:rPr>
        <w:t xml:space="preserve">al </w:t>
      </w:r>
      <w:r w:rsidRPr="005B01D2">
        <w:rPr>
          <w:lang w:val="nl-BE"/>
        </w:rPr>
        <w:t xml:space="preserve">in </w:t>
      </w:r>
      <w:r w:rsidR="00E91712" w:rsidRPr="005B01D2">
        <w:rPr>
          <w:lang w:val="nl-BE"/>
        </w:rPr>
        <w:t xml:space="preserve">zinvolle mechanismen voorzien om de opzegging – en de wijziging – van samenwerkingsovereenkomsten te </w:t>
      </w:r>
      <w:r w:rsidRPr="005B01D2">
        <w:rPr>
          <w:lang w:val="nl-BE"/>
        </w:rPr>
        <w:t>regelen.</w:t>
      </w:r>
    </w:p>
    <w:p w14:paraId="589AE799" w14:textId="77777777" w:rsidR="007D1E77" w:rsidRDefault="007D1E77">
      <w:pPr>
        <w:pBdr>
          <w:bottom w:val="single" w:sz="6" w:space="1" w:color="auto"/>
        </w:pBdr>
        <w:jc w:val="both"/>
        <w:rPr>
          <w:lang w:val="nl-BE"/>
        </w:rPr>
      </w:pPr>
    </w:p>
    <w:p w14:paraId="49B3C108" w14:textId="77777777" w:rsidR="007D1E77" w:rsidRDefault="007D1E77">
      <w:pPr>
        <w:pBdr>
          <w:bottom w:val="single" w:sz="6" w:space="1" w:color="auto"/>
        </w:pBdr>
        <w:jc w:val="both"/>
        <w:rPr>
          <w:lang w:val="nl-BE"/>
        </w:rPr>
      </w:pPr>
    </w:p>
    <w:sectPr w:rsidR="007D1E77" w:rsidSect="00E10E87">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91D712" w14:textId="77777777" w:rsidR="008B1CB9" w:rsidRDefault="008B1CB9" w:rsidP="005F28BB">
      <w:r>
        <w:separator/>
      </w:r>
    </w:p>
  </w:endnote>
  <w:endnote w:type="continuationSeparator" w:id="0">
    <w:p w14:paraId="4F8FBF63" w14:textId="77777777" w:rsidR="008B1CB9" w:rsidRDefault="008B1CB9" w:rsidP="005F28BB">
      <w:r>
        <w:continuationSeparator/>
      </w:r>
    </w:p>
  </w:endnote>
  <w:endnote w:type="continuationNotice" w:id="1">
    <w:p w14:paraId="29F4706C" w14:textId="77777777" w:rsidR="008B1CB9" w:rsidRDefault="008B1C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3C226C" w14:textId="77777777" w:rsidR="008B1CB9" w:rsidRDefault="008B1CB9" w:rsidP="005F28BB">
      <w:r>
        <w:separator/>
      </w:r>
    </w:p>
  </w:footnote>
  <w:footnote w:type="continuationSeparator" w:id="0">
    <w:p w14:paraId="65FB9E5B" w14:textId="77777777" w:rsidR="008B1CB9" w:rsidRDefault="008B1CB9" w:rsidP="005F28BB">
      <w:r>
        <w:continuationSeparator/>
      </w:r>
    </w:p>
  </w:footnote>
  <w:footnote w:type="continuationNotice" w:id="1">
    <w:p w14:paraId="1D28C3AC" w14:textId="77777777" w:rsidR="008B1CB9" w:rsidRDefault="008B1CB9"/>
  </w:footnote>
  <w:footnote w:id="2">
    <w:p w14:paraId="1287A364" w14:textId="77777777" w:rsidR="00AB5378" w:rsidRDefault="00AB5378" w:rsidP="007C381A">
      <w:pPr>
        <w:pStyle w:val="Voetnoottekst"/>
        <w:spacing w:after="0"/>
        <w:rPr>
          <w:rFonts w:cs="Times New Roman"/>
        </w:rPr>
      </w:pPr>
      <w:r w:rsidRPr="00C95E6B">
        <w:rPr>
          <w:rStyle w:val="Voetnootmarkering"/>
          <w:rFonts w:cs="Times New Roman"/>
        </w:rPr>
        <w:footnoteRef/>
      </w:r>
      <w:r w:rsidRPr="00C95E6B">
        <w:rPr>
          <w:rFonts w:cs="Times New Roman"/>
        </w:rPr>
        <w:t xml:space="preserve"> Tim Corthaut en Dries Van Eeckhoutte zijn auditeur en eerste auditeur in de Raad van State. Tim Corthaut is tevens deeltijds docent aan de Vrije Universiteit Brussel en gastdocent aan de Universität Wien, Dries Van Eeckhoutte is tevens assistent aan de Université Saint-Louis Bruxelles.</w:t>
      </w:r>
    </w:p>
    <w:p w14:paraId="7893DF62" w14:textId="2C867F2D" w:rsidR="00AB5378" w:rsidRPr="00C95E6B" w:rsidRDefault="00AB5378" w:rsidP="007C381A">
      <w:pPr>
        <w:pStyle w:val="Voetnoottekst"/>
        <w:spacing w:after="0"/>
        <w:rPr>
          <w:rFonts w:cs="Times New Roman"/>
        </w:rPr>
      </w:pPr>
      <w:r>
        <w:rPr>
          <w:rFonts w:cs="Times New Roman"/>
        </w:rPr>
        <w:t xml:space="preserve">De auteurs danken Sofia Vandenbosch (UCL), dr. Cedric </w:t>
      </w:r>
      <w:proofErr w:type="spellStart"/>
      <w:r>
        <w:rPr>
          <w:rFonts w:cs="Times New Roman"/>
        </w:rPr>
        <w:t>Jenart</w:t>
      </w:r>
      <w:proofErr w:type="spellEnd"/>
      <w:r>
        <w:rPr>
          <w:rFonts w:cs="Times New Roman"/>
        </w:rPr>
        <w:t xml:space="preserve"> (Universiteit Antwerpen) en David Guldemont (FOD Kanselarij van de Eerste Minister) voor hun waardevolle opmerkingen bij een eerdere versie van deze bijdrage.</w:t>
      </w:r>
    </w:p>
  </w:footnote>
  <w:footnote w:id="3">
    <w:p w14:paraId="5BEDAB4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iCs/>
        </w:rPr>
        <w:t>bis</w:t>
      </w:r>
      <w:r w:rsidRPr="00C95E6B">
        <w:rPr>
          <w:rFonts w:cs="Times New Roman"/>
        </w:rPr>
        <w:t>, §§1, 5-6, BWHI is van overeenkomstige toepassing op het Brussels Hoofdstedelijk Gewest, de Gemeenschappelijke Gemeenschapscommissie van het Brussels Hoofdstedelijk Gewest en de Duitstalige Gemeenschap krachtens de artikelen 42 en 63 van de bijzondere wet van 12 januari 1989 ‘met betrekking tot de Brusselse instellingen’ (</w:t>
      </w:r>
      <w:r w:rsidRPr="00B2070B">
        <w:t>hierna: BWBI)</w:t>
      </w:r>
      <w:r w:rsidRPr="00C95E6B">
        <w:rPr>
          <w:rFonts w:cs="Times New Roman"/>
        </w:rPr>
        <w:t xml:space="preserve"> en artikel 55</w:t>
      </w:r>
      <w:r w:rsidRPr="00C95E6B">
        <w:rPr>
          <w:rFonts w:cs="Times New Roman"/>
          <w:i/>
          <w:iCs/>
        </w:rPr>
        <w:t>bis</w:t>
      </w:r>
      <w:r w:rsidRPr="00C95E6B">
        <w:rPr>
          <w:rFonts w:cs="Times New Roman"/>
        </w:rPr>
        <w:t xml:space="preserve"> van de wet van 31 december 1983 ‘tot hervorming der instellingen voor de Duitstalige Gemeenschap’ (</w:t>
      </w:r>
      <w:r w:rsidRPr="00B2070B">
        <w:t>hierna: WDG</w:t>
      </w:r>
      <w:r w:rsidRPr="00C95E6B">
        <w:rPr>
          <w:rFonts w:cs="Times New Roman"/>
        </w:rPr>
        <w:t xml:space="preserve">). </w:t>
      </w:r>
    </w:p>
    <w:p w14:paraId="47D1E784" w14:textId="77777777" w:rsidR="00AB5378" w:rsidRDefault="00AB5378">
      <w:pPr>
        <w:jc w:val="both"/>
        <w:rPr>
          <w:sz w:val="20"/>
          <w:szCs w:val="20"/>
          <w:lang w:val="nl-BE"/>
        </w:rPr>
      </w:pPr>
      <w:r w:rsidRPr="00C95E6B">
        <w:rPr>
          <w:sz w:val="20"/>
          <w:szCs w:val="20"/>
          <w:lang w:val="nl-BE"/>
        </w:rPr>
        <w:t>Deze bepaling werd eveneens van toepassing verklaard op de Franse Gemeenschapscommissie in het Brussels Hoofdstedelijk Gewest voor krachtens artikel 138 van de Grondwet van de Franse Gemeenschap overgedragen bevoegdheden (bv. artikel 3, §2, van het decreet I van de Franse Gemeenschap van 5 juli 1993 ‘betreffende de overdracht van de uitoefening van bepaalde bevoegdheden van de Franse Gemeenschap naar het Waalse Gewest en de Franse Gemeenschapscommissie’, artikel 11, 3°, van het decreet II van 19 juli 1993 van de Franse Gemeenschap ‘</w:t>
      </w:r>
      <w:r w:rsidRPr="00C95E6B">
        <w:rPr>
          <w:rFonts w:eastAsiaTheme="minorHAnsi"/>
          <w:sz w:val="20"/>
          <w:szCs w:val="20"/>
          <w:lang w:val="nl-BE" w:eastAsia="en-US"/>
        </w:rPr>
        <w:t>tot toekenning van de uitoefening van sommige bevoegdheden van de Franse Gemeenschap aan het Waalse Gewest en de Franse Gemeenschapscommissie</w:t>
      </w:r>
      <w:r w:rsidRPr="00C95E6B">
        <w:rPr>
          <w:sz w:val="20"/>
          <w:szCs w:val="20"/>
          <w:lang w:val="nl-BE"/>
        </w:rPr>
        <w:t xml:space="preserve">’ en artikel 13 van het bijzonder decreet van 3 april 2014 van de Franse Gemeenschap ‘betreffende de bevoegdheden van de Franse Gemeenschap waarvan de uitoefening naar het Waalse Gewest en de Franse Gemeenschapscommissie wordt overgedragen’). </w:t>
      </w:r>
    </w:p>
  </w:footnote>
  <w:footnote w:id="4">
    <w:p w14:paraId="5AAB896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Voor een overzicht van andere samenwerkingsvormen, zie bv. “Overzicht van de samenwerkingsvormen tussen de federale staat, de gemeenschappen en de gewesten en hun draagwijdte”, nota van de diensten van de Senaat van 12 februari 1999, </w:t>
      </w:r>
      <w:r w:rsidRPr="00C95E6B">
        <w:rPr>
          <w:rFonts w:cs="Times New Roman"/>
          <w:i/>
        </w:rPr>
        <w:t xml:space="preserve">Parl.St. </w:t>
      </w:r>
      <w:r w:rsidRPr="00C95E6B">
        <w:rPr>
          <w:rFonts w:cs="Times New Roman"/>
        </w:rPr>
        <w:t xml:space="preserve">Senaat, 1998-99, nr. 1-1333/1, 1011-1019 en D. Van </w:t>
      </w:r>
      <w:r w:rsidRPr="00A87036">
        <w:rPr>
          <w:rFonts w:cs="Times New Roman"/>
          <w:smallCaps/>
        </w:rPr>
        <w:t>Eeckhoutte</w:t>
      </w:r>
      <w:r w:rsidRPr="00C95E6B">
        <w:rPr>
          <w:rFonts w:cs="Times New Roman"/>
        </w:rPr>
        <w:t xml:space="preserve">, F. </w:t>
      </w:r>
      <w:r w:rsidRPr="00A87036">
        <w:rPr>
          <w:rFonts w:cs="Times New Roman"/>
          <w:smallCaps/>
        </w:rPr>
        <w:t>Vanneste</w:t>
      </w:r>
      <w:r w:rsidRPr="00C95E6B">
        <w:rPr>
          <w:rFonts w:cs="Times New Roman"/>
        </w:rPr>
        <w:t xml:space="preserve">, </w:t>
      </w:r>
      <w:r w:rsidRPr="00A87036">
        <w:rPr>
          <w:rFonts w:cs="Times New Roman"/>
          <w:smallCaps/>
        </w:rPr>
        <w:t xml:space="preserve">J. Van Nieuwenhove </w:t>
      </w:r>
      <w:r w:rsidRPr="00C95E6B">
        <w:rPr>
          <w:rFonts w:cs="Times New Roman"/>
        </w:rPr>
        <w:t xml:space="preserve">en I. </w:t>
      </w:r>
      <w:r w:rsidRPr="00A87036">
        <w:rPr>
          <w:rFonts w:cs="Times New Roman"/>
          <w:smallCaps/>
        </w:rPr>
        <w:t>Verheven</w:t>
      </w:r>
      <w:r w:rsidRPr="00C95E6B">
        <w:rPr>
          <w:rFonts w:cs="Times New Roman"/>
        </w:rPr>
        <w:t>, “</w:t>
      </w:r>
      <w:r w:rsidRPr="00A87036">
        <w:rPr>
          <w:rFonts w:cs="Times New Roman"/>
        </w:rPr>
        <w:t>Behoorlijke wetgeving in</w:t>
      </w:r>
      <w:r w:rsidRPr="00C95E6B">
        <w:rPr>
          <w:rFonts w:cs="Times New Roman"/>
        </w:rPr>
        <w:t xml:space="preserve"> </w:t>
      </w:r>
      <w:r w:rsidRPr="00A87036">
        <w:rPr>
          <w:rFonts w:cs="Times New Roman"/>
        </w:rPr>
        <w:t>de adviespraktijk van de</w:t>
      </w:r>
      <w:r w:rsidRPr="00C95E6B">
        <w:rPr>
          <w:rFonts w:cs="Times New Roman"/>
        </w:rPr>
        <w:t xml:space="preserve"> </w:t>
      </w:r>
      <w:r w:rsidRPr="00A87036">
        <w:rPr>
          <w:rFonts w:cs="Times New Roman"/>
        </w:rPr>
        <w:t>afdeling Wetgeving van</w:t>
      </w:r>
      <w:r w:rsidRPr="00C95E6B">
        <w:rPr>
          <w:rFonts w:cs="Times New Roman"/>
        </w:rPr>
        <w:t xml:space="preserve"> </w:t>
      </w:r>
      <w:r w:rsidRPr="00A87036">
        <w:rPr>
          <w:rFonts w:cs="Times New Roman"/>
        </w:rPr>
        <w:t>de Raad van State</w:t>
      </w:r>
      <w:r w:rsidRPr="00C95E6B">
        <w:rPr>
          <w:rFonts w:cs="Times New Roman"/>
        </w:rPr>
        <w:t xml:space="preserve"> </w:t>
      </w:r>
      <w:r w:rsidRPr="00A87036">
        <w:rPr>
          <w:rFonts w:cs="Times New Roman"/>
        </w:rPr>
        <w:t>(2013-2014)</w:t>
      </w:r>
      <w:r w:rsidRPr="00C95E6B">
        <w:rPr>
          <w:rFonts w:cs="Times New Roman"/>
        </w:rPr>
        <w:t xml:space="preserve">”, </w:t>
      </w:r>
      <w:r w:rsidRPr="00C95E6B">
        <w:rPr>
          <w:rFonts w:cs="Times New Roman"/>
          <w:i/>
        </w:rPr>
        <w:t xml:space="preserve">TvW </w:t>
      </w:r>
      <w:r w:rsidRPr="00C95E6B">
        <w:rPr>
          <w:rFonts w:cs="Times New Roman"/>
        </w:rPr>
        <w:t>2015 (109) 122 en 126-127, nrs. 26 en 36-39.</w:t>
      </w:r>
    </w:p>
  </w:footnote>
  <w:footnote w:id="5">
    <w:p w14:paraId="01C3BF3E" w14:textId="2AF5A434"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Het verschil tussen beide instrumenten situeert zich eerder op formeel niveau en is dan nog voornamelijk een kwestie van focus. Bij samenwerkingsakkoorden ligt de nadruk of de invalshoek eerder op de </w:t>
      </w:r>
      <w:r w:rsidRPr="00C95E6B">
        <w:rPr>
          <w:rFonts w:cs="Times New Roman"/>
          <w:i/>
        </w:rPr>
        <w:t>overeenkomst</w:t>
      </w:r>
      <w:r w:rsidRPr="00C95E6B">
        <w:rPr>
          <w:rFonts w:cs="Times New Roman"/>
        </w:rPr>
        <w:t xml:space="preserve"> tussen de bevoegde overheden (‘akkoord’), daar waar bij gezamenlijke decreten en besluiten de nadruk eerder ligt op het normatieve karakter van de in deze overeenkomst vervatte rechtsregels, en de wijze waarop hieraan normatieve kracht wordt verleend (via ‘decreet’, ‘ordonna</w:t>
      </w:r>
      <w:r>
        <w:rPr>
          <w:rFonts w:cs="Times New Roman"/>
        </w:rPr>
        <w:t>n</w:t>
      </w:r>
      <w:r w:rsidRPr="00C95E6B">
        <w:rPr>
          <w:rFonts w:cs="Times New Roman"/>
        </w:rPr>
        <w:t>tie’ of ‘besluit’). Ook bij gezamenlijke decreten (en ordonnanties) en besluiten, verbinden de betrokken overheden zich onderling ten opzichte van elkaar (zie bv. artikel 92</w:t>
      </w:r>
      <w:r w:rsidRPr="00C95E6B">
        <w:rPr>
          <w:rFonts w:cs="Times New Roman"/>
          <w:i/>
          <w:iCs/>
        </w:rPr>
        <w:t>bis</w:t>
      </w:r>
      <w:r w:rsidRPr="00C95E6B">
        <w:rPr>
          <w:rFonts w:cs="Times New Roman"/>
        </w:rPr>
        <w:t xml:space="preserve">/1, §4, eerste lid, tweede zin, tweede lid, §5, tweede zin, BWHI). Gezamenlijke decreten (en ordonnanties) en besluiten hebben in beginsel steeds een normatieve draagwijdte, terwijl samenwerkingsakkoorden een </w:t>
      </w:r>
      <w:r w:rsidRPr="00E93D19">
        <w:rPr>
          <w:rFonts w:cs="Times New Roman"/>
        </w:rPr>
        <w:t>normatie</w:t>
      </w:r>
      <w:r>
        <w:rPr>
          <w:rFonts w:cs="Times New Roman"/>
        </w:rPr>
        <w:t>ve</w:t>
      </w:r>
      <w:r w:rsidR="00045B7D">
        <w:rPr>
          <w:rFonts w:cs="Times New Roman"/>
        </w:rPr>
        <w:t xml:space="preserve"> </w:t>
      </w:r>
      <w:r w:rsidRPr="00C95E6B">
        <w:rPr>
          <w:rFonts w:cs="Times New Roman"/>
        </w:rPr>
        <w:t xml:space="preserve">draagwijdte (of directe werking) </w:t>
      </w:r>
      <w:r w:rsidRPr="00C95E6B">
        <w:rPr>
          <w:rFonts w:cs="Times New Roman"/>
          <w:i/>
        </w:rPr>
        <w:t>kunnen</w:t>
      </w:r>
      <w:r w:rsidRPr="00C95E6B">
        <w:rPr>
          <w:rFonts w:cs="Times New Roman"/>
        </w:rPr>
        <w:t xml:space="preserve"> hebben (adv.RvS 52.303/AV van 20 november 2012, nr. 7 en verwijzingen aldaar). Dat beide instrumenten </w:t>
      </w:r>
      <w:r w:rsidRPr="00C95E6B">
        <w:rPr>
          <w:rFonts w:cs="Times New Roman"/>
          <w:i/>
        </w:rPr>
        <w:t>in se</w:t>
      </w:r>
      <w:r w:rsidRPr="00C95E6B">
        <w:rPr>
          <w:rFonts w:cs="Times New Roman"/>
        </w:rPr>
        <w:t xml:space="preserve"> vergelijkbaar zijn, wordt uitdrukkelijk bevestigd door de inwisselbaarheid die is voorzien tussen samenwerkingsakkoorden en gezamenlijke decreten (en ordonnanties) in artikel 92</w:t>
      </w:r>
      <w:r w:rsidRPr="00C95E6B">
        <w:rPr>
          <w:rFonts w:cs="Times New Roman"/>
          <w:i/>
        </w:rPr>
        <w:t>bis</w:t>
      </w:r>
      <w:r w:rsidRPr="00C95E6B">
        <w:rPr>
          <w:rFonts w:cs="Times New Roman"/>
        </w:rPr>
        <w:t xml:space="preserve">/1, §4, derde en vierde lid, BWHI. </w:t>
      </w:r>
    </w:p>
  </w:footnote>
  <w:footnote w:id="6">
    <w:p w14:paraId="4D8C5A2E"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Artikel 92</w:t>
      </w:r>
      <w:r w:rsidRPr="00C95E6B">
        <w:rPr>
          <w:rFonts w:cs="Times New Roman"/>
          <w:i/>
          <w:lang w:val="nl-NL"/>
        </w:rPr>
        <w:t>bis</w:t>
      </w:r>
      <w:r w:rsidRPr="00C95E6B">
        <w:rPr>
          <w:rFonts w:cs="Times New Roman"/>
          <w:lang w:val="nl-NL"/>
        </w:rPr>
        <w:t xml:space="preserve">/1, BWHI </w:t>
      </w:r>
      <w:r w:rsidRPr="00C95E6B">
        <w:rPr>
          <w:rFonts w:cs="Times New Roman"/>
        </w:rPr>
        <w:t>is van overeenkomstige toepassing op het Brussels Hoofdstedelijk Gewest, de Gemeenschappelijke Gemeenschapscommissie van het Brussels Hoofdstedelijk Gewest en de Duitstalige Gemeenschap krachtens de artikelen 42 en 63 BWBI en artikel 55</w:t>
      </w:r>
      <w:r w:rsidRPr="00C95E6B">
        <w:rPr>
          <w:rFonts w:cs="Times New Roman"/>
          <w:i/>
          <w:iCs/>
        </w:rPr>
        <w:t>bis</w:t>
      </w:r>
      <w:r w:rsidRPr="00C95E6B">
        <w:rPr>
          <w:rFonts w:cs="Times New Roman"/>
        </w:rPr>
        <w:t xml:space="preserve"> WDG. </w:t>
      </w:r>
      <w:r>
        <w:rPr>
          <w:rFonts w:cs="Times New Roman"/>
        </w:rPr>
        <w:t>Gelet op artikel 138 van de Grondwet kan worden aangenomen dat de Franse Gemeenschapscommissie eveneens gezamenlijke decreten mag aannemen onder dezelfde voorwaarden als de Franse Gemeenschap, wiens bevoegdheden de Franse Gemeenschapscommissie immers uitoefent in de overgedragen materies.</w:t>
      </w:r>
    </w:p>
  </w:footnote>
  <w:footnote w:id="7">
    <w:p w14:paraId="08A228D5" w14:textId="2CA93476"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52.303/AV van 20 november 2012, nr. 7 en nrs. 15 tot 18. Zie evenwel: H. </w:t>
      </w:r>
      <w:r w:rsidRPr="00A87036">
        <w:rPr>
          <w:rFonts w:cs="Times New Roman"/>
          <w:smallCaps/>
        </w:rPr>
        <w:t>Bortels</w:t>
      </w:r>
      <w:r w:rsidRPr="00C95E6B">
        <w:rPr>
          <w:rFonts w:cs="Times New Roman"/>
        </w:rPr>
        <w:t xml:space="preserve">, “Het gezamenlijk decreet – een bijkomend instrument van het coöperatief federalisme of een verdere stap richting het confederalisme?”, </w:t>
      </w:r>
      <w:r w:rsidRPr="00C95E6B">
        <w:rPr>
          <w:rFonts w:cs="Times New Roman"/>
          <w:i/>
        </w:rPr>
        <w:t xml:space="preserve">TBP </w:t>
      </w:r>
      <w:r w:rsidRPr="00C95E6B">
        <w:rPr>
          <w:rFonts w:cs="Times New Roman"/>
        </w:rPr>
        <w:t xml:space="preserve">2015 (311), 319-321, nrs. 37-46 en A. </w:t>
      </w:r>
      <w:r w:rsidRPr="00A87036">
        <w:rPr>
          <w:rFonts w:cs="Times New Roman"/>
          <w:smallCaps/>
        </w:rPr>
        <w:t>Poppe</w:t>
      </w:r>
      <w:r w:rsidRPr="00C95E6B">
        <w:rPr>
          <w:rFonts w:cs="Times New Roman"/>
        </w:rPr>
        <w:t>, “Artikel 92</w:t>
      </w:r>
      <w:r w:rsidRPr="00A87036">
        <w:rPr>
          <w:rFonts w:cs="Times New Roman"/>
          <w:i/>
        </w:rPr>
        <w:t>bis</w:t>
      </w:r>
      <w:r w:rsidRPr="00C95E6B">
        <w:rPr>
          <w:rFonts w:cs="Times New Roman"/>
        </w:rPr>
        <w:t xml:space="preserve">/1 BWHI: de gezamenlijke decreten” in B. </w:t>
      </w:r>
      <w:r w:rsidRPr="00C95E6B">
        <w:rPr>
          <w:rFonts w:cs="Times New Roman"/>
          <w:smallCaps/>
        </w:rPr>
        <w:t>Dalle</w:t>
      </w:r>
      <w:r w:rsidRPr="00C95E6B">
        <w:rPr>
          <w:rFonts w:cs="Times New Roman"/>
        </w:rPr>
        <w:t xml:space="preserve"> e.a. (eds.), </w:t>
      </w:r>
      <w:r w:rsidRPr="00C95E6B">
        <w:rPr>
          <w:rFonts w:cs="Times New Roman"/>
          <w:i/>
        </w:rPr>
        <w:t>Duiding Federale Staatsstructuur</w:t>
      </w:r>
      <w:r w:rsidRPr="00C95E6B">
        <w:rPr>
          <w:rFonts w:cs="Times New Roman"/>
        </w:rPr>
        <w:t>, Brussel, Larcier, 2018 (610) 611, nr. 5.</w:t>
      </w:r>
    </w:p>
  </w:footnote>
  <w:footnote w:id="8">
    <w:p w14:paraId="5005167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Voluit: ‘gemeenschappelijke decreten’ of ‘gemeenschappelijke decreten en ordonnantie(s)’. Hierna spreken we gemeenzaam van ‘gemeenschappelijke decreten’.</w:t>
      </w:r>
    </w:p>
  </w:footnote>
  <w:footnote w:id="9">
    <w:p w14:paraId="6E3AED8D" w14:textId="77777777" w:rsidR="00AB5378" w:rsidRDefault="00AB5378">
      <w:pPr>
        <w:pStyle w:val="Voetnoottekst"/>
        <w:spacing w:after="0"/>
      </w:pPr>
      <w:r>
        <w:rPr>
          <w:rStyle w:val="Voetnootmarkering"/>
        </w:rPr>
        <w:footnoteRef/>
      </w:r>
      <w:r>
        <w:t xml:space="preserve"> </w:t>
      </w:r>
      <w:r>
        <w:rPr>
          <w:rFonts w:cs="Times New Roman"/>
        </w:rPr>
        <w:t>Niettemin zullen in deze bijdrage toch een aantal nuanceringen op dat uitgangspunt worden aangebracht.</w:t>
      </w:r>
    </w:p>
  </w:footnote>
  <w:footnote w:id="10">
    <w:p w14:paraId="65B827C4" w14:textId="426B92EE" w:rsidR="00AB5378" w:rsidRDefault="00AB5378">
      <w:pPr>
        <w:pStyle w:val="Voetnoottekst"/>
        <w:spacing w:after="0"/>
        <w:rPr>
          <w:rFonts w:cs="Times New Roman"/>
          <w:lang w:val="fr-BE"/>
        </w:rPr>
      </w:pPr>
      <w:r w:rsidRPr="00C95E6B">
        <w:rPr>
          <w:rStyle w:val="Voetnootmarkering"/>
          <w:rFonts w:cs="Times New Roman"/>
        </w:rPr>
        <w:footnoteRef/>
      </w:r>
      <w:r w:rsidRPr="00C95E6B">
        <w:rPr>
          <w:rFonts w:cs="Times New Roman"/>
        </w:rPr>
        <w:t xml:space="preserve"> In essentie gaat het over artikel 92</w:t>
      </w:r>
      <w:r w:rsidRPr="00C95E6B">
        <w:rPr>
          <w:rFonts w:cs="Times New Roman"/>
          <w:i/>
          <w:iCs/>
        </w:rPr>
        <w:t>bis</w:t>
      </w:r>
      <w:r w:rsidRPr="00C95E6B">
        <w:rPr>
          <w:rFonts w:cs="Times New Roman"/>
        </w:rPr>
        <w:t>, §1</w:t>
      </w:r>
      <w:r w:rsidR="0040541D">
        <w:rPr>
          <w:rFonts w:cs="Times New Roman"/>
        </w:rPr>
        <w:t xml:space="preserve"> en </w:t>
      </w:r>
      <w:r w:rsidRPr="00C95E6B">
        <w:rPr>
          <w:rFonts w:cs="Times New Roman"/>
        </w:rPr>
        <w:t>§§5-6, artikel 92</w:t>
      </w:r>
      <w:r w:rsidRPr="00C95E6B">
        <w:rPr>
          <w:rFonts w:cs="Times New Roman"/>
          <w:i/>
          <w:iCs/>
        </w:rPr>
        <w:t>bis</w:t>
      </w:r>
      <w:r w:rsidRPr="00C95E6B">
        <w:rPr>
          <w:rFonts w:cs="Times New Roman"/>
        </w:rPr>
        <w:t xml:space="preserve">/1, §4, BWHI. Daarnaast is er ook nog een </w:t>
      </w:r>
      <w:bookmarkStart w:id="1" w:name="_Hlk36420076"/>
      <w:r w:rsidRPr="00C95E6B">
        <w:rPr>
          <w:rFonts w:cs="Times New Roman"/>
        </w:rPr>
        <w:t>Mededeling van het Overlegcomité ‘</w:t>
      </w:r>
      <w:r w:rsidRPr="00C95E6B">
        <w:rPr>
          <w:rFonts w:eastAsia="Times New Roman" w:cs="Times New Roman"/>
          <w:lang w:eastAsia="en-GB"/>
        </w:rPr>
        <w:t>Tips voor het realiseren van een samenwerkingsakkoord</w:t>
      </w:r>
      <w:r w:rsidRPr="00C95E6B">
        <w:rPr>
          <w:rFonts w:cs="Times New Roman"/>
        </w:rPr>
        <w:t>’ van 10 februari 2015</w:t>
      </w:r>
      <w:bookmarkEnd w:id="1"/>
      <w:r w:rsidRPr="00C95E6B">
        <w:rPr>
          <w:rFonts w:cs="Times New Roman"/>
        </w:rPr>
        <w:t xml:space="preserve">, </w:t>
      </w:r>
      <w:r w:rsidRPr="00C95E6B">
        <w:rPr>
          <w:rFonts w:cs="Times New Roman"/>
          <w:i/>
          <w:iCs/>
        </w:rPr>
        <w:t>onuitg</w:t>
      </w:r>
      <w:r w:rsidRPr="00C95E6B">
        <w:rPr>
          <w:rFonts w:cs="Times New Roman"/>
        </w:rPr>
        <w:t xml:space="preserve">. </w:t>
      </w:r>
      <w:r w:rsidRPr="00A87036">
        <w:rPr>
          <w:rFonts w:cs="Times New Roman"/>
          <w:smallCaps/>
          <w:lang w:val="fr-BE"/>
        </w:rPr>
        <w:t>Debry</w:t>
      </w:r>
      <w:r w:rsidRPr="00A87036">
        <w:rPr>
          <w:rFonts w:cs="Times New Roman"/>
          <w:lang w:val="fr-BE"/>
        </w:rPr>
        <w:t xml:space="preserve"> spreekt</w:t>
      </w:r>
      <w:r w:rsidRPr="00C95E6B">
        <w:rPr>
          <w:rFonts w:cs="Times New Roman"/>
          <w:lang w:val="fr-BE"/>
        </w:rPr>
        <w:t xml:space="preserve"> bv. </w:t>
      </w:r>
      <w:r w:rsidRPr="00A87036">
        <w:rPr>
          <w:rFonts w:cs="Times New Roman"/>
          <w:lang w:val="fr-BE"/>
        </w:rPr>
        <w:t>over een “brouillard qui voile les routes menant aux carrefours de la coopération conventionnelle”</w:t>
      </w:r>
      <w:r w:rsidRPr="00C95E6B">
        <w:rPr>
          <w:rFonts w:cs="Times New Roman"/>
          <w:lang w:val="fr-BE"/>
        </w:rPr>
        <w:t xml:space="preserve"> (</w:t>
      </w:r>
      <w:r w:rsidRPr="00A87036">
        <w:rPr>
          <w:rFonts w:cs="Times New Roman"/>
          <w:lang w:val="fr-BE"/>
        </w:rPr>
        <w:t xml:space="preserve">J.-Th. </w:t>
      </w:r>
      <w:r w:rsidRPr="00A87036">
        <w:rPr>
          <w:rFonts w:cs="Times New Roman"/>
          <w:smallCaps/>
          <w:lang w:val="fr-BE"/>
        </w:rPr>
        <w:t>Debry</w:t>
      </w:r>
      <w:r w:rsidRPr="00A87036">
        <w:rPr>
          <w:rFonts w:cs="Times New Roman"/>
          <w:lang w:val="fr-BE"/>
        </w:rPr>
        <w:t xml:space="preserve">, “Les accords de coopération obligatoire à travers les réformes de l’Etat, </w:t>
      </w:r>
      <w:r w:rsidRPr="00A87036">
        <w:rPr>
          <w:rFonts w:cs="Times New Roman"/>
          <w:i/>
          <w:lang w:val="fr-BE"/>
        </w:rPr>
        <w:t xml:space="preserve">CDPK </w:t>
      </w:r>
      <w:r w:rsidRPr="00A87036">
        <w:rPr>
          <w:rFonts w:cs="Times New Roman"/>
          <w:lang w:val="fr-BE"/>
        </w:rPr>
        <w:t>2003 (196)</w:t>
      </w:r>
      <w:r w:rsidRPr="00C95E6B">
        <w:rPr>
          <w:rFonts w:cs="Times New Roman"/>
          <w:lang w:val="fr-BE"/>
        </w:rPr>
        <w:t xml:space="preserve"> 227)</w:t>
      </w:r>
      <w:r w:rsidRPr="00A87036">
        <w:rPr>
          <w:rFonts w:cs="Times New Roman"/>
          <w:lang w:val="fr-BE"/>
        </w:rPr>
        <w:t>.</w:t>
      </w:r>
    </w:p>
  </w:footnote>
  <w:footnote w:id="11">
    <w:p w14:paraId="64DA799F" w14:textId="77777777" w:rsidR="00AB5378" w:rsidRDefault="00AB5378">
      <w:pPr>
        <w:pStyle w:val="Voetnoottekst"/>
        <w:spacing w:after="0"/>
        <w:rPr>
          <w:rFonts w:cs="Times New Roman"/>
          <w:lang w:val="fr-BE"/>
        </w:rPr>
      </w:pPr>
      <w:r w:rsidRPr="00C95E6B">
        <w:rPr>
          <w:rStyle w:val="Voetnootmarkering"/>
          <w:rFonts w:cs="Times New Roman"/>
        </w:rPr>
        <w:footnoteRef/>
      </w:r>
      <w:r w:rsidRPr="00C95E6B">
        <w:rPr>
          <w:rFonts w:cs="Times New Roman"/>
        </w:rPr>
        <w:t xml:space="preserve"> Een andere mogelijkheid zou erin bestaan hebben om samenwerkingsakkoorden te vergelijken met private overeenkomsten en te onderzoeken in welke mate het privaatrechtelijk overeenkomstenrecht dienst kan doen als suppletief recht. </w:t>
      </w:r>
      <w:r w:rsidRPr="00A87036">
        <w:rPr>
          <w:rFonts w:cs="Times New Roman"/>
          <w:lang w:val="fr-FR"/>
        </w:rPr>
        <w:t xml:space="preserve">Voor een dergelijke oefening, zie bv. </w:t>
      </w:r>
      <w:r w:rsidRPr="00A87036">
        <w:rPr>
          <w:rFonts w:cs="Times New Roman"/>
          <w:lang w:val="fr-BE"/>
        </w:rPr>
        <w:t xml:space="preserve">Ph. </w:t>
      </w:r>
      <w:r w:rsidRPr="00A87036">
        <w:rPr>
          <w:rFonts w:cs="Times New Roman"/>
          <w:smallCaps/>
          <w:lang w:val="fr-BE"/>
        </w:rPr>
        <w:t>Coenraedts</w:t>
      </w:r>
      <w:r w:rsidRPr="00A87036">
        <w:rPr>
          <w:rFonts w:cs="Times New Roman"/>
          <w:lang w:val="fr-BE"/>
        </w:rPr>
        <w:t xml:space="preserve">, “Les accords de coopération dans la Belgique fédérale”, </w:t>
      </w:r>
      <w:r w:rsidRPr="00C95E6B">
        <w:rPr>
          <w:rFonts w:cs="Times New Roman"/>
          <w:i/>
          <w:lang w:val="fr-BE"/>
        </w:rPr>
        <w:t xml:space="preserve">APT </w:t>
      </w:r>
      <w:r w:rsidRPr="00C95E6B">
        <w:rPr>
          <w:rFonts w:cs="Times New Roman"/>
          <w:lang w:val="fr-BE"/>
        </w:rPr>
        <w:t>1992, 158-200.</w:t>
      </w:r>
      <w:r w:rsidRPr="00A87036">
        <w:rPr>
          <w:rFonts w:cs="Times New Roman"/>
          <w:lang w:val="fr-BE"/>
        </w:rPr>
        <w:t xml:space="preserve"> </w:t>
      </w:r>
    </w:p>
  </w:footnote>
  <w:footnote w:id="12">
    <w:p w14:paraId="2C78A66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De afdeling Wetgeving van de Raad van State is </w:t>
      </w:r>
      <w:r w:rsidRPr="00C95E6B">
        <w:rPr>
          <w:rFonts w:cs="Times New Roman"/>
          <w:i/>
        </w:rPr>
        <w:t>op zich</w:t>
      </w:r>
      <w:r w:rsidRPr="00C95E6B">
        <w:rPr>
          <w:rFonts w:cs="Times New Roman"/>
        </w:rPr>
        <w:t xml:space="preserve"> niet bevoegd om advies te verlenen over ontwerpen van samenwerkingsakkoord, maar voorontwerpen van instemmingswet-, decreet- of ordonnantie met een samenwerkingsakkoord moeten wel verplicht voor advies worden voorgelegd. De Raad van State onderzoekt op dat moment niet alleen de bepalingen van de instemmingstekst, maar ook deze van de tekst van het samenwerkingsakkoord (</w:t>
      </w:r>
      <w:r w:rsidRPr="00C95E6B">
        <w:rPr>
          <w:rFonts w:cs="Times New Roman"/>
          <w:smallCaps/>
        </w:rPr>
        <w:t>Raad van State</w:t>
      </w:r>
      <w:r w:rsidRPr="00C95E6B">
        <w:rPr>
          <w:rFonts w:cs="Times New Roman"/>
        </w:rPr>
        <w:t xml:space="preserve">, </w:t>
      </w:r>
      <w:r w:rsidRPr="00C95E6B">
        <w:rPr>
          <w:rFonts w:cs="Times New Roman"/>
          <w:i/>
        </w:rPr>
        <w:t>Vademecum adviesprocedure voor de afdeling wetgeving</w:t>
      </w:r>
      <w:r w:rsidRPr="00C95E6B">
        <w:rPr>
          <w:rFonts w:cs="Times New Roman"/>
        </w:rPr>
        <w:t xml:space="preserve">, 2020, I.B.1.c, blz. 5, raadpleegbaar op </w:t>
      </w:r>
      <w:r w:rsidRPr="00C95E6B">
        <w:rPr>
          <w:rFonts w:cs="Times New Roman"/>
          <w:i/>
        </w:rPr>
        <w:t>www.raadvanstate.be</w:t>
      </w:r>
      <w:r w:rsidRPr="00C95E6B">
        <w:rPr>
          <w:rFonts w:cs="Times New Roman"/>
        </w:rPr>
        <w:t xml:space="preserve"> &gt; Procedure &gt; Wetgeving).</w:t>
      </w:r>
    </w:p>
    <w:p w14:paraId="2B955906" w14:textId="6703E875" w:rsidR="00AB5378" w:rsidRDefault="00AB5378">
      <w:pPr>
        <w:pStyle w:val="Voetnoottekst"/>
        <w:spacing w:after="0"/>
        <w:rPr>
          <w:rFonts w:cs="Times New Roman"/>
        </w:rPr>
      </w:pPr>
      <w:r w:rsidRPr="00C95E6B">
        <w:rPr>
          <w:rFonts w:cs="Times New Roman"/>
        </w:rPr>
        <w:t xml:space="preserve">Dat samenwerkingsakkoorden die niet de instemming behoeven bij wet, </w:t>
      </w:r>
      <w:r w:rsidRPr="00B2070B">
        <w:t>hierna: administratieve samenwerkingsakkoorden</w:t>
      </w:r>
      <w:r w:rsidRPr="00C95E6B">
        <w:rPr>
          <w:rFonts w:cs="Times New Roman"/>
        </w:rPr>
        <w:t xml:space="preserve"> (artikel 92</w:t>
      </w:r>
      <w:r w:rsidRPr="00C95E6B">
        <w:rPr>
          <w:rFonts w:cs="Times New Roman"/>
          <w:i/>
        </w:rPr>
        <w:t>bis</w:t>
      </w:r>
      <w:r w:rsidRPr="00C95E6B">
        <w:rPr>
          <w:rFonts w:cs="Times New Roman"/>
        </w:rPr>
        <w:t>, §1, tweede lid, BWHI) en uitvoerende samenwerkingsakkoorden (artikel 92</w:t>
      </w:r>
      <w:r w:rsidRPr="00C95E6B">
        <w:rPr>
          <w:rFonts w:cs="Times New Roman"/>
          <w:i/>
        </w:rPr>
        <w:t>bis</w:t>
      </w:r>
      <w:r w:rsidRPr="00C95E6B">
        <w:rPr>
          <w:rFonts w:cs="Times New Roman"/>
        </w:rPr>
        <w:t xml:space="preserve">, §1, derde lid, BWHI) niet voor advies moeten worden voorgelegd aan de Raad van State is een </w:t>
      </w:r>
      <w:r w:rsidRPr="00B2070B">
        <w:t>anomalie in ons regelgevingssysteem</w:t>
      </w:r>
      <w:r w:rsidRPr="00B2070B">
        <w:rPr>
          <w:rFonts w:cs="Times New Roman"/>
        </w:rPr>
        <w:t>.</w:t>
      </w:r>
      <w:r w:rsidRPr="00C95E6B">
        <w:rPr>
          <w:rFonts w:cs="Times New Roman"/>
        </w:rPr>
        <w:t xml:space="preserve"> Dit komt de kwaliteit van deze instrumenten en van de ermee uitgevaardigde rechtsregels niet ten goede, en vormt </w:t>
      </w:r>
      <w:r w:rsidRPr="00B2070B">
        <w:t xml:space="preserve">één van </w:t>
      </w:r>
      <w:r w:rsidRPr="00B2070B">
        <w:rPr>
          <w:rFonts w:cs="Times New Roman"/>
        </w:rPr>
        <w:t xml:space="preserve">de </w:t>
      </w:r>
      <w:r w:rsidRPr="00B2070B">
        <w:t>lacunes in het systeem van bescherming van de rechtsstaat en van preventieve rechtsbescherming waar de afdeling Wetgeving van de Raad van State voor instaat</w:t>
      </w:r>
      <w:r w:rsidRPr="00C95E6B">
        <w:rPr>
          <w:rFonts w:cs="Times New Roman"/>
        </w:rPr>
        <w:t xml:space="preserve"> (zie </w:t>
      </w:r>
      <w:r>
        <w:rPr>
          <w:rFonts w:cs="Times New Roman"/>
        </w:rPr>
        <w:t xml:space="preserve">bv. </w:t>
      </w:r>
      <w:r w:rsidRPr="00C95E6B">
        <w:rPr>
          <w:rFonts w:cs="Times New Roman"/>
        </w:rPr>
        <w:t xml:space="preserve">ook: Memorandum van de Raad van State ‘aan de huidige en toekomstige beleidsvoerders van dit land’, opgesteld op 4 juli 2019, </w:t>
      </w:r>
      <w:hyperlink r:id="rId1" w:history="1">
        <w:r w:rsidRPr="00C95E6B">
          <w:rPr>
            <w:rStyle w:val="Hyperlink"/>
            <w:rFonts w:cs="Times New Roman"/>
          </w:rPr>
          <w:t>http://www.raadvanstate.be/?action=doc&amp;doc=1069</w:t>
        </w:r>
      </w:hyperlink>
      <w:r w:rsidRPr="00C95E6B">
        <w:rPr>
          <w:rFonts w:cs="Times New Roman"/>
        </w:rPr>
        <w:t>, blz. 4-5, nr. 2.5).</w:t>
      </w:r>
    </w:p>
  </w:footnote>
  <w:footnote w:id="13">
    <w:p w14:paraId="1B850237" w14:textId="1BF9B9B5"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Grondwettelijk Hof heeft zich al in enkele tientallen arresten gebogen over samenwerkingsakkoorden. Slechts in een handvol (in deze bijdrage geciteerde) arresten werd het rechtskader voor samenwerkingsakkoorden verduidelijkt. In de meeste arresten betrof de door het Hof behandelde rechtsvraag – het buiten het bestek van deze bijdrage vallende vraag </w:t>
      </w:r>
      <w:r w:rsidR="00045B7D" w:rsidRPr="00C95E6B">
        <w:rPr>
          <w:rFonts w:cs="Times New Roman"/>
        </w:rPr>
        <w:t>–</w:t>
      </w:r>
      <w:r w:rsidR="00045B7D">
        <w:rPr>
          <w:rFonts w:cs="Times New Roman"/>
        </w:rPr>
        <w:t xml:space="preserve"> </w:t>
      </w:r>
      <w:r w:rsidRPr="00C95E6B">
        <w:rPr>
          <w:rFonts w:cs="Times New Roman"/>
        </w:rPr>
        <w:t>of (het ontbreken van) een bepaald samenwerkingsakkoord een schending inhoudt van de bevoegdheidsverdelende regels.</w:t>
      </w:r>
    </w:p>
  </w:footnote>
  <w:footnote w:id="14">
    <w:p w14:paraId="58B2B2F3" w14:textId="78BFF8B8" w:rsidR="00AB5378" w:rsidRPr="00B2070B"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De </w:t>
      </w:r>
      <w:r w:rsidRPr="00B2070B">
        <w:rPr>
          <w:rFonts w:cs="Times New Roman"/>
        </w:rPr>
        <w:t>v</w:t>
      </w:r>
      <w:r w:rsidRPr="00B2070B">
        <w:t>erenigde kamers</w:t>
      </w:r>
      <w:r w:rsidRPr="00B2070B">
        <w:rPr>
          <w:rFonts w:cs="Times New Roman"/>
        </w:rPr>
        <w:t xml:space="preserve"> van de afdeling Wetgeving van de Raad van State bestaan uit één Franstalige en één </w:t>
      </w:r>
      <w:r w:rsidRPr="00B2070B">
        <w:t>Nederlandse kamer</w:t>
      </w:r>
      <w:r w:rsidRPr="00B2070B">
        <w:rPr>
          <w:rFonts w:cs="Times New Roman"/>
        </w:rPr>
        <w:t xml:space="preserve"> van</w:t>
      </w:r>
      <w:r w:rsidRPr="00C95E6B">
        <w:rPr>
          <w:rFonts w:cs="Times New Roman"/>
        </w:rPr>
        <w:t xml:space="preserve"> de afdeling Wetgeving van de Raad van State (dus twee van de </w:t>
      </w:r>
      <w:r w:rsidRPr="00B2070B">
        <w:rPr>
          <w:rFonts w:cs="Times New Roman"/>
        </w:rPr>
        <w:t xml:space="preserve">vier </w:t>
      </w:r>
      <w:r w:rsidRPr="00B2070B">
        <w:t>kamers</w:t>
      </w:r>
      <w:r w:rsidRPr="00B2070B">
        <w:rPr>
          <w:rFonts w:cs="Times New Roman"/>
        </w:rPr>
        <w:t xml:space="preserve"> wetgeving). Volgens de gecoördineerde wetten van de Raad van State zijn de verenigde kamers bevoegd om advies te verlenen over adviesaanvragen waar er vragen rijzen over de bevoegdheidsverdeling tussen de federale overheid, de gemeenschappen en de gewesten die één Kamer niet alleen kan oplossen omdat die te complex of te delicaat is (artikel 85</w:t>
      </w:r>
      <w:r w:rsidRPr="00B2070B">
        <w:rPr>
          <w:rFonts w:cs="Times New Roman"/>
          <w:i/>
          <w:iCs/>
        </w:rPr>
        <w:t>bis</w:t>
      </w:r>
      <w:r w:rsidRPr="00B2070B">
        <w:rPr>
          <w:rFonts w:cs="Times New Roman"/>
        </w:rPr>
        <w:t xml:space="preserve">, eerste lid, van de gecoördineerde wetten op de Raad van State van 12 januari 1973 en </w:t>
      </w:r>
      <w:r w:rsidRPr="00B2070B">
        <w:rPr>
          <w:rFonts w:cs="Times New Roman"/>
          <w:smallCaps/>
        </w:rPr>
        <w:t>Raad van State</w:t>
      </w:r>
      <w:r w:rsidRPr="00B2070B">
        <w:rPr>
          <w:rFonts w:cs="Times New Roman"/>
        </w:rPr>
        <w:t xml:space="preserve">, </w:t>
      </w:r>
      <w:r w:rsidRPr="00B2070B">
        <w:rPr>
          <w:rFonts w:cs="Times New Roman"/>
          <w:i/>
        </w:rPr>
        <w:t>Vademecum adviesprocedure voor de afdeling wetgeving</w:t>
      </w:r>
      <w:r w:rsidRPr="00B2070B">
        <w:rPr>
          <w:rFonts w:cs="Times New Roman"/>
        </w:rPr>
        <w:t xml:space="preserve">, 2020, I.F.2.a, blz. 21). Sinds 2012 wordt op praetoriaanse wijze in beginsel ook elke eerste adviesaanvraag over een instemmingsakte met een samenwerkingsakkoord (of met de meeste verdragen)) aan de </w:t>
      </w:r>
      <w:r w:rsidRPr="00B2070B">
        <w:t>verenigde kamers</w:t>
      </w:r>
      <w:r w:rsidRPr="00B2070B">
        <w:rPr>
          <w:rFonts w:cs="Times New Roman"/>
        </w:rPr>
        <w:t xml:space="preserve"> voorgelegd. De daaropvolgende adviesaanvragen over andere instemmingsakte met datzelfde samenwerkingsakkoord (of verdrag) worden dan door een gewone kamer behandeld, waarbij het advies in gewone kamer in beginsel een overname is van het advies in verenigde</w:t>
      </w:r>
      <w:r w:rsidRPr="00B2070B">
        <w:t xml:space="preserve"> kamers</w:t>
      </w:r>
      <w:r w:rsidRPr="00B2070B">
        <w:rPr>
          <w:rFonts w:cs="Times New Roman"/>
        </w:rPr>
        <w:t xml:space="preserve"> (behoudens bv. voor opmerkingen eigen aan de voorliggende instemmingstekst of eigen aan de regelgevingsprocedure van de betrokken adviesaanvrager). Deze procedure werd ingesteld om te voorkomen dat de adviezen over verschillende instemmingsakten met hetzelfde samenwerkingsakkoord (of verdrag) van elkaar zouden afwijken of … elkaar zelfs zouden tegenspreken (voor een voorbeeld van waar de adviezen van de Raad van State over de verschillende instemmingsakten met eenzelfde verdrag elkaar tegenspraken, zie J. </w:t>
      </w:r>
      <w:r w:rsidRPr="00B2070B">
        <w:rPr>
          <w:rFonts w:cs="Times New Roman"/>
          <w:smallCaps/>
        </w:rPr>
        <w:t>Velaers</w:t>
      </w:r>
      <w:r w:rsidRPr="00B2070B">
        <w:rPr>
          <w:rFonts w:cs="Times New Roman"/>
        </w:rPr>
        <w:t xml:space="preserve">, </w:t>
      </w:r>
      <w:r w:rsidRPr="00B2070B">
        <w:rPr>
          <w:rFonts w:cs="Times New Roman"/>
          <w:i/>
          <w:iCs/>
        </w:rPr>
        <w:t>De Grondwet en de Raad van State Afdeling wetgeving</w:t>
      </w:r>
      <w:r w:rsidRPr="00B2070B">
        <w:rPr>
          <w:rFonts w:cs="Times New Roman"/>
        </w:rPr>
        <w:t xml:space="preserve">, Antwerpen, Maklu, 1999, 545-547, nrs. 13-18) Voor adviezen van na 2012 zullen we hierna in beginsel enkel verwijzen naar het advies in </w:t>
      </w:r>
      <w:r w:rsidRPr="00B2070B">
        <w:t>verenigde kamers</w:t>
      </w:r>
      <w:r w:rsidRPr="00B2070B">
        <w:rPr>
          <w:rFonts w:cs="Times New Roman"/>
        </w:rPr>
        <w:t>.</w:t>
      </w:r>
    </w:p>
  </w:footnote>
  <w:footnote w:id="15">
    <w:p w14:paraId="5A87EC3E" w14:textId="0D843326" w:rsidR="00AB5378" w:rsidRDefault="00AB5378">
      <w:pPr>
        <w:pStyle w:val="Voetnoottekst"/>
        <w:spacing w:after="0"/>
        <w:rPr>
          <w:rFonts w:cs="Times New Roman"/>
        </w:rPr>
      </w:pPr>
      <w:r w:rsidRPr="00B2070B">
        <w:rPr>
          <w:rStyle w:val="Voetnootmarkering"/>
          <w:rFonts w:cs="Times New Roman"/>
        </w:rPr>
        <w:footnoteRef/>
      </w:r>
      <w:r w:rsidRPr="00B2070B">
        <w:rPr>
          <w:rFonts w:cs="Times New Roman"/>
        </w:rPr>
        <w:t xml:space="preserve"> Zie in het bijzonder </w:t>
      </w:r>
      <w:r w:rsidRPr="00B2070B">
        <w:rPr>
          <w:rFonts w:cs="Times New Roman"/>
          <w:smallCaps/>
        </w:rPr>
        <w:t>Y. Peeters</w:t>
      </w:r>
      <w:r w:rsidRPr="00B2070B">
        <w:rPr>
          <w:rFonts w:cs="Times New Roman"/>
        </w:rPr>
        <w:t xml:space="preserve">, </w:t>
      </w:r>
      <w:r w:rsidRPr="00B2070B">
        <w:rPr>
          <w:rFonts w:cs="Times New Roman"/>
          <w:i/>
          <w:iCs/>
        </w:rPr>
        <w:t>De plaats</w:t>
      </w:r>
      <w:r w:rsidRPr="00C95E6B">
        <w:rPr>
          <w:rFonts w:cs="Times New Roman"/>
          <w:i/>
          <w:iCs/>
        </w:rPr>
        <w:t xml:space="preserve"> van samenwerkingsakkoorden in het constitutioneel kader</w:t>
      </w:r>
      <w:r w:rsidRPr="00C95E6B">
        <w:rPr>
          <w:rFonts w:cs="Times New Roman"/>
        </w:rPr>
        <w:t xml:space="preserve">, Brugge, die Keure, 2016, in het bijzonder Deel II. Zie ook al eerder: R. </w:t>
      </w:r>
      <w:r w:rsidRPr="00C95E6B">
        <w:rPr>
          <w:rFonts w:cs="Times New Roman"/>
          <w:smallCaps/>
        </w:rPr>
        <w:t>Moerenhout</w:t>
      </w:r>
      <w:r w:rsidRPr="00C95E6B">
        <w:rPr>
          <w:rFonts w:cs="Times New Roman"/>
        </w:rPr>
        <w:t xml:space="preserve"> en J. </w:t>
      </w:r>
      <w:r w:rsidRPr="00B2070B">
        <w:rPr>
          <w:rFonts w:cs="Times New Roman"/>
          <w:smallCaps/>
        </w:rPr>
        <w:t>S</w:t>
      </w:r>
      <w:r>
        <w:rPr>
          <w:rFonts w:cs="Times New Roman"/>
          <w:smallCaps/>
        </w:rPr>
        <w:t>mets</w:t>
      </w:r>
      <w:r w:rsidRPr="00C95E6B">
        <w:rPr>
          <w:rFonts w:cs="Times New Roman"/>
        </w:rPr>
        <w:t xml:space="preserve">, </w:t>
      </w:r>
      <w:r w:rsidRPr="00C95E6B">
        <w:rPr>
          <w:rFonts w:cs="Times New Roman"/>
          <w:i/>
          <w:iCs/>
        </w:rPr>
        <w:t>De samenwerking tussen de federale Staat en de Gemeenschappen en de Gewesten</w:t>
      </w:r>
      <w:r w:rsidRPr="00C95E6B">
        <w:rPr>
          <w:rFonts w:cs="Times New Roman"/>
        </w:rPr>
        <w:t>, Deurne, Kluwer Rechtswetenschappen België, 1994, 143-144.</w:t>
      </w:r>
    </w:p>
  </w:footnote>
  <w:footnote w:id="16">
    <w:p w14:paraId="2B7EE9CE"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Alle in deze bijdrage geciteerde adviezen zijn raadpleegbaar op: </w:t>
      </w:r>
      <w:hyperlink r:id="rId2" w:history="1">
        <w:r w:rsidRPr="00C95E6B">
          <w:rPr>
            <w:rStyle w:val="Hyperlink"/>
            <w:rFonts w:cs="Times New Roman"/>
          </w:rPr>
          <w:t>www.raadvanstate.be</w:t>
        </w:r>
      </w:hyperlink>
      <w:r w:rsidRPr="00C95E6B">
        <w:rPr>
          <w:rFonts w:cs="Times New Roman"/>
        </w:rPr>
        <w:t xml:space="preserve"> &gt; zoeken &gt; adviezen.</w:t>
      </w:r>
    </w:p>
  </w:footnote>
  <w:footnote w:id="17">
    <w:p w14:paraId="3EDC512A"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ook </w:t>
      </w:r>
      <w:r w:rsidRPr="00C95E6B">
        <w:rPr>
          <w:rFonts w:cs="Times New Roman"/>
          <w:i/>
          <w:iCs/>
        </w:rPr>
        <w:t>infra</w:t>
      </w:r>
      <w:r w:rsidRPr="00C95E6B">
        <w:rPr>
          <w:rFonts w:cs="Times New Roman"/>
        </w:rPr>
        <w:t xml:space="preserve"> </w:t>
      </w:r>
      <w:r w:rsidRPr="00B2070B">
        <w:t>nr. 7</w:t>
      </w:r>
      <w:r w:rsidRPr="00C95E6B">
        <w:rPr>
          <w:rFonts w:cs="Times New Roman"/>
        </w:rPr>
        <w:t xml:space="preserve"> </w:t>
      </w:r>
      <w:r w:rsidRPr="00C95E6B">
        <w:rPr>
          <w:rFonts w:cs="Times New Roman"/>
          <w:i/>
          <w:iCs/>
        </w:rPr>
        <w:t>in fine</w:t>
      </w:r>
      <w:r w:rsidRPr="00C95E6B">
        <w:rPr>
          <w:rFonts w:cs="Times New Roman"/>
        </w:rPr>
        <w:t>.</w:t>
      </w:r>
    </w:p>
  </w:footnote>
  <w:footnote w:id="18">
    <w:p w14:paraId="25227D1E" w14:textId="77777777" w:rsidR="00AB5378" w:rsidRDefault="00AB5378">
      <w:pPr>
        <w:autoSpaceDE w:val="0"/>
        <w:autoSpaceDN w:val="0"/>
        <w:adjustRightInd w:val="0"/>
        <w:jc w:val="both"/>
        <w:rPr>
          <w:sz w:val="20"/>
          <w:szCs w:val="20"/>
          <w:lang w:val="nl-BE"/>
        </w:rPr>
      </w:pPr>
      <w:r w:rsidRPr="00C95E6B">
        <w:rPr>
          <w:rStyle w:val="Voetnootmarkering"/>
          <w:sz w:val="20"/>
          <w:szCs w:val="20"/>
        </w:rPr>
        <w:footnoteRef/>
      </w:r>
      <w:r w:rsidRPr="00C95E6B">
        <w:rPr>
          <w:sz w:val="20"/>
          <w:szCs w:val="20"/>
          <w:lang w:val="nl-BE"/>
        </w:rPr>
        <w:t xml:space="preserve"> De inwerkingtreding van een samenwerkingsakkoord of verdrag kan niet eenzijdig worden geregeld door één van de partijen afzonderlijk, bv. in de akte waarmee parlementaire instemming wordt verleend (bv. adv.RvS 47.439/1 van 19 november 2009, nr. 3; adv.RvS 42.375-7/AV van 20 maart 2007, nr. 17; adv.RvS 54.716/VR van 21 januari 2014, nr. 3; </w:t>
      </w:r>
      <w:r w:rsidRPr="00C95E6B">
        <w:rPr>
          <w:sz w:val="20"/>
          <w:szCs w:val="20"/>
          <w:lang w:val="nl-NL"/>
        </w:rPr>
        <w:t xml:space="preserve">adv.RvS 52.103/VR van 25 oktober 2012, nr. 2 </w:t>
      </w:r>
      <w:r w:rsidRPr="00C95E6B">
        <w:rPr>
          <w:sz w:val="20"/>
          <w:szCs w:val="20"/>
          <w:lang w:val="nl-BE"/>
        </w:rPr>
        <w:t xml:space="preserve">(inwerkingtreding - samenwerkingsakkoord); adv.RvS 47.786/1 van 18 februari 2010, blz. 3-4; adv.RvS </w:t>
      </w:r>
      <w:r w:rsidRPr="00C95E6B">
        <w:rPr>
          <w:sz w:val="20"/>
          <w:szCs w:val="20"/>
          <w:lang w:val="nl-NL"/>
        </w:rPr>
        <w:t>47.790/1 van 18 februari 2010, blz. 3-4 en advies 47.867/1 van 11 maart 2010, blz. 3-4</w:t>
      </w:r>
      <w:r w:rsidRPr="00C95E6B">
        <w:rPr>
          <w:sz w:val="20"/>
          <w:szCs w:val="20"/>
          <w:lang w:val="nl-BE"/>
        </w:rPr>
        <w:t xml:space="preserve"> (terugwerkende kracht - verdrag)). Deze dient voort te vloeien of te blijken uit het verdrag of het samenwerkingsakkoord zelf, of bij gebreke hiervan uit het internationaal verdragsrecht, respectievelijk de bijzondere wet</w:t>
      </w:r>
      <w:r w:rsidRPr="00C95E6B">
        <w:rPr>
          <w:sz w:val="20"/>
          <w:szCs w:val="20"/>
          <w:lang w:val="nl-NL"/>
        </w:rPr>
        <w:t xml:space="preserve"> (</w:t>
      </w:r>
      <w:r w:rsidRPr="00C95E6B">
        <w:rPr>
          <w:i/>
          <w:iCs/>
          <w:sz w:val="20"/>
          <w:szCs w:val="20"/>
          <w:lang w:val="nl-BE"/>
        </w:rPr>
        <w:t>infra</w:t>
      </w:r>
      <w:r w:rsidRPr="00C95E6B">
        <w:rPr>
          <w:sz w:val="20"/>
          <w:szCs w:val="20"/>
          <w:lang w:val="nl-BE"/>
        </w:rPr>
        <w:t xml:space="preserve"> </w:t>
      </w:r>
      <w:r w:rsidRPr="00B2070B">
        <w:rPr>
          <w:sz w:val="20"/>
          <w:lang w:val="nl-BE"/>
        </w:rPr>
        <w:t>hoofdstuk IV</w:t>
      </w:r>
      <w:r w:rsidRPr="00C95E6B">
        <w:rPr>
          <w:sz w:val="20"/>
          <w:szCs w:val="20"/>
          <w:lang w:val="nl-BE"/>
        </w:rPr>
        <w:t>).</w:t>
      </w:r>
    </w:p>
  </w:footnote>
  <w:footnote w:id="19">
    <w:p w14:paraId="3726BEF7" w14:textId="7BCD5549" w:rsidR="00AB5378" w:rsidRDefault="00AB5378">
      <w:pPr>
        <w:autoSpaceDE w:val="0"/>
        <w:autoSpaceDN w:val="0"/>
        <w:adjustRightInd w:val="0"/>
        <w:jc w:val="both"/>
        <w:rPr>
          <w:sz w:val="20"/>
          <w:szCs w:val="20"/>
          <w:lang w:val="nl-BE"/>
        </w:rPr>
      </w:pPr>
      <w:r w:rsidRPr="00C95E6B">
        <w:rPr>
          <w:rStyle w:val="Voetnootmarkering"/>
          <w:sz w:val="20"/>
          <w:szCs w:val="20"/>
        </w:rPr>
        <w:footnoteRef/>
      </w:r>
      <w:r w:rsidRPr="00C95E6B">
        <w:rPr>
          <w:sz w:val="20"/>
          <w:szCs w:val="20"/>
          <w:lang w:val="nl-BE"/>
        </w:rPr>
        <w:t xml:space="preserve"> Zo wees de Raad van State er bv. op dat in een instemmingsakte met een samenwerkingsakkoord niet hoort te worden bepaald dat </w:t>
      </w:r>
      <w:r w:rsidRPr="00C95E6B">
        <w:rPr>
          <w:sz w:val="20"/>
          <w:szCs w:val="20"/>
          <w:lang w:val="nl-NL"/>
        </w:rPr>
        <w:t xml:space="preserve">het samenwerkingsakkoord “rechtstreeks toepasselijk” is, vermits de uitwerking en de draagwijdte van het samenwerkingsakkoord </w:t>
      </w:r>
      <w:r>
        <w:rPr>
          <w:sz w:val="20"/>
          <w:szCs w:val="20"/>
          <w:lang w:val="nl-NL"/>
        </w:rPr>
        <w:t xml:space="preserve">dient te </w:t>
      </w:r>
      <w:r w:rsidRPr="00C95E6B">
        <w:rPr>
          <w:sz w:val="20"/>
          <w:szCs w:val="20"/>
          <w:lang w:val="nl-NL"/>
        </w:rPr>
        <w:t>volg</w:t>
      </w:r>
      <w:r>
        <w:rPr>
          <w:sz w:val="20"/>
          <w:szCs w:val="20"/>
          <w:lang w:val="nl-NL"/>
        </w:rPr>
        <w:t>en</w:t>
      </w:r>
      <w:r w:rsidRPr="00C95E6B">
        <w:rPr>
          <w:sz w:val="20"/>
          <w:szCs w:val="20"/>
          <w:lang w:val="nl-NL"/>
        </w:rPr>
        <w:t xml:space="preserve"> uit de strekking </w:t>
      </w:r>
      <w:r>
        <w:rPr>
          <w:sz w:val="20"/>
          <w:szCs w:val="20"/>
          <w:lang w:val="nl-NL"/>
        </w:rPr>
        <w:t>van het samenwerkingsakkoord</w:t>
      </w:r>
      <w:r w:rsidRPr="00C95E6B">
        <w:rPr>
          <w:sz w:val="20"/>
          <w:szCs w:val="20"/>
          <w:lang w:val="nl-NL"/>
        </w:rPr>
        <w:t xml:space="preserve">, en niet uit de kwalificatie die </w:t>
      </w:r>
      <w:r>
        <w:rPr>
          <w:sz w:val="20"/>
          <w:szCs w:val="20"/>
          <w:lang w:val="nl-NL"/>
        </w:rPr>
        <w:t xml:space="preserve">een bepaalde </w:t>
      </w:r>
      <w:r w:rsidRPr="00C95E6B">
        <w:rPr>
          <w:sz w:val="20"/>
          <w:szCs w:val="20"/>
          <w:lang w:val="nl-NL"/>
        </w:rPr>
        <w:t>wetgever eraan verleent (</w:t>
      </w:r>
      <w:proofErr w:type="spellStart"/>
      <w:r w:rsidRPr="00C95E6B">
        <w:rPr>
          <w:sz w:val="20"/>
          <w:szCs w:val="20"/>
          <w:lang w:val="nl-NL"/>
        </w:rPr>
        <w:t>adv.RvS</w:t>
      </w:r>
      <w:proofErr w:type="spellEnd"/>
      <w:r w:rsidRPr="00C95E6B">
        <w:rPr>
          <w:sz w:val="20"/>
          <w:szCs w:val="20"/>
          <w:lang w:val="nl-NL"/>
        </w:rPr>
        <w:t xml:space="preserve"> 44.947-9/VR van 19 augustus 2008, nr. 32).</w:t>
      </w:r>
    </w:p>
  </w:footnote>
  <w:footnote w:id="20">
    <w:p w14:paraId="6478E61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adv.RvS 44.944/2/V van 12 augustus 2008, nr. 2 (</w:t>
      </w:r>
      <w:r>
        <w:rPr>
          <w:rFonts w:cs="Times New Roman"/>
        </w:rPr>
        <w:t>s</w:t>
      </w:r>
      <w:r w:rsidRPr="00C95E6B">
        <w:rPr>
          <w:rFonts w:cs="Times New Roman"/>
        </w:rPr>
        <w:t xml:space="preserve">amenwerkingsakkoord). Zie ook </w:t>
      </w:r>
      <w:r w:rsidRPr="00C95E6B">
        <w:rPr>
          <w:rFonts w:cs="Times New Roman"/>
          <w:i/>
          <w:iCs/>
        </w:rPr>
        <w:t>infra</w:t>
      </w:r>
      <w:r w:rsidRPr="00C95E6B">
        <w:rPr>
          <w:rFonts w:cs="Times New Roman"/>
        </w:rPr>
        <w:t xml:space="preserve"> </w:t>
      </w:r>
      <w:r w:rsidRPr="00B2070B">
        <w:t>voetnoot 36</w:t>
      </w:r>
      <w:r w:rsidRPr="00C95E6B">
        <w:rPr>
          <w:rFonts w:cs="Times New Roman"/>
        </w:rPr>
        <w:t>.</w:t>
      </w:r>
    </w:p>
  </w:footnote>
  <w:footnote w:id="21">
    <w:p w14:paraId="0D20E551"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Zie bv. </w:t>
      </w:r>
      <w:r w:rsidRPr="00C95E6B">
        <w:rPr>
          <w:sz w:val="20"/>
          <w:szCs w:val="20"/>
          <w:lang w:val="nl-NL"/>
        </w:rPr>
        <w:t>adv.RvS 47.935/VR van 20 april 2010, blz. 3-11 en adv.RvS 46.818/2 van 1 juli 2009, blz. 4-6 (beide over verdragen).</w:t>
      </w:r>
    </w:p>
    <w:p w14:paraId="420A14CA" w14:textId="348DD952" w:rsidR="00AB5378" w:rsidRDefault="00AB5378">
      <w:pPr>
        <w:jc w:val="both"/>
        <w:rPr>
          <w:sz w:val="20"/>
          <w:szCs w:val="20"/>
          <w:lang w:val="nl-BE"/>
        </w:rPr>
      </w:pPr>
      <w:r w:rsidRPr="00C95E6B">
        <w:rPr>
          <w:sz w:val="20"/>
          <w:szCs w:val="20"/>
          <w:lang w:val="nl-NL"/>
        </w:rPr>
        <w:t xml:space="preserve">Om die reden wordt dan ook aangeraden om ter gelegenheid van de onderhandelingen van een samenwerkingsakkoord ook een gemeenschappelijke memorie van toelichting op te stellen (punt 8 van Mededeling van het Overlegcomité </w:t>
      </w:r>
      <w:r w:rsidRPr="00C95E6B">
        <w:rPr>
          <w:sz w:val="20"/>
          <w:szCs w:val="20"/>
          <w:lang w:val="nl-BE"/>
        </w:rPr>
        <w:t>‘Tips voor het realiseren van een samenwerkingsakkoord’ van 10 februari 2015</w:t>
      </w:r>
      <w:r w:rsidRPr="00C95E6B">
        <w:rPr>
          <w:sz w:val="20"/>
          <w:szCs w:val="20"/>
          <w:lang w:val="nl-NL"/>
        </w:rPr>
        <w:t xml:space="preserve">). Om dezelfde reden worden ook bij verdragen regelmatig gemeenschappelijke toelichtingen opgesteld. Zo is het bv. gebruikelijk dat voor elk verdrag onderhandeld in het kader van de Raad van Europa tevens een zgn. </w:t>
      </w:r>
      <w:r w:rsidRPr="00C95E6B">
        <w:rPr>
          <w:sz w:val="20"/>
          <w:szCs w:val="20"/>
        </w:rPr>
        <w:t>“Expl</w:t>
      </w:r>
      <w:r w:rsidR="00B623B4">
        <w:rPr>
          <w:sz w:val="20"/>
          <w:szCs w:val="20"/>
        </w:rPr>
        <w:t>a</w:t>
      </w:r>
      <w:r w:rsidRPr="00C95E6B">
        <w:rPr>
          <w:sz w:val="20"/>
          <w:szCs w:val="20"/>
        </w:rPr>
        <w:t xml:space="preserve">natory Report” </w:t>
      </w:r>
      <w:proofErr w:type="spellStart"/>
      <w:r w:rsidRPr="00C95E6B">
        <w:rPr>
          <w:sz w:val="20"/>
          <w:szCs w:val="20"/>
        </w:rPr>
        <w:t>wordt</w:t>
      </w:r>
      <w:proofErr w:type="spellEnd"/>
      <w:r w:rsidRPr="00C95E6B">
        <w:rPr>
          <w:sz w:val="20"/>
          <w:szCs w:val="20"/>
        </w:rPr>
        <w:t xml:space="preserve"> </w:t>
      </w:r>
      <w:proofErr w:type="spellStart"/>
      <w:r w:rsidRPr="00C95E6B">
        <w:rPr>
          <w:sz w:val="20"/>
          <w:szCs w:val="20"/>
        </w:rPr>
        <w:t>opgesteld</w:t>
      </w:r>
      <w:proofErr w:type="spellEnd"/>
      <w:r w:rsidRPr="00C95E6B">
        <w:rPr>
          <w:sz w:val="20"/>
          <w:szCs w:val="20"/>
        </w:rPr>
        <w:t xml:space="preserve"> (J. </w:t>
      </w:r>
      <w:r w:rsidRPr="00C95E6B">
        <w:rPr>
          <w:smallCaps/>
          <w:sz w:val="20"/>
          <w:szCs w:val="20"/>
        </w:rPr>
        <w:t>Polakiewicz</w:t>
      </w:r>
      <w:r w:rsidRPr="00C95E6B">
        <w:rPr>
          <w:sz w:val="20"/>
          <w:szCs w:val="20"/>
        </w:rPr>
        <w:t xml:space="preserve">, </w:t>
      </w:r>
      <w:r w:rsidRPr="00C95E6B">
        <w:rPr>
          <w:i/>
          <w:sz w:val="20"/>
          <w:szCs w:val="20"/>
        </w:rPr>
        <w:t>Treaty-making in het Council of Europe</w:t>
      </w:r>
      <w:r w:rsidRPr="00C95E6B">
        <w:rPr>
          <w:sz w:val="20"/>
          <w:szCs w:val="20"/>
        </w:rPr>
        <w:t xml:space="preserve">, Straatsburg, Council of Europe Publishing, 1999, 26-28). </w:t>
      </w:r>
      <w:r w:rsidRPr="00C95E6B">
        <w:rPr>
          <w:sz w:val="20"/>
          <w:szCs w:val="20"/>
          <w:lang w:val="nl-BE"/>
        </w:rPr>
        <w:t xml:space="preserve">Zo ook horen bij de OESO ‘Model Tax </w:t>
      </w:r>
      <w:proofErr w:type="spellStart"/>
      <w:r w:rsidRPr="00C95E6B">
        <w:rPr>
          <w:sz w:val="20"/>
          <w:szCs w:val="20"/>
          <w:lang w:val="nl-BE"/>
        </w:rPr>
        <w:t>Convention</w:t>
      </w:r>
      <w:proofErr w:type="spellEnd"/>
      <w:r w:rsidRPr="00C95E6B">
        <w:rPr>
          <w:sz w:val="20"/>
          <w:szCs w:val="20"/>
          <w:lang w:val="nl-BE"/>
        </w:rPr>
        <w:t xml:space="preserve"> on </w:t>
      </w:r>
      <w:proofErr w:type="spellStart"/>
      <w:r w:rsidRPr="00C95E6B">
        <w:rPr>
          <w:sz w:val="20"/>
          <w:szCs w:val="20"/>
          <w:lang w:val="nl-BE"/>
        </w:rPr>
        <w:t>Income</w:t>
      </w:r>
      <w:proofErr w:type="spellEnd"/>
      <w:r w:rsidRPr="00C95E6B">
        <w:rPr>
          <w:sz w:val="20"/>
          <w:szCs w:val="20"/>
          <w:lang w:val="nl-BE"/>
        </w:rPr>
        <w:t xml:space="preserve"> </w:t>
      </w:r>
      <w:proofErr w:type="spellStart"/>
      <w:r w:rsidRPr="00C95E6B">
        <w:rPr>
          <w:sz w:val="20"/>
          <w:szCs w:val="20"/>
          <w:lang w:val="nl-BE"/>
        </w:rPr>
        <w:t>and</w:t>
      </w:r>
      <w:proofErr w:type="spellEnd"/>
      <w:r w:rsidRPr="00C95E6B">
        <w:rPr>
          <w:sz w:val="20"/>
          <w:szCs w:val="20"/>
          <w:lang w:val="nl-BE"/>
        </w:rPr>
        <w:t xml:space="preserve"> on </w:t>
      </w:r>
      <w:proofErr w:type="spellStart"/>
      <w:r w:rsidRPr="00C95E6B">
        <w:rPr>
          <w:sz w:val="20"/>
          <w:szCs w:val="20"/>
          <w:lang w:val="nl-BE"/>
        </w:rPr>
        <w:t>Capital</w:t>
      </w:r>
      <w:proofErr w:type="spellEnd"/>
      <w:r w:rsidRPr="00C95E6B">
        <w:rPr>
          <w:sz w:val="20"/>
          <w:szCs w:val="20"/>
          <w:lang w:val="nl-BE"/>
        </w:rPr>
        <w:t xml:space="preserve">’ (die als basis wordt gebruikt voor het opstellen van bilaterale </w:t>
      </w:r>
      <w:proofErr w:type="spellStart"/>
      <w:r w:rsidRPr="00C95E6B">
        <w:rPr>
          <w:sz w:val="20"/>
          <w:szCs w:val="20"/>
          <w:lang w:val="nl-BE"/>
        </w:rPr>
        <w:t>dubbelbelastingsverdragen</w:t>
      </w:r>
      <w:proofErr w:type="spellEnd"/>
      <w:r w:rsidRPr="00C95E6B">
        <w:rPr>
          <w:sz w:val="20"/>
          <w:szCs w:val="20"/>
          <w:lang w:val="nl-BE"/>
        </w:rPr>
        <w:t>) ‘</w:t>
      </w:r>
      <w:proofErr w:type="spellStart"/>
      <w:r w:rsidRPr="00C95E6B">
        <w:rPr>
          <w:sz w:val="20"/>
          <w:szCs w:val="20"/>
          <w:lang w:val="nl-BE"/>
        </w:rPr>
        <w:t>Commentaries</w:t>
      </w:r>
      <w:proofErr w:type="spellEnd"/>
      <w:r w:rsidRPr="00C95E6B">
        <w:rPr>
          <w:sz w:val="20"/>
          <w:szCs w:val="20"/>
          <w:lang w:val="nl-BE"/>
        </w:rPr>
        <w:t xml:space="preserve"> on </w:t>
      </w:r>
      <w:proofErr w:type="spellStart"/>
      <w:r w:rsidRPr="00C95E6B">
        <w:rPr>
          <w:sz w:val="20"/>
          <w:szCs w:val="20"/>
          <w:lang w:val="nl-BE"/>
        </w:rPr>
        <w:t>the</w:t>
      </w:r>
      <w:proofErr w:type="spellEnd"/>
      <w:r w:rsidRPr="00C95E6B">
        <w:rPr>
          <w:sz w:val="20"/>
          <w:szCs w:val="20"/>
          <w:lang w:val="nl-BE"/>
        </w:rPr>
        <w:t xml:space="preserve"> </w:t>
      </w:r>
      <w:proofErr w:type="spellStart"/>
      <w:r w:rsidRPr="00C95E6B">
        <w:rPr>
          <w:sz w:val="20"/>
          <w:szCs w:val="20"/>
          <w:lang w:val="nl-BE"/>
        </w:rPr>
        <w:t>Articles</w:t>
      </w:r>
      <w:proofErr w:type="spellEnd"/>
      <w:r w:rsidRPr="00C95E6B">
        <w:rPr>
          <w:sz w:val="20"/>
          <w:szCs w:val="20"/>
          <w:lang w:val="nl-BE"/>
        </w:rPr>
        <w:t xml:space="preserve"> of </w:t>
      </w:r>
      <w:proofErr w:type="spellStart"/>
      <w:r w:rsidRPr="00C95E6B">
        <w:rPr>
          <w:sz w:val="20"/>
          <w:szCs w:val="20"/>
          <w:lang w:val="nl-BE"/>
        </w:rPr>
        <w:t>the</w:t>
      </w:r>
      <w:proofErr w:type="spellEnd"/>
      <w:r w:rsidRPr="00C95E6B">
        <w:rPr>
          <w:sz w:val="20"/>
          <w:szCs w:val="20"/>
          <w:lang w:val="nl-BE"/>
        </w:rPr>
        <w:t xml:space="preserve"> Model </w:t>
      </w:r>
      <w:proofErr w:type="spellStart"/>
      <w:r w:rsidRPr="00C95E6B">
        <w:rPr>
          <w:sz w:val="20"/>
          <w:szCs w:val="20"/>
          <w:lang w:val="nl-BE"/>
        </w:rPr>
        <w:t>Convention</w:t>
      </w:r>
      <w:proofErr w:type="spellEnd"/>
      <w:r w:rsidRPr="00C95E6B">
        <w:rPr>
          <w:sz w:val="20"/>
          <w:szCs w:val="20"/>
          <w:lang w:val="nl-BE"/>
        </w:rPr>
        <w:t xml:space="preserve">’ (raadpleegbaar op: </w:t>
      </w:r>
      <w:hyperlink r:id="rId3" w:history="1">
        <w:r w:rsidRPr="00C95E6B">
          <w:rPr>
            <w:rStyle w:val="Hyperlink"/>
            <w:rFonts w:eastAsiaTheme="majorEastAsia"/>
            <w:sz w:val="20"/>
            <w:szCs w:val="20"/>
            <w:lang w:val="nl-BE"/>
          </w:rPr>
          <w:t>http://www.oecd.org/ctp/model-tax-convention-on-income-and-on-capital-full-version-9a5b369e-en.htm</w:t>
        </w:r>
      </w:hyperlink>
      <w:r w:rsidRPr="00C95E6B">
        <w:rPr>
          <w:sz w:val="20"/>
          <w:szCs w:val="20"/>
          <w:lang w:val="nl-BE"/>
        </w:rPr>
        <w:t>).</w:t>
      </w:r>
    </w:p>
  </w:footnote>
  <w:footnote w:id="22">
    <w:p w14:paraId="17CC6459" w14:textId="77777777" w:rsidR="00AB5378" w:rsidRDefault="00AB5378">
      <w:pPr>
        <w:pStyle w:val="Normaalweb"/>
        <w:spacing w:beforeLines="0" w:afterLines="0"/>
        <w:rPr>
          <w:rFonts w:ascii="Times New Roman" w:eastAsia="Times New Roman" w:hAnsi="Times New Roman"/>
          <w:lang w:val="nl-BE" w:eastAsia="en-GB"/>
        </w:rPr>
      </w:pPr>
      <w:r w:rsidRPr="00C95E6B">
        <w:rPr>
          <w:rStyle w:val="Voetnootmarkering"/>
          <w:rFonts w:ascii="Times New Roman" w:hAnsi="Times New Roman"/>
        </w:rPr>
        <w:footnoteRef/>
      </w:r>
      <w:r w:rsidRPr="00C95E6B">
        <w:rPr>
          <w:rFonts w:ascii="Times New Roman" w:hAnsi="Times New Roman"/>
          <w:lang w:val="nl-BE"/>
        </w:rPr>
        <w:t xml:space="preserve"> Voor samenwerkingsakkoorden, zie bv. </w:t>
      </w:r>
      <w:r w:rsidRPr="00C95E6B">
        <w:rPr>
          <w:rFonts w:ascii="Times New Roman" w:hAnsi="Times New Roman"/>
          <w:lang w:val="nl-NL"/>
        </w:rPr>
        <w:t xml:space="preserve">adv.RvS 45.401/VR van 2 december 2008, blz. 9; adv.RvS 43.945/4 van 28 januari 2008, blz. 4, 7, 9-10 en 13; GwH 28 april 2016, nr. 62/2016, § B.3.4 (zie bespreking: M. </w:t>
      </w:r>
      <w:r w:rsidRPr="00C95E6B">
        <w:rPr>
          <w:rFonts w:ascii="Times New Roman" w:hAnsi="Times New Roman"/>
          <w:smallCaps/>
          <w:lang w:val="nl-NL"/>
        </w:rPr>
        <w:t>El Berhoumi</w:t>
      </w:r>
      <w:r w:rsidRPr="00C95E6B">
        <w:rPr>
          <w:rFonts w:ascii="Times New Roman" w:hAnsi="Times New Roman"/>
          <w:lang w:val="nl-NL"/>
        </w:rPr>
        <w:t xml:space="preserve">, e.a., “Het Stabiliteitsverdrag-arrest van het Grondwettelijk Hof: een arrest zonder belang?”, </w:t>
      </w:r>
      <w:r w:rsidRPr="00C95E6B">
        <w:rPr>
          <w:rFonts w:ascii="Times New Roman" w:hAnsi="Times New Roman"/>
          <w:i/>
          <w:iCs/>
          <w:lang w:val="nl-NL"/>
        </w:rPr>
        <w:t xml:space="preserve">CDPK </w:t>
      </w:r>
      <w:r w:rsidRPr="00C95E6B">
        <w:rPr>
          <w:rFonts w:ascii="Times New Roman" w:hAnsi="Times New Roman"/>
          <w:lang w:val="nl-NL"/>
        </w:rPr>
        <w:t>2017 (398) 405 e.v., nrs. 13 e.v.). Voor gemengde decreten en besluiten, zie artikel 92</w:t>
      </w:r>
      <w:r w:rsidRPr="00C95E6B">
        <w:rPr>
          <w:rFonts w:ascii="Times New Roman" w:hAnsi="Times New Roman"/>
          <w:i/>
          <w:iCs/>
          <w:lang w:val="nl-NL"/>
        </w:rPr>
        <w:t>bis</w:t>
      </w:r>
      <w:r w:rsidRPr="00C95E6B">
        <w:rPr>
          <w:rFonts w:ascii="Times New Roman" w:hAnsi="Times New Roman"/>
          <w:lang w:val="nl-NL"/>
        </w:rPr>
        <w:t xml:space="preserve">/1, §4, tweede lid, en §5, tweede zin, BWHI. Voor verdragen, zie bv. </w:t>
      </w:r>
      <w:r w:rsidRPr="00A87036">
        <w:rPr>
          <w:rFonts w:ascii="Times New Roman" w:hAnsi="Times New Roman"/>
          <w:lang w:val="nl-NL"/>
        </w:rPr>
        <w:t xml:space="preserve">adv.RvS 59.688/VR/V van 26 augustus 2016, nrs. 6.1 en 6.2. en </w:t>
      </w:r>
      <w:r w:rsidRPr="00C95E6B">
        <w:rPr>
          <w:rFonts w:ascii="Times New Roman" w:hAnsi="Times New Roman"/>
          <w:lang w:val="nl-NL"/>
        </w:rPr>
        <w:t xml:space="preserve">adv.RvS 45.741/2 van 5 januari 2009, blz. 3-5. Zie </w:t>
      </w:r>
      <w:r w:rsidRPr="00C95E6B">
        <w:rPr>
          <w:rFonts w:ascii="Times New Roman" w:hAnsi="Times New Roman"/>
          <w:i/>
          <w:iCs/>
          <w:lang w:val="nl-NL"/>
        </w:rPr>
        <w:t>infra</w:t>
      </w:r>
      <w:r w:rsidRPr="00C95E6B">
        <w:rPr>
          <w:rFonts w:ascii="Times New Roman" w:hAnsi="Times New Roman"/>
          <w:lang w:val="nl-NL"/>
        </w:rPr>
        <w:t xml:space="preserve"> </w:t>
      </w:r>
      <w:r w:rsidRPr="00B2070B">
        <w:rPr>
          <w:rFonts w:ascii="Times New Roman" w:hAnsi="Times New Roman"/>
          <w:lang w:val="nl-NL"/>
        </w:rPr>
        <w:t>hoofdstuk VII.</w:t>
      </w:r>
    </w:p>
  </w:footnote>
  <w:footnote w:id="23">
    <w:p w14:paraId="17327171" w14:textId="77777777" w:rsidR="00AB5378" w:rsidRDefault="00AB5378">
      <w:pPr>
        <w:autoSpaceDE w:val="0"/>
        <w:autoSpaceDN w:val="0"/>
        <w:adjustRightInd w:val="0"/>
        <w:jc w:val="both"/>
        <w:rPr>
          <w:sz w:val="20"/>
          <w:szCs w:val="20"/>
          <w:lang w:val="nl-BE"/>
        </w:rPr>
      </w:pPr>
      <w:r w:rsidRPr="00C95E6B">
        <w:rPr>
          <w:rStyle w:val="Voetnootmarkering"/>
          <w:sz w:val="20"/>
          <w:szCs w:val="20"/>
        </w:rPr>
        <w:footnoteRef/>
      </w:r>
      <w:r w:rsidRPr="00C95E6B">
        <w:rPr>
          <w:sz w:val="20"/>
          <w:szCs w:val="20"/>
          <w:lang w:val="nl-BE"/>
        </w:rPr>
        <w:t xml:space="preserve"> Voor samenwerkingsakkoorden, zie bv. </w:t>
      </w:r>
      <w:r w:rsidRPr="00C95E6B">
        <w:rPr>
          <w:sz w:val="20"/>
          <w:szCs w:val="20"/>
          <w:lang w:val="nl-NL"/>
        </w:rPr>
        <w:t xml:space="preserve">adv.RvS 45.017/VR van 23 september 2008, nr. 3 en </w:t>
      </w:r>
      <w:r w:rsidRPr="00C95E6B">
        <w:rPr>
          <w:sz w:val="20"/>
          <w:szCs w:val="20"/>
          <w:lang w:val="nl-BE"/>
        </w:rPr>
        <w:t>adv.RvS</w:t>
      </w:r>
      <w:r w:rsidRPr="00C95E6B">
        <w:rPr>
          <w:sz w:val="20"/>
          <w:szCs w:val="20"/>
          <w:lang w:val="nl-NL"/>
        </w:rPr>
        <w:t xml:space="preserve"> 42.505/VR van 17 april 2007, nr. 5. Voor gemeenschappelijke decreten en besluiten wordt dit thans uitdrukkelijk bepaald in artikel 92</w:t>
      </w:r>
      <w:r w:rsidRPr="00C95E6B">
        <w:rPr>
          <w:i/>
          <w:iCs/>
          <w:sz w:val="20"/>
          <w:szCs w:val="20"/>
          <w:lang w:val="nl-NL"/>
        </w:rPr>
        <w:t>bis</w:t>
      </w:r>
      <w:r w:rsidRPr="00C95E6B">
        <w:rPr>
          <w:sz w:val="20"/>
          <w:szCs w:val="20"/>
          <w:lang w:val="nl-NL"/>
        </w:rPr>
        <w:t xml:space="preserve">/1, §4, eerste lid, tweede zin en §5, tweede zin, BWHI. Voor verdragen, zie bv. adv.RvS </w:t>
      </w:r>
      <w:r w:rsidRPr="00C95E6B">
        <w:rPr>
          <w:sz w:val="20"/>
          <w:szCs w:val="20"/>
          <w:lang w:val="nl-BE"/>
        </w:rPr>
        <w:t xml:space="preserve">26.347/1 van 15 mei 1997, blz. 5-6 en adv.RvS </w:t>
      </w:r>
      <w:r w:rsidRPr="00C95E6B">
        <w:rPr>
          <w:sz w:val="20"/>
          <w:szCs w:val="20"/>
          <w:lang w:val="nl-NL"/>
        </w:rPr>
        <w:t>23.006/9 van 10 januari 1994, blz. 4-5.</w:t>
      </w:r>
      <w:r w:rsidRPr="00C95E6B">
        <w:rPr>
          <w:sz w:val="20"/>
          <w:szCs w:val="20"/>
          <w:lang w:val="nl-BE"/>
        </w:rPr>
        <w:t xml:space="preserve"> </w:t>
      </w:r>
    </w:p>
  </w:footnote>
  <w:footnote w:id="24">
    <w:p w14:paraId="0536BDFE"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RvS 7 juni 2010, nr. 204.847, De Coster, nr. 10 en RvS 29 december 2010, nr. 210.163, Yernaux, blz. 13. Zie ook </w:t>
      </w:r>
      <w:r w:rsidRPr="00C95E6B">
        <w:rPr>
          <w:rFonts w:cs="Times New Roman"/>
          <w:i/>
        </w:rPr>
        <w:t>infra</w:t>
      </w:r>
      <w:r w:rsidRPr="00C95E6B">
        <w:rPr>
          <w:rFonts w:cs="Times New Roman"/>
        </w:rPr>
        <w:t xml:space="preserve"> </w:t>
      </w:r>
      <w:r w:rsidRPr="00B2070B">
        <w:t>nr. 13</w:t>
      </w:r>
      <w:r w:rsidRPr="00C95E6B">
        <w:rPr>
          <w:rFonts w:cs="Times New Roman"/>
        </w:rPr>
        <w:t xml:space="preserve"> en </w:t>
      </w:r>
      <w:r w:rsidRPr="00B2070B">
        <w:t>hoofdstuk VIII</w:t>
      </w:r>
      <w:r w:rsidRPr="00C95E6B">
        <w:rPr>
          <w:rFonts w:cs="Times New Roman"/>
        </w:rPr>
        <w:t>.</w:t>
      </w:r>
    </w:p>
  </w:footnote>
  <w:footnote w:id="25">
    <w:p w14:paraId="202366C2" w14:textId="77777777" w:rsidR="00AB5378" w:rsidRDefault="00AB5378">
      <w:pPr>
        <w:pStyle w:val="Voetnoottekst"/>
        <w:spacing w:after="0"/>
        <w:rPr>
          <w:rFonts w:cs="Times New Roman"/>
          <w:lang w:val="fr-BE"/>
        </w:rPr>
      </w:pPr>
      <w:r w:rsidRPr="00C95E6B">
        <w:rPr>
          <w:rStyle w:val="Voetnootmarkering"/>
          <w:rFonts w:cs="Times New Roman"/>
        </w:rPr>
        <w:footnoteRef/>
      </w:r>
      <w:r w:rsidRPr="00C95E6B">
        <w:rPr>
          <w:rFonts w:cs="Times New Roman"/>
        </w:rPr>
        <w:t xml:space="preserve"> Een van de constitutieve elementen van een verdrag is dat het wordt beheerst door het internationaal recht (artikel 2, lid 1, a), verdrag van Wenen van 23 mei 1969 ‘inzake het verdragenrecht’ (hierna: </w:t>
      </w:r>
      <w:r>
        <w:rPr>
          <w:rFonts w:cs="Times New Roman"/>
        </w:rPr>
        <w:t xml:space="preserve">Weens verdragenverdrag of </w:t>
      </w:r>
      <w:r w:rsidRPr="00C95E6B">
        <w:rPr>
          <w:rFonts w:cs="Times New Roman"/>
        </w:rPr>
        <w:t xml:space="preserve">WVV); M. </w:t>
      </w:r>
      <w:r w:rsidRPr="00C95E6B">
        <w:rPr>
          <w:rFonts w:cs="Times New Roman"/>
          <w:smallCaps/>
        </w:rPr>
        <w:t>Bossuyt</w:t>
      </w:r>
      <w:r w:rsidRPr="00C95E6B">
        <w:rPr>
          <w:rFonts w:cs="Times New Roman"/>
        </w:rPr>
        <w:t xml:space="preserve"> en J. </w:t>
      </w:r>
      <w:r w:rsidRPr="00C95E6B">
        <w:rPr>
          <w:rFonts w:cs="Times New Roman"/>
          <w:smallCaps/>
        </w:rPr>
        <w:t>Wouters</w:t>
      </w:r>
      <w:r w:rsidRPr="00C95E6B">
        <w:rPr>
          <w:rFonts w:cs="Times New Roman"/>
        </w:rPr>
        <w:t xml:space="preserve">, </w:t>
      </w:r>
      <w:r w:rsidRPr="00C95E6B">
        <w:rPr>
          <w:rFonts w:cs="Times New Roman"/>
          <w:i/>
        </w:rPr>
        <w:t>Grondlijnen van internationaal recht</w:t>
      </w:r>
      <w:r w:rsidRPr="00C95E6B">
        <w:rPr>
          <w:rFonts w:cs="Times New Roman"/>
        </w:rPr>
        <w:t xml:space="preserve">, Antwerpen, Intersentia, 2005, 43 en Ph. </w:t>
      </w:r>
      <w:r w:rsidRPr="00C95E6B">
        <w:rPr>
          <w:rFonts w:cs="Times New Roman"/>
          <w:smallCaps/>
          <w:lang w:val="fr-BE"/>
        </w:rPr>
        <w:t>Gautier</w:t>
      </w:r>
      <w:r w:rsidRPr="00C95E6B">
        <w:rPr>
          <w:rFonts w:cs="Times New Roman"/>
          <w:lang w:val="fr-BE"/>
        </w:rPr>
        <w:t xml:space="preserve">, </w:t>
      </w:r>
      <w:r w:rsidRPr="00C95E6B">
        <w:rPr>
          <w:rFonts w:cs="Times New Roman"/>
          <w:i/>
          <w:iCs/>
          <w:lang w:val="fr-BE"/>
        </w:rPr>
        <w:t>Essai sur la définition des traités entre Etats. La pratique de la Belgique aux confins du droit des traités</w:t>
      </w:r>
      <w:r w:rsidRPr="00C95E6B">
        <w:rPr>
          <w:rFonts w:cs="Times New Roman"/>
          <w:lang w:val="fr-BE"/>
        </w:rPr>
        <w:t>, Brussel, Bruylant, 1993, 57).</w:t>
      </w:r>
    </w:p>
  </w:footnote>
  <w:footnote w:id="26">
    <w:p w14:paraId="0929DDC6"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ook: J. </w:t>
      </w:r>
      <w:r w:rsidRPr="00C95E6B">
        <w:rPr>
          <w:rFonts w:cs="Times New Roman"/>
          <w:smallCaps/>
        </w:rPr>
        <w:t>Wouters</w:t>
      </w:r>
      <w:r w:rsidRPr="00C95E6B">
        <w:rPr>
          <w:rFonts w:cs="Times New Roman"/>
        </w:rPr>
        <w:t xml:space="preserve"> en D. </w:t>
      </w:r>
      <w:r w:rsidRPr="00C95E6B">
        <w:rPr>
          <w:rFonts w:cs="Times New Roman"/>
          <w:smallCaps/>
        </w:rPr>
        <w:t>Van Eeckhoutte</w:t>
      </w:r>
      <w:r w:rsidRPr="00C95E6B">
        <w:rPr>
          <w:rFonts w:cs="Times New Roman"/>
          <w:lang w:val="nl-NL"/>
        </w:rPr>
        <w:t xml:space="preserve">, “Doorwerking van internationaal recht in de Belgische rechtsorde: een overzicht van bronnen en instrumenten” in J. </w:t>
      </w:r>
      <w:r w:rsidRPr="00C95E6B">
        <w:rPr>
          <w:rFonts w:cs="Times New Roman"/>
          <w:smallCaps/>
          <w:lang w:val="nl-NL"/>
        </w:rPr>
        <w:t>Wouters</w:t>
      </w:r>
      <w:r w:rsidRPr="00C95E6B">
        <w:rPr>
          <w:rFonts w:cs="Times New Roman"/>
          <w:lang w:val="nl-NL"/>
        </w:rPr>
        <w:t xml:space="preserve"> en D. </w:t>
      </w:r>
      <w:r w:rsidRPr="00C95E6B">
        <w:rPr>
          <w:rFonts w:cs="Times New Roman"/>
          <w:smallCaps/>
          <w:lang w:val="nl-NL"/>
        </w:rPr>
        <w:t>Van Eeckhoutte</w:t>
      </w:r>
      <w:r w:rsidRPr="00C95E6B">
        <w:rPr>
          <w:rFonts w:cs="Times New Roman"/>
          <w:lang w:val="nl-NL"/>
        </w:rPr>
        <w:t xml:space="preserve"> (eds.), </w:t>
      </w:r>
      <w:r w:rsidRPr="00C95E6B">
        <w:rPr>
          <w:rFonts w:cs="Times New Roman"/>
          <w:i/>
          <w:iCs/>
          <w:lang w:val="nl-NL"/>
        </w:rPr>
        <w:t xml:space="preserve">Doorwerking van internationaal recht in de Belgische </w:t>
      </w:r>
      <w:r w:rsidRPr="00C95E6B">
        <w:rPr>
          <w:rFonts w:cs="Times New Roman"/>
          <w:lang w:val="nl-NL"/>
        </w:rPr>
        <w:t xml:space="preserve">rechtsorde, Antwerpen, Intersentia, 2006 (3) </w:t>
      </w:r>
      <w:r w:rsidRPr="00C95E6B">
        <w:rPr>
          <w:rFonts w:cs="Times New Roman"/>
        </w:rPr>
        <w:t>32-34, nrs. 28-30 en verwijzingen aldaar.</w:t>
      </w:r>
    </w:p>
  </w:footnote>
  <w:footnote w:id="27">
    <w:p w14:paraId="262D985F" w14:textId="77777777" w:rsidR="00AB5378" w:rsidRDefault="00AB5378">
      <w:pPr>
        <w:pStyle w:val="Normaalweb"/>
        <w:spacing w:beforeLines="0" w:afterLines="0"/>
        <w:rPr>
          <w:rFonts w:ascii="Times New Roman" w:hAnsi="Times New Roman"/>
          <w:lang w:val="nl-BE"/>
        </w:rPr>
      </w:pPr>
      <w:r w:rsidRPr="00C95E6B">
        <w:rPr>
          <w:rStyle w:val="Voetnootmarkering"/>
          <w:rFonts w:ascii="Times New Roman" w:hAnsi="Times New Roman"/>
        </w:rPr>
        <w:footnoteRef/>
      </w:r>
      <w:r w:rsidRPr="00C95E6B">
        <w:rPr>
          <w:rFonts w:ascii="Times New Roman" w:hAnsi="Times New Roman"/>
          <w:lang w:val="nl-BE"/>
        </w:rPr>
        <w:t xml:space="preserve"> Behoudens dan de Gemeenschappelijke Gemeenschapscommissie in het Brussels Hoofdstedelijk Gewest die niet bevoegd is om verdragen te sluiten, maar wiens Verenigde Vergadering wel dient in te stemmen met verdragen die tot haar bevoegd behoren (artikel 135 van de Grondwet, artikel 63 BWBI en artikel 16,§1, BWHI). Het Verenigd College wordt om die reden betrokken in het onderhandelingsproces van dergelijke verdragen (artikel 1 van het samenwerkingsakkoord van 8 maart 1994 tussen de federale overheid, de gemeenschappen en de gewesten en het Verenigd College van de Gemeenschappelijke Gemeenschapscommissie ‘over de nadere regelen voor het sluiten van gemengde verdragen’).</w:t>
      </w:r>
    </w:p>
  </w:footnote>
  <w:footnote w:id="28">
    <w:p w14:paraId="3E3B4B21" w14:textId="40D6F435" w:rsidR="00AB5378" w:rsidRPr="00ED5920" w:rsidRDefault="00AB5378">
      <w:pPr>
        <w:pStyle w:val="Kop1"/>
        <w:spacing w:before="0"/>
        <w:jc w:val="both"/>
        <w:rPr>
          <w:rFonts w:ascii="Times New Roman" w:hAnsi="Times New Roman" w:cs="Times New Roman"/>
          <w:color w:val="auto"/>
          <w:sz w:val="20"/>
          <w:szCs w:val="20"/>
          <w:lang w:val="nl-BE"/>
        </w:rPr>
      </w:pPr>
      <w:r w:rsidRPr="00C95E6B">
        <w:rPr>
          <w:rStyle w:val="Voetnootmarkering"/>
          <w:rFonts w:ascii="Times New Roman" w:hAnsi="Times New Roman" w:cs="Times New Roman"/>
          <w:color w:val="000000" w:themeColor="text1"/>
          <w:sz w:val="20"/>
          <w:szCs w:val="20"/>
        </w:rPr>
        <w:footnoteRef/>
      </w:r>
      <w:r w:rsidRPr="00C95E6B">
        <w:rPr>
          <w:rFonts w:ascii="Times New Roman" w:hAnsi="Times New Roman" w:cs="Times New Roman"/>
          <w:color w:val="000000" w:themeColor="text1"/>
          <w:sz w:val="20"/>
          <w:szCs w:val="20"/>
          <w:lang w:val="nl-BE"/>
        </w:rPr>
        <w:t xml:space="preserve"> F. </w:t>
      </w:r>
      <w:r w:rsidRPr="00A87036">
        <w:rPr>
          <w:rFonts w:ascii="Times New Roman" w:hAnsi="Times New Roman" w:cs="Times New Roman"/>
          <w:smallCaps/>
          <w:color w:val="000000" w:themeColor="text1"/>
          <w:sz w:val="20"/>
          <w:szCs w:val="20"/>
          <w:lang w:val="nl-BE"/>
        </w:rPr>
        <w:t>Judo</w:t>
      </w:r>
      <w:r w:rsidRPr="00C95E6B">
        <w:rPr>
          <w:rFonts w:ascii="Times New Roman" w:hAnsi="Times New Roman" w:cs="Times New Roman"/>
          <w:color w:val="000000" w:themeColor="text1"/>
          <w:sz w:val="20"/>
          <w:szCs w:val="20"/>
          <w:lang w:val="nl-BE"/>
        </w:rPr>
        <w:t xml:space="preserve">, De Zesde Staatshervorming en het confederalisme” in A. </w:t>
      </w:r>
      <w:r w:rsidRPr="00A87036">
        <w:rPr>
          <w:rFonts w:ascii="Times New Roman" w:hAnsi="Times New Roman" w:cs="Times New Roman"/>
          <w:smallCaps/>
          <w:color w:val="000000" w:themeColor="text1"/>
          <w:sz w:val="20"/>
          <w:szCs w:val="20"/>
          <w:lang w:val="nl-BE"/>
        </w:rPr>
        <w:t>Alen</w:t>
      </w:r>
      <w:r w:rsidRPr="00C95E6B">
        <w:rPr>
          <w:rFonts w:ascii="Times New Roman" w:hAnsi="Times New Roman" w:cs="Times New Roman"/>
          <w:color w:val="000000" w:themeColor="text1"/>
          <w:sz w:val="20"/>
          <w:szCs w:val="20"/>
          <w:lang w:val="nl-BE"/>
        </w:rPr>
        <w:t xml:space="preserve"> e.a. (eds.), </w:t>
      </w:r>
      <w:r w:rsidRPr="00A87036">
        <w:rPr>
          <w:rFonts w:ascii="Times New Roman" w:hAnsi="Times New Roman" w:cs="Times New Roman"/>
          <w:i/>
          <w:color w:val="000000" w:themeColor="text1"/>
          <w:sz w:val="20"/>
          <w:szCs w:val="20"/>
          <w:lang w:val="nl-BE"/>
        </w:rPr>
        <w:t>Het federale België na de Zesde Staatshervorming</w:t>
      </w:r>
      <w:r w:rsidRPr="00C95E6B">
        <w:rPr>
          <w:rFonts w:ascii="Times New Roman" w:hAnsi="Times New Roman" w:cs="Times New Roman"/>
          <w:color w:val="000000" w:themeColor="text1"/>
          <w:sz w:val="20"/>
          <w:szCs w:val="20"/>
          <w:lang w:val="nl-BE"/>
        </w:rPr>
        <w:t>, Brugge, die Keure, 2016, (619) 624-631, nrs. 21-26.</w:t>
      </w:r>
      <w:r w:rsidRPr="00C95E6B">
        <w:rPr>
          <w:rFonts w:ascii="Times New Roman" w:eastAsiaTheme="minorHAnsi" w:hAnsi="Times New Roman" w:cs="Times New Roman"/>
          <w:color w:val="000000" w:themeColor="text1"/>
          <w:sz w:val="20"/>
          <w:szCs w:val="20"/>
          <w:lang w:val="nl-BE"/>
        </w:rPr>
        <w:t xml:space="preserve"> </w:t>
      </w:r>
      <w:r w:rsidRPr="00C95E6B">
        <w:rPr>
          <w:rFonts w:ascii="Times New Roman" w:eastAsiaTheme="minorHAnsi" w:hAnsi="Times New Roman" w:cs="Times New Roman"/>
          <w:color w:val="auto"/>
          <w:sz w:val="20"/>
          <w:szCs w:val="20"/>
          <w:lang w:val="nl-BE"/>
        </w:rPr>
        <w:t xml:space="preserve">Tot op heden is dit nog niet gebeurd. </w:t>
      </w:r>
      <w:r>
        <w:rPr>
          <w:rFonts w:ascii="Times New Roman" w:eastAsiaTheme="minorHAnsi" w:hAnsi="Times New Roman" w:cs="Times New Roman"/>
          <w:color w:val="auto"/>
          <w:sz w:val="20"/>
          <w:szCs w:val="20"/>
          <w:lang w:val="nl-BE"/>
        </w:rPr>
        <w:t>Daar kan tegen worden ingebracht dat artikel 167 van de</w:t>
      </w:r>
      <w:r w:rsidRPr="00E93D19">
        <w:rPr>
          <w:rFonts w:ascii="Times New Roman" w:eastAsiaTheme="minorHAnsi" w:hAnsi="Times New Roman" w:cs="Times New Roman"/>
          <w:color w:val="auto"/>
          <w:sz w:val="20"/>
          <w:szCs w:val="20"/>
          <w:lang w:val="nl-BE"/>
        </w:rPr>
        <w:t xml:space="preserve"> </w:t>
      </w:r>
      <w:r>
        <w:rPr>
          <w:rFonts w:ascii="Times New Roman" w:eastAsiaTheme="minorHAnsi" w:hAnsi="Times New Roman" w:cs="Times New Roman"/>
          <w:color w:val="auto"/>
          <w:sz w:val="20"/>
          <w:szCs w:val="20"/>
          <w:lang w:val="nl-BE"/>
        </w:rPr>
        <w:t xml:space="preserve">Grondwet uitdrukkelijk betrekking heeft op de </w:t>
      </w:r>
      <w:r>
        <w:rPr>
          <w:rFonts w:ascii="Times New Roman" w:eastAsiaTheme="minorHAnsi" w:hAnsi="Times New Roman" w:cs="Times New Roman"/>
          <w:i/>
          <w:iCs/>
          <w:color w:val="auto"/>
          <w:sz w:val="20"/>
          <w:szCs w:val="20"/>
          <w:lang w:val="nl-BE"/>
        </w:rPr>
        <w:t xml:space="preserve">buitenlandse </w:t>
      </w:r>
      <w:r>
        <w:rPr>
          <w:rFonts w:ascii="Times New Roman" w:eastAsiaTheme="minorHAnsi" w:hAnsi="Times New Roman" w:cs="Times New Roman"/>
          <w:color w:val="auto"/>
          <w:sz w:val="20"/>
          <w:szCs w:val="20"/>
          <w:lang w:val="nl-BE"/>
        </w:rPr>
        <w:t xml:space="preserve">betrekkingen, en dus een extern element vereist. </w:t>
      </w:r>
      <w:r w:rsidRPr="00C95E6B">
        <w:rPr>
          <w:rFonts w:ascii="Times New Roman" w:eastAsiaTheme="minorHAnsi" w:hAnsi="Times New Roman" w:cs="Times New Roman"/>
          <w:color w:val="auto"/>
          <w:sz w:val="20"/>
          <w:szCs w:val="20"/>
          <w:lang w:val="nl-BE"/>
        </w:rPr>
        <w:t xml:space="preserve">De Belgische deelstaten sluiten wel zelf verdragen met derde partners, bv. </w:t>
      </w:r>
      <w:r>
        <w:rPr>
          <w:rFonts w:ascii="Times New Roman" w:eastAsiaTheme="minorHAnsi" w:hAnsi="Times New Roman" w:cs="Times New Roman"/>
          <w:color w:val="auto"/>
          <w:sz w:val="20"/>
          <w:szCs w:val="20"/>
          <w:lang w:val="nl-BE"/>
        </w:rPr>
        <w:t xml:space="preserve">het </w:t>
      </w:r>
      <w:r w:rsidRPr="00C95E6B">
        <w:rPr>
          <w:rFonts w:ascii="Times New Roman" w:eastAsiaTheme="minorHAnsi" w:hAnsi="Times New Roman" w:cs="Times New Roman"/>
          <w:color w:val="auto"/>
          <w:sz w:val="20"/>
          <w:szCs w:val="20"/>
          <w:lang w:val="nl-BE"/>
        </w:rPr>
        <w:t>verdrag tussen de Regering van de Franse Republiek, het Vlaamse Gewest en het Waalse Gewest ‘inzake de aanleg van de Grensleie tussen Deûlémont in Frankrijk en Menen in België’, gedaan te Brussel op 19 november 2018 en verdrag tussen het Vlaamse Gewest en het Koninkrijk der Nederlanden ‘betreffende de aanleg van de Nieuwe Sluis Terneuzen’, gedaan in Terneuzen op 5 februari 2015.</w:t>
      </w:r>
      <w:r>
        <w:rPr>
          <w:rFonts w:ascii="Times New Roman" w:eastAsiaTheme="minorHAnsi" w:hAnsi="Times New Roman" w:cs="Times New Roman"/>
          <w:color w:val="auto"/>
          <w:sz w:val="20"/>
          <w:szCs w:val="20"/>
          <w:lang w:val="nl-BE"/>
        </w:rPr>
        <w:t xml:space="preserve"> Vanuit het perspectief van het internationaal recht is er alvast geen bezwaar tegen het sluiten van internationale akkoorden door deelstaten van een federale staat</w:t>
      </w:r>
      <w:r w:rsidR="00ED5920">
        <w:rPr>
          <w:rFonts w:ascii="Times New Roman" w:eastAsiaTheme="minorHAnsi" w:hAnsi="Times New Roman" w:cs="Times New Roman"/>
          <w:color w:val="auto"/>
          <w:sz w:val="20"/>
          <w:szCs w:val="20"/>
          <w:lang w:val="nl-BE"/>
        </w:rPr>
        <w:t xml:space="preserve">, en zijn er ook – weliswaar vaak meer bescheiden – buitenlandse voorbeelden (o.m. de provincies in Argentinië, de </w:t>
      </w:r>
      <w:r w:rsidR="00ED5920">
        <w:rPr>
          <w:rFonts w:ascii="Times New Roman" w:eastAsiaTheme="minorHAnsi" w:hAnsi="Times New Roman" w:cs="Times New Roman"/>
          <w:i/>
          <w:iCs/>
          <w:color w:val="auto"/>
          <w:sz w:val="20"/>
          <w:szCs w:val="20"/>
          <w:lang w:val="nl-BE"/>
        </w:rPr>
        <w:t xml:space="preserve">Länder </w:t>
      </w:r>
      <w:r w:rsidR="00ED5920">
        <w:rPr>
          <w:rFonts w:ascii="Times New Roman" w:eastAsiaTheme="minorHAnsi" w:hAnsi="Times New Roman" w:cs="Times New Roman"/>
          <w:color w:val="auto"/>
          <w:sz w:val="20"/>
          <w:szCs w:val="20"/>
          <w:lang w:val="nl-BE"/>
        </w:rPr>
        <w:t xml:space="preserve">in Duitsland en Oostenrijk, de kantons in Zwitserland en de entiteiten van Bosnië-Herzegovina), zie </w:t>
      </w:r>
      <w:hyperlink r:id="rId4" w:history="1">
        <w:r w:rsidR="00ED5920" w:rsidRPr="00B2070B">
          <w:rPr>
            <w:rStyle w:val="Hyperlink"/>
            <w:rFonts w:ascii="Times New Roman" w:hAnsi="Times New Roman" w:cs="Times New Roman"/>
            <w:smallCaps/>
            <w:color w:val="5A5A5A"/>
            <w:sz w:val="20"/>
            <w:szCs w:val="20"/>
            <w:shd w:val="clear" w:color="auto" w:fill="D8CDC0"/>
            <w:lang w:val="nl-BE"/>
          </w:rPr>
          <w:t>H. Cyr</w:t>
        </w:r>
      </w:hyperlink>
      <w:r w:rsidR="00ED5920">
        <w:rPr>
          <w:rFonts w:ascii="Times New Roman" w:hAnsi="Times New Roman" w:cs="Times New Roman"/>
          <w:color w:val="5A5A5A"/>
          <w:sz w:val="20"/>
          <w:szCs w:val="20"/>
          <w:shd w:val="clear" w:color="auto" w:fill="D8CDC0"/>
          <w:lang w:val="nl-BE"/>
        </w:rPr>
        <w:t>, ‘</w:t>
      </w:r>
      <w:r w:rsidR="00ED5920" w:rsidRPr="00B2070B">
        <w:rPr>
          <w:rFonts w:ascii="Times New Roman" w:hAnsi="Times New Roman" w:cs="Times New Roman"/>
          <w:color w:val="5A5A5A"/>
          <w:sz w:val="20"/>
          <w:szCs w:val="20"/>
          <w:shd w:val="clear" w:color="auto" w:fill="D8CDC0"/>
          <w:lang w:val="nl-BE"/>
        </w:rPr>
        <w:t>Treaty Powers of Federated States and International Law</w:t>
      </w:r>
      <w:r w:rsidR="00ED5920">
        <w:rPr>
          <w:rFonts w:ascii="Times New Roman" w:hAnsi="Times New Roman" w:cs="Times New Roman"/>
          <w:color w:val="5A5A5A"/>
          <w:sz w:val="20"/>
          <w:szCs w:val="20"/>
          <w:shd w:val="clear" w:color="auto" w:fill="D8CDC0"/>
          <w:lang w:val="nl-BE"/>
        </w:rPr>
        <w:t>’</w:t>
      </w:r>
      <w:r w:rsidR="00ED5920" w:rsidRPr="00B2070B">
        <w:rPr>
          <w:rFonts w:ascii="Times New Roman" w:hAnsi="Times New Roman" w:cs="Times New Roman"/>
          <w:color w:val="5A5A5A"/>
          <w:sz w:val="20"/>
          <w:szCs w:val="20"/>
          <w:shd w:val="clear" w:color="auto" w:fill="D8CDC0"/>
          <w:lang w:val="nl-BE"/>
        </w:rPr>
        <w:t>, </w:t>
      </w:r>
      <w:r w:rsidR="00ED5920" w:rsidRPr="00B2070B">
        <w:rPr>
          <w:rStyle w:val="Nadruk"/>
          <w:rFonts w:ascii="Times New Roman" w:hAnsi="Times New Roman" w:cs="Times New Roman"/>
          <w:color w:val="5A5A5A"/>
          <w:sz w:val="20"/>
          <w:szCs w:val="20"/>
          <w:shd w:val="clear" w:color="auto" w:fill="D8CDC0"/>
          <w:lang w:val="nl-BE"/>
        </w:rPr>
        <w:t>Jus Politicum</w:t>
      </w:r>
      <w:r w:rsidR="00ED5920" w:rsidRPr="00B2070B">
        <w:rPr>
          <w:rFonts w:ascii="Times New Roman" w:hAnsi="Times New Roman" w:cs="Times New Roman"/>
          <w:color w:val="5A5A5A"/>
          <w:sz w:val="20"/>
          <w:szCs w:val="20"/>
          <w:shd w:val="clear" w:color="auto" w:fill="D8CDC0"/>
          <w:lang w:val="nl-BE"/>
        </w:rPr>
        <w:t>, n° 17 [</w:t>
      </w:r>
      <w:hyperlink r:id="rId5" w:history="1">
        <w:r w:rsidR="00ED5920" w:rsidRPr="00B2070B">
          <w:rPr>
            <w:rStyle w:val="Hyperlink"/>
            <w:rFonts w:ascii="Times New Roman" w:hAnsi="Times New Roman" w:cs="Times New Roman"/>
            <w:color w:val="07485B"/>
            <w:sz w:val="20"/>
            <w:szCs w:val="20"/>
            <w:lang w:val="nl-BE"/>
          </w:rPr>
          <w:t>http://juspoliticum.com/article/Treaty-Powers-of-Federated-States-and-International-Law-1117.html</w:t>
        </w:r>
      </w:hyperlink>
      <w:r w:rsidR="00ED5920" w:rsidRPr="00B2070B">
        <w:rPr>
          <w:rFonts w:ascii="Times New Roman" w:hAnsi="Times New Roman" w:cs="Times New Roman"/>
          <w:color w:val="5A5A5A"/>
          <w:sz w:val="20"/>
          <w:szCs w:val="20"/>
          <w:shd w:val="clear" w:color="auto" w:fill="D8CDC0"/>
          <w:lang w:val="nl-BE"/>
        </w:rPr>
        <w:t>]</w:t>
      </w:r>
    </w:p>
  </w:footnote>
  <w:footnote w:id="29">
    <w:p w14:paraId="03BE09EF" w14:textId="77777777" w:rsidR="00AB5378" w:rsidRDefault="00AB5378">
      <w:pPr>
        <w:pStyle w:val="Normaalweb"/>
        <w:spacing w:beforeLines="0" w:afterLines="0"/>
        <w:rPr>
          <w:rFonts w:ascii="Times New Roman" w:hAnsi="Times New Roman"/>
          <w:lang w:val="nl-BE"/>
        </w:rPr>
      </w:pPr>
      <w:r w:rsidRPr="00C95E6B">
        <w:rPr>
          <w:rStyle w:val="Voetnootmarkering"/>
          <w:rFonts w:ascii="Times New Roman" w:hAnsi="Times New Roman"/>
        </w:rPr>
        <w:footnoteRef/>
      </w:r>
      <w:r w:rsidRPr="00C95E6B">
        <w:rPr>
          <w:rFonts w:ascii="Times New Roman" w:hAnsi="Times New Roman"/>
          <w:lang w:val="nl-BE"/>
        </w:rPr>
        <w:t xml:space="preserve"> Behoudens dan voor het omzeilen van daaruit voortvloeiende rechtsregels van openbare orde, wat door rechters – terecht – niet wordt aanvaard. Vgl. bv.: “Bovendien kan de Grondwetgever, die verbiedt dat de wetgever interne wettelijke normen aanneemt die in strijd zijn met de in artikel 107</w:t>
      </w:r>
      <w:r w:rsidRPr="00C95E6B">
        <w:rPr>
          <w:rFonts w:ascii="Times New Roman" w:hAnsi="Times New Roman"/>
          <w:i/>
          <w:iCs/>
          <w:lang w:val="nl-BE"/>
        </w:rPr>
        <w:t>ter</w:t>
      </w:r>
      <w:r w:rsidRPr="00C95E6B">
        <w:rPr>
          <w:rFonts w:ascii="Times New Roman" w:hAnsi="Times New Roman"/>
          <w:lang w:val="nl-BE"/>
        </w:rPr>
        <w:t xml:space="preserve"> van de Grondwet bedoelde normen, niet geacht worden die wetgever toe te staan dat onrechtstreeks te doen, via de instemming met een internationaal verdrag” (GwH 3 februari 1994, nr. 12/94, § B.4) en HvJ 17 februari 2014, </w:t>
      </w:r>
      <w:r w:rsidRPr="00A87036">
        <w:rPr>
          <w:rFonts w:ascii="Times New Roman" w:hAnsi="Times New Roman"/>
          <w:lang w:val="nl-BE"/>
        </w:rPr>
        <w:t xml:space="preserve">C-562/12 </w:t>
      </w:r>
      <w:r w:rsidRPr="00A87036">
        <w:rPr>
          <w:rFonts w:ascii="Times New Roman" w:hAnsi="Times New Roman"/>
          <w:i/>
          <w:iCs/>
          <w:lang w:val="nl-BE"/>
        </w:rPr>
        <w:t>Liivimaa Lihaveis MTÜ</w:t>
      </w:r>
      <w:r w:rsidRPr="00A87036">
        <w:rPr>
          <w:rFonts w:ascii="Times New Roman" w:hAnsi="Times New Roman"/>
          <w:lang w:val="nl-BE"/>
        </w:rPr>
        <w:t>, EU:C:2014:2229 (gezamenlijk orgaan van Estland en Letland om Europese structuurfondsen te verdelen zonder rechterlijk toezicht).</w:t>
      </w:r>
    </w:p>
  </w:footnote>
  <w:footnote w:id="30">
    <w:p w14:paraId="2C8FBA3E" w14:textId="116371CB"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Ook in de rechtspraak wordt gesproken van ‘co</w:t>
      </w:r>
      <w:r w:rsidR="00834093">
        <w:rPr>
          <w:rFonts w:cs="Times New Roman"/>
        </w:rPr>
        <w:t>ö</w:t>
      </w:r>
      <w:r w:rsidRPr="00C95E6B">
        <w:rPr>
          <w:rFonts w:cs="Times New Roman"/>
        </w:rPr>
        <w:t>peratief federalisme’ of ‘samenwerkingsfederalisme’, zie bv. GwH 24 oktober 2010, nr. 177/2019, §§ B.4.2-B.12.</w:t>
      </w:r>
    </w:p>
  </w:footnote>
  <w:footnote w:id="31">
    <w:p w14:paraId="20E89AA4"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Er moet bv. immers geen rekening gehouden worden met andere rechtsordes en rechtssystemen.</w:t>
      </w:r>
    </w:p>
  </w:footnote>
  <w:footnote w:id="32">
    <w:p w14:paraId="16814F4F"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In het licht van de uitdrukkelijke erkenning in artikel 92</w:t>
      </w:r>
      <w:r w:rsidRPr="00C95E6B">
        <w:rPr>
          <w:rFonts w:cs="Times New Roman"/>
          <w:i/>
        </w:rPr>
        <w:t>bis</w:t>
      </w:r>
      <w:r w:rsidRPr="00C95E6B">
        <w:rPr>
          <w:rFonts w:cs="Times New Roman"/>
        </w:rPr>
        <w:t>, §1, tweede lid, BWHI dat samenwerkingsakkoorden Belgen persoonlijk zouden kunnen binden vloeit alvast al voort dat de aard en het opzet van het instrument zich niet verzet tegen de directe werking ervan (vgl. bv. met de rechtspraak van het Hof van Justitie die oordeelt dat richtlijnen, kaderakkoorden (</w:t>
      </w:r>
      <w:r w:rsidRPr="00C95E6B">
        <w:rPr>
          <w:rFonts w:cs="Times New Roman"/>
          <w:color w:val="000000" w:themeColor="text1"/>
          <w:lang w:val="nl-NL"/>
        </w:rPr>
        <w:t xml:space="preserve">HvJ 7 augustus 2018, nr. C-122/17, Smith, ECLI:EU:C:2018:631 en HvJ 14 juni 2019, C-573/17, </w:t>
      </w:r>
      <w:r w:rsidRPr="00B2070B">
        <w:rPr>
          <w:rFonts w:cs="Times New Roman"/>
          <w:i/>
          <w:iCs/>
          <w:color w:val="000000" w:themeColor="text1"/>
          <w:lang w:val="nl-NL"/>
        </w:rPr>
        <w:t>Popławski</w:t>
      </w:r>
      <w:r w:rsidRPr="00C95E6B">
        <w:rPr>
          <w:rFonts w:cs="Times New Roman"/>
          <w:color w:val="000000" w:themeColor="text1"/>
          <w:lang w:val="nl-NL"/>
        </w:rPr>
        <w:t xml:space="preserve">, ECLI:EU:C:2019:530) </w:t>
      </w:r>
      <w:r w:rsidRPr="00C95E6B">
        <w:rPr>
          <w:rFonts w:cs="Times New Roman"/>
        </w:rPr>
        <w:t>en bepaalde internationale verdragen (</w:t>
      </w:r>
      <w:r w:rsidRPr="00C95E6B">
        <w:rPr>
          <w:rFonts w:cs="Times New Roman"/>
          <w:color w:val="000000" w:themeColor="text1"/>
          <w:lang w:val="nl-NL"/>
        </w:rPr>
        <w:t xml:space="preserve">D. </w:t>
      </w:r>
      <w:r w:rsidRPr="00C95E6B">
        <w:rPr>
          <w:rFonts w:cs="Times New Roman"/>
          <w:smallCaps/>
          <w:color w:val="000000" w:themeColor="text1"/>
          <w:lang w:val="nl-NL"/>
        </w:rPr>
        <w:t>Van Eeckhoutte</w:t>
      </w:r>
      <w:r w:rsidRPr="00C95E6B">
        <w:rPr>
          <w:rFonts w:cs="Times New Roman"/>
          <w:color w:val="000000" w:themeColor="text1"/>
          <w:lang w:val="nl-NL"/>
        </w:rPr>
        <w:t xml:space="preserve"> en T. </w:t>
      </w:r>
      <w:r w:rsidRPr="00C95E6B">
        <w:rPr>
          <w:rFonts w:cs="Times New Roman"/>
          <w:smallCaps/>
          <w:color w:val="000000" w:themeColor="text1"/>
          <w:lang w:val="nl-NL"/>
        </w:rPr>
        <w:t>Corthaut</w:t>
      </w:r>
      <w:r w:rsidRPr="00C95E6B">
        <w:rPr>
          <w:rFonts w:cs="Times New Roman"/>
          <w:color w:val="000000" w:themeColor="text1"/>
          <w:lang w:val="nl-NL"/>
        </w:rPr>
        <w:t xml:space="preserve">, “Doorwerking van het internationaal recht in de Europese rechtsorde: verplichting en uitdaging voor de Belgische rechter. Het Air Transport Association of America-arrest van het Hof van Justitie”, </w:t>
      </w:r>
      <w:r w:rsidRPr="00C95E6B">
        <w:rPr>
          <w:rFonts w:cs="Times New Roman"/>
          <w:i/>
          <w:color w:val="000000" w:themeColor="text1"/>
          <w:lang w:val="nl-NL"/>
        </w:rPr>
        <w:t xml:space="preserve">RW </w:t>
      </w:r>
      <w:r w:rsidRPr="00C95E6B">
        <w:rPr>
          <w:rFonts w:cs="Times New Roman"/>
          <w:color w:val="000000" w:themeColor="text1"/>
          <w:lang w:val="nl-NL"/>
        </w:rPr>
        <w:t xml:space="preserve">2012-13 (402) 412, nrs. 10, 13-14 en verwijzen aldaar) </w:t>
      </w:r>
      <w:r w:rsidRPr="00C95E6B">
        <w:rPr>
          <w:rFonts w:cs="Times New Roman"/>
        </w:rPr>
        <w:t xml:space="preserve">wegens hun aard en opzet al directe werking ontberen). Dit is des te meer het geval voor gemeenschappelijke decreten en besluiten die formeel de vorm aannemen van interne, eenzijdige bestuurshandelingen met een normatieve strekking. </w:t>
      </w:r>
    </w:p>
  </w:footnote>
  <w:footnote w:id="33">
    <w:p w14:paraId="79CC595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rPr>
        <w:t xml:space="preserve">Infra </w:t>
      </w:r>
      <w:r w:rsidRPr="00C95E6B">
        <w:rPr>
          <w:rFonts w:cs="Times New Roman"/>
          <w:iCs/>
        </w:rPr>
        <w:t>hoofdstuk</w:t>
      </w:r>
      <w:r w:rsidRPr="00B2070B">
        <w:t xml:space="preserve"> VIII</w:t>
      </w:r>
      <w:r w:rsidRPr="00C95E6B">
        <w:rPr>
          <w:rFonts w:cs="Times New Roman"/>
        </w:rPr>
        <w:t>.</w:t>
      </w:r>
    </w:p>
  </w:footnote>
  <w:footnote w:id="34">
    <w:p w14:paraId="2F8C8865" w14:textId="036C6E5F"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Het Grondwettelijk Hof verwoordt als volgt zijn iets grotere terughoudendheid in de toetsing van instemmingswetten</w:t>
      </w:r>
      <w:r w:rsidRPr="00C95E6B">
        <w:rPr>
          <w:rStyle w:val="Voetnootmarkering"/>
          <w:sz w:val="20"/>
          <w:szCs w:val="20"/>
          <w:lang w:val="nl-BE"/>
        </w:rPr>
        <w:t xml:space="preserve"> </w:t>
      </w:r>
      <w:r w:rsidRPr="00C95E6B">
        <w:rPr>
          <w:sz w:val="20"/>
          <w:szCs w:val="20"/>
          <w:lang w:val="nl-BE"/>
        </w:rPr>
        <w:t>(h</w:t>
      </w:r>
      <w:r w:rsidRPr="00C95E6B">
        <w:rPr>
          <w:sz w:val="20"/>
          <w:szCs w:val="20"/>
          <w:lang w:val="nl-NL"/>
        </w:rPr>
        <w:t xml:space="preserve">et Grondwettelijk Hof is op zich niet bevoegd om verdragen of samenwerkingsakkoorden zelf te toetsen, maar wel hun instemmingswetten, waarbij het dan de inhoud van het verdrag of het samenwerkingsakkoord betrekt, </w:t>
      </w:r>
      <w:r w:rsidRPr="00C95E6B">
        <w:rPr>
          <w:i/>
          <w:iCs/>
          <w:sz w:val="20"/>
          <w:szCs w:val="20"/>
          <w:lang w:val="nl-NL"/>
        </w:rPr>
        <w:t>infra</w:t>
      </w:r>
      <w:r w:rsidRPr="00C95E6B">
        <w:rPr>
          <w:sz w:val="20"/>
          <w:szCs w:val="20"/>
          <w:lang w:val="nl-NL"/>
        </w:rPr>
        <w:t xml:space="preserve"> </w:t>
      </w:r>
      <w:r w:rsidRPr="00B2070B">
        <w:rPr>
          <w:sz w:val="20"/>
          <w:lang w:val="nl-NL"/>
        </w:rPr>
        <w:t>hoofdstuk VIII</w:t>
      </w:r>
      <w:r w:rsidRPr="00C95E6B">
        <w:rPr>
          <w:sz w:val="20"/>
          <w:szCs w:val="20"/>
          <w:lang w:val="nl-NL"/>
        </w:rPr>
        <w:t>)</w:t>
      </w:r>
      <w:r w:rsidRPr="00C95E6B">
        <w:rPr>
          <w:sz w:val="20"/>
          <w:szCs w:val="20"/>
          <w:lang w:val="nl-BE"/>
        </w:rPr>
        <w:t xml:space="preserve"> met verdragen ten opzichte van samenwerkingsakkoorden: “Het Hof kan de wet en het decreet niet op zinvolle wijze toetsen zonder de inhoud van de relevante bepalingen van het goedgekeurde Verdrag en samenwerkingsakkoord in zijn onderzoek te betrekken. Daar de toetsing van het Hof het onderzoek van de inhoud van de voormelde bepalingen van het Verdrag omvat, moet het Hof ermee rekening houden dat het niet gaat om een eenzijdige soevereiniteitsakte, maar om een verdragsnorm waartoe België zich ten aanzien van andere Staten volkenrechtelijk heeft verbonden” (</w:t>
      </w:r>
      <w:r w:rsidRPr="00C95E6B">
        <w:rPr>
          <w:sz w:val="20"/>
          <w:szCs w:val="20"/>
          <w:lang w:val="nl-NL"/>
        </w:rPr>
        <w:t xml:space="preserve">GwH 28 april 2016, nr. 62/2016, § B.1.3). Wat het Hof niet belet om zo nodig alsnog tot een schending te besluiten (bv. GwH 6 juni 2019, nr. 92/2019). Vergelijk met de rechtspraak van het Europees Hof voor de Rechten van de Mens en het Hof van Justitie waarbij het </w:t>
      </w:r>
      <w:r w:rsidRPr="00E93D19">
        <w:rPr>
          <w:sz w:val="20"/>
          <w:szCs w:val="20"/>
          <w:lang w:val="nl-NL"/>
        </w:rPr>
        <w:t>international</w:t>
      </w:r>
      <w:r>
        <w:rPr>
          <w:sz w:val="20"/>
          <w:szCs w:val="20"/>
          <w:lang w:val="nl-NL"/>
        </w:rPr>
        <w:t>e</w:t>
      </w:r>
      <w:r w:rsidRPr="00C95E6B">
        <w:rPr>
          <w:sz w:val="20"/>
          <w:szCs w:val="20"/>
          <w:lang w:val="nl-NL"/>
        </w:rPr>
        <w:t xml:space="preserve"> beginsel van </w:t>
      </w:r>
      <w:proofErr w:type="spellStart"/>
      <w:r w:rsidRPr="00C95E6B">
        <w:rPr>
          <w:i/>
          <w:iCs/>
          <w:sz w:val="20"/>
          <w:szCs w:val="20"/>
          <w:lang w:val="nl-NL"/>
        </w:rPr>
        <w:t>pacta</w:t>
      </w:r>
      <w:proofErr w:type="spellEnd"/>
      <w:r w:rsidRPr="00C95E6B">
        <w:rPr>
          <w:i/>
          <w:iCs/>
          <w:sz w:val="20"/>
          <w:szCs w:val="20"/>
          <w:lang w:val="nl-NL"/>
        </w:rPr>
        <w:t xml:space="preserve"> sunt servanda</w:t>
      </w:r>
      <w:r w:rsidRPr="00C95E6B">
        <w:rPr>
          <w:sz w:val="20"/>
          <w:szCs w:val="20"/>
          <w:lang w:val="nl-NL"/>
        </w:rPr>
        <w:t xml:space="preserve">, de internationale samenwerking en het goed functioneren van internationale organisaties in zekere mate een verantwoording kunnen </w:t>
      </w:r>
      <w:r w:rsidRPr="00C95E6B">
        <w:rPr>
          <w:color w:val="000000" w:themeColor="text1"/>
          <w:sz w:val="20"/>
          <w:szCs w:val="20"/>
          <w:lang w:val="nl-NL"/>
        </w:rPr>
        <w:t>zijn voor inmenging met mensenrechten (bv. EHRM 30 juni 2005, nr.</w:t>
      </w:r>
      <w:r w:rsidRPr="00C95E6B">
        <w:rPr>
          <w:color w:val="000000" w:themeColor="text1"/>
          <w:sz w:val="20"/>
          <w:szCs w:val="20"/>
          <w:lang w:val="nl-BE"/>
        </w:rPr>
        <w:t> </w:t>
      </w:r>
      <w:hyperlink w:tgtFrame="_blank" w:history="1">
        <w:r w:rsidRPr="00E93D19">
          <w:rPr>
            <w:color w:val="000000" w:themeColor="text1"/>
            <w:sz w:val="20"/>
            <w:szCs w:val="20"/>
            <w:lang w:val="nl-BE"/>
          </w:rPr>
          <w:t>45036/98</w:t>
        </w:r>
      </w:hyperlink>
      <w:hyperlink w:tgtFrame="_blank" w:history="1">
        <w:r w:rsidRPr="00C95E6B">
          <w:rPr>
            <w:color w:val="000000" w:themeColor="text1"/>
            <w:sz w:val="20"/>
            <w:szCs w:val="20"/>
            <w:lang w:val="nl-BE"/>
          </w:rPr>
          <w:t>45036/98</w:t>
        </w:r>
      </w:hyperlink>
      <w:r w:rsidRPr="00C95E6B">
        <w:rPr>
          <w:color w:val="000000" w:themeColor="text1"/>
          <w:sz w:val="20"/>
          <w:szCs w:val="20"/>
          <w:lang w:val="nl-BE"/>
        </w:rPr>
        <w:t xml:space="preserve">, </w:t>
      </w:r>
      <w:r w:rsidRPr="00C95E6B">
        <w:rPr>
          <w:color w:val="000000" w:themeColor="text1"/>
          <w:sz w:val="20"/>
          <w:szCs w:val="20"/>
          <w:lang w:val="nl-NL"/>
        </w:rPr>
        <w:t>Bosphorus/Ierland, § 150</w:t>
      </w:r>
      <w:r>
        <w:rPr>
          <w:color w:val="000000" w:themeColor="text1"/>
          <w:sz w:val="20"/>
          <w:szCs w:val="20"/>
          <w:lang w:val="nl-NL"/>
        </w:rPr>
        <w:t xml:space="preserve">; </w:t>
      </w:r>
      <w:r w:rsidRPr="00B2070B">
        <w:rPr>
          <w:sz w:val="20"/>
          <w:szCs w:val="20"/>
          <w:lang w:val="nl-BE"/>
        </w:rPr>
        <w:t>EHRM 2 mei 2007, nr. 71412/01, Behrami en Saramati/Frankijk en Noorwegen</w:t>
      </w:r>
      <w:r w:rsidRPr="00C95E6B">
        <w:rPr>
          <w:color w:val="000000" w:themeColor="text1"/>
          <w:sz w:val="20"/>
          <w:szCs w:val="20"/>
          <w:lang w:val="nl-NL"/>
        </w:rPr>
        <w:t xml:space="preserve"> en HvJ 18 juli 2013, nrs. </w:t>
      </w:r>
      <w:r w:rsidRPr="00C95E6B">
        <w:rPr>
          <w:color w:val="000000" w:themeColor="text1"/>
          <w:sz w:val="20"/>
          <w:szCs w:val="20"/>
          <w:shd w:val="clear" w:color="auto" w:fill="FFFFFF"/>
          <w:lang w:val="nl-BE"/>
        </w:rPr>
        <w:t>C</w:t>
      </w:r>
      <w:r w:rsidRPr="00C95E6B">
        <w:rPr>
          <w:color w:val="000000" w:themeColor="text1"/>
          <w:sz w:val="20"/>
          <w:szCs w:val="20"/>
          <w:shd w:val="clear" w:color="auto" w:fill="FFFFFF"/>
          <w:lang w:val="nl-BE"/>
        </w:rPr>
        <w:noBreakHyphen/>
        <w:t>584/10 P, C</w:t>
      </w:r>
      <w:r w:rsidRPr="00C95E6B">
        <w:rPr>
          <w:color w:val="000000" w:themeColor="text1"/>
          <w:sz w:val="20"/>
          <w:szCs w:val="20"/>
          <w:shd w:val="clear" w:color="auto" w:fill="FFFFFF"/>
          <w:lang w:val="nl-BE"/>
        </w:rPr>
        <w:noBreakHyphen/>
        <w:t>593/10 P en C</w:t>
      </w:r>
      <w:r w:rsidRPr="00C95E6B">
        <w:rPr>
          <w:color w:val="000000" w:themeColor="text1"/>
          <w:sz w:val="20"/>
          <w:szCs w:val="20"/>
          <w:shd w:val="clear" w:color="auto" w:fill="FFFFFF"/>
          <w:lang w:val="nl-BE"/>
        </w:rPr>
        <w:noBreakHyphen/>
        <w:t>595/10 P, ECLI:EU:C:2013:518</w:t>
      </w:r>
      <w:r w:rsidRPr="00C95E6B">
        <w:rPr>
          <w:color w:val="000000" w:themeColor="text1"/>
          <w:sz w:val="20"/>
          <w:szCs w:val="20"/>
          <w:lang w:val="nl-BE"/>
        </w:rPr>
        <w:t xml:space="preserve">, </w:t>
      </w:r>
      <w:r w:rsidRPr="00C95E6B">
        <w:rPr>
          <w:color w:val="000000" w:themeColor="text1"/>
          <w:sz w:val="20"/>
          <w:szCs w:val="20"/>
          <w:lang w:val="nl-NL"/>
        </w:rPr>
        <w:t>Kadi II).</w:t>
      </w:r>
      <w:r w:rsidRPr="00C95E6B">
        <w:rPr>
          <w:sz w:val="20"/>
          <w:szCs w:val="20"/>
          <w:lang w:val="nl-NL"/>
        </w:rPr>
        <w:t xml:space="preserve"> </w:t>
      </w:r>
    </w:p>
  </w:footnote>
  <w:footnote w:id="35">
    <w:p w14:paraId="3D59553F"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D045ED">
        <w:rPr>
          <w:rFonts w:cs="Times New Roman"/>
          <w:lang w:val="nl-NL"/>
        </w:rPr>
        <w:t>Tenzij anders bepaald, verwijzen we in deze bijdrage met ‘wetten’ naar ‘wetten, decreten of ordonnanties’ en met ‘wetgever’ naar ‘wetgever, decreetgever en ordonnantiegever’.</w:t>
      </w:r>
    </w:p>
  </w:footnote>
  <w:footnote w:id="36">
    <w:p w14:paraId="27282176" w14:textId="71D2F293" w:rsidR="00AB5378" w:rsidRPr="00B2070B" w:rsidRDefault="00AB5378">
      <w:pPr>
        <w:pStyle w:val="Voetnoottekst"/>
        <w:spacing w:after="0"/>
      </w:pPr>
      <w:r w:rsidRPr="00C95E6B">
        <w:rPr>
          <w:rStyle w:val="Voetnootmarkering"/>
          <w:rFonts w:cs="Times New Roman"/>
        </w:rPr>
        <w:footnoteRef/>
      </w:r>
      <w:r w:rsidRPr="00C95E6B">
        <w:rPr>
          <w:rFonts w:cs="Times New Roman"/>
        </w:rPr>
        <w:t xml:space="preserve"> </w:t>
      </w:r>
      <w:r w:rsidRPr="00C95E6B">
        <w:rPr>
          <w:rFonts w:cs="Times New Roman"/>
          <w:i/>
        </w:rPr>
        <w:t>Infra</w:t>
      </w:r>
      <w:r w:rsidRPr="00C95E6B">
        <w:rPr>
          <w:rFonts w:cs="Times New Roman"/>
        </w:rPr>
        <w:t xml:space="preserve"> </w:t>
      </w:r>
      <w:r w:rsidRPr="00B2070B">
        <w:t>hoofdstuk VII</w:t>
      </w:r>
      <w:r w:rsidRPr="00C95E6B">
        <w:rPr>
          <w:rFonts w:cs="Times New Roman"/>
        </w:rPr>
        <w:t xml:space="preserve">. Wat betreft samenwerkingsakkoorden, zie: adv.RvS 59.829/AV van 8 augustus 2016, nr. 7 </w:t>
      </w:r>
      <w:r w:rsidRPr="00C95E6B">
        <w:rPr>
          <w:rFonts w:cs="Times New Roman"/>
          <w:i/>
          <w:iCs/>
        </w:rPr>
        <w:t>in fine.</w:t>
      </w:r>
      <w:r w:rsidRPr="00C95E6B">
        <w:rPr>
          <w:rFonts w:cs="Times New Roman"/>
        </w:rPr>
        <w:t xml:space="preserve"> Wat betreft gemeenschappelijke decreten, zie: artikel 92</w:t>
      </w:r>
      <w:r w:rsidRPr="00C95E6B">
        <w:rPr>
          <w:rFonts w:cs="Times New Roman"/>
          <w:i/>
          <w:iCs/>
        </w:rPr>
        <w:t>bis</w:t>
      </w:r>
      <w:r w:rsidRPr="00C95E6B">
        <w:rPr>
          <w:rFonts w:cs="Times New Roman"/>
        </w:rPr>
        <w:t xml:space="preserve">/1, §4, eerste lid, eerste zin, </w:t>
      </w:r>
      <w:r>
        <w:rPr>
          <w:rFonts w:cs="Times New Roman"/>
        </w:rPr>
        <w:t xml:space="preserve">en </w:t>
      </w:r>
      <w:r w:rsidRPr="00C95E6B">
        <w:rPr>
          <w:rFonts w:cs="Times New Roman"/>
        </w:rPr>
        <w:t xml:space="preserve">§5, eerste zin, BWHI. Ook verdrag kunnen rechtstreeks ingrijpen in interne rechtsnormen (bv. </w:t>
      </w:r>
      <w:r w:rsidRPr="00C95E6B">
        <w:rPr>
          <w:rFonts w:cs="Times New Roman"/>
          <w:i/>
          <w:iCs/>
        </w:rPr>
        <w:t>infra</w:t>
      </w:r>
      <w:r w:rsidRPr="00C95E6B">
        <w:rPr>
          <w:rFonts w:cs="Times New Roman"/>
        </w:rPr>
        <w:t xml:space="preserve"> </w:t>
      </w:r>
      <w:r w:rsidRPr="00B2070B">
        <w:t>voetnoot 36</w:t>
      </w:r>
      <w:r w:rsidRPr="00C95E6B">
        <w:rPr>
          <w:rFonts w:cs="Times New Roman"/>
        </w:rPr>
        <w:t>), al komt dit iets minder vaak voor.</w:t>
      </w:r>
    </w:p>
  </w:footnote>
  <w:footnote w:id="37">
    <w:p w14:paraId="499881F6" w14:textId="44B0D6DB" w:rsidR="00AB5378" w:rsidRDefault="00AB5378">
      <w:pPr>
        <w:pStyle w:val="Normaalweb"/>
        <w:spacing w:beforeLines="0" w:afterLines="0"/>
        <w:rPr>
          <w:rFonts w:ascii="Times New Roman" w:hAnsi="Times New Roman"/>
          <w:lang w:val="nl-NL"/>
        </w:rPr>
      </w:pPr>
      <w:r w:rsidRPr="00C95E6B">
        <w:rPr>
          <w:rStyle w:val="Voetnootmarkering"/>
          <w:rFonts w:ascii="Times New Roman" w:hAnsi="Times New Roman"/>
        </w:rPr>
        <w:footnoteRef/>
      </w:r>
      <w:r w:rsidRPr="00C95E6B">
        <w:rPr>
          <w:rFonts w:ascii="Times New Roman" w:hAnsi="Times New Roman"/>
          <w:lang w:val="nl-BE"/>
        </w:rPr>
        <w:t xml:space="preserve"> Waar dit niet strikt nodig is, raadt de Raad van State overigens af om met verdragen rechtstreeks in te grijpen in interne rechtsnormen aangezien een latere wijziging van het bij verdrag aangepaste interne rechtskader vervolgens enkel nog mogelijk zal zijn met de instemming van de verdragspartijen (een zgn. </w:t>
      </w:r>
      <w:r w:rsidRPr="00C95E6B">
        <w:rPr>
          <w:rFonts w:ascii="Times New Roman" w:hAnsi="Times New Roman"/>
          <w:i/>
          <w:iCs/>
          <w:lang w:val="nl-BE"/>
        </w:rPr>
        <w:t>joint decision trap</w:t>
      </w:r>
      <w:r w:rsidRPr="00C95E6B">
        <w:rPr>
          <w:rFonts w:ascii="Times New Roman" w:hAnsi="Times New Roman"/>
          <w:lang w:val="nl-BE"/>
        </w:rPr>
        <w:t xml:space="preserve">, waardoor de autonomie van de betrokken partij wordt aangetast). Zie bv.: “Aangezien het in de eerste plaats zaak van de bevoegde organen van de Vlaamse Gemeenschap is om met inachtneming van de terzake toepasselijke beginselen op elk gewenst moment te bepalen welke bevoegdheden op welk niveau worden uitgeoefend, is het ten zeerste aan te bevelen dergelijke bevoegdheidstoewijzingen niet in het verdrag op te nemen” (adv.RvS 36.392/1 van 22 januari 2004, nr. 2). Dezelfde bedenking geldt </w:t>
      </w:r>
      <w:r w:rsidRPr="00C95E6B">
        <w:rPr>
          <w:rFonts w:ascii="Times New Roman" w:hAnsi="Times New Roman"/>
          <w:i/>
          <w:iCs/>
          <w:lang w:val="nl-BE"/>
        </w:rPr>
        <w:t>mutatis mutandis</w:t>
      </w:r>
      <w:r w:rsidRPr="00C95E6B">
        <w:rPr>
          <w:rFonts w:ascii="Times New Roman" w:hAnsi="Times New Roman"/>
          <w:lang w:val="nl-BE"/>
        </w:rPr>
        <w:t xml:space="preserve"> voor samenwerkingsakkoorden en gemeenschappelijke decreten (zie ook: adv.RvS 52.303/AV van 20 november 2012, nrs. 15 en 16; GwH 23 juni 2011, nr. 112/2011, § B.6.2; J.-Th. </w:t>
      </w:r>
      <w:r w:rsidRPr="00A87036">
        <w:rPr>
          <w:rFonts w:ascii="Times New Roman" w:hAnsi="Times New Roman"/>
          <w:smallCaps/>
          <w:lang w:val="fr-BE"/>
        </w:rPr>
        <w:t>Debry</w:t>
      </w:r>
      <w:r w:rsidRPr="00A87036">
        <w:rPr>
          <w:rFonts w:ascii="Times New Roman" w:hAnsi="Times New Roman"/>
          <w:lang w:val="fr-BE"/>
        </w:rPr>
        <w:t xml:space="preserve">, “Les accords de coopération obligatoire à travers les réformes de l’Etat, </w:t>
      </w:r>
      <w:r w:rsidRPr="00A87036">
        <w:rPr>
          <w:rFonts w:ascii="Times New Roman" w:hAnsi="Times New Roman"/>
          <w:i/>
          <w:lang w:val="fr-BE"/>
        </w:rPr>
        <w:t xml:space="preserve">CDPK </w:t>
      </w:r>
      <w:r w:rsidRPr="00A87036">
        <w:rPr>
          <w:rFonts w:ascii="Times New Roman" w:hAnsi="Times New Roman"/>
          <w:lang w:val="fr-BE"/>
        </w:rPr>
        <w:t>2003 (196) 199-202, nrs. 3-5</w:t>
      </w:r>
      <w:r w:rsidRPr="00C95E6B">
        <w:rPr>
          <w:rFonts w:ascii="Times New Roman" w:hAnsi="Times New Roman"/>
          <w:lang w:val="fr-BE"/>
        </w:rPr>
        <w:t xml:space="preserve">. </w:t>
      </w:r>
      <w:r w:rsidRPr="00A87036">
        <w:rPr>
          <w:rFonts w:ascii="Times New Roman" w:hAnsi="Times New Roman"/>
          <w:lang w:val="nl-NL"/>
        </w:rPr>
        <w:t xml:space="preserve">Over de vraag of dit een schending zou kunnen uitmaken van de Grondwet, zie A. </w:t>
      </w:r>
      <w:r w:rsidRPr="00A87036">
        <w:rPr>
          <w:rFonts w:ascii="Times New Roman" w:hAnsi="Times New Roman"/>
          <w:smallCaps/>
          <w:lang w:val="nl-NL"/>
        </w:rPr>
        <w:t>Poppe</w:t>
      </w:r>
      <w:r w:rsidRPr="00C95E6B">
        <w:rPr>
          <w:rFonts w:ascii="Times New Roman" w:hAnsi="Times New Roman"/>
          <w:lang w:val="nl-NL"/>
        </w:rPr>
        <w:t xml:space="preserve">, “Artikel 92bis BWHI: het instrument van de samenwerkingsakkoorden” in </w:t>
      </w:r>
      <w:r w:rsidRPr="00A87036">
        <w:rPr>
          <w:rFonts w:ascii="Times New Roman" w:hAnsi="Times New Roman"/>
          <w:lang w:val="nl-NL"/>
        </w:rPr>
        <w:t xml:space="preserve">in B. </w:t>
      </w:r>
      <w:r w:rsidRPr="00A87036">
        <w:rPr>
          <w:rFonts w:ascii="Times New Roman" w:hAnsi="Times New Roman"/>
          <w:smallCaps/>
          <w:lang w:val="nl-NL"/>
        </w:rPr>
        <w:t>Dalle</w:t>
      </w:r>
      <w:r w:rsidRPr="00A87036">
        <w:rPr>
          <w:rFonts w:ascii="Times New Roman" w:hAnsi="Times New Roman"/>
          <w:lang w:val="nl-NL"/>
        </w:rPr>
        <w:t xml:space="preserve"> e.a. (eds.), </w:t>
      </w:r>
      <w:r w:rsidRPr="00A87036">
        <w:rPr>
          <w:rFonts w:ascii="Times New Roman" w:hAnsi="Times New Roman"/>
          <w:i/>
          <w:lang w:val="nl-NL"/>
        </w:rPr>
        <w:t>Duiding Federale Staatsstructuur</w:t>
      </w:r>
      <w:r w:rsidRPr="00A87036">
        <w:rPr>
          <w:rFonts w:ascii="Times New Roman" w:hAnsi="Times New Roman"/>
          <w:lang w:val="nl-NL"/>
        </w:rPr>
        <w:t>, Brussel, Larcier, 2018</w:t>
      </w:r>
      <w:r w:rsidRPr="00C95E6B">
        <w:rPr>
          <w:rFonts w:ascii="Times New Roman" w:hAnsi="Times New Roman"/>
          <w:lang w:val="nl-NL"/>
        </w:rPr>
        <w:t xml:space="preserve"> (592), 595, nr. 11 en verwijzingen aldaar</w:t>
      </w:r>
      <w:r w:rsidRPr="00A87036">
        <w:rPr>
          <w:rFonts w:ascii="Times New Roman" w:hAnsi="Times New Roman"/>
          <w:lang w:val="nl-NL"/>
        </w:rPr>
        <w:t>).</w:t>
      </w:r>
    </w:p>
  </w:footnote>
  <w:footnote w:id="38">
    <w:p w14:paraId="7ABE88E4" w14:textId="4F2F674D"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artikel 20, lid 2, WVV. In adv.RvS 47.317/3 van 8 december 2009, nr. 2.2. werd deze bepaling toegepast op een Benelux-verdrag.</w:t>
      </w:r>
    </w:p>
  </w:footnote>
  <w:footnote w:id="39">
    <w:p w14:paraId="7A967A73" w14:textId="0F99D6A5"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“sluiten” van verdragen overeenkomstig artikel 167 van de Grondwet moet ruim worden geïnterpreteerd en betreft de verschillende stadia in de internationaalrechtelijke totstandkoming van verdragen, zoals de onderhandeling, parafering, ondertekening, bekrachtiging of toetreding en eventueel de opschorting en opzegging van verdragen (D. </w:t>
      </w:r>
      <w:r w:rsidRPr="00C95E6B">
        <w:rPr>
          <w:rFonts w:cs="Times New Roman"/>
          <w:smallCaps/>
        </w:rPr>
        <w:t>Van</w:t>
      </w:r>
      <w:r w:rsidRPr="00C95E6B">
        <w:rPr>
          <w:rFonts w:cs="Times New Roman"/>
        </w:rPr>
        <w:t xml:space="preserve"> </w:t>
      </w:r>
      <w:r w:rsidRPr="00C95E6B">
        <w:rPr>
          <w:rFonts w:cs="Times New Roman"/>
          <w:smallCaps/>
        </w:rPr>
        <w:t>Eeckhoutte</w:t>
      </w:r>
      <w:r w:rsidRPr="00C95E6B">
        <w:rPr>
          <w:rFonts w:cs="Times New Roman"/>
        </w:rPr>
        <w:t xml:space="preserve"> en M. </w:t>
      </w:r>
      <w:r w:rsidRPr="00C95E6B">
        <w:rPr>
          <w:rFonts w:cs="Times New Roman"/>
          <w:smallCaps/>
        </w:rPr>
        <w:t>Vidal</w:t>
      </w:r>
      <w:r w:rsidRPr="00C95E6B">
        <w:rPr>
          <w:rFonts w:cs="Times New Roman"/>
        </w:rPr>
        <w:t xml:space="preserve">, “Artikel 167 Grondwet” in B. </w:t>
      </w:r>
      <w:r w:rsidRPr="00C95E6B">
        <w:rPr>
          <w:rFonts w:cs="Times New Roman"/>
          <w:smallCaps/>
        </w:rPr>
        <w:t>Dalle</w:t>
      </w:r>
      <w:r w:rsidRPr="00C95E6B">
        <w:rPr>
          <w:rFonts w:cs="Times New Roman"/>
        </w:rPr>
        <w:t xml:space="preserve"> e.a. (eds.), </w:t>
      </w:r>
      <w:r w:rsidRPr="00C95E6B">
        <w:rPr>
          <w:rFonts w:cs="Times New Roman"/>
          <w:i/>
        </w:rPr>
        <w:t>Duiding Federale Staatsstructuur</w:t>
      </w:r>
      <w:r w:rsidRPr="00C95E6B">
        <w:rPr>
          <w:rFonts w:cs="Times New Roman"/>
        </w:rPr>
        <w:t xml:space="preserve">, Brussel, Larcier, 2018 (215), 221, nr. 15. Zie ook: §3 van de toelichting bij het samenwerkingsakkoord van 8 maart 1994 tussen de federale overheid, de Gemeenschappen en de Gewesten ‘over de nadere regelen voor het sluiten van gemengde verdragen’ (hierna: het Samenwerkingsakkoord Gemengde Verdragen). Het gaat om het sluiten in ruime zin, </w:t>
      </w:r>
      <w:r w:rsidR="0040541D">
        <w:rPr>
          <w:rFonts w:cs="Times New Roman"/>
        </w:rPr>
        <w:t>w</w:t>
      </w:r>
      <w:r w:rsidR="0040541D" w:rsidRPr="00C95E6B">
        <w:rPr>
          <w:rFonts w:cs="Times New Roman"/>
        </w:rPr>
        <w:t xml:space="preserve">at </w:t>
      </w:r>
      <w:r w:rsidRPr="00C95E6B">
        <w:rPr>
          <w:rFonts w:cs="Times New Roman"/>
        </w:rPr>
        <w:t xml:space="preserve">moet worden onderscheiden van het sluiten in enge zin, m.n. het bereiken van de wilsovereenstemming, </w:t>
      </w:r>
      <w:r w:rsidR="0040541D">
        <w:rPr>
          <w:rFonts w:cs="Times New Roman"/>
        </w:rPr>
        <w:t>dat</w:t>
      </w:r>
      <w:r w:rsidRPr="00C95E6B">
        <w:rPr>
          <w:rFonts w:cs="Times New Roman"/>
        </w:rPr>
        <w:t xml:space="preserve"> </w:t>
      </w:r>
      <w:r w:rsidR="0040541D">
        <w:rPr>
          <w:rFonts w:cs="Times New Roman"/>
        </w:rPr>
        <w:t>verder</w:t>
      </w:r>
      <w:r w:rsidR="0040541D" w:rsidRPr="00C95E6B">
        <w:rPr>
          <w:rFonts w:cs="Times New Roman"/>
        </w:rPr>
        <w:t xml:space="preserve"> </w:t>
      </w:r>
      <w:r w:rsidRPr="00C95E6B">
        <w:rPr>
          <w:rFonts w:cs="Times New Roman"/>
        </w:rPr>
        <w:t xml:space="preserve">in dit hoofdstuk </w:t>
      </w:r>
      <w:r w:rsidR="0040541D">
        <w:rPr>
          <w:rFonts w:cs="Times New Roman"/>
        </w:rPr>
        <w:t>aan de orde is</w:t>
      </w:r>
      <w:r w:rsidR="0040541D" w:rsidRPr="00C95E6B">
        <w:rPr>
          <w:rFonts w:cs="Times New Roman"/>
        </w:rPr>
        <w:t xml:space="preserve"> </w:t>
      </w:r>
      <w:r w:rsidRPr="00C95E6B">
        <w:rPr>
          <w:rFonts w:cs="Times New Roman"/>
        </w:rPr>
        <w:t>(</w:t>
      </w:r>
      <w:r w:rsidRPr="00C95E6B">
        <w:rPr>
          <w:rFonts w:cs="Times New Roman"/>
          <w:i/>
        </w:rPr>
        <w:t>infra</w:t>
      </w:r>
      <w:r w:rsidRPr="00C95E6B">
        <w:rPr>
          <w:rFonts w:cs="Times New Roman"/>
        </w:rPr>
        <w:t xml:space="preserve"> </w:t>
      </w:r>
      <w:r w:rsidRPr="00B2070B">
        <w:t>nr. 13</w:t>
      </w:r>
      <w:r w:rsidRPr="00C95E6B">
        <w:rPr>
          <w:rFonts w:cs="Times New Roman"/>
        </w:rPr>
        <w:t xml:space="preserve">). </w:t>
      </w:r>
    </w:p>
  </w:footnote>
  <w:footnote w:id="40">
    <w:p w14:paraId="79E49612"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Juridisch precies geformuleerd: o</w:t>
      </w:r>
      <w:r w:rsidRPr="00C95E6B">
        <w:rPr>
          <w:rFonts w:cs="Times New Roman"/>
          <w:lang w:val="nl-NL"/>
        </w:rPr>
        <w:t>p federaal niveau is het een prerogatief van de Koning, op deelstaatniveau van de regering.</w:t>
      </w:r>
    </w:p>
  </w:footnote>
  <w:footnote w:id="41">
    <w:p w14:paraId="515E19F6"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NL"/>
        </w:rPr>
        <w:t xml:space="preserve"> Adv.RvS 44.028 van 29 januari 2008, nr. 33 en adv.RvS 44.816/AV van 1 juli 2008, nr. 2. </w:t>
      </w:r>
    </w:p>
    <w:p w14:paraId="2216E216" w14:textId="1BCC1F0E" w:rsidR="00AB5378" w:rsidRDefault="00AB5378">
      <w:pPr>
        <w:autoSpaceDE w:val="0"/>
        <w:autoSpaceDN w:val="0"/>
        <w:adjustRightInd w:val="0"/>
        <w:jc w:val="both"/>
        <w:rPr>
          <w:sz w:val="20"/>
          <w:szCs w:val="20"/>
          <w:lang w:val="nl-NL"/>
        </w:rPr>
      </w:pPr>
      <w:r w:rsidRPr="00C95E6B">
        <w:rPr>
          <w:sz w:val="20"/>
          <w:szCs w:val="20"/>
          <w:lang w:val="nl-NL"/>
        </w:rPr>
        <w:t>In antwoord hierop werd een voorstel ‘tot wijziging van de bijzondere wet van 8 augustus 1980 tot hervorming der instellingen en van de bijzondere wet van 12 januari 1989 met betrekking tot de Brusselse instellingen’ in het parlement ingediend (voorstel Herman Van Rompuy), dat evenwel dode letter is gebleven (</w:t>
      </w:r>
      <w:r w:rsidRPr="00C95E6B">
        <w:rPr>
          <w:i/>
          <w:iCs/>
          <w:sz w:val="20"/>
          <w:szCs w:val="20"/>
          <w:lang w:val="nl-NL"/>
        </w:rPr>
        <w:t xml:space="preserve">Parl.St. </w:t>
      </w:r>
      <w:r w:rsidRPr="00C95E6B">
        <w:rPr>
          <w:sz w:val="20"/>
          <w:szCs w:val="20"/>
          <w:lang w:val="nl-NL"/>
        </w:rPr>
        <w:t>Kamer 2007-08, nr. 1263/1).</w:t>
      </w:r>
    </w:p>
  </w:footnote>
  <w:footnote w:id="42">
    <w:p w14:paraId="62EC3929"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 xml:space="preserve">Adv.RvS 48.754/AV en 48.755/AV van 15 december 2010, nrs. 7.2-7.3 en adv.RvS 52.303/AV van 20 november 2012, nr. 18. </w:t>
      </w:r>
    </w:p>
    <w:p w14:paraId="1B59CB90" w14:textId="77777777" w:rsidR="00AB5378" w:rsidRDefault="00AB5378">
      <w:pPr>
        <w:pStyle w:val="Voetnoottekst"/>
        <w:spacing w:after="0"/>
        <w:rPr>
          <w:rFonts w:cs="Times New Roman"/>
          <w:lang w:val="nl-NL"/>
        </w:rPr>
      </w:pPr>
      <w:r w:rsidRPr="00C95E6B">
        <w:rPr>
          <w:rFonts w:cs="Times New Roman"/>
          <w:lang w:val="nl-NL"/>
        </w:rPr>
        <w:t xml:space="preserve">De ruimte om zonder tussenkomst van de uitvoerende macht interparlementaire samenwerkingsakkoorden te sluiten blijft natuurlijk wel al bij al vrij beperkt, m.n. tot aangelegenheden die tot de autonome beslissingsbevoegdheid van het parlement behoren. Wat betreft de federale Kamers gaat het over de aangelegenheden geviseerd door artikel 60 van de Grondwet. Zie hierover: adv.RvS 67.142/AV van 25 maart 2020, nr. 9.2.1; J. </w:t>
      </w:r>
      <w:r w:rsidRPr="00C95E6B">
        <w:rPr>
          <w:rFonts w:cs="Times New Roman"/>
          <w:smallCaps/>
          <w:lang w:val="nl-NL"/>
        </w:rPr>
        <w:t>Velaers</w:t>
      </w:r>
      <w:r w:rsidRPr="00C95E6B">
        <w:rPr>
          <w:rFonts w:cs="Times New Roman"/>
          <w:lang w:val="nl-NL"/>
        </w:rPr>
        <w:t xml:space="preserve">, </w:t>
      </w:r>
      <w:r w:rsidRPr="00C95E6B">
        <w:rPr>
          <w:rFonts w:cs="Times New Roman"/>
          <w:i/>
          <w:iCs/>
          <w:lang w:val="nl-NL"/>
        </w:rPr>
        <w:t>De Grondwet - Een artikelsgewijze commentaar</w:t>
      </w:r>
      <w:r w:rsidRPr="00C95E6B">
        <w:rPr>
          <w:rFonts w:cs="Times New Roman"/>
          <w:lang w:val="nl-NL"/>
        </w:rPr>
        <w:t xml:space="preserve">, Deel II, Brugge, die Keure, 2019, 262-266 en M. </w:t>
      </w:r>
      <w:r w:rsidRPr="00C95E6B">
        <w:rPr>
          <w:rFonts w:cs="Times New Roman"/>
          <w:smallCaps/>
          <w:lang w:val="nl-NL"/>
        </w:rPr>
        <w:t>Van der Hulst</w:t>
      </w:r>
      <w:r w:rsidRPr="00C95E6B">
        <w:rPr>
          <w:rFonts w:cs="Times New Roman"/>
          <w:lang w:val="nl-NL"/>
        </w:rPr>
        <w:t xml:space="preserve"> en K. </w:t>
      </w:r>
      <w:r w:rsidRPr="00C95E6B">
        <w:rPr>
          <w:rFonts w:cs="Times New Roman"/>
          <w:smallCaps/>
          <w:lang w:val="nl-NL"/>
        </w:rPr>
        <w:t>Muylle</w:t>
      </w:r>
      <w:r w:rsidRPr="00C95E6B">
        <w:rPr>
          <w:rFonts w:cs="Times New Roman"/>
          <w:lang w:val="nl-NL"/>
        </w:rPr>
        <w:t xml:space="preserve">, </w:t>
      </w:r>
      <w:r w:rsidRPr="00C95E6B">
        <w:rPr>
          <w:rFonts w:cs="Times New Roman"/>
          <w:i/>
          <w:iCs/>
          <w:lang w:val="nl-NL"/>
        </w:rPr>
        <w:t>Het federale parlement. Samenstelling, organisatie en werking</w:t>
      </w:r>
      <w:r w:rsidRPr="00C95E6B">
        <w:rPr>
          <w:rFonts w:cs="Times New Roman"/>
          <w:lang w:val="nl-NL"/>
        </w:rPr>
        <w:t>, Heule, Inni, 2016, 529-535. Wat betreft de deelstaten, zie: artikel 44 BWHI, artikelen 28 en 72 BWBI en artikel 44 WDG.</w:t>
      </w:r>
    </w:p>
  </w:footnote>
  <w:footnote w:id="43">
    <w:p w14:paraId="5EE31BD7"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NL"/>
        </w:rPr>
        <w:t xml:space="preserve"> Zie bv. artikel 108, §3, van het Reglement van het Vlaams Parlement van 24 april 2019 (</w:t>
      </w:r>
      <w:r w:rsidRPr="00C95E6B">
        <w:rPr>
          <w:i/>
          <w:sz w:val="20"/>
          <w:szCs w:val="20"/>
          <w:lang w:val="nl-NL"/>
        </w:rPr>
        <w:t xml:space="preserve">Parl.St. </w:t>
      </w:r>
      <w:r w:rsidRPr="00C95E6B">
        <w:rPr>
          <w:sz w:val="20"/>
          <w:szCs w:val="20"/>
          <w:lang w:val="nl-NL"/>
        </w:rPr>
        <w:t>Vl.Parl. 2018-19, nr. 7-A/1).</w:t>
      </w:r>
    </w:p>
  </w:footnote>
  <w:footnote w:id="44">
    <w:p w14:paraId="49B000B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Over he</w:t>
      </w:r>
      <w:r w:rsidRPr="00A87036">
        <w:rPr>
          <w:rFonts w:cs="Times New Roman"/>
        </w:rPr>
        <w:t>t “problematisch neveneffect” v</w:t>
      </w:r>
      <w:r w:rsidRPr="00C95E6B">
        <w:rPr>
          <w:rFonts w:cs="Times New Roman"/>
        </w:rPr>
        <w:t xml:space="preserve">an de verzwakking van de wetgever bij samenwerkingsakkoorden, zie ook R. </w:t>
      </w:r>
      <w:r w:rsidRPr="00A87036">
        <w:rPr>
          <w:rFonts w:cs="Times New Roman"/>
          <w:smallCaps/>
        </w:rPr>
        <w:t>Moerenhout</w:t>
      </w:r>
      <w:r w:rsidRPr="00C95E6B">
        <w:rPr>
          <w:rFonts w:cs="Times New Roman"/>
        </w:rPr>
        <w:t xml:space="preserve"> en </w:t>
      </w:r>
      <w:r w:rsidRPr="00D045ED">
        <w:rPr>
          <w:rFonts w:cs="Times New Roman"/>
          <w:smallCaps/>
        </w:rPr>
        <w:t>J. Smets</w:t>
      </w:r>
      <w:r w:rsidRPr="00C95E6B">
        <w:rPr>
          <w:rFonts w:cs="Times New Roman"/>
        </w:rPr>
        <w:t xml:space="preserve">, </w:t>
      </w:r>
      <w:r w:rsidRPr="00C95E6B">
        <w:rPr>
          <w:rFonts w:cs="Times New Roman"/>
          <w:i/>
          <w:iCs/>
        </w:rPr>
        <w:t>De samenwerking tussen de federale Staat en de Gemeenschappen en de Gewesten</w:t>
      </w:r>
      <w:r w:rsidRPr="00C95E6B">
        <w:rPr>
          <w:rFonts w:cs="Times New Roman"/>
        </w:rPr>
        <w:t>, Deurne, Kluwer Rechtswetenschappen België, 1994, 129.</w:t>
      </w:r>
    </w:p>
  </w:footnote>
  <w:footnote w:id="45">
    <w:p w14:paraId="00183EC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 xml:space="preserve">Parl.St. </w:t>
      </w:r>
      <w:r w:rsidRPr="00C95E6B">
        <w:rPr>
          <w:rFonts w:cs="Times New Roman"/>
          <w:iCs/>
        </w:rPr>
        <w:t>Senaat</w:t>
      </w:r>
      <w:r w:rsidRPr="00C95E6B">
        <w:rPr>
          <w:rFonts w:cs="Times New Roman"/>
        </w:rPr>
        <w:t>, 2012-13, nr. 1815/1, 1.</w:t>
      </w:r>
    </w:p>
  </w:footnote>
  <w:footnote w:id="46">
    <w:p w14:paraId="3D2C3686"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rPr>
        <w:t>bis</w:t>
      </w:r>
      <w:r w:rsidRPr="00C95E6B">
        <w:rPr>
          <w:rFonts w:cs="Times New Roman"/>
        </w:rPr>
        <w:t>/1, §2, eerste lid, BWHI.</w:t>
      </w:r>
    </w:p>
  </w:footnote>
  <w:footnote w:id="47">
    <w:p w14:paraId="6434864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rPr>
        <w:t>bis</w:t>
      </w:r>
      <w:r w:rsidRPr="00C95E6B">
        <w:rPr>
          <w:rFonts w:cs="Times New Roman"/>
        </w:rPr>
        <w:t>/1, §2, tweede lid, BWHI.</w:t>
      </w:r>
    </w:p>
  </w:footnote>
  <w:footnote w:id="48">
    <w:p w14:paraId="4E11145C" w14:textId="77777777" w:rsidR="00AB5378" w:rsidRPr="00B2070B" w:rsidRDefault="00AB5378" w:rsidP="00B2070B">
      <w:pPr>
        <w:pStyle w:val="Voetnoottekst"/>
        <w:spacing w:after="0"/>
        <w:rPr>
          <w:lang w:val="nl-NL"/>
        </w:rPr>
      </w:pPr>
      <w:r>
        <w:rPr>
          <w:rStyle w:val="Voetnootmarkering"/>
        </w:rPr>
        <w:footnoteRef/>
      </w:r>
      <w:r>
        <w:t xml:space="preserve"> </w:t>
      </w:r>
      <w:r>
        <w:rPr>
          <w:lang w:val="nl-NL"/>
        </w:rPr>
        <w:t>Adv.RvS 52.303/AV van 20 november 2012, nrs. 17 en 18.</w:t>
      </w:r>
    </w:p>
  </w:footnote>
  <w:footnote w:id="49">
    <w:p w14:paraId="0046E5D7" w14:textId="77777777" w:rsidR="00AB5378" w:rsidRPr="00C95E6B" w:rsidRDefault="00AB5378" w:rsidP="007C381A">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Infra</w:t>
      </w:r>
      <w:r w:rsidRPr="00C95E6B">
        <w:rPr>
          <w:rFonts w:cs="Times New Roman"/>
        </w:rPr>
        <w:t xml:space="preserve"> </w:t>
      </w:r>
      <w:r w:rsidRPr="00B2070B">
        <w:t>hoofdstuk VI</w:t>
      </w:r>
      <w:r w:rsidRPr="00C95E6B">
        <w:rPr>
          <w:rFonts w:cs="Times New Roman"/>
        </w:rPr>
        <w:t>.</w:t>
      </w:r>
    </w:p>
  </w:footnote>
  <w:footnote w:id="50">
    <w:p w14:paraId="3AEC2978" w14:textId="77777777" w:rsidR="00AB5378" w:rsidRDefault="00AB5378" w:rsidP="00B2070B">
      <w:pPr>
        <w:pStyle w:val="Voetnoottekst"/>
        <w:spacing w:after="0"/>
      </w:pPr>
      <w:r>
        <w:rPr>
          <w:rStyle w:val="Voetnootmarkering"/>
        </w:rPr>
        <w:footnoteRef/>
      </w:r>
      <w:r>
        <w:t xml:space="preserve"> Zie ook </w:t>
      </w:r>
      <w:r w:rsidRPr="00B2070B">
        <w:rPr>
          <w:i/>
        </w:rPr>
        <w:t>supra</w:t>
      </w:r>
      <w:r>
        <w:t xml:space="preserve"> voetnoot 11.</w:t>
      </w:r>
    </w:p>
  </w:footnote>
  <w:footnote w:id="51">
    <w:p w14:paraId="10FFBB90" w14:textId="77777777" w:rsidR="00AB5378" w:rsidRPr="00C95E6B" w:rsidRDefault="00AB5378" w:rsidP="007C381A">
      <w:pPr>
        <w:autoSpaceDE w:val="0"/>
        <w:autoSpaceDN w:val="0"/>
        <w:adjustRightInd w:val="0"/>
        <w:jc w:val="both"/>
        <w:rPr>
          <w:sz w:val="20"/>
          <w:szCs w:val="20"/>
          <w:lang w:val="nl-BE"/>
        </w:rPr>
      </w:pPr>
      <w:r w:rsidRPr="00C95E6B">
        <w:rPr>
          <w:rStyle w:val="Voetnootmarkering"/>
          <w:sz w:val="20"/>
          <w:szCs w:val="20"/>
        </w:rPr>
        <w:footnoteRef/>
      </w:r>
      <w:r w:rsidRPr="00C95E6B">
        <w:rPr>
          <w:sz w:val="20"/>
          <w:szCs w:val="20"/>
          <w:lang w:val="nl-BE"/>
        </w:rPr>
        <w:t xml:space="preserve"> Merk op dat voor sommige verdragen het parlement over een verdergaande, formele rol beschikt in de verdragssluiting, bv. voor grensverdragen (atikelen 7 en 167, §1, derde lid, Grondwet; adv.RvS 57.136/VR van 17 maart 2015; D. </w:t>
      </w:r>
      <w:r w:rsidRPr="00C95E6B">
        <w:rPr>
          <w:smallCaps/>
          <w:sz w:val="20"/>
          <w:szCs w:val="20"/>
          <w:lang w:val="nl-BE"/>
        </w:rPr>
        <w:t>Van Eeckhoutte</w:t>
      </w:r>
      <w:r w:rsidRPr="00C95E6B">
        <w:rPr>
          <w:sz w:val="20"/>
          <w:szCs w:val="20"/>
          <w:lang w:val="nl-BE"/>
        </w:rPr>
        <w:t xml:space="preserve"> en M. </w:t>
      </w:r>
      <w:r w:rsidRPr="00C95E6B">
        <w:rPr>
          <w:smallCaps/>
          <w:sz w:val="20"/>
          <w:szCs w:val="20"/>
          <w:lang w:val="nl-BE"/>
        </w:rPr>
        <w:t>Vidal</w:t>
      </w:r>
      <w:r w:rsidRPr="00C95E6B">
        <w:rPr>
          <w:sz w:val="20"/>
          <w:szCs w:val="20"/>
          <w:lang w:val="nl-BE"/>
        </w:rPr>
        <w:t xml:space="preserve">, “Artikel 167 Grondwet” in B. </w:t>
      </w:r>
      <w:r w:rsidRPr="00C95E6B">
        <w:rPr>
          <w:smallCaps/>
          <w:sz w:val="20"/>
          <w:szCs w:val="20"/>
          <w:lang w:val="nl-BE"/>
        </w:rPr>
        <w:t>Dalle</w:t>
      </w:r>
      <w:r w:rsidRPr="00C95E6B">
        <w:rPr>
          <w:sz w:val="20"/>
          <w:szCs w:val="20"/>
          <w:lang w:val="nl-BE"/>
        </w:rPr>
        <w:t xml:space="preserve"> e.a. (eds.), </w:t>
      </w:r>
      <w:r w:rsidRPr="00C95E6B">
        <w:rPr>
          <w:i/>
          <w:sz w:val="20"/>
          <w:szCs w:val="20"/>
          <w:lang w:val="nl-BE"/>
        </w:rPr>
        <w:t>Duiding Federale Staatsstructuur</w:t>
      </w:r>
      <w:r w:rsidRPr="00C95E6B">
        <w:rPr>
          <w:sz w:val="20"/>
          <w:szCs w:val="20"/>
          <w:lang w:val="nl-BE"/>
        </w:rPr>
        <w:t>, Brussel, Larcier, 2018,</w:t>
      </w:r>
      <w:r w:rsidRPr="00C95E6B">
        <w:rPr>
          <w:i/>
          <w:sz w:val="20"/>
          <w:szCs w:val="20"/>
          <w:lang w:val="nl-BE"/>
        </w:rPr>
        <w:t xml:space="preserve"> </w:t>
      </w:r>
      <w:r w:rsidRPr="00C95E6B">
        <w:rPr>
          <w:sz w:val="20"/>
          <w:szCs w:val="20"/>
          <w:lang w:val="nl-BE"/>
        </w:rPr>
        <w:t xml:space="preserve">233, nr. 45) en (bepaalde) herzieningen van de EU-verdragen (artikel 167 Grondwet, artikel 16, §2, tweede lid, BWHI, artikel 48, lid 7, derde alinea, van het Verdrag betreffende de Europese Unie en artikel 6 van het Protocol betreffende de rol van de nationale parlementen in de Europese Unie). </w:t>
      </w:r>
      <w:r w:rsidRPr="00C95E6B">
        <w:rPr>
          <w:sz w:val="20"/>
          <w:szCs w:val="20"/>
          <w:lang w:val="nl-NL"/>
        </w:rPr>
        <w:t>Verschillende verdragen voorzien overigens in interparlementaire vergaderingen met een raadgevende bevoegdheid of een bevoegdheid tot overleg tussen de parlementen van de betrokken partijen over alle aangelegenheden die onder het toepassingsgebied van het verdrag vallen. Zo beschikken bv. de Raad van Europa, de NAVO, de OVSE, de Benelux en de Nederlandse Taalunie en verschillende EU-associatieakkoorden over dergelijke interparlementaire vergaderingen.</w:t>
      </w:r>
    </w:p>
  </w:footnote>
  <w:footnote w:id="52">
    <w:p w14:paraId="3DCB3271" w14:textId="4DA362ED" w:rsidR="00AB5378" w:rsidRDefault="00AB5378">
      <w:pPr>
        <w:jc w:val="both"/>
        <w:rPr>
          <w:sz w:val="20"/>
          <w:szCs w:val="20"/>
          <w:lang w:val="fr-BE"/>
        </w:rPr>
      </w:pPr>
      <w:r w:rsidRPr="00C95E6B">
        <w:rPr>
          <w:rStyle w:val="Voetnootmarkering"/>
          <w:sz w:val="20"/>
          <w:szCs w:val="20"/>
        </w:rPr>
        <w:footnoteRef/>
      </w:r>
      <w:r w:rsidRPr="00B2070B">
        <w:rPr>
          <w:sz w:val="20"/>
          <w:szCs w:val="20"/>
          <w:lang w:val="nl-NL"/>
        </w:rPr>
        <w:t xml:space="preserve"> De juridische macht van het parlement wordt treffend geïllustreerd door de CETA-crisis. De Europese politieke crisis in het najaar van 2016 (die o.m. aanleiding gaf tot de annulatie van de EU-Canada Top) waartoe de weigering van de Waalse Regering om zijn machtiging tot ondertekening te verlenen van de ‘Brede Economische en Handelsovereenkomst (CETA) tussen de EU en haar lidstaten, enerzijds, en Canada, anderzijds’, illustreert op zich al de juridische macht waarover het parlement beschikt door middel van de instemmingsvereiste. </w:t>
      </w:r>
      <w:r>
        <w:rPr>
          <w:sz w:val="20"/>
          <w:szCs w:val="20"/>
          <w:lang w:val="fr-BE"/>
        </w:rPr>
        <w:t xml:space="preserve">Het Waals parlement had op zich immers al laten weten dat het niet van plan was om met het voorliggende verdrag in te stemmen en had zijn regering dan ook verzocht om het verdrag niet te </w:t>
      </w:r>
      <w:proofErr w:type="spellStart"/>
      <w:r>
        <w:rPr>
          <w:sz w:val="20"/>
          <w:szCs w:val="20"/>
          <w:lang w:val="fr-BE"/>
        </w:rPr>
        <w:t>ondertekenen</w:t>
      </w:r>
      <w:proofErr w:type="spellEnd"/>
      <w:r w:rsidRPr="00C95E6B">
        <w:rPr>
          <w:sz w:val="20"/>
          <w:szCs w:val="20"/>
          <w:lang w:val="fr-BE"/>
        </w:rPr>
        <w:t xml:space="preserve"> (</w:t>
      </w:r>
      <w:proofErr w:type="spellStart"/>
      <w:r w:rsidRPr="00C95E6B">
        <w:rPr>
          <w:sz w:val="20"/>
          <w:szCs w:val="20"/>
          <w:lang w:val="fr-BE"/>
        </w:rPr>
        <w:t>zie</w:t>
      </w:r>
      <w:proofErr w:type="spellEnd"/>
      <w:r w:rsidRPr="00C95E6B">
        <w:rPr>
          <w:sz w:val="20"/>
          <w:szCs w:val="20"/>
          <w:lang w:val="fr-BE"/>
        </w:rPr>
        <w:t xml:space="preserve"> </w:t>
      </w:r>
      <w:proofErr w:type="spellStart"/>
      <w:r w:rsidRPr="00C95E6B">
        <w:rPr>
          <w:sz w:val="20"/>
          <w:szCs w:val="20"/>
          <w:lang w:val="fr-BE"/>
        </w:rPr>
        <w:t>o.m</w:t>
      </w:r>
      <w:proofErr w:type="spellEnd"/>
      <w:r w:rsidRPr="00C95E6B">
        <w:rPr>
          <w:sz w:val="20"/>
          <w:szCs w:val="20"/>
          <w:lang w:val="fr-BE"/>
        </w:rPr>
        <w:t xml:space="preserve">. resolutie van 27 april 2016 ‘sur l’Accord économique et commercial global (AEGC)’, </w:t>
      </w:r>
      <w:r w:rsidRPr="00C95E6B">
        <w:rPr>
          <w:i/>
          <w:sz w:val="20"/>
          <w:szCs w:val="20"/>
          <w:lang w:val="fr-BE"/>
        </w:rPr>
        <w:t xml:space="preserve">Parl.St. </w:t>
      </w:r>
      <w:r w:rsidRPr="00C95E6B">
        <w:rPr>
          <w:sz w:val="20"/>
          <w:szCs w:val="20"/>
          <w:lang w:val="fr-BE"/>
        </w:rPr>
        <w:t xml:space="preserve">W.Parl. 2015-16, nr. 212/5; motie van 14 oktober 2016 ‘déposée en conclusion du débat sur les projets de Traité CETA et de la Déclaration interprétative du traité’, </w:t>
      </w:r>
      <w:r w:rsidRPr="00C95E6B">
        <w:rPr>
          <w:i/>
          <w:sz w:val="20"/>
          <w:szCs w:val="20"/>
          <w:lang w:val="fr-BE"/>
        </w:rPr>
        <w:t xml:space="preserve">Parl.St. </w:t>
      </w:r>
      <w:r w:rsidRPr="00C95E6B">
        <w:rPr>
          <w:sz w:val="20"/>
          <w:szCs w:val="20"/>
          <w:lang w:val="fr-BE"/>
        </w:rPr>
        <w:t xml:space="preserve">W.Parl., 2016-17, nr. 606/2; motie van 28 oktober 2016 ‘déposée en conclusion du débat sur l’Accord économique et commercial global (AEGC-CETA)’, </w:t>
      </w:r>
      <w:r w:rsidRPr="00C95E6B">
        <w:rPr>
          <w:i/>
          <w:sz w:val="20"/>
          <w:szCs w:val="20"/>
          <w:lang w:val="fr-BE"/>
        </w:rPr>
        <w:t xml:space="preserve">Parl.St. </w:t>
      </w:r>
      <w:r w:rsidRPr="00C95E6B">
        <w:rPr>
          <w:sz w:val="20"/>
          <w:szCs w:val="20"/>
          <w:lang w:val="fr-BE"/>
        </w:rPr>
        <w:t xml:space="preserve">W.Parl., 2016-17, nr. 633/3; resolutie van 3 april 2019 ‘relative à la transparence en matière de coopération réglementaire dans le traité de libre-échange entre l’Union européenne et le Canada (Accord Economique et Commercial Global (AECG/CETA), prévue par la Déclaration du Royaume de Belgique relative aux conditions de pleins pouvoirs par l’Etat fédéral et les Entités fédérées pour la signature du CETA’, </w:t>
      </w:r>
      <w:r w:rsidRPr="00C95E6B">
        <w:rPr>
          <w:i/>
          <w:sz w:val="20"/>
          <w:szCs w:val="20"/>
          <w:lang w:val="fr-BE"/>
        </w:rPr>
        <w:t xml:space="preserve">Parl.St. </w:t>
      </w:r>
      <w:r w:rsidRPr="00C95E6B">
        <w:rPr>
          <w:sz w:val="20"/>
          <w:szCs w:val="20"/>
          <w:lang w:val="fr-BE"/>
        </w:rPr>
        <w:t xml:space="preserve">W.Parl., 2018-19, nr. 1282/4). </w:t>
      </w:r>
    </w:p>
    <w:p w14:paraId="375AFC8E" w14:textId="77777777" w:rsidR="00AB5378" w:rsidRDefault="00AB5378">
      <w:pPr>
        <w:jc w:val="both"/>
        <w:rPr>
          <w:sz w:val="20"/>
          <w:szCs w:val="20"/>
          <w:lang w:val="nl-BE"/>
        </w:rPr>
      </w:pPr>
      <w:r w:rsidRPr="00C95E6B">
        <w:rPr>
          <w:sz w:val="20"/>
          <w:szCs w:val="20"/>
          <w:lang w:val="nl-BE"/>
        </w:rPr>
        <w:t xml:space="preserve">Zie ook: de motie van het Waals Parlement aan de Waalse Regering om in de huidige stand geen machtiging tot ondertekening te verlenen van het Associatieakkoord EU-Mercosur en om aan het parlement een impactanalyse over te maken van de potentiële impact van het akkoord op de Waalse economie waaronder de landbouw, op de globale uitstoot van broeikasgassen, en op de naleving van de mensenrechten, van de sociale rechten en van de sanitaire normen en de leefmilieunormen in de landen van de Mercosur (motie van 5 februari 2020 ‘déposée en conclusion de l’interpellation de Monsieur Luperto à Monsieur Di Rupo, Ministre-Président du Gouvernement wallon, sur “le traité entre l’Union européenne et le Mercosur”’, </w:t>
      </w:r>
      <w:r w:rsidRPr="00C95E6B">
        <w:rPr>
          <w:i/>
          <w:sz w:val="20"/>
          <w:szCs w:val="20"/>
          <w:lang w:val="nl-BE"/>
        </w:rPr>
        <w:t xml:space="preserve">Parl.St. </w:t>
      </w:r>
      <w:r w:rsidRPr="00C95E6B">
        <w:rPr>
          <w:sz w:val="20"/>
          <w:szCs w:val="20"/>
          <w:lang w:val="nl-BE"/>
        </w:rPr>
        <w:t>W.Parl.,</w:t>
      </w:r>
      <w:r w:rsidRPr="00C95E6B">
        <w:rPr>
          <w:i/>
          <w:sz w:val="20"/>
          <w:szCs w:val="20"/>
          <w:lang w:val="nl-BE"/>
        </w:rPr>
        <w:t xml:space="preserve"> </w:t>
      </w:r>
      <w:r w:rsidRPr="00C95E6B">
        <w:rPr>
          <w:sz w:val="20"/>
          <w:szCs w:val="20"/>
          <w:lang w:val="nl-BE"/>
        </w:rPr>
        <w:t xml:space="preserve">2019-20, nr. 102/4). </w:t>
      </w:r>
    </w:p>
  </w:footnote>
  <w:footnote w:id="53">
    <w:p w14:paraId="3897B5D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 xml:space="preserve">Infra </w:t>
      </w:r>
      <w:r w:rsidRPr="00B2070B">
        <w:t>hoofdstuk IV</w:t>
      </w:r>
      <w:r w:rsidRPr="00C95E6B">
        <w:rPr>
          <w:rFonts w:cs="Times New Roman"/>
        </w:rPr>
        <w:t>.</w:t>
      </w:r>
    </w:p>
  </w:footnote>
  <w:footnote w:id="54">
    <w:p w14:paraId="2F26F1C9" w14:textId="1016FB3D" w:rsidR="00AB5378" w:rsidRDefault="00AB5378">
      <w:pPr>
        <w:pStyle w:val="Normaalweb"/>
        <w:spacing w:beforeLines="0" w:afterLines="0"/>
        <w:rPr>
          <w:rFonts w:ascii="Times New Roman" w:hAnsi="Times New Roman"/>
          <w:lang w:val="nl-BE"/>
        </w:rPr>
      </w:pPr>
      <w:r w:rsidRPr="00C95E6B">
        <w:rPr>
          <w:rStyle w:val="Voetnootmarkering"/>
          <w:rFonts w:ascii="Times New Roman" w:hAnsi="Times New Roman"/>
        </w:rPr>
        <w:footnoteRef/>
      </w:r>
      <w:r w:rsidRPr="00C95E6B">
        <w:rPr>
          <w:rFonts w:ascii="Times New Roman" w:hAnsi="Times New Roman"/>
          <w:lang w:val="nl-BE"/>
        </w:rPr>
        <w:t xml:space="preserve"> N. Bernard en S. Vandenbosch stellen een ruimere informatieplicht voor van de uitvoerende macht aan het parlement in het voeren van de buitenlandse betrekkingen. Ze stellen tevens voor om parlementsleden op te nemen in de Belgische delegatie (N. </w:t>
      </w:r>
      <w:r w:rsidRPr="00C95E6B">
        <w:rPr>
          <w:rFonts w:ascii="Times New Roman" w:hAnsi="Times New Roman"/>
          <w:smallCaps/>
          <w:lang w:val="nl-BE"/>
        </w:rPr>
        <w:t>Bernard</w:t>
      </w:r>
      <w:r w:rsidRPr="00C95E6B">
        <w:rPr>
          <w:rFonts w:ascii="Times New Roman" w:hAnsi="Times New Roman"/>
          <w:lang w:val="nl-BE"/>
        </w:rPr>
        <w:t xml:space="preserve"> en S. </w:t>
      </w:r>
      <w:r w:rsidRPr="00C95E6B">
        <w:rPr>
          <w:rFonts w:ascii="Times New Roman" w:hAnsi="Times New Roman"/>
          <w:smallCaps/>
          <w:lang w:val="nl-BE"/>
        </w:rPr>
        <w:t>Vandenbosch</w:t>
      </w:r>
      <w:r w:rsidRPr="00C95E6B">
        <w:rPr>
          <w:rFonts w:ascii="Times New Roman" w:hAnsi="Times New Roman"/>
          <w:lang w:val="nl-BE"/>
        </w:rPr>
        <w:t xml:space="preserve">, “Quelques propositions pour une remise au goût du jour de l’article 167 de la Constitution”, </w:t>
      </w:r>
      <w:r w:rsidRPr="00B2070B">
        <w:rPr>
          <w:rFonts w:ascii="Times New Roman" w:hAnsi="Times New Roman"/>
          <w:lang w:val="nl-BE"/>
        </w:rPr>
        <w:t xml:space="preserve">te verschijnen in </w:t>
      </w:r>
      <w:r w:rsidRPr="00B2070B">
        <w:rPr>
          <w:rFonts w:ascii="Times New Roman" w:hAnsi="Times New Roman"/>
          <w:i/>
          <w:lang w:val="nl-BE"/>
        </w:rPr>
        <w:t>CDPK</w:t>
      </w:r>
      <w:r w:rsidRPr="00C95E6B">
        <w:rPr>
          <w:rFonts w:ascii="Times New Roman" w:hAnsi="Times New Roman"/>
          <w:i/>
          <w:iCs/>
          <w:lang w:val="nl-BE"/>
        </w:rPr>
        <w:t xml:space="preserve"> </w:t>
      </w:r>
      <w:r w:rsidRPr="00B2070B">
        <w:rPr>
          <w:rFonts w:ascii="Times New Roman" w:hAnsi="Times New Roman"/>
          <w:lang w:val="nl-BE"/>
        </w:rPr>
        <w:t>2020</w:t>
      </w:r>
      <w:r w:rsidRPr="00C95E6B">
        <w:rPr>
          <w:rFonts w:ascii="Times New Roman" w:hAnsi="Times New Roman"/>
          <w:lang w:val="nl-BE"/>
        </w:rPr>
        <w:t xml:space="preserve"> </w:t>
      </w:r>
      <w:r w:rsidRPr="00B2070B">
        <w:rPr>
          <w:rFonts w:ascii="Times New Roman" w:hAnsi="Times New Roman"/>
          <w:lang w:val="nl-BE"/>
        </w:rPr>
        <w:t xml:space="preserve">(p.7 </w:t>
      </w:r>
      <w:proofErr w:type="spellStart"/>
      <w:r w:rsidRPr="00B2070B">
        <w:rPr>
          <w:rFonts w:ascii="Times New Roman" w:hAnsi="Times New Roman"/>
          <w:lang w:val="nl-BE"/>
        </w:rPr>
        <w:t>e.v</w:t>
      </w:r>
      <w:proofErr w:type="spellEnd"/>
      <w:r w:rsidRPr="00B2070B">
        <w:rPr>
          <w:rFonts w:ascii="Times New Roman" w:hAnsi="Times New Roman"/>
          <w:lang w:val="nl-BE"/>
        </w:rPr>
        <w:t>, titel II.1.1</w:t>
      </w:r>
      <w:r w:rsidRPr="00C95E6B">
        <w:rPr>
          <w:rFonts w:ascii="Times New Roman" w:hAnsi="Times New Roman"/>
          <w:lang w:val="nl-BE"/>
        </w:rPr>
        <w:t>)</w:t>
      </w:r>
      <w:r w:rsidR="00045B7D">
        <w:rPr>
          <w:rFonts w:ascii="Times New Roman" w:hAnsi="Times New Roman"/>
          <w:lang w:val="nl-BE"/>
        </w:rPr>
        <w:t>)</w:t>
      </w:r>
      <w:r w:rsidRPr="00C95E6B">
        <w:rPr>
          <w:rFonts w:ascii="Times New Roman" w:hAnsi="Times New Roman"/>
          <w:lang w:val="nl-BE"/>
        </w:rPr>
        <w:t xml:space="preserve">. </w:t>
      </w:r>
    </w:p>
    <w:p w14:paraId="6EDADD70" w14:textId="0ECB67B8" w:rsidR="00AB5378" w:rsidRPr="00B2070B" w:rsidRDefault="00AB5378" w:rsidP="00B2070B">
      <w:pPr>
        <w:pStyle w:val="Kop1"/>
        <w:spacing w:before="0"/>
        <w:jc w:val="both"/>
        <w:rPr>
          <w:lang w:val="nl-BE"/>
        </w:rPr>
      </w:pPr>
      <w:r w:rsidRPr="00C95E6B">
        <w:rPr>
          <w:rFonts w:ascii="Times New Roman" w:eastAsiaTheme="minorHAnsi" w:hAnsi="Times New Roman" w:cs="Times New Roman"/>
          <w:color w:val="auto"/>
          <w:sz w:val="20"/>
          <w:szCs w:val="20"/>
          <w:lang w:val="nl-BE"/>
        </w:rPr>
        <w:t xml:space="preserve">Veel van deze instrumenten worden thans al toegepast, maar zeker nog niet altijd op een systematische of horizontale wijze. Hierbij wordt sterk gefocust op het EU-niveau, wat niet onlogisch is rekening houdend met de grote impact van de EU op het nationaal niveau, maar ook omdat nagenoeg alle internationale onderhandelingen sowieso eerst op EU-niveau worden voorbereid (D. </w:t>
      </w:r>
      <w:r w:rsidRPr="00C95E6B">
        <w:rPr>
          <w:rFonts w:ascii="Times New Roman" w:eastAsiaTheme="minorHAnsi" w:hAnsi="Times New Roman" w:cs="Times New Roman"/>
          <w:smallCaps/>
          <w:color w:val="auto"/>
          <w:sz w:val="20"/>
          <w:szCs w:val="20"/>
          <w:lang w:val="nl-BE"/>
        </w:rPr>
        <w:t>Van Eeckhoutte</w:t>
      </w:r>
      <w:r w:rsidRPr="00C95E6B">
        <w:rPr>
          <w:rFonts w:ascii="Times New Roman" w:eastAsiaTheme="minorHAnsi" w:hAnsi="Times New Roman" w:cs="Times New Roman"/>
          <w:color w:val="auto"/>
          <w:sz w:val="20"/>
          <w:szCs w:val="20"/>
          <w:lang w:val="nl-BE"/>
        </w:rPr>
        <w:t xml:space="preserve"> en T. </w:t>
      </w:r>
      <w:r w:rsidRPr="00C95E6B">
        <w:rPr>
          <w:rFonts w:ascii="Times New Roman" w:eastAsiaTheme="minorHAnsi" w:hAnsi="Times New Roman" w:cs="Times New Roman"/>
          <w:smallCaps/>
          <w:color w:val="auto"/>
          <w:sz w:val="20"/>
          <w:szCs w:val="20"/>
          <w:lang w:val="nl-BE"/>
        </w:rPr>
        <w:t>Corthaut</w:t>
      </w:r>
      <w:r w:rsidRPr="00C95E6B">
        <w:rPr>
          <w:rFonts w:ascii="Times New Roman" w:eastAsiaTheme="minorHAnsi" w:hAnsi="Times New Roman" w:cs="Times New Roman"/>
          <w:color w:val="auto"/>
          <w:sz w:val="20"/>
          <w:szCs w:val="20"/>
          <w:lang w:val="nl-BE"/>
        </w:rPr>
        <w:t xml:space="preserve">, “The participation of the EU and its Member States in Multilateral Environmental Negotiations post Lisbon”, </w:t>
      </w:r>
      <w:r w:rsidRPr="00C95E6B">
        <w:rPr>
          <w:rFonts w:ascii="Times New Roman" w:eastAsiaTheme="minorHAnsi" w:hAnsi="Times New Roman" w:cs="Times New Roman"/>
          <w:i/>
          <w:iCs/>
          <w:color w:val="auto"/>
          <w:sz w:val="20"/>
          <w:szCs w:val="20"/>
          <w:lang w:val="nl-BE"/>
        </w:rPr>
        <w:t>YEL</w:t>
      </w:r>
      <w:r w:rsidRPr="00C95E6B">
        <w:rPr>
          <w:rFonts w:ascii="Times New Roman" w:eastAsiaTheme="minorHAnsi" w:hAnsi="Times New Roman" w:cs="Times New Roman"/>
          <w:color w:val="auto"/>
          <w:sz w:val="20"/>
          <w:szCs w:val="20"/>
          <w:lang w:val="nl-BE"/>
        </w:rPr>
        <w:t xml:space="preserve"> 2017, (749), 768, 769 en 809; D. </w:t>
      </w:r>
      <w:r w:rsidRPr="00C95E6B">
        <w:rPr>
          <w:rFonts w:ascii="Times New Roman" w:eastAsiaTheme="minorHAnsi" w:hAnsi="Times New Roman" w:cs="Times New Roman"/>
          <w:smallCaps/>
          <w:color w:val="auto"/>
          <w:sz w:val="20"/>
          <w:szCs w:val="20"/>
          <w:lang w:val="nl-BE"/>
        </w:rPr>
        <w:t>Van Eeckhoutte</w:t>
      </w:r>
      <w:r w:rsidRPr="00C95E6B">
        <w:rPr>
          <w:rFonts w:ascii="Times New Roman" w:eastAsiaTheme="minorHAnsi" w:hAnsi="Times New Roman" w:cs="Times New Roman"/>
          <w:color w:val="auto"/>
          <w:sz w:val="20"/>
          <w:szCs w:val="20"/>
          <w:lang w:val="nl-BE"/>
        </w:rPr>
        <w:t xml:space="preserve">, “De </w:t>
      </w:r>
      <w:r w:rsidRPr="0098037E">
        <w:rPr>
          <w:rFonts w:ascii="Times New Roman" w:eastAsiaTheme="minorHAnsi" w:hAnsi="Times New Roman" w:cs="Times New Roman"/>
          <w:color w:val="auto"/>
          <w:sz w:val="20"/>
          <w:szCs w:val="20"/>
          <w:lang w:val="nl-BE"/>
        </w:rPr>
        <w:t xml:space="preserve">Belgische interfederale standpuntbepaling inzake buitenlandse betrekkingen en de besluitvorming in de federale Ministerraad” </w:t>
      </w:r>
      <w:r w:rsidRPr="00B2070B">
        <w:rPr>
          <w:rFonts w:ascii="Times New Roman" w:hAnsi="Times New Roman" w:cs="Times New Roman"/>
          <w:i/>
          <w:color w:val="auto"/>
          <w:sz w:val="20"/>
          <w:lang w:val="nl-BE"/>
        </w:rPr>
        <w:t>te verschijnen in</w:t>
      </w:r>
      <w:r w:rsidRPr="00B2070B">
        <w:rPr>
          <w:rFonts w:ascii="Times New Roman" w:hAnsi="Times New Roman" w:cs="Times New Roman"/>
          <w:color w:val="auto"/>
          <w:sz w:val="20"/>
          <w:lang w:val="nl-BE"/>
        </w:rPr>
        <w:t xml:space="preserve"> E. </w:t>
      </w:r>
      <w:r w:rsidRPr="00B2070B">
        <w:rPr>
          <w:rFonts w:ascii="Times New Roman" w:hAnsi="Times New Roman" w:cs="Times New Roman"/>
          <w:smallCaps/>
          <w:color w:val="auto"/>
          <w:sz w:val="20"/>
          <w:lang w:val="nl-BE"/>
        </w:rPr>
        <w:t>Desmet</w:t>
      </w:r>
      <w:r w:rsidRPr="00B2070B">
        <w:rPr>
          <w:rFonts w:ascii="Times New Roman" w:hAnsi="Times New Roman" w:cs="Times New Roman"/>
          <w:color w:val="auto"/>
          <w:sz w:val="20"/>
          <w:lang w:val="nl-BE"/>
        </w:rPr>
        <w:t xml:space="preserve">, T. </w:t>
      </w:r>
      <w:r w:rsidRPr="00B2070B">
        <w:rPr>
          <w:rFonts w:ascii="Times New Roman" w:hAnsi="Times New Roman" w:cs="Times New Roman"/>
          <w:smallCaps/>
          <w:color w:val="auto"/>
          <w:sz w:val="20"/>
          <w:lang w:val="nl-BE"/>
        </w:rPr>
        <w:t>Moonen</w:t>
      </w:r>
      <w:r w:rsidRPr="00B2070B">
        <w:rPr>
          <w:rFonts w:ascii="Times New Roman" w:hAnsi="Times New Roman" w:cs="Times New Roman"/>
          <w:color w:val="auto"/>
          <w:sz w:val="20"/>
          <w:lang w:val="nl-BE"/>
        </w:rPr>
        <w:t xml:space="preserve"> en T. </w:t>
      </w:r>
      <w:r w:rsidRPr="00B2070B">
        <w:rPr>
          <w:rFonts w:ascii="Times New Roman" w:hAnsi="Times New Roman" w:cs="Times New Roman"/>
          <w:smallCaps/>
          <w:color w:val="auto"/>
          <w:sz w:val="20"/>
          <w:lang w:val="nl-BE"/>
        </w:rPr>
        <w:t>Ruys</w:t>
      </w:r>
      <w:r w:rsidRPr="00B2070B">
        <w:rPr>
          <w:rFonts w:ascii="Times New Roman" w:hAnsi="Times New Roman" w:cs="Times New Roman"/>
          <w:color w:val="auto"/>
          <w:sz w:val="20"/>
          <w:lang w:val="nl-BE"/>
        </w:rPr>
        <w:t xml:space="preserve"> (eds.), </w:t>
      </w:r>
      <w:r w:rsidRPr="00B2070B">
        <w:rPr>
          <w:rFonts w:ascii="Times New Roman" w:hAnsi="Times New Roman" w:cs="Times New Roman"/>
          <w:i/>
          <w:color w:val="auto"/>
          <w:sz w:val="20"/>
          <w:lang w:val="nl-BE"/>
        </w:rPr>
        <w:t>Het Migratiepact: kroniek van een crisis</w:t>
      </w:r>
      <w:r w:rsidRPr="00B2070B">
        <w:rPr>
          <w:rFonts w:ascii="Times New Roman" w:hAnsi="Times New Roman" w:cs="Times New Roman"/>
          <w:color w:val="auto"/>
          <w:sz w:val="20"/>
          <w:lang w:val="nl-BE"/>
        </w:rPr>
        <w:t>, Brugge, die Keure, 2020, …, nr. 15</w:t>
      </w:r>
      <w:r w:rsidRPr="0098037E">
        <w:rPr>
          <w:rFonts w:ascii="Times New Roman" w:eastAsiaTheme="minorHAnsi" w:hAnsi="Times New Roman" w:cs="Times New Roman"/>
          <w:color w:val="auto"/>
          <w:sz w:val="20"/>
          <w:szCs w:val="20"/>
          <w:lang w:val="nl-BE"/>
        </w:rPr>
        <w:t>). Zo vinden in sommige commissies van het Vlaamse Parlement systematisch hoorzittingen (doorgaans zesmaandelijks</w:t>
      </w:r>
      <w:r w:rsidRPr="00C95E6B">
        <w:rPr>
          <w:rFonts w:ascii="Times New Roman" w:eastAsiaTheme="minorHAnsi" w:hAnsi="Times New Roman" w:cs="Times New Roman"/>
          <w:color w:val="auto"/>
          <w:sz w:val="20"/>
          <w:szCs w:val="20"/>
          <w:lang w:val="nl-BE"/>
        </w:rPr>
        <w:t xml:space="preserve"> naar aanleiding van het programma van het inkomende voorzitterschap van de Raad van Ministers of naar aanleiding van de Europese semester), gedachtenwisselingen en debriefings plaats (doorgaans naar aanleiding van een Europese Ministerraad). Ook nemen soms parlementsleden als waarnemers deel aan belangrijke internationale onderhandelingssessies (bv. aan de internationale klimaattoppen). </w:t>
      </w:r>
      <w:bookmarkStart w:id="2" w:name="politiek"/>
      <w:r w:rsidRPr="00C95E6B">
        <w:rPr>
          <w:rFonts w:ascii="Times New Roman" w:eastAsiaTheme="minorHAnsi" w:hAnsi="Times New Roman" w:cs="Times New Roman"/>
          <w:color w:val="auto"/>
          <w:sz w:val="20"/>
          <w:szCs w:val="20"/>
          <w:lang w:val="nl-BE"/>
        </w:rPr>
        <w:t xml:space="preserve">In het Vlaams Parlement beschikt men tevens over een databank dat dagelijks gevoed wordt met documenten van de Europese Commissie, zodat de parlementsleden en fracties beter in staat zijn </w:t>
      </w:r>
      <w:r w:rsidRPr="00EB5D18">
        <w:rPr>
          <w:rFonts w:ascii="Times New Roman" w:eastAsiaTheme="minorHAnsi" w:hAnsi="Times New Roman" w:cs="Times New Roman"/>
          <w:color w:val="auto"/>
          <w:sz w:val="20"/>
          <w:szCs w:val="20"/>
          <w:lang w:val="nl-BE"/>
        </w:rPr>
        <w:t>om Europa op te volgen. De Vlaamse vertegenwoordiger bij de Europese Unie bezorgt het Vlaamse Parlement tevens maandelijks een rapportering “Mededeling over de belangrijkste ontwikkelingen in de EU” die een zeer uitgebreide</w:t>
      </w:r>
      <w:r w:rsidRPr="00EB5D18">
        <w:rPr>
          <w:rFonts w:ascii="Times New Roman" w:eastAsia="Times New Roman" w:hAnsi="Times New Roman" w:cs="Times New Roman"/>
          <w:color w:val="000000"/>
          <w:sz w:val="20"/>
          <w:szCs w:val="20"/>
          <w:shd w:val="clear" w:color="auto" w:fill="FFFFFF"/>
          <w:lang w:val="nl-BE" w:eastAsia="en-GB"/>
        </w:rPr>
        <w:t xml:space="preserve"> stand van zaken </w:t>
      </w:r>
      <w:r w:rsidRPr="00B2070B">
        <w:rPr>
          <w:rFonts w:ascii="Times New Roman" w:eastAsia="Times New Roman" w:hAnsi="Times New Roman" w:cs="Times New Roman"/>
          <w:color w:val="000000"/>
          <w:sz w:val="20"/>
          <w:szCs w:val="20"/>
          <w:shd w:val="clear" w:color="auto" w:fill="FFFFFF"/>
          <w:lang w:val="nl-BE" w:eastAsia="en-GB"/>
        </w:rPr>
        <w:t>geeft over nieuwe voorstellen van richtlijn en aangenomen richtlijnen tijdens de afgelopen maand, evenals een stand van zaken van omzettings- en inbreukdossiers (zie</w:t>
      </w:r>
      <w:r w:rsidRPr="00B2070B">
        <w:rPr>
          <w:rFonts w:ascii="Times New Roman" w:hAnsi="Times New Roman" w:cs="Times New Roman"/>
          <w:color w:val="000000"/>
          <w:sz w:val="20"/>
          <w:szCs w:val="20"/>
          <w:shd w:val="clear" w:color="auto" w:fill="FFFFFF"/>
          <w:lang w:val="nl-BE"/>
        </w:rPr>
        <w:t xml:space="preserve"> o.m.</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eastAsia="Times New Roman" w:hAnsi="Times New Roman" w:cs="Times New Roman"/>
          <w:smallCaps/>
          <w:color w:val="000000"/>
          <w:sz w:val="20"/>
          <w:szCs w:val="20"/>
          <w:shd w:val="clear" w:color="auto" w:fill="FFFFFF"/>
          <w:lang w:val="nl-BE" w:eastAsia="en-GB"/>
        </w:rPr>
        <w:t>Vlaams Parlement</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eastAsia="Times New Roman" w:hAnsi="Times New Roman" w:cs="Times New Roman"/>
          <w:i/>
          <w:iCs/>
          <w:color w:val="000000"/>
          <w:sz w:val="20"/>
          <w:szCs w:val="20"/>
          <w:shd w:val="clear" w:color="auto" w:fill="FFFFFF"/>
          <w:lang w:val="nl-BE" w:eastAsia="en-GB"/>
        </w:rPr>
        <w:t>Legislatuurverslag 2014-2019</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eastAsia="Times New Roman" w:hAnsi="Times New Roman" w:cs="Times New Roman"/>
          <w:i/>
          <w:iCs/>
          <w:color w:val="000000"/>
          <w:sz w:val="20"/>
          <w:szCs w:val="20"/>
          <w:shd w:val="clear" w:color="auto" w:fill="FFFFFF"/>
          <w:lang w:val="nl-BE" w:eastAsia="en-GB"/>
        </w:rPr>
        <w:t>Jaarverslag 2017-2018</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eastAsia="Times New Roman" w:hAnsi="Times New Roman" w:cs="Times New Roman"/>
          <w:i/>
          <w:iCs/>
          <w:color w:val="000000"/>
          <w:sz w:val="20"/>
          <w:szCs w:val="20"/>
          <w:shd w:val="clear" w:color="auto" w:fill="FFFFFF"/>
          <w:lang w:val="nl-BE" w:eastAsia="en-GB"/>
        </w:rPr>
        <w:t>Jaarverslag 2016-2017</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eastAsia="Times New Roman" w:hAnsi="Times New Roman" w:cs="Times New Roman"/>
          <w:i/>
          <w:iCs/>
          <w:color w:val="000000"/>
          <w:sz w:val="20"/>
          <w:szCs w:val="20"/>
          <w:shd w:val="clear" w:color="auto" w:fill="FFFFFF"/>
          <w:lang w:val="nl-BE" w:eastAsia="en-GB"/>
        </w:rPr>
        <w:t>Jaarverslag 2015-2016</w:t>
      </w:r>
      <w:r w:rsidRPr="00B2070B">
        <w:rPr>
          <w:rFonts w:ascii="Times New Roman" w:eastAsia="Times New Roman" w:hAnsi="Times New Roman" w:cs="Times New Roman"/>
          <w:color w:val="000000"/>
          <w:sz w:val="20"/>
          <w:szCs w:val="20"/>
          <w:shd w:val="clear" w:color="auto" w:fill="FFFFFF"/>
          <w:lang w:val="nl-BE" w:eastAsia="en-GB"/>
        </w:rPr>
        <w:t xml:space="preserve">, </w:t>
      </w:r>
      <w:r w:rsidRPr="00B2070B">
        <w:rPr>
          <w:rFonts w:ascii="Times New Roman" w:hAnsi="Times New Roman" w:cs="Times New Roman"/>
          <w:i/>
          <w:iCs/>
          <w:color w:val="000000"/>
          <w:sz w:val="20"/>
          <w:szCs w:val="20"/>
          <w:shd w:val="clear" w:color="auto" w:fill="FFFFFF"/>
          <w:lang w:val="nl-BE"/>
        </w:rPr>
        <w:t>Jaarverslag 2014-15</w:t>
      </w:r>
      <w:r w:rsidRPr="00B2070B">
        <w:rPr>
          <w:rFonts w:ascii="Times New Roman" w:hAnsi="Times New Roman" w:cs="Times New Roman"/>
          <w:color w:val="000000"/>
          <w:sz w:val="20"/>
          <w:szCs w:val="20"/>
          <w:shd w:val="clear" w:color="auto" w:fill="FFFFFF"/>
          <w:lang w:val="nl-BE"/>
        </w:rPr>
        <w:t xml:space="preserve">, </w:t>
      </w:r>
      <w:hyperlink r:id="rId6" w:history="1">
        <w:r w:rsidRPr="00B2070B">
          <w:rPr>
            <w:rStyle w:val="Hyperlink"/>
            <w:rFonts w:ascii="Times New Roman" w:hAnsi="Times New Roman" w:cs="Times New Roman"/>
            <w:sz w:val="20"/>
            <w:szCs w:val="20"/>
            <w:lang w:val="nl-BE"/>
          </w:rPr>
          <w:t>https://www.vlaamsparlement.be/over-het-vlaams-parlement/statistieken-en-jaarverslagen</w:t>
        </w:r>
      </w:hyperlink>
      <w:r w:rsidRPr="00B2070B">
        <w:rPr>
          <w:rFonts w:ascii="Times New Roman" w:hAnsi="Times New Roman" w:cs="Times New Roman"/>
          <w:sz w:val="20"/>
          <w:szCs w:val="20"/>
          <w:lang w:val="nl-BE"/>
        </w:rPr>
        <w:t xml:space="preserve"> </w:t>
      </w:r>
      <w:r w:rsidRPr="00B2070B">
        <w:rPr>
          <w:rFonts w:ascii="Times New Roman" w:hAnsi="Times New Roman" w:cs="Times New Roman"/>
          <w:color w:val="000000" w:themeColor="text1"/>
          <w:sz w:val="20"/>
          <w:szCs w:val="20"/>
          <w:lang w:val="nl-BE"/>
        </w:rPr>
        <w:t>&gt; Beleidsplan van de Voorzitter, ‘</w:t>
      </w:r>
      <w:r w:rsidRPr="00B2070B">
        <w:rPr>
          <w:rFonts w:ascii="Times New Roman" w:hAnsi="Times New Roman" w:cs="Times New Roman"/>
          <w:color w:val="000000" w:themeColor="text1"/>
          <w:sz w:val="20"/>
          <w:szCs w:val="20"/>
          <w:shd w:val="clear" w:color="auto" w:fill="FFFFFF"/>
          <w:lang w:val="nl-BE"/>
        </w:rPr>
        <w:t>Plenum 2.0 2014-2019 – Ons Vlaams parlement in actie’)</w:t>
      </w:r>
      <w:r w:rsidRPr="00EB5D18">
        <w:rPr>
          <w:rFonts w:ascii="Times New Roman" w:hAnsi="Times New Roman" w:cs="Times New Roman"/>
          <w:color w:val="000000"/>
          <w:sz w:val="20"/>
          <w:szCs w:val="20"/>
          <w:shd w:val="clear" w:color="auto" w:fill="FFFFFF"/>
          <w:lang w:val="nl-BE"/>
        </w:rPr>
        <w:t>.</w:t>
      </w:r>
      <w:bookmarkEnd w:id="2"/>
    </w:p>
  </w:footnote>
  <w:footnote w:id="55">
    <w:p w14:paraId="5D6DF90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ook: </w:t>
      </w:r>
      <w:r w:rsidRPr="00C95E6B">
        <w:rPr>
          <w:rFonts w:cs="Times New Roman"/>
          <w:lang w:val="nl-NL"/>
        </w:rPr>
        <w:t xml:space="preserve">adv.RvS 48.754/AV en 48.755/AV van 15 december 2010, nr. 4. </w:t>
      </w:r>
    </w:p>
  </w:footnote>
  <w:footnote w:id="56">
    <w:p w14:paraId="5EF6D48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Naast een aantal voorbehouden bevoegdheden beschikken de Belgische wetgevers op normatief vlak over een ruime, residuaire bevoegdheid. In</w:t>
      </w:r>
      <w:r w:rsidRPr="00C95E6B">
        <w:rPr>
          <w:rFonts w:eastAsia="Times New Roman" w:cs="Times New Roman"/>
          <w:lang w:eastAsia="en-GB"/>
        </w:rPr>
        <w:t xml:space="preserve"> wetgevingsprocedure beschikken ze in beginsel ook over een initatief- en amenderingsrecht (bv. artikelen 75, eerste lid, 76, eerste en tweede lid, Grondwet; artikelen 38 en 39, BWHI). </w:t>
      </w:r>
    </w:p>
  </w:footnote>
  <w:footnote w:id="57">
    <w:p w14:paraId="3E43790F"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lang w:val="nl-NL"/>
        </w:rPr>
        <w:t xml:space="preserve"> De eerste toepassingsgevallen van gezamenlijke decreten lijken alvast de toepasbaarheid en effectiviteit van de versterkte parlementaire procedures te bevestigen, en weerleggen op dit punt de aanvankelijke scepsis in de rechtsleer (</w:t>
      </w:r>
      <w:r w:rsidRPr="00C95E6B">
        <w:rPr>
          <w:rFonts w:cs="Times New Roman"/>
        </w:rPr>
        <w:t xml:space="preserve">P. </w:t>
      </w:r>
      <w:r w:rsidRPr="00C95E6B">
        <w:rPr>
          <w:rFonts w:cs="Times New Roman"/>
          <w:smallCaps/>
        </w:rPr>
        <w:t>Caboor</w:t>
      </w:r>
      <w:r w:rsidRPr="00C95E6B">
        <w:rPr>
          <w:rFonts w:cs="Times New Roman"/>
        </w:rPr>
        <w:t xml:space="preserve"> en H. </w:t>
      </w:r>
      <w:r w:rsidRPr="00C95E6B">
        <w:rPr>
          <w:rFonts w:cs="Times New Roman"/>
          <w:smallCaps/>
        </w:rPr>
        <w:t>El Bachiri</w:t>
      </w:r>
      <w:r w:rsidRPr="00C95E6B">
        <w:rPr>
          <w:rFonts w:cs="Times New Roman"/>
        </w:rPr>
        <w:t xml:space="preserve">, “De gezamenlijke decreten en ordonnanties schieten uit de startblokken”, </w:t>
      </w:r>
      <w:r w:rsidRPr="00C95E6B">
        <w:rPr>
          <w:rFonts w:cs="Times New Roman"/>
          <w:i/>
        </w:rPr>
        <w:t>TvW</w:t>
      </w:r>
      <w:r w:rsidRPr="00C95E6B">
        <w:rPr>
          <w:rFonts w:cs="Times New Roman"/>
        </w:rPr>
        <w:t xml:space="preserve"> 2018, 150-154, </w:t>
      </w:r>
      <w:r w:rsidRPr="00C95E6B">
        <w:rPr>
          <w:rFonts w:cs="Times New Roman"/>
          <w:i/>
        </w:rPr>
        <w:t>TvW</w:t>
      </w:r>
      <w:r w:rsidRPr="00C95E6B">
        <w:rPr>
          <w:rFonts w:cs="Times New Roman"/>
        </w:rPr>
        <w:t xml:space="preserve"> 2018, 205-209).</w:t>
      </w:r>
    </w:p>
    <w:p w14:paraId="3D881BA0" w14:textId="63E3422A" w:rsidR="00AB5378" w:rsidRDefault="00AB5378">
      <w:pPr>
        <w:pStyle w:val="Voetnoottekst"/>
        <w:spacing w:after="0"/>
        <w:rPr>
          <w:rFonts w:eastAsia="Times New Roman" w:cs="Times New Roman"/>
          <w:lang w:eastAsia="en-GB"/>
        </w:rPr>
      </w:pPr>
      <w:r w:rsidRPr="00C95E6B">
        <w:rPr>
          <w:rFonts w:cs="Times New Roman"/>
          <w:lang w:val="fr-BE"/>
        </w:rPr>
        <w:t xml:space="preserve">Zie ook : </w:t>
      </w:r>
      <w:r w:rsidRPr="00A87036">
        <w:rPr>
          <w:rFonts w:eastAsia="Times New Roman" w:cs="Times New Roman"/>
          <w:lang w:val="fr-BE" w:eastAsia="en-GB"/>
        </w:rPr>
        <w:t xml:space="preserve">K. </w:t>
      </w:r>
      <w:proofErr w:type="spellStart"/>
      <w:r w:rsidRPr="00A87036">
        <w:rPr>
          <w:rFonts w:eastAsia="Times New Roman" w:cs="Times New Roman"/>
          <w:smallCaps/>
          <w:lang w:val="fr-BE" w:eastAsia="en-GB"/>
        </w:rPr>
        <w:t>Munungu</w:t>
      </w:r>
      <w:proofErr w:type="spellEnd"/>
      <w:r w:rsidRPr="00A87036">
        <w:rPr>
          <w:rFonts w:eastAsia="Times New Roman" w:cs="Times New Roman"/>
          <w:lang w:val="fr-BE" w:eastAsia="en-GB"/>
        </w:rPr>
        <w:t xml:space="preserve"> </w:t>
      </w:r>
      <w:proofErr w:type="spellStart"/>
      <w:r w:rsidRPr="00A87036">
        <w:rPr>
          <w:rFonts w:eastAsia="Times New Roman" w:cs="Times New Roman"/>
          <w:smallCaps/>
          <w:lang w:val="fr-BE" w:eastAsia="en-GB"/>
        </w:rPr>
        <w:t>Lungungu</w:t>
      </w:r>
      <w:proofErr w:type="spellEnd"/>
      <w:r w:rsidRPr="00A87036">
        <w:rPr>
          <w:rFonts w:eastAsia="Times New Roman" w:cs="Times New Roman"/>
          <w:lang w:val="fr-BE" w:eastAsia="en-GB"/>
        </w:rPr>
        <w:t xml:space="preserve"> </w:t>
      </w:r>
      <w:proofErr w:type="spellStart"/>
      <w:r w:rsidR="00045B7D">
        <w:rPr>
          <w:rFonts w:eastAsia="Times New Roman" w:cs="Times New Roman"/>
          <w:lang w:val="fr-BE" w:eastAsia="en-GB"/>
        </w:rPr>
        <w:t>meen</w:t>
      </w:r>
      <w:r w:rsidRPr="00A87036">
        <w:rPr>
          <w:rFonts w:eastAsia="Times New Roman" w:cs="Times New Roman"/>
          <w:lang w:val="fr-BE" w:eastAsia="en-GB"/>
        </w:rPr>
        <w:t>t</w:t>
      </w:r>
      <w:proofErr w:type="spellEnd"/>
      <w:r w:rsidRPr="00A87036">
        <w:rPr>
          <w:rFonts w:eastAsia="Times New Roman" w:cs="Times New Roman"/>
          <w:lang w:val="fr-BE" w:eastAsia="en-GB"/>
        </w:rPr>
        <w:t xml:space="preserve"> </w:t>
      </w:r>
      <w:proofErr w:type="spellStart"/>
      <w:r w:rsidRPr="00A87036">
        <w:rPr>
          <w:rFonts w:eastAsia="Times New Roman" w:cs="Times New Roman"/>
          <w:lang w:val="fr-BE" w:eastAsia="en-GB"/>
        </w:rPr>
        <w:t>dat</w:t>
      </w:r>
      <w:proofErr w:type="spellEnd"/>
      <w:r w:rsidRPr="00A87036">
        <w:rPr>
          <w:rFonts w:eastAsia="Times New Roman" w:cs="Times New Roman"/>
          <w:lang w:val="fr-BE" w:eastAsia="en-GB"/>
        </w:rPr>
        <w:t xml:space="preserve"> </w:t>
      </w:r>
      <w:proofErr w:type="spellStart"/>
      <w:r w:rsidRPr="00A87036">
        <w:rPr>
          <w:rFonts w:eastAsia="Times New Roman" w:cs="Times New Roman"/>
          <w:lang w:val="fr-BE" w:eastAsia="en-GB"/>
        </w:rPr>
        <w:t>hiervoor</w:t>
      </w:r>
      <w:proofErr w:type="spellEnd"/>
      <w:r w:rsidRPr="00A87036">
        <w:rPr>
          <w:rFonts w:eastAsia="Times New Roman" w:cs="Times New Roman"/>
          <w:lang w:val="fr-BE" w:eastAsia="en-GB"/>
        </w:rPr>
        <w:t xml:space="preserve"> </w:t>
      </w:r>
      <w:proofErr w:type="spellStart"/>
      <w:r w:rsidRPr="00A87036">
        <w:rPr>
          <w:rFonts w:eastAsia="Times New Roman" w:cs="Times New Roman"/>
          <w:lang w:val="fr-BE" w:eastAsia="en-GB"/>
        </w:rPr>
        <w:t>een</w:t>
      </w:r>
      <w:proofErr w:type="spellEnd"/>
      <w:r w:rsidRPr="00A87036">
        <w:rPr>
          <w:rFonts w:eastAsia="Times New Roman" w:cs="Times New Roman"/>
          <w:lang w:val="fr-BE" w:eastAsia="en-GB"/>
        </w:rPr>
        <w:t xml:space="preserve"> wijziging van een bijzondere wet aangewezen is (K. </w:t>
      </w:r>
      <w:r w:rsidRPr="00A87036">
        <w:rPr>
          <w:rFonts w:eastAsia="Times New Roman" w:cs="Times New Roman"/>
          <w:smallCaps/>
          <w:lang w:val="fr-BE" w:eastAsia="en-GB"/>
        </w:rPr>
        <w:t>Munungu</w:t>
      </w:r>
      <w:r w:rsidRPr="00A87036">
        <w:rPr>
          <w:rFonts w:eastAsia="Times New Roman" w:cs="Times New Roman"/>
          <w:lang w:val="fr-BE" w:eastAsia="en-GB"/>
        </w:rPr>
        <w:t xml:space="preserve"> </w:t>
      </w:r>
      <w:r w:rsidRPr="00A87036">
        <w:rPr>
          <w:rFonts w:eastAsia="Times New Roman" w:cs="Times New Roman"/>
          <w:smallCaps/>
          <w:lang w:val="fr-BE" w:eastAsia="en-GB"/>
        </w:rPr>
        <w:t>Lungungu</w:t>
      </w:r>
      <w:r w:rsidRPr="00A87036">
        <w:rPr>
          <w:rFonts w:eastAsia="Times New Roman" w:cs="Times New Roman"/>
          <w:lang w:val="fr-BE" w:eastAsia="en-GB"/>
        </w:rPr>
        <w:t xml:space="preserve">, </w:t>
      </w:r>
      <w:r w:rsidRPr="00A87036">
        <w:rPr>
          <w:rFonts w:eastAsia="Times New Roman" w:cs="Times New Roman" w:hint="eastAsia"/>
          <w:lang w:val="fr-BE" w:eastAsia="en-GB"/>
        </w:rPr>
        <w:t>“</w:t>
      </w:r>
      <w:r w:rsidRPr="00A87036">
        <w:rPr>
          <w:rFonts w:eastAsia="Times New Roman" w:cs="Times New Roman"/>
          <w:lang w:val="fr-BE" w:eastAsia="en-GB"/>
        </w:rPr>
        <w:t>Les d</w:t>
      </w:r>
      <w:r w:rsidRPr="00A87036">
        <w:rPr>
          <w:rFonts w:eastAsia="Times New Roman" w:cs="Times New Roman" w:hint="eastAsia"/>
          <w:lang w:val="fr-BE" w:eastAsia="en-GB"/>
        </w:rPr>
        <w:t>é</w:t>
      </w:r>
      <w:r w:rsidRPr="00A87036">
        <w:rPr>
          <w:rFonts w:eastAsia="Times New Roman" w:cs="Times New Roman"/>
          <w:lang w:val="fr-BE" w:eastAsia="en-GB"/>
        </w:rPr>
        <w:t>crets conjoints dans le f</w:t>
      </w:r>
      <w:r w:rsidRPr="00A87036">
        <w:rPr>
          <w:rFonts w:eastAsia="Times New Roman" w:cs="Times New Roman" w:hint="eastAsia"/>
          <w:lang w:val="fr-BE" w:eastAsia="en-GB"/>
        </w:rPr>
        <w:t>é</w:t>
      </w:r>
      <w:r w:rsidRPr="00A87036">
        <w:rPr>
          <w:rFonts w:eastAsia="Times New Roman" w:cs="Times New Roman"/>
          <w:lang w:val="fr-BE" w:eastAsia="en-GB"/>
        </w:rPr>
        <w:t>d</w:t>
      </w:r>
      <w:r w:rsidRPr="00A87036">
        <w:rPr>
          <w:rFonts w:eastAsia="Times New Roman" w:cs="Times New Roman" w:hint="eastAsia"/>
          <w:lang w:val="fr-BE" w:eastAsia="en-GB"/>
        </w:rPr>
        <w:t>é</w:t>
      </w:r>
      <w:r w:rsidRPr="00A87036">
        <w:rPr>
          <w:rFonts w:eastAsia="Times New Roman" w:cs="Times New Roman"/>
          <w:lang w:val="fr-BE" w:eastAsia="en-GB"/>
        </w:rPr>
        <w:t>ralisme coop</w:t>
      </w:r>
      <w:r w:rsidRPr="00A87036">
        <w:rPr>
          <w:rFonts w:eastAsia="Times New Roman" w:cs="Times New Roman" w:hint="eastAsia"/>
          <w:lang w:val="fr-BE" w:eastAsia="en-GB"/>
        </w:rPr>
        <w:t>é</w:t>
      </w:r>
      <w:r w:rsidRPr="00A87036">
        <w:rPr>
          <w:rFonts w:eastAsia="Times New Roman" w:cs="Times New Roman"/>
          <w:lang w:val="fr-BE" w:eastAsia="en-GB"/>
        </w:rPr>
        <w:t>ratif belge: r</w:t>
      </w:r>
      <w:r w:rsidRPr="00A87036">
        <w:rPr>
          <w:rFonts w:eastAsia="Times New Roman" w:cs="Times New Roman" w:hint="eastAsia"/>
          <w:lang w:val="fr-BE" w:eastAsia="en-GB"/>
        </w:rPr>
        <w:t>é</w:t>
      </w:r>
      <w:r w:rsidRPr="00A87036">
        <w:rPr>
          <w:rFonts w:eastAsia="Times New Roman" w:cs="Times New Roman"/>
          <w:lang w:val="fr-BE" w:eastAsia="en-GB"/>
        </w:rPr>
        <w:t>forme symbolique ou revolution a minima?</w:t>
      </w:r>
      <w:r w:rsidRPr="00A87036">
        <w:rPr>
          <w:rFonts w:eastAsia="Times New Roman" w:cs="Times New Roman" w:hint="eastAsia"/>
          <w:lang w:val="fr-BE" w:eastAsia="en-GB"/>
        </w:rPr>
        <w:t>”</w:t>
      </w:r>
      <w:r w:rsidRPr="00A87036">
        <w:rPr>
          <w:rFonts w:eastAsia="Times New Roman" w:cs="Times New Roman"/>
          <w:lang w:val="fr-BE" w:eastAsia="en-GB"/>
        </w:rPr>
        <w:t xml:space="preserve"> in J. </w:t>
      </w:r>
      <w:r w:rsidRPr="00A87036">
        <w:rPr>
          <w:rFonts w:eastAsia="Times New Roman" w:cs="Times New Roman"/>
          <w:smallCaps/>
          <w:lang w:val="fr-BE" w:eastAsia="en-GB"/>
        </w:rPr>
        <w:t>Sautois</w:t>
      </w:r>
      <w:r w:rsidRPr="00A87036">
        <w:rPr>
          <w:rFonts w:eastAsia="Times New Roman" w:cs="Times New Roman"/>
          <w:lang w:val="fr-BE" w:eastAsia="en-GB"/>
        </w:rPr>
        <w:t xml:space="preserve"> en M. </w:t>
      </w:r>
      <w:r w:rsidRPr="00A87036">
        <w:rPr>
          <w:rFonts w:eastAsia="Times New Roman" w:cs="Times New Roman"/>
          <w:smallCaps/>
          <w:lang w:val="fr-BE" w:eastAsia="en-GB"/>
        </w:rPr>
        <w:t>Uyttendaele</w:t>
      </w:r>
      <w:r w:rsidRPr="00A87036">
        <w:rPr>
          <w:rFonts w:eastAsia="Times New Roman" w:cs="Times New Roman"/>
          <w:lang w:val="fr-BE" w:eastAsia="en-GB"/>
        </w:rPr>
        <w:t xml:space="preserve"> (ed.), </w:t>
      </w:r>
      <w:r w:rsidRPr="00A87036">
        <w:rPr>
          <w:rFonts w:eastAsia="Times New Roman" w:cs="Times New Roman"/>
          <w:i/>
          <w:iCs/>
          <w:lang w:val="fr-BE" w:eastAsia="en-GB"/>
        </w:rPr>
        <w:t>La sixi</w:t>
      </w:r>
      <w:r w:rsidRPr="00A87036">
        <w:rPr>
          <w:rFonts w:eastAsia="Times New Roman" w:cs="Times New Roman" w:hint="eastAsia"/>
          <w:i/>
          <w:iCs/>
          <w:lang w:val="fr-BE" w:eastAsia="en-GB"/>
        </w:rPr>
        <w:t>è</w:t>
      </w:r>
      <w:r w:rsidRPr="00A87036">
        <w:rPr>
          <w:rFonts w:eastAsia="Times New Roman" w:cs="Times New Roman"/>
          <w:i/>
          <w:iCs/>
          <w:lang w:val="fr-BE" w:eastAsia="en-GB"/>
        </w:rPr>
        <w:t>me r</w:t>
      </w:r>
      <w:r w:rsidRPr="00A87036">
        <w:rPr>
          <w:rFonts w:eastAsia="Times New Roman" w:cs="Times New Roman" w:hint="eastAsia"/>
          <w:i/>
          <w:iCs/>
          <w:lang w:val="fr-BE" w:eastAsia="en-GB"/>
        </w:rPr>
        <w:t>é</w:t>
      </w:r>
      <w:r w:rsidRPr="00A87036">
        <w:rPr>
          <w:rFonts w:eastAsia="Times New Roman" w:cs="Times New Roman"/>
          <w:i/>
          <w:iCs/>
          <w:lang w:val="fr-BE" w:eastAsia="en-GB"/>
        </w:rPr>
        <w:t>forme de l</w:t>
      </w:r>
      <w:r w:rsidRPr="00A87036">
        <w:rPr>
          <w:rFonts w:eastAsia="Times New Roman" w:cs="Times New Roman" w:hint="eastAsia"/>
          <w:i/>
          <w:iCs/>
          <w:lang w:val="fr-BE" w:eastAsia="en-GB"/>
        </w:rPr>
        <w:t>’</w:t>
      </w:r>
      <w:r w:rsidRPr="00A87036">
        <w:rPr>
          <w:rFonts w:eastAsia="Times New Roman" w:cs="Times New Roman"/>
          <w:i/>
          <w:iCs/>
          <w:lang w:val="fr-BE" w:eastAsia="en-GB"/>
        </w:rPr>
        <w:t>Etat (2012-13) tournant historique ou soubresaut ordinaire?</w:t>
      </w:r>
      <w:r w:rsidRPr="00A87036">
        <w:rPr>
          <w:rFonts w:eastAsia="Times New Roman" w:cs="Times New Roman"/>
          <w:lang w:val="fr-BE" w:eastAsia="en-GB"/>
        </w:rPr>
        <w:t xml:space="preserve">, Limal, Anthemis, 2013, 523-524). </w:t>
      </w:r>
      <w:r w:rsidRPr="00A87036">
        <w:rPr>
          <w:rFonts w:eastAsia="Times New Roman" w:cs="Times New Roman"/>
          <w:lang w:val="nl-NL" w:eastAsia="en-GB"/>
        </w:rPr>
        <w:t xml:space="preserve">H. </w:t>
      </w:r>
      <w:r w:rsidRPr="00A87036">
        <w:rPr>
          <w:rFonts w:eastAsia="Times New Roman" w:cs="Times New Roman"/>
          <w:smallCaps/>
          <w:lang w:eastAsia="en-GB"/>
        </w:rPr>
        <w:t>Bortels</w:t>
      </w:r>
      <w:r w:rsidRPr="00A87036">
        <w:rPr>
          <w:rFonts w:eastAsia="Times New Roman" w:cs="Times New Roman"/>
          <w:lang w:eastAsia="en-GB"/>
        </w:rPr>
        <w:t xml:space="preserve"> ziet alvast geen grondwettelijke bezwaren (</w:t>
      </w:r>
      <w:r w:rsidRPr="00C95E6B">
        <w:rPr>
          <w:rFonts w:cs="Times New Roman"/>
        </w:rPr>
        <w:t xml:space="preserve">H. </w:t>
      </w:r>
      <w:r w:rsidRPr="00C95E6B">
        <w:rPr>
          <w:rFonts w:cs="Times New Roman"/>
          <w:smallCaps/>
        </w:rPr>
        <w:t>Bortels</w:t>
      </w:r>
      <w:r w:rsidRPr="00C95E6B">
        <w:rPr>
          <w:rFonts w:cs="Times New Roman"/>
        </w:rPr>
        <w:t xml:space="preserve">, “Het gezamenlijk decreet – een bijkomend instrument van het coöperatief federalisme of een verdere stap richting het confederalisme?”, </w:t>
      </w:r>
      <w:r w:rsidRPr="00C95E6B">
        <w:rPr>
          <w:rFonts w:cs="Times New Roman"/>
          <w:i/>
        </w:rPr>
        <w:t xml:space="preserve">TBP </w:t>
      </w:r>
      <w:r w:rsidRPr="00C95E6B">
        <w:rPr>
          <w:rFonts w:cs="Times New Roman"/>
        </w:rPr>
        <w:t xml:space="preserve">2015 (311) 318-9, nrs. 32-35). </w:t>
      </w:r>
      <w:r w:rsidR="00DB7A18">
        <w:rPr>
          <w:rFonts w:eastAsia="Times New Roman" w:cs="Times New Roman"/>
          <w:lang w:eastAsia="en-GB"/>
        </w:rPr>
        <w:t>Toch lijkt</w:t>
      </w:r>
      <w:r w:rsidRPr="00A87036">
        <w:rPr>
          <w:rFonts w:eastAsia="Times New Roman" w:cs="Times New Roman"/>
          <w:lang w:eastAsia="en-GB"/>
        </w:rPr>
        <w:t xml:space="preserve"> al veel mogelijk binnen het huidige kader van de bijzondere wet. </w:t>
      </w:r>
      <w:r w:rsidRPr="00C95E6B">
        <w:rPr>
          <w:rFonts w:eastAsia="Times New Roman" w:cs="Times New Roman"/>
          <w:lang w:eastAsia="en-GB"/>
        </w:rPr>
        <w:t>De hierbij gehanteerde instrumenten mogen natuurlijk wel niet ingaan tegen de contractuele aard van samenwerkingsakkoorden, wat er zich in essentie verzet tegen een louter éénzijdige regeling (</w:t>
      </w:r>
      <w:r w:rsidRPr="00C95E6B">
        <w:rPr>
          <w:rFonts w:eastAsia="Times New Roman" w:cs="Times New Roman"/>
          <w:i/>
          <w:lang w:eastAsia="en-GB"/>
        </w:rPr>
        <w:t>supra</w:t>
      </w:r>
      <w:r w:rsidRPr="00C95E6B">
        <w:rPr>
          <w:rFonts w:eastAsia="Times New Roman" w:cs="Times New Roman"/>
          <w:lang w:eastAsia="en-GB"/>
        </w:rPr>
        <w:t xml:space="preserve"> </w:t>
      </w:r>
      <w:r w:rsidRPr="00A87036">
        <w:rPr>
          <w:rFonts w:eastAsia="Times New Roman" w:cs="Times New Roman"/>
          <w:lang w:eastAsia="en-GB"/>
        </w:rPr>
        <w:t>hoofdstuk</w:t>
      </w:r>
      <w:r w:rsidRPr="00C95E6B">
        <w:rPr>
          <w:rFonts w:eastAsia="Times New Roman" w:cs="Times New Roman"/>
          <w:lang w:eastAsia="en-GB"/>
        </w:rPr>
        <w:t xml:space="preserve"> </w:t>
      </w:r>
      <w:r w:rsidRPr="00B2070B">
        <w:t>II</w:t>
      </w:r>
      <w:r w:rsidRPr="00C95E6B">
        <w:rPr>
          <w:rFonts w:eastAsia="Times New Roman" w:cs="Times New Roman"/>
          <w:lang w:eastAsia="en-GB"/>
        </w:rPr>
        <w:t>).</w:t>
      </w:r>
    </w:p>
    <w:p w14:paraId="2998A789" w14:textId="77777777" w:rsidR="00AB5378" w:rsidRDefault="00AB5378">
      <w:pPr>
        <w:pStyle w:val="Voetnoottekst"/>
        <w:spacing w:after="0"/>
        <w:rPr>
          <w:rFonts w:eastAsia="Times New Roman" w:cs="Times New Roman"/>
          <w:lang w:val="nl-NL" w:eastAsia="en-GB"/>
        </w:rPr>
      </w:pPr>
      <w:r w:rsidRPr="00C95E6B">
        <w:rPr>
          <w:rFonts w:cs="Times New Roman"/>
          <w:lang w:val="nl-NL"/>
        </w:rPr>
        <w:t xml:space="preserve">In adv.RvS 59.829/AV van 8 september 2016 wordt weliswaar terloops opgemerkt dat door de regering gesloten samenwerkingsakkoorden, net zoals verdragen, door de wetgever niet meer kunnen worden gewijzigd op het ogenblik dat het parlement om zijn instemming wordt verzocht. Hierbij horen enkele opmerkingen: ten eerste, is dit </w:t>
      </w:r>
      <w:r w:rsidRPr="00C95E6B">
        <w:rPr>
          <w:rFonts w:cs="Times New Roman"/>
          <w:i/>
          <w:lang w:val="nl-NL"/>
        </w:rPr>
        <w:t>de lega lata</w:t>
      </w:r>
      <w:r w:rsidRPr="00C95E6B">
        <w:rPr>
          <w:rFonts w:cs="Times New Roman"/>
          <w:lang w:val="nl-NL"/>
        </w:rPr>
        <w:t xml:space="preserve"> thans inderdaad het geval (zie bv. artikel 69, §1, lid 3, Reglement van het Vlaams Parlement van 24 april 2019 dat bepaalt dat amendementen op ontwerpen van decreet houdende instemming met verdragen en samenwerkingsakkoorden die er rechtstreeks of onrechtstreeks toe strekken de inhoud van een samenwerkingsakkoord of een verdrag te wijzigen, onontvankelijk zijn), ten tweede, kan één parlement natuurlijk niet eenzijdig een ontwerp van samenwerkingsakkoord wijzigen, en ten derde, belet dit natuurlijk niet dat het betrokken parlement zijn instemming zou weigeren en hierbij zou aangeven in welke zin het verdrag of samenwerkingsakkoord dient te worden aangepast opdat het zijn instemming zou kunnen bekomen.</w:t>
      </w:r>
    </w:p>
  </w:footnote>
  <w:footnote w:id="58">
    <w:p w14:paraId="60600783" w14:textId="110E47E8" w:rsidR="00AB5378" w:rsidRPr="00B2070B"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Pr>
          <w:rFonts w:cs="Times New Roman"/>
          <w:i/>
          <w:iCs/>
        </w:rPr>
        <w:t>I</w:t>
      </w:r>
      <w:r w:rsidRPr="00C95E6B">
        <w:rPr>
          <w:rFonts w:cs="Times New Roman"/>
          <w:i/>
          <w:iCs/>
        </w:rPr>
        <w:t>nfra</w:t>
      </w:r>
      <w:r w:rsidRPr="00C95E6B">
        <w:rPr>
          <w:rFonts w:cs="Times New Roman"/>
        </w:rPr>
        <w:t xml:space="preserve"> </w:t>
      </w:r>
      <w:r w:rsidRPr="00B2070B">
        <w:t>hoofdstuk VI</w:t>
      </w:r>
      <w:r w:rsidRPr="00B2070B">
        <w:rPr>
          <w:rFonts w:cs="Times New Roman"/>
          <w:lang w:val="nl-NL"/>
        </w:rPr>
        <w:t>.</w:t>
      </w:r>
    </w:p>
  </w:footnote>
  <w:footnote w:id="59">
    <w:p w14:paraId="5F0D172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J. </w:t>
      </w:r>
      <w:r w:rsidRPr="00C95E6B">
        <w:rPr>
          <w:rFonts w:cs="Times New Roman"/>
          <w:smallCaps/>
        </w:rPr>
        <w:t>Van Nieuwenhove</w:t>
      </w:r>
      <w:r w:rsidRPr="00C95E6B">
        <w:rPr>
          <w:rFonts w:cs="Times New Roman"/>
        </w:rPr>
        <w:t xml:space="preserve">, “Enkele beschouwingen over het legaliteitsbeginsel en over delegaties van regelgevende bevoegdheid” in L. </w:t>
      </w:r>
      <w:r w:rsidRPr="00C95E6B">
        <w:rPr>
          <w:rFonts w:cs="Times New Roman"/>
          <w:smallCaps/>
        </w:rPr>
        <w:t>Detroux</w:t>
      </w:r>
      <w:r w:rsidRPr="00C95E6B">
        <w:rPr>
          <w:rFonts w:cs="Times New Roman"/>
        </w:rPr>
        <w:t xml:space="preserve">, M. </w:t>
      </w:r>
      <w:r w:rsidRPr="00C95E6B">
        <w:rPr>
          <w:rFonts w:cs="Times New Roman"/>
          <w:smallCaps/>
        </w:rPr>
        <w:t>El Berhoumi</w:t>
      </w:r>
      <w:r w:rsidRPr="00C95E6B">
        <w:rPr>
          <w:rFonts w:cs="Times New Roman"/>
        </w:rPr>
        <w:t xml:space="preserve"> en B. </w:t>
      </w:r>
      <w:r w:rsidRPr="00C95E6B">
        <w:rPr>
          <w:rFonts w:cs="Times New Roman"/>
          <w:smallCaps/>
        </w:rPr>
        <w:t>Lombaert</w:t>
      </w:r>
      <w:r w:rsidRPr="00C95E6B">
        <w:rPr>
          <w:rFonts w:cs="Times New Roman"/>
        </w:rPr>
        <w:t xml:space="preserve">, </w:t>
      </w:r>
      <w:r w:rsidRPr="00C95E6B">
        <w:rPr>
          <w:rFonts w:cs="Times New Roman"/>
          <w:i/>
          <w:iCs/>
        </w:rPr>
        <w:t>La légalité: un principe de la démocratie belge en péril?</w:t>
      </w:r>
      <w:r w:rsidRPr="00C95E6B">
        <w:rPr>
          <w:rFonts w:cs="Times New Roman"/>
        </w:rPr>
        <w:t>, Brussel, Larcier, 2019, (369) 384-385.</w:t>
      </w:r>
    </w:p>
  </w:footnote>
  <w:footnote w:id="60">
    <w:p w14:paraId="143D7ECC" w14:textId="77777777" w:rsidR="00AB5378" w:rsidRDefault="00AB5378">
      <w:pPr>
        <w:pStyle w:val="doc-ti"/>
        <w:spacing w:before="0" w:beforeAutospacing="0" w:after="0" w:afterAutospacing="0"/>
        <w:jc w:val="both"/>
        <w:rPr>
          <w:b/>
          <w:bCs/>
          <w:color w:val="000000"/>
          <w:sz w:val="20"/>
          <w:szCs w:val="20"/>
          <w:lang w:val="nl-BE"/>
        </w:rPr>
      </w:pPr>
      <w:r w:rsidRPr="00C95E6B">
        <w:rPr>
          <w:rStyle w:val="Voetnootmarkering"/>
          <w:sz w:val="20"/>
          <w:szCs w:val="20"/>
        </w:rPr>
        <w:footnoteRef/>
      </w:r>
      <w:r w:rsidRPr="00C95E6B">
        <w:rPr>
          <w:sz w:val="20"/>
          <w:szCs w:val="20"/>
          <w:lang w:val="nl-BE"/>
        </w:rPr>
        <w:t xml:space="preserve"> Artikel 290 VWEU; artikel 13, 26 e.v. van en de bijlage bij het Interinstitutioneel Akkoord tussen het Europees Parlement, de Raad van de Europese Unie en de Europese Commissie ‘over beter wetgeven’, van 13 april 2016, </w:t>
      </w:r>
      <w:r w:rsidRPr="00C95E6B">
        <w:rPr>
          <w:i/>
          <w:iCs/>
          <w:sz w:val="20"/>
          <w:szCs w:val="20"/>
          <w:lang w:val="nl-BE"/>
        </w:rPr>
        <w:t>Pb.L.</w:t>
      </w:r>
      <w:r w:rsidRPr="00C95E6B">
        <w:rPr>
          <w:sz w:val="20"/>
          <w:szCs w:val="20"/>
          <w:lang w:val="nl-BE"/>
        </w:rPr>
        <w:t xml:space="preserve"> 12 mei 2016, afl. 123, 1 en artikel 15 van het Kaderakkoord over de betrekkingen tussen het Europees Parlement en de Europese Commissie, </w:t>
      </w:r>
      <w:r w:rsidRPr="00C95E6B">
        <w:rPr>
          <w:i/>
          <w:iCs/>
          <w:sz w:val="20"/>
          <w:szCs w:val="20"/>
          <w:lang w:val="nl-BE"/>
        </w:rPr>
        <w:t xml:space="preserve">Pb.L. </w:t>
      </w:r>
      <w:r w:rsidRPr="00C95E6B">
        <w:rPr>
          <w:sz w:val="20"/>
          <w:szCs w:val="20"/>
          <w:lang w:val="nl-BE"/>
        </w:rPr>
        <w:t>20 november 2010, afl. 304, 47.</w:t>
      </w:r>
    </w:p>
  </w:footnote>
  <w:footnote w:id="61">
    <w:p w14:paraId="16360CDD"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Voor de ruimte die er bestaat voor dergelijke grensoverschrijdende samenwerking, zie: D. </w:t>
      </w:r>
      <w:r w:rsidRPr="00C95E6B">
        <w:rPr>
          <w:rFonts w:cs="Times New Roman"/>
          <w:smallCaps/>
        </w:rPr>
        <w:t>Van Eeckhoutte</w:t>
      </w:r>
      <w:r w:rsidRPr="00C95E6B">
        <w:rPr>
          <w:rFonts w:cs="Times New Roman"/>
        </w:rPr>
        <w:t xml:space="preserve"> en M. </w:t>
      </w:r>
      <w:r w:rsidRPr="00C95E6B">
        <w:rPr>
          <w:rFonts w:cs="Times New Roman"/>
          <w:smallCaps/>
        </w:rPr>
        <w:t>Vidal</w:t>
      </w:r>
      <w:r w:rsidRPr="00C95E6B">
        <w:rPr>
          <w:rFonts w:cs="Times New Roman"/>
        </w:rPr>
        <w:t xml:space="preserve">, “Internationaal en grensoverschrijdend bestuursrecht”, </w:t>
      </w:r>
      <w:r w:rsidRPr="00C95E6B">
        <w:rPr>
          <w:rFonts w:cs="Times New Roman"/>
          <w:i/>
        </w:rPr>
        <w:t xml:space="preserve">RW </w:t>
      </w:r>
      <w:r w:rsidRPr="00C95E6B">
        <w:rPr>
          <w:rFonts w:cs="Times New Roman"/>
        </w:rPr>
        <w:t>2013-14, (1123) 1132-1134, nrs. 19-23.</w:t>
      </w:r>
      <w:r w:rsidRPr="00C95E6B">
        <w:rPr>
          <w:rFonts w:cs="Times New Roman"/>
          <w:lang w:val="nl-NL"/>
        </w:rPr>
        <w:t xml:space="preserve"> Vgl. met adv.RvS 53.064/VR van 6 mei 2013, nr. 2 over de mogelijkheid naar Europees recht voor de voorzitter van het Europees Parlement om een zetelakkoord met België te ondertekenen.  </w:t>
      </w:r>
    </w:p>
  </w:footnote>
  <w:footnote w:id="62">
    <w:p w14:paraId="329828F7" w14:textId="77777777"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De datum van het samenwerkingsakkoord is dan ook de datum waarop de laatste handtekening op het samenwerkingsakkoord wordt aangebracht (punt10 van de Mededeling aan het Overlegcomité ‘</w:t>
      </w:r>
      <w:r w:rsidRPr="00A87036">
        <w:rPr>
          <w:sz w:val="20"/>
          <w:szCs w:val="20"/>
          <w:lang w:val="nl-BE"/>
        </w:rPr>
        <w:t>Tips voor het realiseren van een samenwerkingsakkoord</w:t>
      </w:r>
      <w:r w:rsidRPr="00C95E6B">
        <w:rPr>
          <w:sz w:val="20"/>
          <w:szCs w:val="20"/>
          <w:lang w:val="nl-BE"/>
        </w:rPr>
        <w:t xml:space="preserve">’ van 10 februari 2015; advies 63.997/2/V van 5 september 2018 en adv.RvS 64.233/3 van 3 oktober 2018). </w:t>
      </w:r>
    </w:p>
  </w:footnote>
  <w:footnote w:id="63">
    <w:p w14:paraId="12686BCB" w14:textId="77777777" w:rsidR="00AB5378" w:rsidRDefault="00AB5378">
      <w:pPr>
        <w:autoSpaceDE w:val="0"/>
        <w:autoSpaceDN w:val="0"/>
        <w:adjustRightInd w:val="0"/>
        <w:jc w:val="both"/>
        <w:rPr>
          <w:lang w:val="nl-NL"/>
        </w:rPr>
      </w:pPr>
      <w:r w:rsidRPr="00A87036">
        <w:rPr>
          <w:rStyle w:val="Voetnootmarkering"/>
          <w:sz w:val="20"/>
          <w:szCs w:val="20"/>
        </w:rPr>
        <w:footnoteRef/>
      </w:r>
      <w:r w:rsidRPr="00A87036">
        <w:rPr>
          <w:sz w:val="20"/>
          <w:szCs w:val="20"/>
          <w:lang w:val="nl-BE"/>
        </w:rPr>
        <w:t xml:space="preserve"> Deze vereiste is van openbare orde. Bij gebreke aan alle authentieke taalversies zal de afdeling Wetgeving de adviesaanvraag over een instemmingsakte met een samenwerkingsakkoord onontvankelijk verklaard, zie adv.RvS </w:t>
      </w:r>
      <w:r w:rsidRPr="00A87036">
        <w:rPr>
          <w:rFonts w:eastAsiaTheme="minorHAnsi"/>
          <w:sz w:val="20"/>
          <w:szCs w:val="20"/>
          <w:lang w:val="nl-BE" w:eastAsia="en-US"/>
        </w:rPr>
        <w:t xml:space="preserve">54.644/VR, 54.645/VR, 54.646/VR, 54.648/VR, 54.659/VR en 54.660/VR van 10 december 2013;  </w:t>
      </w:r>
      <w:r w:rsidRPr="00B2070B">
        <w:rPr>
          <w:sz w:val="20"/>
          <w:lang w:val="nl-BE"/>
        </w:rPr>
        <w:t xml:space="preserve"> </w:t>
      </w:r>
    </w:p>
  </w:footnote>
  <w:footnote w:id="64">
    <w:p w14:paraId="4AFBF8FA"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Voor zover dit natuurlijk binnen de mogelijkheden van het partnerland ligt en hij met deze werkwijze instemt. Zie: §6 van de toelichting bij het Samenwerkingsakkoord Gemengde Verdragen.</w:t>
      </w:r>
      <w:r w:rsidRPr="00C95E6B">
        <w:rPr>
          <w:rFonts w:cs="Times New Roman"/>
          <w:lang w:val="nl-NL"/>
        </w:rPr>
        <w:t xml:space="preserve"> </w:t>
      </w:r>
    </w:p>
  </w:footnote>
  <w:footnote w:id="65">
    <w:p w14:paraId="3F8B6B6F" w14:textId="3E9C712F" w:rsidR="00AB5378" w:rsidRPr="00B2070B"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In het licht van de door de Zesde Staatshervorming verder doorgevoerde wettelijke verankering en institutionalisering (artikel 31 en 31</w:t>
      </w:r>
      <w:r w:rsidRPr="00C95E6B">
        <w:rPr>
          <w:rFonts w:cs="Times New Roman"/>
          <w:i/>
        </w:rPr>
        <w:t>bis</w:t>
      </w:r>
      <w:r w:rsidRPr="00C95E6B">
        <w:rPr>
          <w:rFonts w:cs="Times New Roman"/>
        </w:rPr>
        <w:t xml:space="preserve"> van de gewone wet tot hervorming der instellingen). Vgl. bv. met het feit dat de Raad van State sinds de inwerkingtreding van de Zesde Staatshervorming aanvaardt dat een samenwerkingsakkoord delegaties aan een interministeriële conferentie kan bevatten (bv. adv.RvS 63.373/VR van 14 juni 2018, nrs. 4.1-4.2). </w:t>
      </w:r>
    </w:p>
  </w:footnote>
  <w:footnote w:id="66">
    <w:p w14:paraId="62A54848" w14:textId="77777777" w:rsidR="00AB5378" w:rsidRPr="00B2070B" w:rsidRDefault="00AB5378" w:rsidP="00B2070B">
      <w:pPr>
        <w:pStyle w:val="Voetnoottekst"/>
        <w:rPr>
          <w:lang w:val="nl-NL"/>
        </w:rPr>
      </w:pPr>
      <w:r>
        <w:rPr>
          <w:rStyle w:val="Voetnootmarkering"/>
        </w:rPr>
        <w:footnoteRef/>
      </w:r>
      <w:r w:rsidRPr="00B2070B">
        <w:rPr>
          <w:lang w:val="nl-NL"/>
        </w:rPr>
        <w:t xml:space="preserve"> Naast </w:t>
      </w:r>
      <w:r>
        <w:rPr>
          <w:lang w:val="nl-NL"/>
        </w:rPr>
        <w:t>de pragmatische oplossing die erin zou kunnen bestaan om het samenwerkingsakkoord onmiddellijk na afloop van het Overlegcomité waarop deze geagendeerd is, te laten ondertekenen door alle betrokken ministers.</w:t>
      </w:r>
      <w:r w:rsidRPr="00B2070B">
        <w:rPr>
          <w:lang w:val="nl-NL"/>
        </w:rPr>
        <w:t xml:space="preserve"> </w:t>
      </w:r>
    </w:p>
  </w:footnote>
  <w:footnote w:id="67">
    <w:p w14:paraId="79D2CC84" w14:textId="12AF0087" w:rsidR="00AB5378" w:rsidRDefault="00AB5378" w:rsidP="00B2070B">
      <w:pPr>
        <w:pStyle w:val="Voetnoottekst"/>
        <w:spacing w:after="0"/>
        <w:rPr>
          <w:rFonts w:cs="Times New Roman"/>
          <w:lang w:val="en-GB"/>
        </w:rPr>
      </w:pPr>
      <w:r w:rsidRPr="00C95E6B">
        <w:rPr>
          <w:rStyle w:val="Voetnootmarkering"/>
          <w:rFonts w:cs="Times New Roman"/>
        </w:rPr>
        <w:footnoteRef/>
      </w:r>
      <w:r w:rsidRPr="00A87036">
        <w:rPr>
          <w:rFonts w:cs="Times New Roman"/>
          <w:lang w:val="en-GB"/>
        </w:rPr>
        <w:t xml:space="preserve"> Artikelen 10 </w:t>
      </w:r>
      <w:proofErr w:type="spellStart"/>
      <w:r w:rsidRPr="00A87036">
        <w:rPr>
          <w:rFonts w:cs="Times New Roman"/>
          <w:lang w:val="en-GB"/>
        </w:rPr>
        <w:t>en</w:t>
      </w:r>
      <w:proofErr w:type="spellEnd"/>
      <w:r w:rsidRPr="00A87036">
        <w:rPr>
          <w:rFonts w:cs="Times New Roman"/>
          <w:lang w:val="en-GB"/>
        </w:rPr>
        <w:t xml:space="preserve"> 5 WVV</w:t>
      </w:r>
      <w:r>
        <w:rPr>
          <w:rFonts w:cs="Times New Roman"/>
          <w:lang w:val="en-GB"/>
        </w:rPr>
        <w:t xml:space="preserve"> </w:t>
      </w:r>
      <w:proofErr w:type="spellStart"/>
      <w:r>
        <w:rPr>
          <w:rFonts w:cs="Times New Roman"/>
          <w:lang w:val="en-GB"/>
        </w:rPr>
        <w:t>en</w:t>
      </w:r>
      <w:proofErr w:type="spellEnd"/>
      <w:r w:rsidRPr="00A87036">
        <w:rPr>
          <w:rFonts w:cs="Times New Roman"/>
          <w:lang w:val="en-GB"/>
        </w:rPr>
        <w:t xml:space="preserve"> A. </w:t>
      </w:r>
      <w:r w:rsidRPr="00A87036">
        <w:rPr>
          <w:rFonts w:cs="Times New Roman"/>
          <w:smallCaps/>
          <w:lang w:val="en-GB"/>
        </w:rPr>
        <w:t>Aust</w:t>
      </w:r>
      <w:r w:rsidRPr="00A87036">
        <w:rPr>
          <w:rFonts w:cs="Times New Roman"/>
          <w:lang w:val="en-GB"/>
        </w:rPr>
        <w:t xml:space="preserve">, </w:t>
      </w:r>
      <w:r w:rsidRPr="00A87036">
        <w:rPr>
          <w:rFonts w:cs="Times New Roman"/>
          <w:i/>
          <w:iCs/>
          <w:lang w:val="en-GB"/>
        </w:rPr>
        <w:t>Modern Treaty Law and Practice</w:t>
      </w:r>
      <w:r w:rsidRPr="00A87036">
        <w:rPr>
          <w:rFonts w:cs="Times New Roman"/>
          <w:lang w:val="en-GB"/>
        </w:rPr>
        <w:t>, Cambridge, CUP, 2013, 83-86.</w:t>
      </w:r>
    </w:p>
  </w:footnote>
  <w:footnote w:id="68">
    <w:p w14:paraId="26FCE66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o.m.: artikelen 11, 13 tot 16 WVV; artikel 12 van en §7 van de toelichting bij het Samenwerkingsakkoord Gemengde Verdragen.</w:t>
      </w:r>
    </w:p>
  </w:footnote>
  <w:footnote w:id="69">
    <w:p w14:paraId="4F1FE066" w14:textId="77777777" w:rsidR="00AB5378" w:rsidRDefault="00AB5378">
      <w:pPr>
        <w:pStyle w:val="Voetnoottekst"/>
        <w:spacing w:after="0"/>
        <w:rPr>
          <w:rFonts w:cs="Times New Roman"/>
          <w:lang w:val="en-US"/>
        </w:rPr>
      </w:pPr>
      <w:r w:rsidRPr="00C95E6B">
        <w:rPr>
          <w:rStyle w:val="Voetnootmarkering"/>
          <w:rFonts w:cs="Times New Roman"/>
        </w:rPr>
        <w:footnoteRef/>
      </w:r>
      <w:r w:rsidRPr="00C95E6B">
        <w:rPr>
          <w:rFonts w:cs="Times New Roman"/>
          <w:lang w:val="en-US"/>
        </w:rPr>
        <w:t xml:space="preserve"> A. </w:t>
      </w:r>
      <w:r w:rsidRPr="00C95E6B">
        <w:rPr>
          <w:rFonts w:cs="Times New Roman"/>
          <w:smallCaps/>
          <w:lang w:val="en-US"/>
        </w:rPr>
        <w:t>Aust</w:t>
      </w:r>
      <w:r w:rsidRPr="00C95E6B">
        <w:rPr>
          <w:rFonts w:cs="Times New Roman"/>
          <w:lang w:val="en-US"/>
        </w:rPr>
        <w:t xml:space="preserve">, </w:t>
      </w:r>
      <w:r w:rsidRPr="00C95E6B">
        <w:rPr>
          <w:rFonts w:cs="Times New Roman"/>
          <w:i/>
          <w:iCs/>
          <w:lang w:val="en-US"/>
        </w:rPr>
        <w:t>Modern Treaty Law and Practice</w:t>
      </w:r>
      <w:r w:rsidRPr="00C95E6B">
        <w:rPr>
          <w:rFonts w:cs="Times New Roman"/>
          <w:lang w:val="en-US"/>
        </w:rPr>
        <w:t>, Cambridge, CUP, 2013, 95.</w:t>
      </w:r>
    </w:p>
  </w:footnote>
  <w:footnote w:id="70">
    <w:p w14:paraId="14F080E0" w14:textId="5EB3F676"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huidige bevoegdheidsbesluit van de Vlaamse Regering verduidelijkt bv. dat de gebruikelijke delegaties aan de leden van de Vlaamse Regering niet gelden voor het sluiten van samenwerkingsakkoorden of verdragen en dat</w:t>
      </w:r>
      <w:r w:rsidRPr="00C95E6B">
        <w:rPr>
          <w:rFonts w:cs="Times New Roman"/>
          <w:color w:val="000000"/>
        </w:rPr>
        <w:t xml:space="preserve"> de samenwerkingsakkoorden die de Vlaamse Gemeenschap of het Vlaamse Gewest met de federale overheid, andere gewesten of gemeenschappen sluit namens de Vlaamse Regering worden ondertekend door de minister-president en door het lid aan wie de aangelegenheid in kwestie is toegewezen (artikelen 7, 5°, en 15, eerste lid, van het besluit van de Vlaamse Regering van 25 juli 2014 ‘tot delegatie van beslissingsbevoegdheden aan de leden van de Vlaamse Regering’). Zie bv. ook: adv.RvS 61.706/1/V van 28 juli 2017, nr. 4.3.2.; </w:t>
      </w:r>
      <w:r w:rsidRPr="00C95E6B">
        <w:rPr>
          <w:rFonts w:cs="Times New Roman"/>
        </w:rPr>
        <w:t xml:space="preserve">RvS 7 juni 2010, nr. 204.847, De Coster, nr. 10 en RvS 19 december 2003, nr. 126.674, Cineart, blz. 5. </w:t>
      </w:r>
    </w:p>
  </w:footnote>
  <w:footnote w:id="71">
    <w:p w14:paraId="698CC05A" w14:textId="77777777"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Wat de interparlementaire samenwerkingsakkoorden betreft, bepaalt bv. het Reglement van het Vlaams Parlement dat het wordt gesloten door de voorzitter na machtiging door het Bureau of het Uitgebreid Bureau, maar dat het slechts verbindend is “</w:t>
      </w:r>
      <w:r w:rsidRPr="00C95E6B">
        <w:rPr>
          <w:color w:val="000000"/>
          <w:sz w:val="20"/>
          <w:szCs w:val="20"/>
          <w:shd w:val="clear" w:color="auto" w:fill="FFFFFF"/>
          <w:lang w:val="nl-BE"/>
        </w:rPr>
        <w:t>na goedkeuring, naargelang het geval, door het Bureau of de plenaire vergadering” (</w:t>
      </w:r>
      <w:r w:rsidRPr="00C95E6B">
        <w:rPr>
          <w:sz w:val="20"/>
          <w:szCs w:val="20"/>
          <w:lang w:val="nl-BE"/>
        </w:rPr>
        <w:t xml:space="preserve">artikel 108, §3, lid 1 en 2, Reglement van het Vlaams Parlement van </w:t>
      </w:r>
      <w:r w:rsidRPr="00C95E6B">
        <w:rPr>
          <w:sz w:val="20"/>
          <w:szCs w:val="20"/>
          <w:lang w:val="nl-NL"/>
        </w:rPr>
        <w:t>van 24 april 2019</w:t>
      </w:r>
      <w:r w:rsidRPr="00C95E6B">
        <w:rPr>
          <w:sz w:val="20"/>
          <w:szCs w:val="20"/>
          <w:lang w:val="nl-BE"/>
        </w:rPr>
        <w:t>).</w:t>
      </w:r>
    </w:p>
  </w:footnote>
  <w:footnote w:id="72">
    <w:p w14:paraId="57BC38A0"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59.829/AV van 8 september 2016, blz. 8.</w:t>
      </w:r>
    </w:p>
  </w:footnote>
  <w:footnote w:id="73">
    <w:p w14:paraId="6AD53C99"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i/>
          <w:iCs/>
          <w:lang w:val="nl-NL"/>
        </w:rPr>
        <w:t>Ibidem</w:t>
      </w:r>
      <w:r w:rsidRPr="00C95E6B">
        <w:rPr>
          <w:rFonts w:cs="Times New Roman"/>
          <w:lang w:val="nl-NL"/>
        </w:rPr>
        <w:t xml:space="preserve"> blz. 9.</w:t>
      </w:r>
    </w:p>
  </w:footnote>
  <w:footnote w:id="74">
    <w:p w14:paraId="5A024089" w14:textId="4F0BCF76" w:rsidR="00AB5378" w:rsidRPr="00B2070B" w:rsidRDefault="00AB5378" w:rsidP="00B2070B">
      <w:pPr>
        <w:pStyle w:val="Voetnoottekst"/>
        <w:spacing w:after="0"/>
        <w:rPr>
          <w:rFonts w:cs="Times New Roman"/>
        </w:rPr>
      </w:pPr>
      <w:r w:rsidRPr="00C95E6B">
        <w:rPr>
          <w:rStyle w:val="Voetnootmarkering"/>
          <w:rFonts w:cs="Times New Roman"/>
        </w:rPr>
        <w:footnoteRef/>
      </w:r>
      <w:r w:rsidRPr="00C95E6B">
        <w:rPr>
          <w:rFonts w:cs="Times New Roman"/>
        </w:rPr>
        <w:t xml:space="preserve"> Dat deze hypothese niet louter theoretisch is, zie bv. J. </w:t>
      </w:r>
      <w:proofErr w:type="spellStart"/>
      <w:r w:rsidRPr="00C95E6B">
        <w:rPr>
          <w:rFonts w:cs="Times New Roman"/>
        </w:rPr>
        <w:t>Masquelin</w:t>
      </w:r>
      <w:proofErr w:type="spellEnd"/>
      <w:r w:rsidRPr="00C95E6B">
        <w:rPr>
          <w:rFonts w:cs="Times New Roman"/>
        </w:rPr>
        <w:t xml:space="preserve"> die enkele </w:t>
      </w:r>
      <w:r>
        <w:rPr>
          <w:rFonts w:cs="Times New Roman"/>
        </w:rPr>
        <w:t>–</w:t>
      </w:r>
      <w:r w:rsidRPr="00C95E6B">
        <w:rPr>
          <w:rFonts w:cs="Times New Roman"/>
        </w:rPr>
        <w:t xml:space="preserve"> weliswaar oude </w:t>
      </w:r>
      <w:r>
        <w:rPr>
          <w:rFonts w:cs="Times New Roman"/>
        </w:rPr>
        <w:t>–</w:t>
      </w:r>
      <w:r w:rsidRPr="00C95E6B">
        <w:rPr>
          <w:rFonts w:cs="Times New Roman"/>
        </w:rPr>
        <w:t xml:space="preserve"> voorbeelden geeft waar op onrechtmatigde wijze kennisgeving werd gedaan van de bekrachtiging vooraleer het verdrag de vereiste parlementaire instemming had bekomen (J. </w:t>
      </w:r>
      <w:r w:rsidRPr="00C95E6B">
        <w:rPr>
          <w:rFonts w:cs="Times New Roman"/>
          <w:smallCaps/>
        </w:rPr>
        <w:t>Masquelin</w:t>
      </w:r>
      <w:r w:rsidRPr="00C95E6B">
        <w:rPr>
          <w:rFonts w:cs="Times New Roman"/>
        </w:rPr>
        <w:t xml:space="preserve">, </w:t>
      </w:r>
      <w:r w:rsidRPr="00C95E6B">
        <w:rPr>
          <w:rFonts w:cs="Times New Roman"/>
          <w:i/>
        </w:rPr>
        <w:t>Le droit des traités dans l’ordre juridique et dans la pratique diplomatique belges</w:t>
      </w:r>
      <w:r w:rsidRPr="00C95E6B">
        <w:rPr>
          <w:rFonts w:cs="Times New Roman"/>
        </w:rPr>
        <w:t>, Brussel, Bruylant, 1980, 289-290).</w:t>
      </w:r>
      <w:r>
        <w:rPr>
          <w:rFonts w:cs="Times New Roman"/>
        </w:rPr>
        <w:t xml:space="preserve"> </w:t>
      </w:r>
    </w:p>
  </w:footnote>
  <w:footnote w:id="75">
    <w:p w14:paraId="23729C71" w14:textId="77777777" w:rsidR="00AB5378" w:rsidRDefault="00AB5378" w:rsidP="00B2070B">
      <w:pPr>
        <w:pStyle w:val="Voetnoottekst"/>
        <w:shd w:val="clear" w:color="auto" w:fill="FFFFFF" w:themeFill="background1"/>
        <w:spacing w:after="0"/>
      </w:pPr>
      <w:r w:rsidRPr="00600293">
        <w:rPr>
          <w:rStyle w:val="Voetnootmarkering"/>
        </w:rPr>
        <w:footnoteRef/>
      </w:r>
      <w:r w:rsidRPr="00600293">
        <w:t xml:space="preserve"> </w:t>
      </w:r>
      <w:r w:rsidRPr="00B2070B">
        <w:rPr>
          <w:rFonts w:cs="Times New Roman"/>
        </w:rPr>
        <w:t>In dat verband kan ook worden gewezen op de kortere termijn om een beroep in te stellen bij het Grondwettelijk Hof tegen instemmingshandelingen met verdragen (zie artikel 3, § 2, van de bijzondere wet van 6 januari 1989 ‘op het Grondwettelijk Hof’). Deze heeft net tot doel om dergelijke situaties te voorkomen: door het afwachten van het verloop van deze verkorte termijn zonder dat een vernietigingsberoep werd ingesteld, zou de Koning (of de regering) met een gerust(er) gemoed op internationaal vlak zijn wilsovereenstemming kunnen uitdrukken.</w:t>
      </w:r>
    </w:p>
  </w:footnote>
  <w:footnote w:id="76">
    <w:p w14:paraId="7EE85844"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adv.RvS 57.871/VR van 25 september 2015, nrs. 5 en 15.</w:t>
      </w:r>
    </w:p>
  </w:footnote>
  <w:footnote w:id="77">
    <w:p w14:paraId="328F11E7" w14:textId="77777777" w:rsidR="00AB5378" w:rsidRDefault="00AB5378">
      <w:pPr>
        <w:pStyle w:val="Normaalweb"/>
        <w:spacing w:beforeLines="0" w:afterLines="0"/>
        <w:rPr>
          <w:rFonts w:ascii="Times New Roman" w:eastAsia="Times New Roman" w:hAnsi="Times New Roman"/>
          <w:lang w:val="nl-BE" w:eastAsia="en-GB"/>
        </w:rPr>
      </w:pPr>
      <w:r w:rsidRPr="00C95E6B">
        <w:rPr>
          <w:rStyle w:val="Voetnootmarkering"/>
          <w:rFonts w:ascii="Times New Roman" w:hAnsi="Times New Roman"/>
        </w:rPr>
        <w:footnoteRef/>
      </w:r>
      <w:r w:rsidRPr="00C95E6B">
        <w:rPr>
          <w:rFonts w:ascii="Times New Roman" w:hAnsi="Times New Roman"/>
          <w:lang w:val="nl-BE"/>
        </w:rPr>
        <w:t xml:space="preserve"> Bv. adv.RvS 66.170/2/V van 11 september 2019, nr. 3.2.1; adv.RvS 61.332/3 van 15 mei 2017, nrs. 5-5.2.2 en adv.RvS 59.086/VR van 25 april 2016, nr. 7.</w:t>
      </w:r>
    </w:p>
  </w:footnote>
  <w:footnote w:id="78">
    <w:p w14:paraId="35AEA5A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Deze bewoording dient natuurlijk in samenhang te worden gelezen met de artikelen 10, 11 en 191 Grondwet in het licht waarvan het problematisch zou zijn om eenzelfde bescherming te ontzeggen aan niet-Belgen (adv.RvS 64.275/1 van 25 oktober 2018, noot 13). </w:t>
      </w:r>
    </w:p>
  </w:footnote>
  <w:footnote w:id="79">
    <w:p w14:paraId="0815F69A"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adv.RvS 64.275/1 van 25 oktober 2018, nr. 9.1.</w:t>
      </w:r>
    </w:p>
  </w:footnote>
  <w:footnote w:id="80">
    <w:p w14:paraId="4DA219E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B2070B">
        <w:rPr>
          <w:rFonts w:cs="Times New Roman"/>
        </w:rPr>
        <w:t>Artikel 92</w:t>
      </w:r>
      <w:r w:rsidRPr="00B2070B">
        <w:rPr>
          <w:rFonts w:cs="Times New Roman"/>
          <w:i/>
        </w:rPr>
        <w:t>bis</w:t>
      </w:r>
      <w:r w:rsidRPr="00B2070B">
        <w:rPr>
          <w:rFonts w:cs="Times New Roman"/>
        </w:rPr>
        <w:t>, §1, tweede lid, tweede en derde zin, BWHI; Cass 14 september 2018, AR C.17.0620.N, Haven van Brussel/Vlaamse Waterweg nv en RvS 3 december 2015, nr. 233.137, Vlaams Gewest/Waals Gewest, nr. 47</w:t>
      </w:r>
      <w:r w:rsidRPr="00C95E6B">
        <w:rPr>
          <w:rFonts w:cs="Times New Roman"/>
        </w:rPr>
        <w:t xml:space="preserve">. </w:t>
      </w:r>
    </w:p>
  </w:footnote>
  <w:footnote w:id="81">
    <w:p w14:paraId="5EC7C5D2" w14:textId="25AB5E24" w:rsidR="00AB5378" w:rsidRDefault="00AB5378">
      <w:pPr>
        <w:pStyle w:val="Voetnoottekst"/>
        <w:spacing w:after="0"/>
        <w:rPr>
          <w:rFonts w:cs="Times New Roman"/>
          <w:lang w:val="nl-NL"/>
        </w:rPr>
      </w:pPr>
      <w:r w:rsidRPr="00E93D19">
        <w:rPr>
          <w:rStyle w:val="Voetnootmarkering"/>
          <w:rFonts w:cs="Times New Roman"/>
        </w:rPr>
        <w:footnoteRef/>
      </w:r>
      <w:r w:rsidRPr="00E93D19">
        <w:rPr>
          <w:rFonts w:cs="Times New Roman"/>
        </w:rPr>
        <w:t xml:space="preserve"> </w:t>
      </w:r>
      <w:r w:rsidRPr="00E93D19">
        <w:rPr>
          <w:rFonts w:cs="Times New Roman"/>
          <w:lang w:val="nl-NL"/>
        </w:rPr>
        <w:t>Artikel 167, §2, tweede zin, §3, tweede zin, Grondwet.</w:t>
      </w:r>
      <w:r>
        <w:rPr>
          <w:rFonts w:cs="Times New Roman"/>
          <w:lang w:val="nl-NL"/>
        </w:rPr>
        <w:t xml:space="preserve"> </w:t>
      </w:r>
      <w:r>
        <w:t xml:space="preserve">Niettegenstaande een praktijk van </w:t>
      </w:r>
      <w:r w:rsidRPr="00B2070B">
        <w:rPr>
          <w:i/>
        </w:rPr>
        <w:t xml:space="preserve">executive </w:t>
      </w:r>
      <w:proofErr w:type="spellStart"/>
      <w:r w:rsidRPr="00B2070B">
        <w:rPr>
          <w:i/>
        </w:rPr>
        <w:t>agreements</w:t>
      </w:r>
      <w:proofErr w:type="spellEnd"/>
      <w:r>
        <w:t xml:space="preserve">, zie </w:t>
      </w:r>
      <w:r w:rsidRPr="00B2070B">
        <w:rPr>
          <w:i/>
          <w:iCs/>
        </w:rPr>
        <w:t>infra</w:t>
      </w:r>
      <w:r>
        <w:rPr>
          <w:i/>
          <w:iCs/>
        </w:rPr>
        <w:t xml:space="preserve"> </w:t>
      </w:r>
      <w:r>
        <w:rPr>
          <w:iCs/>
        </w:rPr>
        <w:t>nr. 19.</w:t>
      </w:r>
    </w:p>
  </w:footnote>
  <w:footnote w:id="82">
    <w:p w14:paraId="73B0177B"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lang w:val="nl-NL"/>
        </w:rPr>
        <w:t xml:space="preserve"> Bv. RvS 23 september 2011, nr. 215.309, Cléon Angelo e.a., blz. 16; RvS 13 februari 2008, nr. 179.544, résidence le Charlemagne, blz. 15-16; RvS 19 september 2007, nr. 174.635, seniorerie la Pairelle, blz. 4; RvS 9 december 2005, nr. 152.449, seniorerie de Carlsbourg, blz. 13-14; adv.RvS 64.275/1 van 25 oktober 2018, nr. 9.1 ; </w:t>
      </w:r>
      <w:r w:rsidRPr="00C95E6B">
        <w:rPr>
          <w:rFonts w:cs="Times New Roman"/>
        </w:rPr>
        <w:t xml:space="preserve">adv.RvS 61.332/3 van 15 mei 2017, nrs. 5-5.2.2.; adv.RvS 59.086/VR van 25 april 2016, nr. 7; </w:t>
      </w:r>
      <w:r w:rsidRPr="00C95E6B">
        <w:rPr>
          <w:rFonts w:cs="Times New Roman"/>
          <w:lang w:val="nl-NL"/>
        </w:rPr>
        <w:t xml:space="preserve">adv.RvS 42.375/AV van 20 maart 2007, nrs. 2-10 en verwijzingen aldaar. </w:t>
      </w:r>
    </w:p>
  </w:footnote>
  <w:footnote w:id="83">
    <w:p w14:paraId="4581C10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Sinds de inwerkingtreding van de Zesde Staatshervorming bestaat er ook geen reden meer om akkoorden van een eerder technische of administratieve aard te ontzien van de principiële instemmingsvereiste van de wetgever overeenkomstig artikel 92</w:t>
      </w:r>
      <w:r w:rsidRPr="00C95E6B">
        <w:rPr>
          <w:rFonts w:cs="Times New Roman"/>
          <w:i/>
          <w:iCs/>
        </w:rPr>
        <w:t>bis</w:t>
      </w:r>
      <w:r w:rsidRPr="00C95E6B">
        <w:rPr>
          <w:rFonts w:cs="Times New Roman"/>
        </w:rPr>
        <w:t>, §1, tweede lid, BWHI, aangezien hiervoor thans gebruik kan worden gemaakt van het geëigende instrument van uitvoerende samenwerkingsakkoorden overeenkomstig artikel 92</w:t>
      </w:r>
      <w:r w:rsidRPr="00C95E6B">
        <w:rPr>
          <w:rFonts w:cs="Times New Roman"/>
          <w:i/>
          <w:iCs/>
        </w:rPr>
        <w:t>bis</w:t>
      </w:r>
      <w:r w:rsidRPr="00C95E6B">
        <w:rPr>
          <w:rFonts w:cs="Times New Roman"/>
        </w:rPr>
        <w:t>, §1, derde lid, BWHI (</w:t>
      </w:r>
      <w:r w:rsidRPr="00C95E6B">
        <w:rPr>
          <w:rFonts w:cs="Times New Roman"/>
          <w:i/>
          <w:iCs/>
        </w:rPr>
        <w:t>infra</w:t>
      </w:r>
      <w:r w:rsidRPr="00C95E6B">
        <w:rPr>
          <w:rFonts w:cs="Times New Roman"/>
        </w:rPr>
        <w:t xml:space="preserve"> </w:t>
      </w:r>
      <w:r w:rsidRPr="00B2070B">
        <w:t>hoofdstuk VI</w:t>
      </w:r>
      <w:r w:rsidRPr="00C95E6B">
        <w:rPr>
          <w:rFonts w:cs="Times New Roman"/>
        </w:rPr>
        <w:t xml:space="preserve">). </w:t>
      </w:r>
    </w:p>
  </w:footnote>
  <w:footnote w:id="84">
    <w:p w14:paraId="1DD7AA79" w14:textId="47A3FF1D"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In de Mededeling aan het Overlegcomité ‘Tips voor het realiseren van een samenwerkingsakkoord’ van 10 februari 2015 wordt gesproken van “Samenwerkingsakkoorden in vereenvoudigde vorm” of de “samenwerkingsakkoorden categorie I”, in de Omzendbrief VR 2017/11 betreffende samenwerking met het Vlaams Parlement van 17 maart 2017 wordt dan weer gesproken van “administratieve samenwerkingsovereenkomsten” (raadpleegbaar op: </w:t>
      </w:r>
      <w:hyperlink r:id="rId7" w:history="1">
        <w:r w:rsidRPr="00E93D19">
          <w:rPr>
            <w:rStyle w:val="Hyperlink"/>
            <w:rFonts w:eastAsiaTheme="majorEastAsia"/>
            <w:sz w:val="20"/>
            <w:szCs w:val="20"/>
            <w:lang w:val="nl-BE"/>
          </w:rPr>
          <w:t>https://www.vademecumvlaamseregering.be/entity.aspx?id=123</w:t>
        </w:r>
      </w:hyperlink>
      <w:r w:rsidRPr="00E93D19">
        <w:rPr>
          <w:sz w:val="20"/>
          <w:szCs w:val="20"/>
          <w:lang w:val="nl-BE"/>
        </w:rPr>
        <w:t>).</w:t>
      </w:r>
    </w:p>
  </w:footnote>
  <w:footnote w:id="85">
    <w:p w14:paraId="75B3B7E0" w14:textId="77777777" w:rsidR="00AB5378" w:rsidRDefault="00AB5378">
      <w:pPr>
        <w:pStyle w:val="sdfootnote-western"/>
        <w:spacing w:before="0" w:beforeAutospacing="0" w:after="0" w:line="240" w:lineRule="auto"/>
        <w:ind w:left="0" w:firstLine="0"/>
        <w:jc w:val="both"/>
        <w:rPr>
          <w:rFonts w:ascii="Times New Roman" w:hAnsi="Times New Roman"/>
          <w:lang w:val="nl-BE"/>
        </w:rPr>
      </w:pPr>
      <w:r w:rsidRPr="00C95E6B">
        <w:rPr>
          <w:rStyle w:val="Voetnootmarkering"/>
          <w:rFonts w:ascii="Times New Roman" w:eastAsiaTheme="majorEastAsia" w:hAnsi="Times New Roman"/>
        </w:rPr>
        <w:footnoteRef/>
      </w:r>
      <w:r w:rsidRPr="00C95E6B">
        <w:rPr>
          <w:rFonts w:ascii="Times New Roman" w:hAnsi="Times New Roman"/>
          <w:lang w:val="nl-NL"/>
        </w:rPr>
        <w:t xml:space="preserve"> Zie bv. </w:t>
      </w:r>
      <w:r w:rsidRPr="00C95E6B">
        <w:rPr>
          <w:rFonts w:ascii="Times New Roman" w:hAnsi="Times New Roman"/>
          <w:lang w:val="nl-BE"/>
        </w:rPr>
        <w:t xml:space="preserve">RvS 3 december 2015, nr. 233.137, Vlaams Gewest/Waals Gewest, nr. 47; adv.RvS 54.053/2 en 54.052/2 van 25 september 2013 (organiseren van gemeenschappelijke diensten overeenkomstig artikel 77 BWHI) en </w:t>
      </w:r>
      <w:r w:rsidRPr="00C95E6B">
        <w:rPr>
          <w:rFonts w:ascii="Times New Roman" w:hAnsi="Times New Roman"/>
          <w:lang w:val="nl-NL"/>
        </w:rPr>
        <w:t>adv.RvS 44.513/4 van 26 mei 2008</w:t>
      </w:r>
      <w:r w:rsidRPr="00C95E6B">
        <w:rPr>
          <w:rFonts w:ascii="Times New Roman" w:hAnsi="Times New Roman"/>
          <w:iCs/>
          <w:lang w:val="nl-BE"/>
        </w:rPr>
        <w:t>.</w:t>
      </w:r>
    </w:p>
  </w:footnote>
  <w:footnote w:id="86">
    <w:p w14:paraId="0AA1F700" w14:textId="797EDD2A"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w:t>
      </w:r>
      <w:r w:rsidRPr="00C95E6B">
        <w:rPr>
          <w:sz w:val="20"/>
          <w:szCs w:val="20"/>
          <w:lang w:val="nl-NL"/>
        </w:rPr>
        <w:t xml:space="preserve">Bv. </w:t>
      </w:r>
      <w:r w:rsidRPr="00C95E6B">
        <w:rPr>
          <w:sz w:val="20"/>
          <w:szCs w:val="20"/>
          <w:lang w:val="nl-BE"/>
        </w:rPr>
        <w:t xml:space="preserve">RvS 13 februari 2008, nr. 179.544, résidence le Charlemagne, blz. 15-16; RvS 19 september 2007, nr. 174.635, seniorerie la Pairelle, blz. 4 ; </w:t>
      </w:r>
      <w:r w:rsidRPr="00C95E6B">
        <w:rPr>
          <w:sz w:val="20"/>
          <w:szCs w:val="20"/>
          <w:lang w:val="nl-NL"/>
        </w:rPr>
        <w:t>adv.RvS 44.947-9/VR van 19 augustus 2008, nr. 2 en adv.RvS 44.700/3 van 9 juni 2008, nr. 5 en voetnoot 3.</w:t>
      </w:r>
    </w:p>
  </w:footnote>
  <w:footnote w:id="87">
    <w:p w14:paraId="028D80C3" w14:textId="429E743B" w:rsidR="00AB5378" w:rsidRDefault="00AB5378">
      <w:pPr>
        <w:pStyle w:val="Normaalweb"/>
        <w:spacing w:beforeLines="0" w:afterLines="0"/>
        <w:rPr>
          <w:rFonts w:ascii="Times New Roman" w:hAnsi="Times New Roman"/>
          <w:lang w:val="nl-NL"/>
        </w:rPr>
      </w:pPr>
      <w:r w:rsidRPr="00C95E6B">
        <w:rPr>
          <w:rStyle w:val="Voetnootmarkering"/>
          <w:rFonts w:ascii="Times New Roman" w:hAnsi="Times New Roman"/>
        </w:rPr>
        <w:footnoteRef/>
      </w:r>
      <w:r w:rsidRPr="00C95E6B">
        <w:rPr>
          <w:rFonts w:ascii="Times New Roman" w:hAnsi="Times New Roman"/>
          <w:lang w:val="fr-BE"/>
        </w:rPr>
        <w:t xml:space="preserve"> Wat </w:t>
      </w:r>
      <w:proofErr w:type="spellStart"/>
      <w:r w:rsidRPr="00C95E6B">
        <w:rPr>
          <w:rFonts w:ascii="Times New Roman" w:hAnsi="Times New Roman"/>
          <w:lang w:val="fr-BE"/>
        </w:rPr>
        <w:t>betreft</w:t>
      </w:r>
      <w:proofErr w:type="spellEnd"/>
      <w:r w:rsidRPr="00C95E6B">
        <w:rPr>
          <w:rFonts w:ascii="Times New Roman" w:hAnsi="Times New Roman"/>
          <w:lang w:val="fr-BE"/>
        </w:rPr>
        <w:t xml:space="preserve"> </w:t>
      </w:r>
      <w:proofErr w:type="spellStart"/>
      <w:r w:rsidRPr="00C95E6B">
        <w:rPr>
          <w:rFonts w:ascii="Times New Roman" w:hAnsi="Times New Roman"/>
          <w:lang w:val="fr-BE"/>
        </w:rPr>
        <w:t>samenwerkingsakkoorden</w:t>
      </w:r>
      <w:proofErr w:type="spellEnd"/>
      <w:r w:rsidRPr="00C95E6B">
        <w:rPr>
          <w:rFonts w:ascii="Times New Roman" w:hAnsi="Times New Roman"/>
          <w:lang w:val="fr-BE"/>
        </w:rPr>
        <w:t xml:space="preserve">, </w:t>
      </w:r>
      <w:proofErr w:type="spellStart"/>
      <w:r w:rsidRPr="00C95E6B">
        <w:rPr>
          <w:rFonts w:ascii="Times New Roman" w:hAnsi="Times New Roman"/>
          <w:lang w:val="fr-BE"/>
        </w:rPr>
        <w:t>zie</w:t>
      </w:r>
      <w:proofErr w:type="spellEnd"/>
      <w:r w:rsidRPr="00C95E6B">
        <w:rPr>
          <w:rFonts w:ascii="Times New Roman" w:hAnsi="Times New Roman"/>
          <w:lang w:val="fr-BE"/>
        </w:rPr>
        <w:t> </w:t>
      </w:r>
      <w:proofErr w:type="spellStart"/>
      <w:r w:rsidRPr="00C95E6B">
        <w:rPr>
          <w:rFonts w:ascii="Times New Roman" w:hAnsi="Times New Roman"/>
          <w:lang w:val="fr-BE"/>
        </w:rPr>
        <w:t>a</w:t>
      </w:r>
      <w:r w:rsidRPr="00A87036">
        <w:rPr>
          <w:rFonts w:ascii="Times New Roman" w:hAnsi="Times New Roman"/>
          <w:lang w:val="fr-BE"/>
        </w:rPr>
        <w:t>dv.RvS</w:t>
      </w:r>
      <w:proofErr w:type="spellEnd"/>
      <w:r w:rsidRPr="00A87036">
        <w:rPr>
          <w:rFonts w:ascii="Times New Roman" w:hAnsi="Times New Roman"/>
          <w:lang w:val="fr-BE"/>
        </w:rPr>
        <w:t xml:space="preserve"> 59.829/AV van 8 september 2016, blz. 9 (“La prise d’effet d’un accord de coopération, tant dans la sphère concernant la relation du niveau de pouvoir concerné avec les autres parties contractantes que dans celle de son ordre juridique propre, est donc subordonnée à l’assentiment législatif à son égard, qui doit émaner de toutes ces parties”) en a</w:t>
      </w:r>
      <w:r w:rsidRPr="00C95E6B">
        <w:rPr>
          <w:rFonts w:ascii="Times New Roman" w:hAnsi="Times New Roman"/>
          <w:lang w:val="fr-BE"/>
        </w:rPr>
        <w:t xml:space="preserve">dv.RvS 42.375-7/AV van 20 maart 2007, nr. 20 (“Il convient enfin de rappeler que, s’agissant d’accords de coopération, le dispositif relatif à leur assentiment […] ne sera complet que lorsque l’ensemble des assemblées législatives concernées auront donné leur assentiment aux accords de coopération en cause”). </w:t>
      </w:r>
      <w:r w:rsidRPr="00C95E6B">
        <w:rPr>
          <w:rFonts w:ascii="Times New Roman" w:hAnsi="Times New Roman"/>
          <w:lang w:val="nl-NL"/>
        </w:rPr>
        <w:t xml:space="preserve">Wat betreft verdragen, zie bv. </w:t>
      </w:r>
      <w:r w:rsidRPr="00C95E6B">
        <w:rPr>
          <w:rFonts w:ascii="Times New Roman" w:hAnsi="Times New Roman"/>
          <w:lang w:val="nl-BE"/>
        </w:rPr>
        <w:t>Cass. 12 maart 2001,</w:t>
      </w:r>
      <w:r w:rsidRPr="00C95E6B">
        <w:rPr>
          <w:rFonts w:ascii="Times New Roman" w:hAnsi="Times New Roman"/>
          <w:i/>
          <w:lang w:val="nl-BE"/>
        </w:rPr>
        <w:t xml:space="preserve"> Liga van de Arabische Staten</w:t>
      </w:r>
      <w:r w:rsidRPr="00C95E6B">
        <w:rPr>
          <w:rFonts w:ascii="Times New Roman" w:hAnsi="Times New Roman"/>
          <w:lang w:val="nl-BE"/>
        </w:rPr>
        <w:t xml:space="preserve">, </w:t>
      </w:r>
      <w:r w:rsidRPr="00C95E6B">
        <w:rPr>
          <w:rFonts w:ascii="Times New Roman" w:hAnsi="Times New Roman"/>
          <w:i/>
          <w:lang w:val="nl-BE"/>
        </w:rPr>
        <w:t>Arr.Cass.</w:t>
      </w:r>
      <w:r w:rsidRPr="00C95E6B">
        <w:rPr>
          <w:rFonts w:ascii="Times New Roman" w:hAnsi="Times New Roman"/>
          <w:lang w:val="nl-BE"/>
        </w:rPr>
        <w:t xml:space="preserve"> 2001, 395, concl. J. </w:t>
      </w:r>
      <w:r w:rsidRPr="00C95E6B">
        <w:rPr>
          <w:rFonts w:ascii="Times New Roman" w:hAnsi="Times New Roman"/>
          <w:smallCaps/>
          <w:lang w:val="nl-BE"/>
        </w:rPr>
        <w:t>Leclercq</w:t>
      </w:r>
      <w:r w:rsidRPr="00C95E6B">
        <w:rPr>
          <w:rFonts w:ascii="Times New Roman" w:hAnsi="Times New Roman"/>
          <w:lang w:val="nl-BE"/>
        </w:rPr>
        <w:t xml:space="preserve">.; </w:t>
      </w:r>
      <w:r w:rsidRPr="00C95E6B">
        <w:rPr>
          <w:rFonts w:ascii="Times New Roman" w:hAnsi="Times New Roman"/>
          <w:lang w:val="nl-NL"/>
        </w:rPr>
        <w:t xml:space="preserve">J. </w:t>
      </w:r>
      <w:r w:rsidRPr="00C95E6B">
        <w:rPr>
          <w:rFonts w:ascii="Times New Roman" w:hAnsi="Times New Roman"/>
          <w:smallCaps/>
          <w:lang w:val="nl-NL"/>
        </w:rPr>
        <w:t>Wouters</w:t>
      </w:r>
      <w:r w:rsidRPr="00C95E6B">
        <w:rPr>
          <w:rFonts w:ascii="Times New Roman" w:hAnsi="Times New Roman"/>
          <w:lang w:val="nl-NL"/>
        </w:rPr>
        <w:t xml:space="preserve"> en D. </w:t>
      </w:r>
      <w:r w:rsidRPr="00C95E6B">
        <w:rPr>
          <w:rFonts w:ascii="Times New Roman" w:hAnsi="Times New Roman"/>
          <w:smallCaps/>
          <w:lang w:val="nl-NL"/>
        </w:rPr>
        <w:t>Van Eeckhoutte</w:t>
      </w:r>
      <w:r w:rsidRPr="00C95E6B">
        <w:rPr>
          <w:rFonts w:ascii="Times New Roman" w:hAnsi="Times New Roman"/>
          <w:lang w:val="nl-NL"/>
        </w:rPr>
        <w:t xml:space="preserve">, “Doorwerking van internationaal recht in de Belgische rechtsorde: een overzicht van bronnen en instrumenten” in J. </w:t>
      </w:r>
      <w:r w:rsidRPr="00C95E6B">
        <w:rPr>
          <w:rFonts w:ascii="Times New Roman" w:hAnsi="Times New Roman"/>
          <w:smallCaps/>
          <w:lang w:val="nl-NL"/>
        </w:rPr>
        <w:t>Wouters</w:t>
      </w:r>
      <w:r w:rsidRPr="00C95E6B">
        <w:rPr>
          <w:rFonts w:ascii="Times New Roman" w:hAnsi="Times New Roman"/>
          <w:lang w:val="nl-NL"/>
        </w:rPr>
        <w:t xml:space="preserve"> en D. </w:t>
      </w:r>
      <w:r w:rsidRPr="00C95E6B">
        <w:rPr>
          <w:rFonts w:ascii="Times New Roman" w:hAnsi="Times New Roman"/>
          <w:smallCaps/>
          <w:lang w:val="nl-NL"/>
        </w:rPr>
        <w:t>Van Eeckhoutte</w:t>
      </w:r>
      <w:r w:rsidRPr="00C95E6B">
        <w:rPr>
          <w:rFonts w:ascii="Times New Roman" w:hAnsi="Times New Roman"/>
          <w:lang w:val="nl-NL"/>
        </w:rPr>
        <w:t xml:space="preserve"> (eds.), </w:t>
      </w:r>
      <w:r w:rsidRPr="00C95E6B">
        <w:rPr>
          <w:rFonts w:ascii="Times New Roman" w:hAnsi="Times New Roman"/>
          <w:i/>
          <w:iCs/>
          <w:lang w:val="nl-NL"/>
        </w:rPr>
        <w:t xml:space="preserve">Doorwerking van internationaal recht in de Belgische </w:t>
      </w:r>
      <w:r w:rsidRPr="00C95E6B">
        <w:rPr>
          <w:rFonts w:ascii="Times New Roman" w:hAnsi="Times New Roman"/>
          <w:lang w:val="nl-NL"/>
        </w:rPr>
        <w:t>rechtsorde, Antwerpen, Intersentia, 2006 (3) 9 en 11, nrs. 6 en 8.</w:t>
      </w:r>
    </w:p>
  </w:footnote>
  <w:footnote w:id="88">
    <w:p w14:paraId="09917071"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w:t>
      </w:r>
      <w:r w:rsidRPr="00C95E6B">
        <w:rPr>
          <w:sz w:val="20"/>
          <w:szCs w:val="20"/>
          <w:lang w:val="nl-NL"/>
        </w:rPr>
        <w:t>Adv.RvS 45.556/VR van 15 december 2008</w:t>
      </w:r>
      <w:r w:rsidRPr="00C95E6B">
        <w:rPr>
          <w:i/>
          <w:iCs/>
          <w:sz w:val="20"/>
          <w:szCs w:val="20"/>
          <w:lang w:val="nl-NL"/>
        </w:rPr>
        <w:t xml:space="preserve">. </w:t>
      </w:r>
    </w:p>
  </w:footnote>
  <w:footnote w:id="89">
    <w:p w14:paraId="2B9349F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beginsel van de autonomie van de deelstaten en de federale overheid kan bijgevolg aanleiding geven tot gedifferentieerde regelingen, al moeten elk van deze overheden inspanningen leveren om daaruit voortvloeiende ongelijke behandelingen zo veel mogelijk te voorkomen of te beperken (adv.RvS 58.291/3 van 19 oktober 2015, blz. 31. Zie ook: 66089/4 van 26/06/2019, blz. 11; adv.RvS 61.029/VR van 29 maart 2017, nrs. 3.1-3.2; adv.RvS 61.021/VR van 29 maart 2017, nrs. 3 en adv.RvS 60.849/VR van 31 maart 2017, nrs. 5). Zie ook: GwH 28 juni 2006, nr. 109/2006, §§ B.10.2.-B.10.3.</w:t>
      </w:r>
    </w:p>
  </w:footnote>
  <w:footnote w:id="90">
    <w:p w14:paraId="4C8A3C7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20, lid 2, WVV en adv.RvS 47.317/3 van 8 december 2009, nr. 2.2.</w:t>
      </w:r>
    </w:p>
  </w:footnote>
  <w:footnote w:id="91">
    <w:p w14:paraId="6E3DF8A8" w14:textId="77777777" w:rsidR="00AB5378" w:rsidRDefault="00AB5378">
      <w:pPr>
        <w:jc w:val="both"/>
        <w:rPr>
          <w:sz w:val="20"/>
          <w:szCs w:val="20"/>
          <w:lang w:val="fr-BE"/>
        </w:rPr>
      </w:pPr>
      <w:r w:rsidRPr="00C95E6B">
        <w:rPr>
          <w:rStyle w:val="Voetnootmarkering"/>
          <w:sz w:val="20"/>
          <w:szCs w:val="20"/>
        </w:rPr>
        <w:footnoteRef/>
      </w:r>
      <w:r w:rsidRPr="00C95E6B">
        <w:rPr>
          <w:sz w:val="20"/>
          <w:szCs w:val="20"/>
          <w:lang w:val="nl-BE"/>
        </w:rPr>
        <w:t xml:space="preserve"> Bv. adv.RvS 60.479/VR van 27 januari 2017, nr. 6 en PG</w:t>
      </w:r>
      <w:r w:rsidRPr="00C95E6B">
        <w:rPr>
          <w:sz w:val="20"/>
          <w:szCs w:val="20"/>
          <w:lang w:val="nl-NL"/>
        </w:rPr>
        <w:t xml:space="preserve"> </w:t>
      </w:r>
      <w:r w:rsidRPr="00C95E6B">
        <w:rPr>
          <w:smallCaps/>
          <w:sz w:val="20"/>
          <w:szCs w:val="20"/>
          <w:lang w:val="nl-NL"/>
        </w:rPr>
        <w:t xml:space="preserve">Ganshof van der Meersch, </w:t>
      </w:r>
      <w:r w:rsidRPr="00C95E6B">
        <w:rPr>
          <w:sz w:val="20"/>
          <w:szCs w:val="20"/>
          <w:lang w:val="nl-NL"/>
        </w:rPr>
        <w:t xml:space="preserve">conclusie bij Cass. 27 mei 1971, </w:t>
      </w:r>
      <w:r w:rsidRPr="00C95E6B">
        <w:rPr>
          <w:i/>
          <w:sz w:val="20"/>
          <w:szCs w:val="20"/>
          <w:lang w:val="nl-NL"/>
        </w:rPr>
        <w:t>Le Ski</w:t>
      </w:r>
      <w:r w:rsidRPr="00C95E6B">
        <w:rPr>
          <w:sz w:val="20"/>
          <w:szCs w:val="20"/>
          <w:lang w:val="nl-NL"/>
        </w:rPr>
        <w:t xml:space="preserve">, </w:t>
      </w:r>
      <w:r w:rsidRPr="00C95E6B">
        <w:rPr>
          <w:i/>
          <w:sz w:val="20"/>
          <w:szCs w:val="20"/>
          <w:lang w:val="nl-NL"/>
        </w:rPr>
        <w:t xml:space="preserve">Pas. </w:t>
      </w:r>
      <w:r w:rsidRPr="00C95E6B">
        <w:rPr>
          <w:sz w:val="20"/>
          <w:szCs w:val="20"/>
          <w:lang w:val="nl-NL"/>
        </w:rPr>
        <w:t>1971, I, (886) 895</w:t>
      </w:r>
      <w:r w:rsidRPr="00C95E6B">
        <w:rPr>
          <w:sz w:val="20"/>
          <w:szCs w:val="20"/>
          <w:lang w:val="nl-BE"/>
        </w:rPr>
        <w:t xml:space="preserve">. Voor een kritiek dat de instemming van het parlement met een verdrag of samenwerkingsakkoord geen volwaardige parlementaire tussenkomst betreft, zie: </w:t>
      </w:r>
      <w:r w:rsidRPr="00C95E6B">
        <w:rPr>
          <w:sz w:val="20"/>
          <w:szCs w:val="20"/>
          <w:lang w:val="nl-NL"/>
        </w:rPr>
        <w:t xml:space="preserve">S. </w:t>
      </w:r>
      <w:r w:rsidRPr="00C95E6B">
        <w:rPr>
          <w:smallCaps/>
          <w:sz w:val="20"/>
          <w:szCs w:val="20"/>
          <w:lang w:val="nl-NL"/>
        </w:rPr>
        <w:t>Vandenbosch</w:t>
      </w:r>
      <w:r w:rsidRPr="00C95E6B">
        <w:rPr>
          <w:sz w:val="20"/>
          <w:szCs w:val="20"/>
          <w:lang w:val="nl-NL"/>
        </w:rPr>
        <w:t xml:space="preserve">, “Assentiment et légalité: un oxymore juridique? </w:t>
      </w:r>
      <w:r w:rsidRPr="00C95E6B">
        <w:rPr>
          <w:sz w:val="20"/>
          <w:szCs w:val="20"/>
          <w:lang w:val="fr-BE"/>
        </w:rPr>
        <w:t xml:space="preserve">Quelques réflexions autour de l’assentiment donné aux traités et aux accords de coopération” in L. </w:t>
      </w:r>
      <w:r w:rsidRPr="00C95E6B">
        <w:rPr>
          <w:smallCaps/>
          <w:sz w:val="20"/>
          <w:szCs w:val="20"/>
          <w:lang w:val="fr-BE"/>
        </w:rPr>
        <w:t xml:space="preserve">Detroux, </w:t>
      </w:r>
      <w:r w:rsidRPr="00C95E6B">
        <w:rPr>
          <w:sz w:val="20"/>
          <w:szCs w:val="20"/>
          <w:lang w:val="fr-BE"/>
        </w:rPr>
        <w:t xml:space="preserve">M. </w:t>
      </w:r>
      <w:r w:rsidRPr="00C95E6B">
        <w:rPr>
          <w:smallCaps/>
          <w:sz w:val="20"/>
          <w:szCs w:val="20"/>
          <w:lang w:val="fr-BE"/>
        </w:rPr>
        <w:t>El Berhoumi</w:t>
      </w:r>
      <w:r w:rsidRPr="00C95E6B">
        <w:rPr>
          <w:sz w:val="20"/>
          <w:szCs w:val="20"/>
          <w:lang w:val="fr-BE"/>
        </w:rPr>
        <w:t xml:space="preserve"> en B. </w:t>
      </w:r>
      <w:r w:rsidRPr="00C95E6B">
        <w:rPr>
          <w:smallCaps/>
          <w:sz w:val="20"/>
          <w:szCs w:val="20"/>
          <w:lang w:val="fr-BE"/>
        </w:rPr>
        <w:t>Lombaert</w:t>
      </w:r>
      <w:r w:rsidRPr="00C95E6B">
        <w:rPr>
          <w:sz w:val="20"/>
          <w:szCs w:val="20"/>
          <w:lang w:val="fr-BE"/>
        </w:rPr>
        <w:t xml:space="preserve">, </w:t>
      </w:r>
      <w:r w:rsidRPr="00C95E6B">
        <w:rPr>
          <w:i/>
          <w:iCs/>
          <w:sz w:val="20"/>
          <w:szCs w:val="20"/>
          <w:lang w:val="fr-BE"/>
        </w:rPr>
        <w:t>La légalité: un principe de la démocratie belge en péril?</w:t>
      </w:r>
      <w:r w:rsidRPr="00C95E6B">
        <w:rPr>
          <w:sz w:val="20"/>
          <w:szCs w:val="20"/>
          <w:lang w:val="fr-BE"/>
        </w:rPr>
        <w:t>, Brussel, Larcier, 2019, 477 e.v.</w:t>
      </w:r>
    </w:p>
  </w:footnote>
  <w:footnote w:id="92">
    <w:p w14:paraId="5A79245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Voor de federale overheid: de Kamer van Volksvertegenwoordigers.</w:t>
      </w:r>
    </w:p>
  </w:footnote>
  <w:footnote w:id="93">
    <w:p w14:paraId="7473F93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167, §§2-3, Grondwet en artikel 16, §1, BWHI. Behoudens dan voor grensverdragen waarvoor de Grondwet een </w:t>
      </w:r>
      <w:r w:rsidRPr="00C95E6B">
        <w:rPr>
          <w:rFonts w:cs="Times New Roman"/>
          <w:i/>
          <w:iCs/>
        </w:rPr>
        <w:t>wet</w:t>
      </w:r>
      <w:r w:rsidRPr="00C95E6B">
        <w:rPr>
          <w:rFonts w:cs="Times New Roman"/>
        </w:rPr>
        <w:t xml:space="preserve"> voorschrijft goedgekeurd volgens de optioneel bicamerale procedure (artikelen 7, 78, §1, 2°, 167, §1, derde lid, van de Grondwet). Artikel 16, §2, eerste lid, BWHI bepaalt enkel dat het initiatiefrecht om een verdrag aan de parlementaire instemming voor te leggen aan de regering toekomt. </w:t>
      </w:r>
      <w:r w:rsidRPr="00C95E6B">
        <w:rPr>
          <w:rFonts w:cs="Times New Roman"/>
          <w:lang w:val="fr-BE"/>
        </w:rPr>
        <w:t>Volgens de Raad van State kan de parlementaire instemming “</w:t>
      </w:r>
      <w:r w:rsidRPr="00C95E6B">
        <w:rPr>
          <w:rFonts w:cs="Times New Roman"/>
          <w:i/>
          <w:iCs/>
          <w:lang w:val="fr-BE"/>
        </w:rPr>
        <w:t>être donné sous la forme d’un décret comme il peut l’être sous la forme d’une resolution</w:t>
      </w:r>
      <w:r w:rsidRPr="00C95E6B">
        <w:rPr>
          <w:rFonts w:cs="Times New Roman"/>
          <w:lang w:val="fr-BE"/>
        </w:rPr>
        <w:t xml:space="preserve">” (adv.RvS 13.763/2 van 22 december 1980, blz. 2).  </w:t>
      </w:r>
      <w:r w:rsidRPr="00C95E6B">
        <w:rPr>
          <w:rFonts w:cs="Times New Roman"/>
        </w:rPr>
        <w:t xml:space="preserve">Zie ook: D. </w:t>
      </w:r>
      <w:r w:rsidRPr="00C95E6B">
        <w:rPr>
          <w:rFonts w:cs="Times New Roman"/>
          <w:smallCaps/>
        </w:rPr>
        <w:t>Van</w:t>
      </w:r>
      <w:r w:rsidRPr="00C95E6B">
        <w:rPr>
          <w:rFonts w:cs="Times New Roman"/>
        </w:rPr>
        <w:t xml:space="preserve"> </w:t>
      </w:r>
      <w:r w:rsidRPr="00C95E6B">
        <w:rPr>
          <w:rFonts w:cs="Times New Roman"/>
          <w:smallCaps/>
        </w:rPr>
        <w:t>Eeckhoutte</w:t>
      </w:r>
      <w:r w:rsidRPr="00C95E6B">
        <w:rPr>
          <w:rFonts w:cs="Times New Roman"/>
        </w:rPr>
        <w:t xml:space="preserve"> en T. </w:t>
      </w:r>
      <w:r w:rsidRPr="00C95E6B">
        <w:rPr>
          <w:rFonts w:cs="Times New Roman"/>
          <w:smallCaps/>
        </w:rPr>
        <w:t>Loose</w:t>
      </w:r>
      <w:r w:rsidRPr="00C95E6B">
        <w:rPr>
          <w:rFonts w:cs="Times New Roman"/>
        </w:rPr>
        <w:t xml:space="preserve">, “Wijziging zkt. Instemming. Het probleem van de parlementaire instemming met vereenvoudigde verdragswijzigingen”, </w:t>
      </w:r>
      <w:r w:rsidRPr="00C95E6B">
        <w:rPr>
          <w:rFonts w:cs="Times New Roman"/>
          <w:i/>
        </w:rPr>
        <w:t xml:space="preserve">TvW </w:t>
      </w:r>
      <w:r w:rsidRPr="00C95E6B">
        <w:rPr>
          <w:rFonts w:cs="Times New Roman"/>
        </w:rPr>
        <w:t>2007 (3), 19-23, nrs. 36-39 en L. V</w:t>
      </w:r>
      <w:r w:rsidRPr="00C95E6B">
        <w:rPr>
          <w:rFonts w:cs="Times New Roman"/>
          <w:smallCaps/>
        </w:rPr>
        <w:t>an Looy</w:t>
      </w:r>
      <w:r w:rsidRPr="00C95E6B">
        <w:rPr>
          <w:rFonts w:cs="Times New Roman"/>
        </w:rPr>
        <w:t xml:space="preserve">, “Parlementaire instemming met verdragswijzigingen: meer dan een verplicht nummer?”, </w:t>
      </w:r>
      <w:r w:rsidRPr="00C95E6B">
        <w:rPr>
          <w:rFonts w:cs="Times New Roman"/>
          <w:i/>
        </w:rPr>
        <w:t>TvW</w:t>
      </w:r>
      <w:r w:rsidRPr="00C95E6B">
        <w:rPr>
          <w:rFonts w:cs="Times New Roman"/>
        </w:rPr>
        <w:t xml:space="preserve"> 2010 (283) 286-288, nrs. 12-18.</w:t>
      </w:r>
    </w:p>
  </w:footnote>
  <w:footnote w:id="94">
    <w:p w14:paraId="202D9EF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Hieruit leiden we af dat de instemming met een verdrag wordt bekomen op het ogenblik van de plenaire stemming in het parlement, en niet op de datum van bekrachtiging en afkondiging door de regering (m.n. de datum waarop de wet tot stand komt), noch op de datum van inwerkingtreding van het instemmingswet. </w:t>
      </w:r>
      <w:r w:rsidRPr="00C95E6B">
        <w:rPr>
          <w:rFonts w:cs="Times New Roman"/>
          <w:i/>
          <w:iCs/>
        </w:rPr>
        <w:t>C</w:t>
      </w:r>
      <w:r w:rsidRPr="00C95E6B">
        <w:rPr>
          <w:rFonts w:cs="Times New Roman"/>
          <w:i/>
        </w:rPr>
        <w:t>ontra</w:t>
      </w:r>
      <w:r w:rsidRPr="00C95E6B">
        <w:rPr>
          <w:rFonts w:cs="Times New Roman"/>
        </w:rPr>
        <w:t xml:space="preserve">: Arbh. Brussel, 5 oktober 2004, AR 43.386, </w:t>
      </w:r>
      <w:r w:rsidRPr="00C95E6B">
        <w:rPr>
          <w:rFonts w:cs="Times New Roman"/>
          <w:i/>
        </w:rPr>
        <w:t>Soc.Kron</w:t>
      </w:r>
      <w:r w:rsidRPr="00C95E6B">
        <w:rPr>
          <w:rFonts w:cs="Times New Roman"/>
        </w:rPr>
        <w:t xml:space="preserve"> 2006. 166.</w:t>
      </w:r>
    </w:p>
  </w:footnote>
  <w:footnote w:id="95">
    <w:p w14:paraId="1138ECE9"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Wat betreft samenwerkingsakkoorden, zie bv. RvS 13 februari 2008, nr. 179.544, résidence le Charlemagne, blz. 15-16; RvS 23 september 2011, nr. 215.309, Cléon Angelo e.a., blz. 16; a</w:t>
      </w:r>
      <w:r w:rsidRPr="00C95E6B">
        <w:rPr>
          <w:sz w:val="20"/>
          <w:szCs w:val="20"/>
          <w:lang w:val="nl-NL"/>
        </w:rPr>
        <w:t xml:space="preserve">dv.RvS 44.781/3 van 26 juni 2008, nr. 4.2 en adv.RvS 42.375-7/AV van 20 maart 2007, nr. 9. </w:t>
      </w:r>
    </w:p>
  </w:footnote>
  <w:footnote w:id="96">
    <w:p w14:paraId="4FE5656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Wat betreft samenwerkingsakkoorden, zie bv. </w:t>
      </w:r>
      <w:r w:rsidRPr="00C95E6B">
        <w:rPr>
          <w:rFonts w:cs="Times New Roman"/>
          <w:lang w:val="nl-NL"/>
        </w:rPr>
        <w:t xml:space="preserve">RvS 9 december 2005, nr. 152.449, seniorerie de Carlsbourg, blz. 13-14. Wat betreft verdragen, zie bv. </w:t>
      </w:r>
      <w:r w:rsidRPr="00C95E6B">
        <w:rPr>
          <w:rFonts w:cs="Times New Roman"/>
        </w:rPr>
        <w:t>Cass. 12 maart 2001,</w:t>
      </w:r>
      <w:r w:rsidRPr="00C95E6B">
        <w:rPr>
          <w:rFonts w:cs="Times New Roman"/>
          <w:i/>
        </w:rPr>
        <w:t xml:space="preserve"> Liga van de Arabische Staten</w:t>
      </w:r>
      <w:r w:rsidRPr="00C95E6B">
        <w:rPr>
          <w:rFonts w:cs="Times New Roman"/>
        </w:rPr>
        <w:t xml:space="preserve">, </w:t>
      </w:r>
      <w:r w:rsidRPr="00C95E6B">
        <w:rPr>
          <w:rFonts w:cs="Times New Roman"/>
          <w:i/>
        </w:rPr>
        <w:t>Arr.Cass.</w:t>
      </w:r>
      <w:r w:rsidRPr="00C95E6B">
        <w:rPr>
          <w:rFonts w:cs="Times New Roman"/>
        </w:rPr>
        <w:t xml:space="preserve"> 2001, 395, concl. J. </w:t>
      </w:r>
      <w:r w:rsidRPr="00C95E6B">
        <w:rPr>
          <w:rFonts w:cs="Times New Roman"/>
          <w:smallCaps/>
        </w:rPr>
        <w:t>Leclercq</w:t>
      </w:r>
      <w:r w:rsidRPr="00C95E6B">
        <w:rPr>
          <w:rFonts w:cs="Times New Roman"/>
        </w:rPr>
        <w:t>.</w:t>
      </w:r>
      <w:r w:rsidRPr="00C95E6B">
        <w:rPr>
          <w:rFonts w:cs="Times New Roman"/>
          <w:lang w:val="nl-NL"/>
        </w:rPr>
        <w:t> </w:t>
      </w:r>
    </w:p>
  </w:footnote>
  <w:footnote w:id="97">
    <w:p w14:paraId="2E713568" w14:textId="0CCD817C"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w:t>
      </w:r>
      <w:r w:rsidRPr="00C95E6B">
        <w:rPr>
          <w:sz w:val="20"/>
          <w:szCs w:val="20"/>
          <w:lang w:val="nl-NL"/>
        </w:rPr>
        <w:t>Zo verzette de Raad van State zich tegen het aannemen van een ontwerp van koninklijk besluit dat beoogde uitvoering te geven aan een samenwerkingsakkoord dat “voornamelijk gesteund was op de beleidsafspraken die zijn gemaakt in het [samenwerkingsakkoord]” zolang deze laatste geen parlementaire instemming had bekomen (adv.RvS 42.068- 9/3 van 23 januari 2007 en adv.RvS 44.370/VR van 6 mei 2008)</w:t>
      </w:r>
      <w:r w:rsidRPr="00C95E6B">
        <w:rPr>
          <w:i/>
          <w:iCs/>
          <w:sz w:val="20"/>
          <w:szCs w:val="20"/>
          <w:lang w:val="nl-NL"/>
        </w:rPr>
        <w:t xml:space="preserve">. </w:t>
      </w:r>
      <w:r w:rsidRPr="00C95E6B">
        <w:rPr>
          <w:sz w:val="20"/>
          <w:szCs w:val="20"/>
          <w:lang w:val="nl-NL"/>
        </w:rPr>
        <w:t>De Raad van State verduidelijkte tevens dat</w:t>
      </w:r>
      <w:r w:rsidR="00E96531">
        <w:rPr>
          <w:sz w:val="20"/>
          <w:szCs w:val="20"/>
          <w:lang w:val="nl-NL"/>
        </w:rPr>
        <w:t>,</w:t>
      </w:r>
      <w:r w:rsidRPr="00C95E6B">
        <w:rPr>
          <w:sz w:val="20"/>
          <w:szCs w:val="20"/>
          <w:lang w:val="nl-NL"/>
        </w:rPr>
        <w:t xml:space="preserve"> h</w:t>
      </w:r>
      <w:r w:rsidRPr="00C95E6B">
        <w:rPr>
          <w:sz w:val="20"/>
          <w:szCs w:val="20"/>
          <w:lang w:val="nl-BE"/>
        </w:rPr>
        <w:t>oewel een verdrag bij gebreke aan de vereiste parlementaire instemming nog geen deel uitmaakt van de Belgische rechtsorde, dit niet belet dat de Belgische overheden het verdrag al in de praktijk zouden toepassen, mits hiervoor uiteraard voldoende rechtsgrond voorhanden is in andere, geldende decretale en reglementaire bepalingen. Een dergelijke geanticipeerde uitvoering van een verdrag mag evenwel niet zijn ingegeven door de wil om de parlementaire instemming te omzeilen (</w:t>
      </w:r>
      <w:r w:rsidRPr="00C95E6B">
        <w:rPr>
          <w:sz w:val="20"/>
          <w:szCs w:val="20"/>
          <w:lang w:val="nl-NL"/>
        </w:rPr>
        <w:t>adv.</w:t>
      </w:r>
      <w:r w:rsidRPr="00C95E6B">
        <w:rPr>
          <w:sz w:val="20"/>
          <w:szCs w:val="20"/>
          <w:lang w:val="nl-BE"/>
        </w:rPr>
        <w:t>RvS 45.044/2/V van 4 augustus 2008</w:t>
      </w:r>
      <w:r w:rsidRPr="00C95E6B">
        <w:rPr>
          <w:sz w:val="20"/>
          <w:szCs w:val="20"/>
          <w:lang w:val="nl-NL"/>
        </w:rPr>
        <w:t>, blz. 3-5).</w:t>
      </w:r>
    </w:p>
  </w:footnote>
  <w:footnote w:id="98">
    <w:p w14:paraId="481AA7B4" w14:textId="53DDCD8E" w:rsidR="00AB5378" w:rsidRDefault="00AB5378">
      <w:pPr>
        <w:pStyle w:val="Normaalweb"/>
        <w:spacing w:beforeLines="0" w:afterLines="0"/>
        <w:rPr>
          <w:rFonts w:ascii="Times New Roman" w:hAnsi="Times New Roman"/>
          <w:lang w:val="nl-NL"/>
        </w:rPr>
      </w:pPr>
      <w:r w:rsidRPr="00C95E6B">
        <w:rPr>
          <w:rStyle w:val="Voetnootmarkering"/>
          <w:rFonts w:ascii="Times New Roman" w:hAnsi="Times New Roman"/>
        </w:rPr>
        <w:footnoteRef/>
      </w:r>
      <w:r w:rsidRPr="00C95E6B">
        <w:rPr>
          <w:rFonts w:ascii="Times New Roman" w:hAnsi="Times New Roman"/>
          <w:lang w:val="nl-BE"/>
        </w:rPr>
        <w:t xml:space="preserve"> Wat betreft samenwerkingsakkoorden, zie bv. a</w:t>
      </w:r>
      <w:r w:rsidRPr="00C95E6B">
        <w:rPr>
          <w:rFonts w:ascii="Times New Roman" w:hAnsi="Times New Roman"/>
          <w:lang w:val="nl-NL"/>
        </w:rPr>
        <w:t>dv.RvS 45.554/1 van 16 december 2008, blz. 3, voetnoot 1 (“Een en ander belet niet dat de stellers van het ontwerp kunnen rekening houden met hetgeen is overeengekomen in het betrokken protocol en bijhorend aanhangsel, mits uiteraard voldoende rechtsgrond voorhanden is voor de ontworpen regeling”) en adv.RvS 42.375-7/AV van 20 maart 2007, nr. 10. Wat betreft verdragen, zie bv. adv.</w:t>
      </w:r>
      <w:r w:rsidRPr="00C95E6B">
        <w:rPr>
          <w:rFonts w:ascii="Times New Roman" w:hAnsi="Times New Roman"/>
          <w:lang w:val="nl-BE"/>
        </w:rPr>
        <w:t>RvS 45.044/2/V van 4 augustus 2008</w:t>
      </w:r>
      <w:r w:rsidRPr="00C95E6B">
        <w:rPr>
          <w:rFonts w:ascii="Times New Roman" w:hAnsi="Times New Roman"/>
          <w:lang w:val="nl-NL"/>
        </w:rPr>
        <w:t xml:space="preserve">, blz. 3-5 en J. </w:t>
      </w:r>
      <w:r w:rsidRPr="00C95E6B">
        <w:rPr>
          <w:rFonts w:ascii="Times New Roman" w:hAnsi="Times New Roman"/>
          <w:smallCaps/>
          <w:lang w:val="nl-NL"/>
        </w:rPr>
        <w:t>Wouters</w:t>
      </w:r>
      <w:r w:rsidRPr="00C95E6B">
        <w:rPr>
          <w:rFonts w:ascii="Times New Roman" w:hAnsi="Times New Roman"/>
          <w:lang w:val="nl-NL"/>
        </w:rPr>
        <w:t xml:space="preserve"> en D. </w:t>
      </w:r>
      <w:r w:rsidRPr="00C95E6B">
        <w:rPr>
          <w:rFonts w:ascii="Times New Roman" w:hAnsi="Times New Roman"/>
          <w:smallCaps/>
          <w:lang w:val="nl-NL"/>
        </w:rPr>
        <w:t>Van Eeckhoutte</w:t>
      </w:r>
      <w:r w:rsidRPr="00C95E6B">
        <w:rPr>
          <w:rFonts w:ascii="Times New Roman" w:hAnsi="Times New Roman"/>
          <w:lang w:val="nl-NL"/>
        </w:rPr>
        <w:t xml:space="preserve">, “Doorwerking van internationaal recht in de Belgische rechtsorde: een overzicht van bronnen en instrumenten” in J. </w:t>
      </w:r>
      <w:r w:rsidRPr="00C95E6B">
        <w:rPr>
          <w:rFonts w:ascii="Times New Roman" w:hAnsi="Times New Roman"/>
          <w:smallCaps/>
          <w:lang w:val="nl-NL"/>
        </w:rPr>
        <w:t>Wouters</w:t>
      </w:r>
      <w:r w:rsidRPr="00C95E6B">
        <w:rPr>
          <w:rFonts w:ascii="Times New Roman" w:hAnsi="Times New Roman"/>
          <w:lang w:val="nl-NL"/>
        </w:rPr>
        <w:t xml:space="preserve"> en D. </w:t>
      </w:r>
      <w:r w:rsidRPr="00C95E6B">
        <w:rPr>
          <w:rFonts w:ascii="Times New Roman" w:hAnsi="Times New Roman"/>
          <w:smallCaps/>
          <w:lang w:val="nl-NL"/>
        </w:rPr>
        <w:t>Van Eeckhoutte</w:t>
      </w:r>
      <w:r w:rsidRPr="00C95E6B">
        <w:rPr>
          <w:rFonts w:ascii="Times New Roman" w:hAnsi="Times New Roman"/>
          <w:lang w:val="nl-NL"/>
        </w:rPr>
        <w:t xml:space="preserve"> (eds.), </w:t>
      </w:r>
      <w:r w:rsidRPr="00C95E6B">
        <w:rPr>
          <w:rFonts w:ascii="Times New Roman" w:hAnsi="Times New Roman"/>
          <w:i/>
          <w:iCs/>
          <w:lang w:val="nl-NL"/>
        </w:rPr>
        <w:t xml:space="preserve">Doorwerking van internationaal recht in de Belgische </w:t>
      </w:r>
      <w:r w:rsidRPr="00C95E6B">
        <w:rPr>
          <w:rFonts w:ascii="Times New Roman" w:hAnsi="Times New Roman"/>
          <w:lang w:val="nl-NL"/>
        </w:rPr>
        <w:t xml:space="preserve">rechtsorde, Antwerpen, Intersentia, 2006 (3) 49, nr. 48. </w:t>
      </w:r>
    </w:p>
  </w:footnote>
  <w:footnote w:id="99">
    <w:p w14:paraId="41A084D3" w14:textId="77777777"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w:t>
      </w:r>
      <w:r w:rsidRPr="00C95E6B">
        <w:rPr>
          <w:smallCaps/>
          <w:sz w:val="20"/>
          <w:szCs w:val="20"/>
          <w:lang w:val="nl-BE"/>
        </w:rPr>
        <w:t>Raad van State</w:t>
      </w:r>
      <w:r w:rsidRPr="00C95E6B">
        <w:rPr>
          <w:sz w:val="20"/>
          <w:szCs w:val="20"/>
          <w:lang w:val="nl-BE"/>
        </w:rPr>
        <w:t xml:space="preserve">, </w:t>
      </w:r>
      <w:r w:rsidRPr="00C95E6B">
        <w:rPr>
          <w:i/>
          <w:iCs/>
          <w:sz w:val="20"/>
          <w:szCs w:val="20"/>
          <w:lang w:val="nl-BE"/>
        </w:rPr>
        <w:t>Beginselen van de wetgevingstechniek – Handleiding voor het opstellen van wetgevende en reglementaire teksten</w:t>
      </w:r>
      <w:r w:rsidRPr="00C95E6B">
        <w:rPr>
          <w:sz w:val="20"/>
          <w:szCs w:val="20"/>
          <w:lang w:val="nl-BE"/>
        </w:rPr>
        <w:t xml:space="preserve">, 2008, www.raadvst-consetat.be, tab “Wetgevingstechniek”, p. 126, aanbeveling nr. 210.2, p. 150, formules F-4-1-4-1 en F-4-1-5. </w:t>
      </w:r>
    </w:p>
    <w:p w14:paraId="461463BA" w14:textId="77777777" w:rsidR="00AB5378" w:rsidRDefault="00AB5378">
      <w:pPr>
        <w:jc w:val="both"/>
        <w:rPr>
          <w:sz w:val="20"/>
          <w:szCs w:val="20"/>
          <w:lang w:val="nl-BE"/>
        </w:rPr>
      </w:pPr>
      <w:r w:rsidRPr="00A87036">
        <w:rPr>
          <w:sz w:val="20"/>
          <w:szCs w:val="20"/>
          <w:lang w:val="nl-BE"/>
        </w:rPr>
        <w:t>Dat weerspiegelt dat internationale verdragen ook los van de instemming al – internationaalrechtelijke – “onvolkomen” gevolgen kunnen hebben, terwijl de instemming van alle partijen constitutief is voor het ontstaan van verplichtingen onder een samenwerkingsakkoord.</w:t>
      </w:r>
    </w:p>
    <w:p w14:paraId="17429E94" w14:textId="77777777" w:rsidR="00AB5378" w:rsidRDefault="00AB5378">
      <w:pPr>
        <w:jc w:val="both"/>
        <w:rPr>
          <w:sz w:val="20"/>
          <w:szCs w:val="20"/>
          <w:lang w:val="nl-BE"/>
        </w:rPr>
      </w:pPr>
      <w:r w:rsidRPr="00C95E6B">
        <w:rPr>
          <w:sz w:val="20"/>
          <w:szCs w:val="20"/>
          <w:lang w:val="nl-BE"/>
        </w:rPr>
        <w:t>De formule voor de instemming met verdragen was pertinent op het ogenblik dat enkel het federale parlement zijn instemming diende te verlenen met verdragen. Deze formule is in elk geval niet meer pertinent sinds de staatshervorming van 1993 waardoor met de meeste verdragen waarbij België partij wenst te worden meerdere Belgische parlementen eerst hun instemming moeten verlenen (de zgn. gemengde verdragen). Naar de toekomst toe zou de wetgevingstechnische formulering tevens beter luiden dat wordt “ingestemd” met een verdrag.</w:t>
      </w:r>
    </w:p>
  </w:footnote>
  <w:footnote w:id="100">
    <w:p w14:paraId="71CA5C9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Voor verdragen, zie: artikel 24, lid 1, WVV, </w:t>
      </w:r>
      <w:r w:rsidRPr="00C95E6B">
        <w:rPr>
          <w:rFonts w:cs="Times New Roman"/>
          <w:i/>
          <w:iCs/>
        </w:rPr>
        <w:t>juncto</w:t>
      </w:r>
      <w:r w:rsidRPr="00C95E6B">
        <w:rPr>
          <w:rFonts w:cs="Times New Roman"/>
        </w:rPr>
        <w:t xml:space="preserve"> artikelen 24, lid 2, en 28 WVV. Voor samenwerkingsakkoorden, zie bv. adv.RvS 54.716/VR van 21 januari 2014, nr. 3.</w:t>
      </w:r>
    </w:p>
  </w:footnote>
  <w:footnote w:id="101">
    <w:p w14:paraId="7B4F2256" w14:textId="693004F1"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Het belang van een goede en duidelijke regeling van de inwerkingtreding van een samenwerkingsakkoord wordt geïllustreerd door de discussie die ontstond toen de Vlaamse regering in zijn regeerakkoord 2019-2024 (</w:t>
      </w:r>
      <w:hyperlink r:id="rId8" w:history="1">
        <w:r w:rsidRPr="00C95E6B">
          <w:rPr>
            <w:rStyle w:val="Hyperlink"/>
            <w:rFonts w:cs="Times New Roman"/>
          </w:rPr>
          <w:t>www.vlaanderen.be/publicaties/regeerakkoord-van-de-vlaamse-regering-2019-2024</w:t>
        </w:r>
      </w:hyperlink>
      <w:r w:rsidRPr="00C95E6B">
        <w:rPr>
          <w:rFonts w:cs="Times New Roman"/>
        </w:rPr>
        <w:t xml:space="preserve">, </w:t>
      </w:r>
      <w:r w:rsidRPr="00C95E6B">
        <w:rPr>
          <w:rFonts w:cs="Times New Roman"/>
          <w:lang w:val="nl-NL"/>
        </w:rPr>
        <w:t>p. 111</w:t>
      </w:r>
      <w:r>
        <w:rPr>
          <w:rFonts w:cs="Times New Roman"/>
          <w:lang w:val="nl-NL"/>
        </w:rPr>
        <w:t>,</w:t>
      </w:r>
      <w:r w:rsidRPr="00C95E6B">
        <w:rPr>
          <w:rFonts w:cs="Times New Roman"/>
          <w:lang w:val="nl-NL"/>
        </w:rPr>
        <w:t xml:space="preserve"> nr. 3.2.5) de intentie uitte om uit het interfederale gelijkekansencentrum Unia te stappen. Unia is opgericht door het s</w:t>
      </w:r>
      <w:r w:rsidRPr="00C95E6B">
        <w:rPr>
          <w:rFonts w:cs="Times New Roman"/>
        </w:rPr>
        <w:t xml:space="preserve">amenwerkingsakkoord van 12 juni 2013 tussen de </w:t>
      </w:r>
      <w:r>
        <w:rPr>
          <w:rFonts w:cs="Times New Roman"/>
        </w:rPr>
        <w:t>f</w:t>
      </w:r>
      <w:r w:rsidRPr="00C95E6B">
        <w:rPr>
          <w:rFonts w:cs="Times New Roman"/>
        </w:rPr>
        <w:t xml:space="preserve">ederale </w:t>
      </w:r>
      <w:r>
        <w:rPr>
          <w:rFonts w:cs="Times New Roman"/>
        </w:rPr>
        <w:t>o</w:t>
      </w:r>
      <w:r w:rsidRPr="00C95E6B">
        <w:rPr>
          <w:rFonts w:cs="Times New Roman"/>
        </w:rPr>
        <w:t xml:space="preserve">verheid, de </w:t>
      </w:r>
      <w:r>
        <w:rPr>
          <w:rFonts w:cs="Times New Roman"/>
        </w:rPr>
        <w:t>g</w:t>
      </w:r>
      <w:r w:rsidRPr="00C95E6B">
        <w:rPr>
          <w:rFonts w:cs="Times New Roman"/>
        </w:rPr>
        <w:t xml:space="preserve">ewesten en de </w:t>
      </w:r>
      <w:r>
        <w:rPr>
          <w:rFonts w:cs="Times New Roman"/>
        </w:rPr>
        <w:t>g</w:t>
      </w:r>
      <w:r w:rsidRPr="00C95E6B">
        <w:rPr>
          <w:rFonts w:cs="Times New Roman"/>
        </w:rPr>
        <w:t>emeenschappen ‘voor de oprichting van het interfederaal Centrum voor gelijke kansen en bestrijding van discriminatie en racisme onder de vorm van een gemeenschappelijke instelling zoals bedoeld in artikel 92</w:t>
      </w:r>
      <w:r w:rsidRPr="00A87036">
        <w:rPr>
          <w:rFonts w:cs="Times New Roman"/>
          <w:i/>
        </w:rPr>
        <w:t>bis</w:t>
      </w:r>
      <w:r w:rsidRPr="00C95E6B">
        <w:rPr>
          <w:rFonts w:cs="Times New Roman"/>
        </w:rPr>
        <w:t xml:space="preserve"> van de bijzondere wet van 8 augustus 1980’. Volgens zijn artikel 17, §4, heeft het samenwerkingsakkoord een looptijd van drie jaar en wordt het telkens stilzwijgend verlengd voor een nieuwe periode van drie jaar, behoudens indien een partij zes maanden voor het verstrijken van die termijn van drie jaar een notificatie tot ontbinding verstuurt (artikel 17, §4). Volgens de bevoegde federale minister was Vlaanderen enkele dagen te laat met zijn notificatie en diende het niet zes maanden, maar wel drie jaar en bijna zes maanden te wachten voor het uit Unia kon stappen (M. </w:t>
      </w:r>
      <w:r w:rsidRPr="00A87036">
        <w:rPr>
          <w:rFonts w:cs="Times New Roman"/>
          <w:smallCaps/>
        </w:rPr>
        <w:t>Verbergt</w:t>
      </w:r>
      <w:r w:rsidRPr="00C95E6B">
        <w:rPr>
          <w:rFonts w:cs="Times New Roman"/>
        </w:rPr>
        <w:t xml:space="preserve">, “Vlaanderen stapt pas in 2023 uit Unia”, </w:t>
      </w:r>
      <w:r w:rsidRPr="00C95E6B">
        <w:rPr>
          <w:rFonts w:cs="Times New Roman"/>
          <w:i/>
        </w:rPr>
        <w:t xml:space="preserve">De Standaard </w:t>
      </w:r>
      <w:r w:rsidRPr="00C95E6B">
        <w:rPr>
          <w:rFonts w:cs="Times New Roman"/>
        </w:rPr>
        <w:t xml:space="preserve">3 oktober 2019). De aanleiding voor deze discussie was onduidelijkheid over de datum van inwerkingtreding van het samenwerkingsakkoord. Overeenkomstig artikel 17, §7, treedt dit in werking “na goedkeuring ervan door de wetgevende vergaderingen van alle partijen”. De laatste goedkeuring was deze van het Brussels Hoofdstedelijk Parlement. De stemming in plenaire zitting vond plaats op 28 maart 2014, de instemmingsordonnantie dateerde van 3 april 2014, deze was bekendgemaakt in het </w:t>
      </w:r>
      <w:r w:rsidRPr="00A87036">
        <w:rPr>
          <w:rFonts w:cs="Times New Roman"/>
          <w:i/>
        </w:rPr>
        <w:t>Belgisch Staatsblad</w:t>
      </w:r>
      <w:r w:rsidRPr="00C95E6B">
        <w:rPr>
          <w:rFonts w:cs="Times New Roman"/>
        </w:rPr>
        <w:t xml:space="preserve"> van 11 april 2014, maar artikel 3 bepaalde dat de ordonnantie </w:t>
      </w:r>
      <w:r w:rsidRPr="002017AA">
        <w:rPr>
          <w:rFonts w:cs="Times New Roman"/>
        </w:rPr>
        <w:t>in werking treedt</w:t>
      </w:r>
      <w:r w:rsidRPr="00C95E6B">
        <w:rPr>
          <w:rFonts w:cs="Times New Roman"/>
        </w:rPr>
        <w:t xml:space="preserve"> op 15 maart 2014. Onder de suppletieve regeling (dus zonder de regeling van inwerkingtreding in artikel 17 van het samenwerkingsakkoord) zou de notificatie van Vlaanderen op tijd geweest zijn (inwerkingtreding op 21 april 2014, dus notificatie vereist vóór 21 oktober 2019), maar in de interpretatie dat met artikel 17, §7, van het samenwerkingsakkoord beoogd werd dat deze in werking zou treden op de datum waarop de laatst bekend</w:t>
      </w:r>
      <w:r>
        <w:rPr>
          <w:rFonts w:cs="Times New Roman"/>
        </w:rPr>
        <w:t xml:space="preserve"> </w:t>
      </w:r>
      <w:r w:rsidRPr="00C95E6B">
        <w:rPr>
          <w:rFonts w:cs="Times New Roman"/>
        </w:rPr>
        <w:t>gemaakte instemmingsakte in werking treedt, was deze notificatie te laat (inwerkingtreding op 15 maart 2014, dus notificatie vereist vóór 15 september 2019). In elk geval is de regeling van inwerkingtreding van het samenwerkingsakkoord niet duidelijk en was de werkwijze van het Brussels Hoofdstedelijk Parlement door het invoegen van een inwerkingtredingsbepaling in artikel 3 van de instemmingsordonnantie bedenkelijk (</w:t>
      </w:r>
      <w:r w:rsidRPr="00A87036">
        <w:rPr>
          <w:rFonts w:cs="Times New Roman"/>
          <w:i/>
        </w:rPr>
        <w:t>supra</w:t>
      </w:r>
      <w:r w:rsidRPr="00C95E6B">
        <w:rPr>
          <w:rFonts w:cs="Times New Roman"/>
        </w:rPr>
        <w:t xml:space="preserve"> </w:t>
      </w:r>
      <w:r w:rsidRPr="00B2070B">
        <w:t>voetnoot 17</w:t>
      </w:r>
      <w:r w:rsidRPr="00C95E6B">
        <w:rPr>
          <w:rFonts w:cs="Times New Roman"/>
        </w:rPr>
        <w:t>), tenzij het parlement hiermee uitdrukking gaf aan de gemeenschappelijke wil van de partijen.</w:t>
      </w:r>
    </w:p>
  </w:footnote>
  <w:footnote w:id="102">
    <w:p w14:paraId="25E52578"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 xml:space="preserve">Parafrase artikel 24, lid 2, WVV. </w:t>
      </w:r>
    </w:p>
  </w:footnote>
  <w:footnote w:id="103">
    <w:p w14:paraId="62DB398B" w14:textId="77777777" w:rsidR="00AB5378" w:rsidRDefault="00AB5378">
      <w:pPr>
        <w:jc w:val="both"/>
        <w:rPr>
          <w:sz w:val="20"/>
          <w:szCs w:val="20"/>
          <w:lang w:val="nl-NL"/>
        </w:rPr>
      </w:pPr>
      <w:r w:rsidRPr="00C95E6B">
        <w:rPr>
          <w:rStyle w:val="Voetnootmarkering"/>
          <w:sz w:val="20"/>
          <w:szCs w:val="20"/>
        </w:rPr>
        <w:footnoteRef/>
      </w:r>
      <w:r w:rsidRPr="00C95E6B">
        <w:rPr>
          <w:sz w:val="20"/>
          <w:szCs w:val="20"/>
          <w:lang w:val="nl-BE"/>
        </w:rPr>
        <w:t xml:space="preserve"> </w:t>
      </w:r>
      <w:r w:rsidRPr="00C95E6B">
        <w:rPr>
          <w:sz w:val="20"/>
          <w:szCs w:val="20"/>
          <w:lang w:val="nl-NL"/>
        </w:rPr>
        <w:t>Artikelen 4 en 6 van de wet van 31 mei 1961 ‘betreffende het gebruik der talen in wetgevingszaken, het opmaken, bekendmaken en inwerkingtreden van wetten en verordeningen’; artikelen 56 en 84, 2°, eerste lid, BWHI; artikelen 33, tweede lid, 39, derde lid, 70</w:t>
      </w:r>
      <w:r w:rsidRPr="00C95E6B">
        <w:rPr>
          <w:i/>
          <w:iCs/>
          <w:sz w:val="20"/>
          <w:szCs w:val="20"/>
          <w:lang w:val="nl-NL"/>
        </w:rPr>
        <w:t xml:space="preserve">bis </w:t>
      </w:r>
      <w:r w:rsidRPr="00C95E6B">
        <w:rPr>
          <w:sz w:val="20"/>
          <w:szCs w:val="20"/>
          <w:lang w:val="nl-NL"/>
        </w:rPr>
        <w:t>en 73, §2, BWBI en artikelen 48 en 53, vierde lid, WDG.</w:t>
      </w:r>
    </w:p>
  </w:footnote>
  <w:footnote w:id="104">
    <w:p w14:paraId="0F3B783E" w14:textId="77777777"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w:t>
      </w:r>
      <w:r w:rsidRPr="00C95E6B">
        <w:rPr>
          <w:sz w:val="20"/>
          <w:szCs w:val="20"/>
          <w:lang w:val="nl-NL"/>
        </w:rPr>
        <w:t xml:space="preserve">Werd het samenwerkingsakkoord of een deel ervan niet bekendgemaakt in het Belgisch Staatsblad dan zullen de erin vervatte rechtsregels niet tegenwerpbaar zijn aan particulieren overeenkomstig het algemeen rechtsbeginsel van Grondwettelijke waarde dat o.m. zijn uitdrukking vindt in artikel 190 Grondwet (bv. </w:t>
      </w:r>
      <w:r w:rsidRPr="00C95E6B">
        <w:rPr>
          <w:sz w:val="20"/>
          <w:szCs w:val="20"/>
          <w:lang w:val="nl-BE"/>
        </w:rPr>
        <w:t>63.404/VR van 14 juni 2018, nr. 3.6 en advies 64.753/3 van 18 december 2018, nr. 9)</w:t>
      </w:r>
      <w:r w:rsidRPr="00C95E6B">
        <w:rPr>
          <w:sz w:val="20"/>
          <w:szCs w:val="20"/>
          <w:lang w:val="nl-NL"/>
        </w:rPr>
        <w:t>.</w:t>
      </w:r>
    </w:p>
  </w:footnote>
  <w:footnote w:id="105">
    <w:p w14:paraId="7780A7D4"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Zie bv. adv.RvS 55.586/VR van 16 september 2014, nr. 4 en adv.RvS 46.688/VR van 23 juni 2009, blz. 11.</w:t>
      </w:r>
    </w:p>
  </w:footnote>
  <w:footnote w:id="106">
    <w:p w14:paraId="1DB370E5"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adv.RvS 25.010/2 van 7 oktober 1996, nr. 5 (geen terugwerkende kracht) en adv.RvS 42.387/VR van 27 maart 2007, nrs. 8-11 (geen afgeleid samenwerkingsrecht en geen voorafgaande instemming).</w:t>
      </w:r>
    </w:p>
  </w:footnote>
  <w:footnote w:id="107">
    <w:p w14:paraId="07FEC4DB" w14:textId="77777777" w:rsidR="00AB5378" w:rsidRDefault="00AB5378">
      <w:pPr>
        <w:pStyle w:val="sdfootnote"/>
        <w:spacing w:before="0" w:beforeAutospacing="0" w:after="0" w:line="240" w:lineRule="auto"/>
        <w:ind w:left="0" w:firstLine="0"/>
        <w:jc w:val="both"/>
        <w:rPr>
          <w:rFonts w:ascii="Times New Roman" w:hAnsi="Times New Roman"/>
          <w:lang w:val="nl-BE"/>
        </w:rPr>
      </w:pPr>
      <w:r w:rsidRPr="00C95E6B">
        <w:rPr>
          <w:rStyle w:val="Voetnootmarkering"/>
          <w:rFonts w:ascii="Times New Roman" w:eastAsiaTheme="majorEastAsia" w:hAnsi="Times New Roman"/>
        </w:rPr>
        <w:footnoteRef/>
      </w:r>
      <w:r w:rsidRPr="00C95E6B">
        <w:rPr>
          <w:rFonts w:ascii="Times New Roman" w:hAnsi="Times New Roman"/>
          <w:lang w:val="nl-NL"/>
        </w:rPr>
        <w:t xml:space="preserve"> Bv. adv.RvS 42.375-7/AV van 20 maart 2007, nrs. 11 e.v.</w:t>
      </w:r>
      <w:r>
        <w:rPr>
          <w:rFonts w:ascii="Times New Roman" w:hAnsi="Times New Roman"/>
          <w:lang w:val="nl-NL"/>
        </w:rPr>
        <w:t xml:space="preserve">, </w:t>
      </w:r>
      <w:r w:rsidRPr="00C95E6B">
        <w:rPr>
          <w:rFonts w:ascii="Times New Roman" w:hAnsi="Times New Roman"/>
          <w:lang w:val="nl-NL"/>
        </w:rPr>
        <w:t>adv.RvS 48.377/VR van 6 juli 2010</w:t>
      </w:r>
      <w:r>
        <w:rPr>
          <w:rFonts w:ascii="Times New Roman" w:hAnsi="Times New Roman"/>
          <w:lang w:val="nl-NL"/>
        </w:rPr>
        <w:t xml:space="preserve"> en adv.RvS 66.792/2 van 6 januari 2020</w:t>
      </w:r>
      <w:r w:rsidRPr="00C95E6B">
        <w:rPr>
          <w:rFonts w:ascii="Times New Roman" w:hAnsi="Times New Roman"/>
          <w:lang w:val="nl-NL"/>
        </w:rPr>
        <w:t xml:space="preserve">. Dit in </w:t>
      </w:r>
      <w:r>
        <w:rPr>
          <w:rFonts w:ascii="Times New Roman" w:hAnsi="Times New Roman"/>
          <w:lang w:val="nl-NL"/>
        </w:rPr>
        <w:t>na</w:t>
      </w:r>
      <w:r w:rsidRPr="00C95E6B">
        <w:rPr>
          <w:rFonts w:ascii="Times New Roman" w:hAnsi="Times New Roman"/>
          <w:lang w:val="nl-BE"/>
        </w:rPr>
        <w:t xml:space="preserve">volging van een arrest van het Grondwettelijk Hof: </w:t>
      </w:r>
      <w:r w:rsidRPr="00C95E6B">
        <w:rPr>
          <w:rFonts w:ascii="Times New Roman" w:hAnsi="Times New Roman"/>
          <w:lang w:val="nl-NL"/>
        </w:rPr>
        <w:t>GwH 18 oktober 2006, nr. 152/2006, B.12-B.13. Zie ook : adv.RvS 64.269/VR van 17 oktober 2018, nr. 7 en adv.RvS 52.103/VR van 25 oktober 2012, nr. 2.</w:t>
      </w:r>
    </w:p>
  </w:footnote>
  <w:footnote w:id="108">
    <w:p w14:paraId="53D2B9D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adv.RvS 66.170/2/V van 11 september 2019, nr. 3.2.2 en adv.RvS 64.800/VR van 5 februari 2019, nr. 8.</w:t>
      </w:r>
    </w:p>
  </w:footnote>
  <w:footnote w:id="109">
    <w:p w14:paraId="5630FE85" w14:textId="48394CDA"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00147D68">
        <w:rPr>
          <w:rFonts w:cs="Times New Roman"/>
        </w:rPr>
        <w:t>A</w:t>
      </w:r>
      <w:proofErr w:type="spellStart"/>
      <w:r w:rsidRPr="00C95E6B">
        <w:rPr>
          <w:rFonts w:cs="Times New Roman"/>
          <w:lang w:val="nl-NL"/>
        </w:rPr>
        <w:t>rtikel</w:t>
      </w:r>
      <w:proofErr w:type="spellEnd"/>
      <w:r w:rsidRPr="00C95E6B">
        <w:rPr>
          <w:rFonts w:cs="Times New Roman"/>
          <w:lang w:val="nl-NL"/>
        </w:rPr>
        <w:t xml:space="preserve"> 25 WVV.</w:t>
      </w:r>
    </w:p>
  </w:footnote>
  <w:footnote w:id="110">
    <w:p w14:paraId="30A106BD" w14:textId="77777777" w:rsidR="00AB5378" w:rsidRDefault="00AB5378">
      <w:pPr>
        <w:jc w:val="both"/>
        <w:rPr>
          <w:sz w:val="20"/>
          <w:szCs w:val="20"/>
          <w:lang w:val="nl-BE"/>
        </w:rPr>
      </w:pPr>
      <w:r w:rsidRPr="00C95E6B">
        <w:rPr>
          <w:rStyle w:val="Voetnootmarkering"/>
          <w:sz w:val="20"/>
          <w:szCs w:val="20"/>
        </w:rPr>
        <w:footnoteRef/>
      </w:r>
      <w:r w:rsidRPr="00C95E6B">
        <w:rPr>
          <w:sz w:val="20"/>
          <w:szCs w:val="20"/>
          <w:lang w:val="nl-BE"/>
        </w:rPr>
        <w:t xml:space="preserve"> Wat betreft verdragen, zie b</w:t>
      </w:r>
      <w:r w:rsidRPr="00C95E6B">
        <w:rPr>
          <w:sz w:val="20"/>
          <w:szCs w:val="20"/>
          <w:lang w:val="nl-NL"/>
        </w:rPr>
        <w:t xml:space="preserve">v. adv.RvS </w:t>
      </w:r>
      <w:r w:rsidRPr="00C95E6B">
        <w:rPr>
          <w:sz w:val="20"/>
          <w:szCs w:val="20"/>
          <w:lang w:val="nl-BE"/>
        </w:rPr>
        <w:t>61.112/VR van 25 april 2017, nr. 3.2; adv.RvS 55.573/VR van 15 april 2014, nr. 5 en adv.RvS 55.572/VR van 15 april 2014, nr. 3.4. Wat betreft samenwerkingsakkoorden, zie bv. adv.RvS 57.871/VR van 25 september 2015, nr. 15.</w:t>
      </w:r>
    </w:p>
  </w:footnote>
  <w:footnote w:id="111">
    <w:p w14:paraId="2C8C5302" w14:textId="27E43CE2" w:rsidR="00AB5378" w:rsidRPr="00B2070B"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Een dergelijke overdracht moet in de eerste plaats gebeuren bij wet of verdrag en voldoende worden bepaald. Indien de overdracht daarbij afbreuk doet aan andere grondwettelijke bepalingen dan deze over de uitoefening van die machten, heeft de Raad van State steeds geoordeeld dat een instemming met het verdrag slechts mogelijk is na een voorafgaande herziening van de desbetreffende bepalingen van de Grondwet, zie bv. adv.RvS 44.028/AV van 29 januari 2008, nrs 7-10 en adv.RvS 28.936/2 van 21 april 1999. In arrest nr. 62/2016 van 28 april 2016 heeft het Grondwettelijk Hof daar nog aan toegevoegd dat artikel 34 van de Grondwet “in geen geval” toestaat dat op discriminerende wijze afbreuk wordt gedaan aan de nationale identiteit die besloten ligt in de politieke en constitutionele basisstructuren of aan de kernwaarden van de bescherming die de Grondwet aan de rechtsonderhorigen verleent. Zie daarover: </w:t>
      </w:r>
      <w:r>
        <w:rPr>
          <w:rFonts w:cs="Times New Roman"/>
        </w:rPr>
        <w:t xml:space="preserve">M. </w:t>
      </w:r>
      <w:r w:rsidRPr="00A87036">
        <w:rPr>
          <w:rFonts w:cs="Times New Roman"/>
          <w:smallCaps/>
          <w:spacing w:val="-3"/>
        </w:rPr>
        <w:t xml:space="preserve">El </w:t>
      </w:r>
      <w:proofErr w:type="spellStart"/>
      <w:r w:rsidRPr="00A87036">
        <w:rPr>
          <w:rFonts w:cs="Times New Roman"/>
          <w:smallCaps/>
          <w:spacing w:val="-3"/>
        </w:rPr>
        <w:t>Berhoumi</w:t>
      </w:r>
      <w:proofErr w:type="spellEnd"/>
      <w:r w:rsidRPr="00A87036">
        <w:rPr>
          <w:rFonts w:cs="Times New Roman"/>
          <w:smallCaps/>
          <w:spacing w:val="-3"/>
        </w:rPr>
        <w:t xml:space="preserve">, </w:t>
      </w:r>
      <w:r w:rsidRPr="00A87036">
        <w:rPr>
          <w:rFonts w:cs="Times New Roman"/>
          <w:spacing w:val="-3"/>
        </w:rPr>
        <w:t>e</w:t>
      </w:r>
      <w:r w:rsidRPr="00C95E6B">
        <w:rPr>
          <w:rFonts w:cs="Times New Roman"/>
          <w:spacing w:val="-3"/>
        </w:rPr>
        <w:t>.a.</w:t>
      </w:r>
      <w:r w:rsidRPr="00A87036">
        <w:rPr>
          <w:rFonts w:cs="Times New Roman"/>
          <w:spacing w:val="-3"/>
        </w:rPr>
        <w:t xml:space="preserve">, “Het Stabiliteitsverdrag-arrest van het Grondwettelijk Hof: een arrest zonder belang?” </w:t>
      </w:r>
      <w:r w:rsidRPr="00B2070B">
        <w:rPr>
          <w:rFonts w:cs="Times New Roman"/>
          <w:i/>
          <w:iCs/>
          <w:spacing w:val="-3"/>
          <w:lang w:val="nl-NL"/>
        </w:rPr>
        <w:t xml:space="preserve">CDPK </w:t>
      </w:r>
      <w:r w:rsidRPr="00B2070B">
        <w:rPr>
          <w:rFonts w:cs="Times New Roman"/>
          <w:spacing w:val="-3"/>
          <w:lang w:val="nl-NL"/>
        </w:rPr>
        <w:t>2017, 398-429.</w:t>
      </w:r>
    </w:p>
  </w:footnote>
  <w:footnote w:id="112">
    <w:p w14:paraId="1E593F1B" w14:textId="7A007B19"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34 van de Grondwet kan dan weer niet de grondslag vormen voor de overdracht van reglementaire beslissings</w:t>
      </w:r>
      <w:r w:rsidR="00E96531">
        <w:rPr>
          <w:rFonts w:cs="Times New Roman"/>
        </w:rPr>
        <w:t>be</w:t>
      </w:r>
      <w:r w:rsidRPr="00C95E6B">
        <w:rPr>
          <w:rFonts w:cs="Times New Roman"/>
        </w:rPr>
        <w:t>voegdheid aan bv. een privaatrechtelijke holdingsvennootschap naar Nederlands recht (adv.RvS 62.522/3 van 20 december 2017, nr. 5.2).</w:t>
      </w:r>
    </w:p>
  </w:footnote>
  <w:footnote w:id="113">
    <w:p w14:paraId="60D6BE4E"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is vereist dat de Wetgevende Kamers en, in voorkomend geval, de gemeenschaps- en gewestparlementen de grenzen van de toekomstige wijzigingen kennen en dat ze uitdrukkelijk aangeven dat ze met die wijzigingen instemmen. Zie bv. adv.RvS 44.028/AV van 29 januari 2008, nr. 28 en adv.RvS 51.151/VR van 3 april 2012, nr. 102. </w:t>
      </w:r>
    </w:p>
    <w:p w14:paraId="294FABD3" w14:textId="77777777" w:rsidR="00AB5378" w:rsidRDefault="00AB5378">
      <w:pPr>
        <w:pStyle w:val="Voetnoottekst"/>
        <w:spacing w:after="0"/>
        <w:rPr>
          <w:rFonts w:cs="Times New Roman"/>
        </w:rPr>
      </w:pPr>
      <w:r w:rsidRPr="00C95E6B">
        <w:rPr>
          <w:rFonts w:cs="Times New Roman"/>
        </w:rPr>
        <w:t>Een dergelijke anticipatieve goedkeuring met latere vereenvoudigde verdragswijzigingen wordt doorgaans aanvaard voor duidelijk afgelijnde wijzigingen aan bijlagen bij een verdrag Deze worden dan weer niet aanvaard voor latere verdragswijzigingen met een open of onbepaalde draagwijdte (adv.RvS 58.054/1/V van 28 augustus 2015, nr. 6) of voor latere verdragswijzigingen die de aard of essentie van het verdrag zouden wijzigen, zoals bv. wezenlijke aspecten in verband met het doel en de werkingsregels van een internationale organisatie (adv.RvS 62.546/VR van 23 januari 2018, §§ 8.1-8.3).</w:t>
      </w:r>
    </w:p>
  </w:footnote>
  <w:footnote w:id="114">
    <w:p w14:paraId="707F904C" w14:textId="24BB03E1" w:rsidR="00AB5378" w:rsidRPr="00ED5920"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Dergelijke </w:t>
      </w:r>
      <w:r w:rsidRPr="00B2070B">
        <w:rPr>
          <w:i/>
          <w:sz w:val="20"/>
          <w:szCs w:val="20"/>
          <w:lang w:val="nl-BE"/>
        </w:rPr>
        <w:t>executive agreements</w:t>
      </w:r>
      <w:r w:rsidRPr="00C95E6B">
        <w:rPr>
          <w:sz w:val="20"/>
          <w:szCs w:val="20"/>
          <w:lang w:val="nl-BE"/>
        </w:rPr>
        <w:t xml:space="preserve"> mogelijk louter voorzien in de administratieve en technische uitvoering van rechten en plichten die al voorzien zijn in het verdrag zelf. Zie: D. </w:t>
      </w:r>
      <w:r w:rsidRPr="00A87036">
        <w:rPr>
          <w:smallCaps/>
          <w:sz w:val="20"/>
          <w:szCs w:val="20"/>
          <w:lang w:val="nl-BE"/>
        </w:rPr>
        <w:t>Van Eeckhoutte</w:t>
      </w:r>
      <w:r w:rsidRPr="00C95E6B">
        <w:rPr>
          <w:sz w:val="20"/>
          <w:szCs w:val="20"/>
          <w:lang w:val="nl-BE"/>
        </w:rPr>
        <w:t xml:space="preserve"> en M. </w:t>
      </w:r>
      <w:r w:rsidRPr="00A87036">
        <w:rPr>
          <w:smallCaps/>
          <w:sz w:val="20"/>
          <w:szCs w:val="20"/>
          <w:lang w:val="nl-BE"/>
        </w:rPr>
        <w:t>Vidal</w:t>
      </w:r>
      <w:r w:rsidRPr="00C95E6B">
        <w:rPr>
          <w:sz w:val="20"/>
          <w:szCs w:val="20"/>
          <w:lang w:val="nl-BE"/>
        </w:rPr>
        <w:t xml:space="preserve">, </w:t>
      </w:r>
      <w:r w:rsidRPr="00A87036">
        <w:rPr>
          <w:sz w:val="20"/>
          <w:szCs w:val="20"/>
          <w:lang w:val="nl-NL"/>
        </w:rPr>
        <w:t xml:space="preserve">“Internationaal en grensoverschrijdend bestuursrecht”, </w:t>
      </w:r>
      <w:r w:rsidRPr="00A87036">
        <w:rPr>
          <w:i/>
          <w:sz w:val="20"/>
          <w:szCs w:val="20"/>
          <w:lang w:val="nl-NL"/>
        </w:rPr>
        <w:t xml:space="preserve">RW </w:t>
      </w:r>
      <w:r w:rsidRPr="00A87036">
        <w:rPr>
          <w:sz w:val="20"/>
          <w:szCs w:val="20"/>
          <w:lang w:val="nl-NL"/>
        </w:rPr>
        <w:t xml:space="preserve">2013-14, 1123, nr. 13 </w:t>
      </w:r>
      <w:r w:rsidRPr="00A87036">
        <w:rPr>
          <w:rFonts w:eastAsiaTheme="minorHAnsi"/>
          <w:sz w:val="20"/>
          <w:szCs w:val="20"/>
          <w:lang w:val="nl-BE" w:eastAsia="en-US"/>
        </w:rPr>
        <w:t xml:space="preserve">en T. </w:t>
      </w:r>
      <w:r w:rsidRPr="00A87036">
        <w:rPr>
          <w:rFonts w:eastAsiaTheme="minorHAnsi"/>
          <w:smallCaps/>
          <w:sz w:val="20"/>
          <w:szCs w:val="20"/>
          <w:lang w:val="nl-BE" w:eastAsia="en-US"/>
        </w:rPr>
        <w:t>Corthaut</w:t>
      </w:r>
      <w:r w:rsidRPr="00A87036">
        <w:rPr>
          <w:rFonts w:eastAsiaTheme="minorHAnsi"/>
          <w:sz w:val="20"/>
          <w:szCs w:val="20"/>
          <w:lang w:val="nl-BE" w:eastAsia="en-US"/>
        </w:rPr>
        <w:t xml:space="preserve">, J. </w:t>
      </w:r>
      <w:r w:rsidRPr="00A87036">
        <w:rPr>
          <w:rFonts w:eastAsiaTheme="minorHAnsi"/>
          <w:smallCaps/>
          <w:sz w:val="20"/>
          <w:szCs w:val="20"/>
          <w:lang w:val="nl-BE" w:eastAsia="en-US"/>
        </w:rPr>
        <w:t>Riemslagh</w:t>
      </w:r>
      <w:r w:rsidRPr="00A87036">
        <w:rPr>
          <w:rFonts w:eastAsiaTheme="minorHAnsi"/>
          <w:sz w:val="20"/>
          <w:szCs w:val="20"/>
          <w:lang w:val="nl-BE" w:eastAsia="en-US"/>
        </w:rPr>
        <w:t xml:space="preserve">, D. </w:t>
      </w:r>
      <w:r w:rsidRPr="00A87036">
        <w:rPr>
          <w:rFonts w:eastAsiaTheme="minorHAnsi"/>
          <w:smallCaps/>
          <w:sz w:val="20"/>
          <w:szCs w:val="20"/>
          <w:lang w:val="nl-BE" w:eastAsia="en-US"/>
        </w:rPr>
        <w:t>Van</w:t>
      </w:r>
      <w:r w:rsidRPr="00C95E6B">
        <w:rPr>
          <w:rFonts w:eastAsiaTheme="minorHAnsi"/>
          <w:sz w:val="20"/>
          <w:szCs w:val="20"/>
          <w:lang w:val="nl-BE" w:eastAsia="en-US"/>
        </w:rPr>
        <w:t xml:space="preserve"> </w:t>
      </w:r>
      <w:r w:rsidRPr="00A87036">
        <w:rPr>
          <w:rFonts w:eastAsiaTheme="minorHAnsi"/>
          <w:smallCaps/>
          <w:sz w:val="20"/>
          <w:szCs w:val="20"/>
          <w:lang w:val="nl-BE" w:eastAsia="en-US"/>
        </w:rPr>
        <w:t>Eeckhoutte</w:t>
      </w:r>
      <w:r w:rsidRPr="00A87036">
        <w:rPr>
          <w:rFonts w:eastAsiaTheme="minorHAnsi"/>
          <w:sz w:val="20"/>
          <w:szCs w:val="20"/>
          <w:lang w:val="nl-BE" w:eastAsia="en-US"/>
        </w:rPr>
        <w:t xml:space="preserve">, F. </w:t>
      </w:r>
      <w:r w:rsidRPr="00A87036">
        <w:rPr>
          <w:rFonts w:eastAsiaTheme="minorHAnsi"/>
          <w:smallCaps/>
          <w:sz w:val="20"/>
          <w:szCs w:val="20"/>
          <w:lang w:val="nl-BE" w:eastAsia="en-US"/>
        </w:rPr>
        <w:t>Vanneste</w:t>
      </w:r>
      <w:r w:rsidRPr="00A87036">
        <w:rPr>
          <w:rFonts w:eastAsiaTheme="minorHAnsi"/>
          <w:sz w:val="20"/>
          <w:szCs w:val="20"/>
          <w:lang w:val="nl-BE" w:eastAsia="en-US"/>
        </w:rPr>
        <w:t xml:space="preserve"> </w:t>
      </w:r>
      <w:r w:rsidRPr="00C95E6B">
        <w:rPr>
          <w:rFonts w:eastAsiaTheme="minorHAnsi"/>
          <w:sz w:val="20"/>
          <w:szCs w:val="20"/>
          <w:lang w:val="nl-BE" w:eastAsia="en-US"/>
        </w:rPr>
        <w:t xml:space="preserve">en </w:t>
      </w:r>
      <w:r w:rsidRPr="00A87036">
        <w:rPr>
          <w:rFonts w:eastAsiaTheme="minorHAnsi"/>
          <w:sz w:val="20"/>
          <w:szCs w:val="20"/>
          <w:lang w:val="nl-BE" w:eastAsia="en-US"/>
        </w:rPr>
        <w:t xml:space="preserve">J. </w:t>
      </w:r>
      <w:r w:rsidRPr="00A87036">
        <w:rPr>
          <w:rFonts w:eastAsiaTheme="minorHAnsi"/>
          <w:smallCaps/>
          <w:sz w:val="20"/>
          <w:szCs w:val="20"/>
          <w:lang w:val="nl-BE" w:eastAsia="en-US"/>
        </w:rPr>
        <w:t>Van</w:t>
      </w:r>
      <w:r w:rsidRPr="00C95E6B">
        <w:rPr>
          <w:rFonts w:eastAsiaTheme="minorHAnsi"/>
          <w:sz w:val="20"/>
          <w:szCs w:val="20"/>
          <w:lang w:val="nl-BE" w:eastAsia="en-US"/>
        </w:rPr>
        <w:t xml:space="preserve"> </w:t>
      </w:r>
      <w:r w:rsidRPr="00A87036">
        <w:rPr>
          <w:rFonts w:eastAsiaTheme="minorHAnsi"/>
          <w:smallCaps/>
          <w:sz w:val="20"/>
          <w:szCs w:val="20"/>
          <w:lang w:val="nl-BE" w:eastAsia="en-US"/>
        </w:rPr>
        <w:t>Nieuwenhove</w:t>
      </w:r>
      <w:r w:rsidRPr="00A87036">
        <w:rPr>
          <w:rFonts w:eastAsiaTheme="minorHAnsi"/>
          <w:sz w:val="20"/>
          <w:szCs w:val="20"/>
          <w:lang w:val="nl-BE" w:eastAsia="en-US"/>
        </w:rPr>
        <w:t xml:space="preserve">, </w:t>
      </w:r>
      <w:r w:rsidRPr="00C95E6B">
        <w:rPr>
          <w:rFonts w:eastAsiaTheme="minorHAnsi"/>
          <w:sz w:val="20"/>
          <w:szCs w:val="20"/>
          <w:lang w:val="nl-BE" w:eastAsia="en-US"/>
        </w:rPr>
        <w:t>“</w:t>
      </w:r>
      <w:r w:rsidRPr="00A87036">
        <w:rPr>
          <w:rFonts w:eastAsiaTheme="minorHAnsi"/>
          <w:sz w:val="20"/>
          <w:szCs w:val="20"/>
          <w:lang w:val="nl-BE" w:eastAsia="en-US"/>
        </w:rPr>
        <w:t>Behoorlijke wetgeving in de adviespraktijk van de afdeling Wetgeving van de Raad van State (2015 en 2016)</w:t>
      </w:r>
      <w:r w:rsidRPr="00C95E6B">
        <w:rPr>
          <w:rFonts w:eastAsiaTheme="minorHAnsi"/>
          <w:sz w:val="20"/>
          <w:szCs w:val="20"/>
          <w:lang w:val="nl-BE" w:eastAsia="en-US"/>
        </w:rPr>
        <w:t>”</w:t>
      </w:r>
      <w:r w:rsidRPr="00A87036">
        <w:rPr>
          <w:rFonts w:eastAsiaTheme="minorHAnsi"/>
          <w:sz w:val="20"/>
          <w:szCs w:val="20"/>
          <w:lang w:val="nl-BE" w:eastAsia="en-US"/>
        </w:rPr>
        <w:t xml:space="preserve">, </w:t>
      </w:r>
      <w:r w:rsidRPr="00A87036">
        <w:rPr>
          <w:rFonts w:eastAsiaTheme="minorHAnsi"/>
          <w:i/>
          <w:sz w:val="20"/>
          <w:szCs w:val="20"/>
          <w:lang w:val="nl-BE" w:eastAsia="en-US"/>
        </w:rPr>
        <w:t>TvW</w:t>
      </w:r>
      <w:r w:rsidRPr="00A87036">
        <w:rPr>
          <w:rFonts w:eastAsiaTheme="minorHAnsi"/>
          <w:sz w:val="20"/>
          <w:szCs w:val="20"/>
          <w:lang w:val="nl-BE" w:eastAsia="en-US"/>
        </w:rPr>
        <w:t xml:space="preserve"> 2017 (275), 285-286, nr. 24 </w:t>
      </w:r>
      <w:r w:rsidRPr="00C95E6B">
        <w:rPr>
          <w:sz w:val="20"/>
          <w:szCs w:val="20"/>
          <w:lang w:val="nl-BE"/>
        </w:rPr>
        <w:t>en verwijzingen aldaar. De benamingen van dergelijke uitvoeringsovereenkomsten kunnen uiteenlopen van bv. “uitvoeringsafspraken”, “protocol”, “interpretatief protocolakkoord” over “</w:t>
      </w:r>
      <w:r w:rsidRPr="00C95E6B">
        <w:rPr>
          <w:rFonts w:eastAsiaTheme="minorHAnsi"/>
          <w:sz w:val="20"/>
          <w:szCs w:val="20"/>
          <w:lang w:val="nl-BE" w:eastAsia="en-US"/>
        </w:rPr>
        <w:t xml:space="preserve">overeenkomsten tussen de bevoegde </w:t>
      </w:r>
      <w:r w:rsidRPr="003001AC">
        <w:rPr>
          <w:rFonts w:eastAsiaTheme="minorHAnsi"/>
          <w:sz w:val="20"/>
          <w:szCs w:val="20"/>
          <w:lang w:val="nl-BE" w:eastAsia="en-US"/>
        </w:rPr>
        <w:t xml:space="preserve">Ministers van de Verdragsluitende Partijen” tot zelfs “memoranda of understanding”. </w:t>
      </w:r>
      <w:r w:rsidR="00ED5920">
        <w:rPr>
          <w:rFonts w:eastAsiaTheme="minorHAnsi"/>
          <w:sz w:val="20"/>
          <w:szCs w:val="20"/>
          <w:lang w:val="nl-BE" w:eastAsia="en-US"/>
        </w:rPr>
        <w:t xml:space="preserve">Zie ook, </w:t>
      </w:r>
      <w:r w:rsidR="00ED5920">
        <w:rPr>
          <w:rFonts w:eastAsiaTheme="minorHAnsi"/>
          <w:i/>
          <w:iCs/>
          <w:sz w:val="20"/>
          <w:szCs w:val="20"/>
          <w:lang w:val="nl-BE" w:eastAsia="en-US"/>
        </w:rPr>
        <w:t>supra</w:t>
      </w:r>
      <w:r w:rsidR="00ED5920">
        <w:rPr>
          <w:rFonts w:eastAsiaTheme="minorHAnsi"/>
          <w:sz w:val="20"/>
          <w:szCs w:val="20"/>
          <w:lang w:val="nl-BE" w:eastAsia="en-US"/>
        </w:rPr>
        <w:t>, nr. 14.</w:t>
      </w:r>
    </w:p>
  </w:footnote>
  <w:footnote w:id="115">
    <w:p w14:paraId="68CF9ADC" w14:textId="7F7F557B" w:rsidR="00AB5378" w:rsidRDefault="00AB5378">
      <w:pPr>
        <w:pStyle w:val="Voetnoottekst"/>
        <w:spacing w:after="0"/>
        <w:rPr>
          <w:rFonts w:cs="Times New Roman"/>
        </w:rPr>
      </w:pPr>
      <w:r w:rsidRPr="003001AC">
        <w:rPr>
          <w:rStyle w:val="Voetnootmarkering"/>
          <w:rFonts w:cs="Times New Roman"/>
        </w:rPr>
        <w:footnoteRef/>
      </w:r>
      <w:r w:rsidRPr="003001AC">
        <w:rPr>
          <w:rFonts w:cs="Times New Roman"/>
        </w:rPr>
        <w:t xml:space="preserve"> Zie </w:t>
      </w:r>
      <w:proofErr w:type="spellStart"/>
      <w:r w:rsidRPr="003001AC">
        <w:rPr>
          <w:rFonts w:cs="Times New Roman"/>
        </w:rPr>
        <w:t>adv.RvS</w:t>
      </w:r>
      <w:proofErr w:type="spellEnd"/>
      <w:r w:rsidRPr="003001AC">
        <w:rPr>
          <w:rFonts w:cs="Times New Roman"/>
        </w:rPr>
        <w:t xml:space="preserve"> 57.2</w:t>
      </w:r>
      <w:r w:rsidRPr="00B2070B">
        <w:rPr>
          <w:rFonts w:cs="Times New Roman"/>
        </w:rPr>
        <w:t>70</w:t>
      </w:r>
      <w:r w:rsidRPr="003001AC">
        <w:rPr>
          <w:rFonts w:cs="Times New Roman"/>
        </w:rPr>
        <w:t>/3</w:t>
      </w:r>
      <w:r w:rsidRPr="00C95E6B">
        <w:rPr>
          <w:rFonts w:cs="Times New Roman"/>
        </w:rPr>
        <w:t xml:space="preserve"> van 10 april 2015, nrs. 6.1-6.4, onder verwijzing naar adv.RvS 42.631/AV van 8 mei 2007.</w:t>
      </w:r>
    </w:p>
  </w:footnote>
  <w:footnote w:id="116">
    <w:p w14:paraId="7F74CF72" w14:textId="52FF42FF" w:rsidR="00AB5378" w:rsidRDefault="00AB5378">
      <w:pPr>
        <w:pStyle w:val="Voetnoottekst"/>
        <w:spacing w:after="0"/>
        <w:rPr>
          <w:rFonts w:cs="Times New Roman"/>
          <w:smallCaps/>
        </w:rPr>
      </w:pPr>
      <w:r w:rsidRPr="00C95E6B">
        <w:rPr>
          <w:rStyle w:val="Voetnootmarkering"/>
          <w:rFonts w:cs="Times New Roman"/>
        </w:rPr>
        <w:footnoteRef/>
      </w:r>
      <w:r w:rsidRPr="00C95E6B">
        <w:rPr>
          <w:rFonts w:cs="Times New Roman"/>
        </w:rPr>
        <w:t xml:space="preserve"> Of dat zo is vereist vaak een beoordeling van geval tot geval (bv. </w:t>
      </w:r>
      <w:proofErr w:type="spellStart"/>
      <w:r w:rsidRPr="00C95E6B">
        <w:rPr>
          <w:rFonts w:cs="Times New Roman"/>
        </w:rPr>
        <w:t>adv</w:t>
      </w:r>
      <w:r w:rsidRPr="00A87036">
        <w:rPr>
          <w:rFonts w:cs="Times New Roman"/>
          <w:smallCaps/>
        </w:rPr>
        <w:t>.RvS</w:t>
      </w:r>
      <w:proofErr w:type="spellEnd"/>
      <w:r w:rsidRPr="00A87036">
        <w:rPr>
          <w:rFonts w:cs="Times New Roman"/>
          <w:smallCaps/>
        </w:rPr>
        <w:t xml:space="preserve"> 57.2</w:t>
      </w:r>
      <w:r>
        <w:rPr>
          <w:rFonts w:cs="Times New Roman"/>
          <w:smallCaps/>
        </w:rPr>
        <w:t>70</w:t>
      </w:r>
      <w:r w:rsidRPr="00A87036">
        <w:rPr>
          <w:rFonts w:cs="Times New Roman"/>
          <w:smallCaps/>
        </w:rPr>
        <w:t xml:space="preserve">/3 van 10 </w:t>
      </w:r>
      <w:r w:rsidRPr="00C95E6B">
        <w:rPr>
          <w:rFonts w:cs="Times New Roman"/>
        </w:rPr>
        <w:t>april</w:t>
      </w:r>
      <w:r w:rsidRPr="00A87036">
        <w:rPr>
          <w:rFonts w:cs="Times New Roman"/>
          <w:smallCaps/>
        </w:rPr>
        <w:t xml:space="preserve"> 2015</w:t>
      </w:r>
      <w:r w:rsidRPr="00C95E6B">
        <w:rPr>
          <w:rFonts w:cs="Times New Roman"/>
        </w:rPr>
        <w:t xml:space="preserve">, </w:t>
      </w:r>
      <w:r w:rsidRPr="00A87036">
        <w:rPr>
          <w:rFonts w:cs="Times New Roman"/>
        </w:rPr>
        <w:t>nrs.</w:t>
      </w:r>
      <w:r w:rsidRPr="00A87036">
        <w:rPr>
          <w:rFonts w:cs="Times New Roman"/>
          <w:smallCaps/>
        </w:rPr>
        <w:t xml:space="preserve"> 6.1-6.4.</w:t>
      </w:r>
      <w:r w:rsidRPr="00C95E6B">
        <w:rPr>
          <w:rFonts w:cs="Times New Roman"/>
          <w:smallCaps/>
        </w:rPr>
        <w:t xml:space="preserve"> </w:t>
      </w:r>
      <w:r w:rsidRPr="00A87036">
        <w:rPr>
          <w:rFonts w:cs="Times New Roman"/>
        </w:rPr>
        <w:t>en z</w:t>
      </w:r>
      <w:r w:rsidRPr="00C95E6B">
        <w:rPr>
          <w:rFonts w:cs="Times New Roman"/>
        </w:rPr>
        <w:t xml:space="preserve">ie T. </w:t>
      </w:r>
      <w:r w:rsidRPr="00C95E6B">
        <w:rPr>
          <w:rFonts w:cs="Times New Roman"/>
          <w:smallCaps/>
        </w:rPr>
        <w:t>Corthaut</w:t>
      </w:r>
      <w:r w:rsidRPr="00C95E6B">
        <w:rPr>
          <w:rFonts w:cs="Times New Roman"/>
        </w:rPr>
        <w:t xml:space="preserve">, J. </w:t>
      </w:r>
      <w:r w:rsidRPr="00C95E6B">
        <w:rPr>
          <w:rFonts w:cs="Times New Roman"/>
          <w:smallCaps/>
        </w:rPr>
        <w:t>Riemslagh</w:t>
      </w:r>
      <w:r w:rsidRPr="00C95E6B">
        <w:rPr>
          <w:rFonts w:cs="Times New Roman"/>
        </w:rPr>
        <w:t xml:space="preserve">, D. </w:t>
      </w:r>
      <w:r w:rsidRPr="00C95E6B">
        <w:rPr>
          <w:rFonts w:cs="Times New Roman"/>
          <w:smallCaps/>
        </w:rPr>
        <w:t>Van</w:t>
      </w:r>
      <w:r w:rsidRPr="00C95E6B">
        <w:rPr>
          <w:rFonts w:cs="Times New Roman"/>
        </w:rPr>
        <w:t xml:space="preserve"> </w:t>
      </w:r>
      <w:r w:rsidRPr="00C95E6B">
        <w:rPr>
          <w:rFonts w:cs="Times New Roman"/>
          <w:smallCaps/>
        </w:rPr>
        <w:t>Eeckhoutte</w:t>
      </w:r>
      <w:r w:rsidRPr="00C95E6B">
        <w:rPr>
          <w:rFonts w:cs="Times New Roman"/>
        </w:rPr>
        <w:t xml:space="preserve">, F. </w:t>
      </w:r>
      <w:r w:rsidRPr="00C95E6B">
        <w:rPr>
          <w:rFonts w:cs="Times New Roman"/>
          <w:smallCaps/>
        </w:rPr>
        <w:t>Vanneste</w:t>
      </w:r>
      <w:r w:rsidRPr="00C95E6B">
        <w:rPr>
          <w:rFonts w:cs="Times New Roman"/>
        </w:rPr>
        <w:t xml:space="preserve"> en J. </w:t>
      </w:r>
      <w:r w:rsidRPr="00C95E6B">
        <w:rPr>
          <w:rFonts w:cs="Times New Roman"/>
          <w:smallCaps/>
        </w:rPr>
        <w:t>Van</w:t>
      </w:r>
      <w:r w:rsidRPr="00C95E6B">
        <w:rPr>
          <w:rFonts w:cs="Times New Roman"/>
        </w:rPr>
        <w:t xml:space="preserve"> </w:t>
      </w:r>
      <w:r w:rsidRPr="00C95E6B">
        <w:rPr>
          <w:rFonts w:cs="Times New Roman"/>
          <w:smallCaps/>
        </w:rPr>
        <w:t>Nieuwenhove</w:t>
      </w:r>
      <w:r w:rsidRPr="00C95E6B">
        <w:rPr>
          <w:rFonts w:cs="Times New Roman"/>
        </w:rPr>
        <w:t xml:space="preserve">, “Behoorlijke wetgeving in de adviespraktijk van de afdeling Wetgeving van de Raad van State (2015 en 2016)”, </w:t>
      </w:r>
      <w:r w:rsidRPr="00C95E6B">
        <w:rPr>
          <w:rFonts w:cs="Times New Roman"/>
          <w:i/>
        </w:rPr>
        <w:t>TvW</w:t>
      </w:r>
      <w:r w:rsidRPr="00C95E6B">
        <w:rPr>
          <w:rFonts w:cs="Times New Roman"/>
        </w:rPr>
        <w:t xml:space="preserve"> 2017, 285-286, nr. 24).</w:t>
      </w:r>
    </w:p>
  </w:footnote>
  <w:footnote w:id="117">
    <w:p w14:paraId="3F474D56" w14:textId="77777777" w:rsidR="00AB5378" w:rsidRDefault="00AB5378">
      <w:pPr>
        <w:pStyle w:val="Voetnoottekst"/>
        <w:spacing w:after="0"/>
        <w:rPr>
          <w:rFonts w:cs="Times New Roman"/>
        </w:rPr>
      </w:pPr>
      <w:r w:rsidRPr="00A87036">
        <w:rPr>
          <w:rStyle w:val="Voetnootmarkering"/>
          <w:rFonts w:cs="Times New Roman"/>
          <w:smallCaps/>
        </w:rPr>
        <w:footnoteRef/>
      </w:r>
      <w:r w:rsidRPr="00A87036">
        <w:rPr>
          <w:rFonts w:cs="Times New Roman"/>
          <w:smallCaps/>
        </w:rPr>
        <w:t xml:space="preserve"> D. Van Eeckhoutte</w:t>
      </w:r>
      <w:r w:rsidRPr="00C95E6B">
        <w:rPr>
          <w:rFonts w:cs="Times New Roman"/>
        </w:rPr>
        <w:t xml:space="preserve"> “Paradoxaal federalisme. Samenwerking tussen Belgische overheden onderling is juridisch moeilijker dan met vreemde staten”, </w:t>
      </w:r>
      <w:r w:rsidRPr="00C95E6B">
        <w:rPr>
          <w:rFonts w:cs="Times New Roman"/>
          <w:i/>
          <w:iCs/>
        </w:rPr>
        <w:t xml:space="preserve">Juristenkrant </w:t>
      </w:r>
      <w:r w:rsidRPr="00C95E6B">
        <w:rPr>
          <w:rFonts w:cs="Times New Roman"/>
        </w:rPr>
        <w:t>19 december 2007, 12-13.</w:t>
      </w:r>
    </w:p>
  </w:footnote>
  <w:footnote w:id="118">
    <w:p w14:paraId="2D6EBF13" w14:textId="25BA1F75"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R. </w:t>
      </w:r>
      <w:r w:rsidRPr="00C95E6B">
        <w:rPr>
          <w:rFonts w:cs="Times New Roman"/>
          <w:smallCaps/>
        </w:rPr>
        <w:t>Moerenhout</w:t>
      </w:r>
      <w:r w:rsidRPr="00C95E6B">
        <w:rPr>
          <w:rFonts w:cs="Times New Roman"/>
        </w:rPr>
        <w:t xml:space="preserve"> en J. </w:t>
      </w:r>
      <w:r w:rsidRPr="00B2070B">
        <w:rPr>
          <w:rFonts w:cs="Times New Roman"/>
          <w:smallCaps/>
        </w:rPr>
        <w:t>Smets</w:t>
      </w:r>
      <w:r w:rsidRPr="00C95E6B">
        <w:rPr>
          <w:rFonts w:cs="Times New Roman"/>
        </w:rPr>
        <w:t xml:space="preserve">, </w:t>
      </w:r>
      <w:r w:rsidRPr="00C95E6B">
        <w:rPr>
          <w:rFonts w:cs="Times New Roman"/>
          <w:i/>
          <w:iCs/>
        </w:rPr>
        <w:t>De samenwerking tussen de federale Staat en de Gemeenschappen en de Gewesten</w:t>
      </w:r>
      <w:r w:rsidRPr="00C95E6B">
        <w:rPr>
          <w:rFonts w:cs="Times New Roman"/>
        </w:rPr>
        <w:t>, Deurne, Kluwer Rechtswetenschappen België, 1994, 130-131.</w:t>
      </w:r>
    </w:p>
  </w:footnote>
  <w:footnote w:id="119">
    <w:p w14:paraId="0CA505C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64.800/VR van 5 februari 2019, nr. 3.3.4.</w:t>
      </w:r>
    </w:p>
  </w:footnote>
  <w:footnote w:id="120">
    <w:p w14:paraId="31DBA73E" w14:textId="77777777" w:rsidR="00AB5378"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w:t>
      </w:r>
      <w:r w:rsidRPr="00C95E6B">
        <w:rPr>
          <w:sz w:val="20"/>
          <w:szCs w:val="20"/>
          <w:lang w:val="nl-NL"/>
        </w:rPr>
        <w:t xml:space="preserve">Adv.RvS 63.373/VR, 63.399/VR, 63.404/VR en 63.541/VR van 14 juni 2018, nrs. 4.1-4.2. Vergelijk met vóór de Zesde Staatshervorming, bv. adv.RvS </w:t>
      </w:r>
      <w:r w:rsidRPr="00A87036">
        <w:rPr>
          <w:sz w:val="20"/>
          <w:szCs w:val="20"/>
          <w:lang w:val="nl-NL"/>
        </w:rPr>
        <w:t>42.387/VR van 27 maart 2007, nrs. 8-11</w:t>
      </w:r>
      <w:r w:rsidRPr="00C95E6B">
        <w:rPr>
          <w:sz w:val="20"/>
          <w:szCs w:val="20"/>
          <w:lang w:val="nl-NL"/>
        </w:rPr>
        <w:t>.</w:t>
      </w:r>
    </w:p>
  </w:footnote>
  <w:footnote w:id="121">
    <w:p w14:paraId="52ABCA5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49.218/VR van 1 maart 2011 en adv.RvS 53.005/VR van 13 maart 2012.</w:t>
      </w:r>
    </w:p>
  </w:footnote>
  <w:footnote w:id="122">
    <w:p w14:paraId="237E5D20"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25.642/VR van 3 maart 1997 en adv.RvS 53.372/VR van 18 juni 2013, nrs. 9 en 11.</w:t>
      </w:r>
    </w:p>
    <w:p w14:paraId="41C74F38" w14:textId="77777777" w:rsidR="00AB5378" w:rsidRDefault="00AB5378">
      <w:pPr>
        <w:pStyle w:val="Voetnoottekst"/>
        <w:spacing w:after="0"/>
        <w:rPr>
          <w:rFonts w:cs="Times New Roman"/>
        </w:rPr>
      </w:pPr>
      <w:r w:rsidRPr="00C95E6B">
        <w:rPr>
          <w:rFonts w:cs="Times New Roman"/>
          <w:lang w:val="nl-NL"/>
        </w:rPr>
        <w:t>Weliswaar wordt in de rechtsleer wel betoogd dat een vereenvoudigde wijzigingsprocedure moet kunnen, maar dat betoog blijkt te zijn gesteund op buitenlandse voorbeelden en niet op het actuele Belgische constitutionele recht</w:t>
      </w:r>
      <w:r w:rsidRPr="00C95E6B">
        <w:rPr>
          <w:rFonts w:cs="Times New Roman"/>
        </w:rPr>
        <w:t xml:space="preserve"> (Y. </w:t>
      </w:r>
      <w:r w:rsidRPr="00C95E6B">
        <w:rPr>
          <w:rFonts w:cs="Times New Roman"/>
          <w:smallCaps/>
        </w:rPr>
        <w:t>Peeters</w:t>
      </w:r>
      <w:r w:rsidRPr="00C95E6B">
        <w:rPr>
          <w:rFonts w:cs="Times New Roman"/>
        </w:rPr>
        <w:t xml:space="preserve">, </w:t>
      </w:r>
      <w:r w:rsidRPr="00C95E6B">
        <w:rPr>
          <w:rFonts w:cs="Times New Roman"/>
          <w:i/>
        </w:rPr>
        <w:t>De plaats van samenwerkingsakkoorden in het constitutioneel kader</w:t>
      </w:r>
      <w:r w:rsidRPr="00C95E6B">
        <w:rPr>
          <w:rFonts w:cs="Times New Roman"/>
        </w:rPr>
        <w:t>, Brugge, die Keure, 2016, 312-315)</w:t>
      </w:r>
      <w:r w:rsidRPr="00C95E6B">
        <w:rPr>
          <w:rFonts w:cs="Times New Roman"/>
          <w:lang w:val="nl-NL"/>
        </w:rPr>
        <w:t>. In elk geval kan een dergelijke wijziging dan geen betrekking hebben op aangelegenheden die verband houden met bv. voorbehouden materies of grondrechten</w:t>
      </w:r>
      <w:r w:rsidRPr="00C95E6B">
        <w:rPr>
          <w:rFonts w:cs="Times New Roman"/>
        </w:rPr>
        <w:t xml:space="preserve"> (adv.RvS 64.800/VR van 5 februari 2019, nr. 8)</w:t>
      </w:r>
      <w:r w:rsidRPr="00C95E6B">
        <w:rPr>
          <w:rFonts w:cs="Times New Roman"/>
          <w:lang w:val="nl-NL"/>
        </w:rPr>
        <w:t>.</w:t>
      </w:r>
      <w:r w:rsidRPr="00A87036">
        <w:rPr>
          <w:rStyle w:val="Verwijzingopmerking"/>
          <w:rFonts w:cs="Times New Roman"/>
          <w:sz w:val="20"/>
          <w:szCs w:val="20"/>
        </w:rPr>
        <w:t xml:space="preserve"> </w:t>
      </w:r>
    </w:p>
  </w:footnote>
  <w:footnote w:id="123">
    <w:p w14:paraId="1636F2D6" w14:textId="4234A940" w:rsidR="00AB5378" w:rsidRDefault="00AB5378">
      <w:pPr>
        <w:autoSpaceDE w:val="0"/>
        <w:autoSpaceDN w:val="0"/>
        <w:adjustRightInd w:val="0"/>
        <w:jc w:val="both"/>
        <w:rPr>
          <w:lang w:val="nl-NL"/>
        </w:rPr>
      </w:pPr>
      <w:r w:rsidRPr="00A87036">
        <w:rPr>
          <w:rStyle w:val="Voetnootmarkering"/>
          <w:sz w:val="20"/>
          <w:szCs w:val="20"/>
        </w:rPr>
        <w:footnoteRef/>
      </w:r>
      <w:r w:rsidRPr="00AE73DA">
        <w:rPr>
          <w:sz w:val="20"/>
          <w:szCs w:val="20"/>
          <w:lang w:val="nl-NL"/>
        </w:rPr>
        <w:t xml:space="preserve"> </w:t>
      </w:r>
      <w:r w:rsidRPr="00A87036">
        <w:rPr>
          <w:sz w:val="20"/>
          <w:szCs w:val="20"/>
          <w:lang w:val="nl-NL"/>
        </w:rPr>
        <w:t>De Raad van State aanvaardde een beperkte uitzondering op dit beginsel daar waar dergelijke gezamenlijke beslissingen konden worden geherkwalificeerd als administratieve samenwerkingsakkoorden (adv.RvS</w:t>
      </w:r>
      <w:r w:rsidRPr="00A87036">
        <w:rPr>
          <w:sz w:val="20"/>
          <w:szCs w:val="20"/>
          <w:lang w:val="nl-BE"/>
        </w:rPr>
        <w:t xml:space="preserve"> 45.614/AV van 13 januari 2009, nr. 4</w:t>
      </w:r>
      <w:r w:rsidRPr="00A87036">
        <w:rPr>
          <w:sz w:val="20"/>
          <w:szCs w:val="20"/>
          <w:lang w:val="nl-NL"/>
        </w:rPr>
        <w:t xml:space="preserve">; zie ook: D. </w:t>
      </w:r>
      <w:r w:rsidRPr="00A87036">
        <w:rPr>
          <w:smallCaps/>
          <w:sz w:val="20"/>
          <w:szCs w:val="20"/>
          <w:lang w:val="nl-NL"/>
        </w:rPr>
        <w:t>Van Eeckhoutte, F. Vanneste, J. Van Nieuwenhove</w:t>
      </w:r>
      <w:r w:rsidRPr="00A87036">
        <w:rPr>
          <w:sz w:val="20"/>
          <w:szCs w:val="20"/>
          <w:lang w:val="nl-NL"/>
        </w:rPr>
        <w:t xml:space="preserve"> en I. </w:t>
      </w:r>
      <w:r w:rsidRPr="00A87036">
        <w:rPr>
          <w:smallCaps/>
          <w:sz w:val="20"/>
          <w:szCs w:val="20"/>
          <w:lang w:val="nl-NL"/>
        </w:rPr>
        <w:t>Verheven</w:t>
      </w:r>
      <w:r w:rsidRPr="00A87036">
        <w:rPr>
          <w:sz w:val="20"/>
          <w:szCs w:val="20"/>
          <w:lang w:val="nl-NL"/>
        </w:rPr>
        <w:t xml:space="preserve">, </w:t>
      </w:r>
      <w:r w:rsidRPr="00A87036">
        <w:rPr>
          <w:rFonts w:eastAsiaTheme="minorHAnsi"/>
          <w:bCs/>
          <w:color w:val="FFFFFF"/>
          <w:sz w:val="20"/>
          <w:szCs w:val="20"/>
          <w:lang w:val="nl-NL" w:eastAsia="en-US"/>
        </w:rPr>
        <w:t>”</w:t>
      </w:r>
      <w:r w:rsidRPr="00A87036">
        <w:rPr>
          <w:rFonts w:eastAsiaTheme="minorHAnsi"/>
          <w:bCs/>
          <w:sz w:val="20"/>
          <w:szCs w:val="20"/>
          <w:lang w:val="nl-NL" w:eastAsia="en-US"/>
        </w:rPr>
        <w:t xml:space="preserve">Behoorlijke wetgeving in de adviespraktijk van de afdeling Wetgeving van de Raad van State (2009 en 2010), </w:t>
      </w:r>
      <w:r w:rsidRPr="00A87036">
        <w:rPr>
          <w:rFonts w:eastAsiaTheme="minorHAnsi"/>
          <w:bCs/>
          <w:i/>
          <w:sz w:val="20"/>
          <w:szCs w:val="20"/>
          <w:lang w:val="nl-NL" w:eastAsia="en-US"/>
        </w:rPr>
        <w:t xml:space="preserve">TvW </w:t>
      </w:r>
      <w:r w:rsidRPr="00A87036">
        <w:rPr>
          <w:rFonts w:eastAsiaTheme="minorHAnsi"/>
          <w:bCs/>
          <w:sz w:val="20"/>
          <w:szCs w:val="20"/>
          <w:lang w:val="nl-NL" w:eastAsia="en-US"/>
        </w:rPr>
        <w:t>2011 (114) 125-126, nr. 20</w:t>
      </w:r>
      <w:r w:rsidRPr="00A87036">
        <w:rPr>
          <w:sz w:val="20"/>
          <w:szCs w:val="20"/>
          <w:lang w:val="nl-NL"/>
        </w:rPr>
        <w:t xml:space="preserve"> en verwijzingen aldaar). Sinds de inwerkingtreding van de Zesde Staatshervorming bestaat ook de mogelijkheid om dergelijke gezamenlijke beslissingen te herkwalificeren als uitvoerende samenwerkingsakkoorden (</w:t>
      </w:r>
      <w:r w:rsidRPr="00A87036">
        <w:rPr>
          <w:i/>
          <w:sz w:val="20"/>
          <w:szCs w:val="20"/>
          <w:lang w:val="nl-NL"/>
        </w:rPr>
        <w:t>infra</w:t>
      </w:r>
      <w:r w:rsidRPr="00A87036">
        <w:rPr>
          <w:sz w:val="20"/>
          <w:szCs w:val="20"/>
          <w:lang w:val="nl-NL"/>
        </w:rPr>
        <w:t xml:space="preserve"> </w:t>
      </w:r>
      <w:r w:rsidRPr="00B2070B">
        <w:rPr>
          <w:sz w:val="20"/>
          <w:lang w:val="nl-NL"/>
        </w:rPr>
        <w:t>nr. 24</w:t>
      </w:r>
      <w:r w:rsidRPr="00A87036">
        <w:rPr>
          <w:sz w:val="20"/>
          <w:szCs w:val="20"/>
          <w:lang w:val="nl-NL"/>
        </w:rPr>
        <w:t>).</w:t>
      </w:r>
    </w:p>
  </w:footnote>
  <w:footnote w:id="124">
    <w:p w14:paraId="550EA6E6"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31 en 31</w:t>
      </w:r>
      <w:r w:rsidRPr="00C95E6B">
        <w:rPr>
          <w:rFonts w:cs="Times New Roman"/>
          <w:i/>
        </w:rPr>
        <w:t>bis</w:t>
      </w:r>
      <w:r w:rsidRPr="00C95E6B">
        <w:rPr>
          <w:rFonts w:cs="Times New Roman"/>
        </w:rPr>
        <w:t xml:space="preserve"> van de gewone wet van 9 augustus 1980 ‘tot hervorming der instellingen’.</w:t>
      </w:r>
    </w:p>
  </w:footnote>
  <w:footnote w:id="125">
    <w:p w14:paraId="2E25B75F" w14:textId="2D763903" w:rsidR="00AB5378" w:rsidRDefault="00AB5378">
      <w:pPr>
        <w:autoSpaceDE w:val="0"/>
        <w:autoSpaceDN w:val="0"/>
        <w:adjustRightInd w:val="0"/>
        <w:jc w:val="both"/>
        <w:rPr>
          <w:lang w:val="nl-NL"/>
        </w:rPr>
      </w:pPr>
      <w:r w:rsidRPr="00A87036">
        <w:rPr>
          <w:rStyle w:val="Voetnootmarkering"/>
          <w:sz w:val="20"/>
          <w:szCs w:val="20"/>
        </w:rPr>
        <w:footnoteRef/>
      </w:r>
      <w:r w:rsidRPr="00A87036">
        <w:rPr>
          <w:sz w:val="20"/>
          <w:szCs w:val="20"/>
          <w:lang w:val="nl-NL"/>
        </w:rPr>
        <w:t xml:space="preserve"> </w:t>
      </w:r>
      <w:r w:rsidRPr="00A87036">
        <w:rPr>
          <w:i/>
          <w:sz w:val="20"/>
          <w:szCs w:val="20"/>
          <w:lang w:val="nl-NL"/>
        </w:rPr>
        <w:t>Supra</w:t>
      </w:r>
      <w:r w:rsidR="00147D68">
        <w:rPr>
          <w:sz w:val="20"/>
          <w:szCs w:val="20"/>
          <w:lang w:val="nl-NL"/>
        </w:rPr>
        <w:t>, nr. 12</w:t>
      </w:r>
      <w:r w:rsidRPr="00A87036">
        <w:rPr>
          <w:sz w:val="20"/>
          <w:szCs w:val="20"/>
          <w:lang w:val="nl-NL"/>
        </w:rPr>
        <w:t>.</w:t>
      </w:r>
    </w:p>
  </w:footnote>
  <w:footnote w:id="126">
    <w:p w14:paraId="77F88DFA"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63.373/VR van 14 juni 2018.</w:t>
      </w:r>
    </w:p>
  </w:footnote>
  <w:footnote w:id="127">
    <w:p w14:paraId="156BA13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63.447/VR, 12 juni 2018, nrs. 5.2-5.5. </w:t>
      </w:r>
    </w:p>
  </w:footnote>
  <w:footnote w:id="128">
    <w:p w14:paraId="5D138188" w14:textId="66915786" w:rsidR="00AB5378" w:rsidRPr="00B2070B" w:rsidRDefault="00AB5378">
      <w:pPr>
        <w:autoSpaceDE w:val="0"/>
        <w:autoSpaceDN w:val="0"/>
        <w:adjustRightInd w:val="0"/>
        <w:jc w:val="both"/>
        <w:rPr>
          <w:sz w:val="20"/>
          <w:szCs w:val="20"/>
          <w:lang w:val="nl-NL"/>
        </w:rPr>
      </w:pPr>
      <w:r w:rsidRPr="00C95E6B">
        <w:rPr>
          <w:rStyle w:val="Voetnootmarkering"/>
          <w:sz w:val="20"/>
          <w:szCs w:val="20"/>
        </w:rPr>
        <w:footnoteRef/>
      </w:r>
      <w:r w:rsidRPr="00C95E6B">
        <w:rPr>
          <w:sz w:val="20"/>
          <w:szCs w:val="20"/>
          <w:lang w:val="nl-BE"/>
        </w:rPr>
        <w:t xml:space="preserve"> Adv.RvS 63.373/VR, 63.399/VR, 63.404/VR en 63.541/VR, 14 juni 2018, nrs. 3.4-3.6; adv.RvS 64.275/1, 25 oktober 2018, nr. 9.1</w:t>
      </w:r>
      <w:r>
        <w:rPr>
          <w:sz w:val="20"/>
          <w:szCs w:val="20"/>
          <w:lang w:val="nl-BE"/>
        </w:rPr>
        <w:t>,</w:t>
      </w:r>
      <w:r w:rsidRPr="00C95E6B">
        <w:rPr>
          <w:sz w:val="20"/>
          <w:szCs w:val="20"/>
          <w:lang w:val="nl-BE"/>
        </w:rPr>
        <w:t xml:space="preserve"> </w:t>
      </w:r>
      <w:proofErr w:type="spellStart"/>
      <w:r w:rsidRPr="00C95E6B">
        <w:rPr>
          <w:sz w:val="20"/>
          <w:szCs w:val="20"/>
          <w:lang w:val="nl-BE"/>
        </w:rPr>
        <w:t>adv.RvS</w:t>
      </w:r>
      <w:proofErr w:type="spellEnd"/>
      <w:r w:rsidRPr="00C95E6B">
        <w:rPr>
          <w:sz w:val="20"/>
          <w:szCs w:val="20"/>
          <w:lang w:val="nl-BE"/>
        </w:rPr>
        <w:t xml:space="preserve"> 65.387/1,11 maart 2019, nr. 5</w:t>
      </w:r>
      <w:r>
        <w:rPr>
          <w:sz w:val="20"/>
          <w:szCs w:val="20"/>
          <w:lang w:val="nl-BE"/>
        </w:rPr>
        <w:t xml:space="preserve"> en a</w:t>
      </w:r>
      <w:proofErr w:type="spellStart"/>
      <w:r w:rsidRPr="003E5080">
        <w:rPr>
          <w:sz w:val="20"/>
          <w:szCs w:val="20"/>
          <w:lang w:val="nl-NL"/>
        </w:rPr>
        <w:t>dv.RvS</w:t>
      </w:r>
      <w:proofErr w:type="spellEnd"/>
      <w:r w:rsidRPr="003E5080">
        <w:rPr>
          <w:sz w:val="20"/>
          <w:szCs w:val="20"/>
          <w:lang w:val="nl-NL"/>
        </w:rPr>
        <w:t xml:space="preserve"> 66.170/2/V van 11 september 2019, nr. 3.2.</w:t>
      </w:r>
      <w:r w:rsidRPr="00B2070B">
        <w:rPr>
          <w:sz w:val="20"/>
          <w:szCs w:val="20"/>
          <w:lang w:val="nl-NL"/>
        </w:rPr>
        <w:t>1.</w:t>
      </w:r>
      <w:r w:rsidRPr="003E5080">
        <w:rPr>
          <w:sz w:val="20"/>
          <w:szCs w:val="20"/>
          <w:lang w:val="nl-NL"/>
        </w:rPr>
        <w:t xml:space="preserve"> </w:t>
      </w:r>
    </w:p>
  </w:footnote>
  <w:footnote w:id="129">
    <w:p w14:paraId="505D291A" w14:textId="77777777" w:rsidR="00AB5378" w:rsidRDefault="00AB5378">
      <w:pPr>
        <w:pStyle w:val="Voetnoottekst"/>
        <w:spacing w:after="0"/>
      </w:pPr>
      <w:r>
        <w:rPr>
          <w:rStyle w:val="Voetnootmarkering"/>
        </w:rPr>
        <w:footnoteRef/>
      </w:r>
      <w:r>
        <w:t xml:space="preserve"> Adv.RvS 66.357/VR van 22 juli 2019, opmerkingen bij artikel 6, nr. 2.</w:t>
      </w:r>
    </w:p>
  </w:footnote>
  <w:footnote w:id="130">
    <w:p w14:paraId="20FEBD76" w14:textId="77777777" w:rsidR="00AB5378" w:rsidRPr="00B2070B"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Bv. adv.RvS 66.170/2/V van 11 september 2019, blz. 3-6; adv.RvS 64.753/3 van 18 december 2018, nr. 9; adv.RvS 64.270/VR van 31 oktober 2018 en adv.RvS 61.173/VR van 26 april 2017, blz. 7-8.</w:t>
      </w:r>
    </w:p>
  </w:footnote>
  <w:footnote w:id="131">
    <w:p w14:paraId="67B72ABC" w14:textId="70D7926F"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Supra</w:t>
      </w:r>
      <w:r w:rsidRPr="00C95E6B">
        <w:rPr>
          <w:rFonts w:cs="Times New Roman"/>
        </w:rPr>
        <w:t xml:space="preserve"> </w:t>
      </w:r>
      <w:r>
        <w:rPr>
          <w:rFonts w:cs="Times New Roman"/>
        </w:rPr>
        <w:t>nr. 19</w:t>
      </w:r>
      <w:r w:rsidRPr="00C95E6B">
        <w:rPr>
          <w:rFonts w:cs="Times New Roman"/>
        </w:rPr>
        <w:t>.</w:t>
      </w:r>
    </w:p>
  </w:footnote>
  <w:footnote w:id="132">
    <w:p w14:paraId="78EF6A73" w14:textId="1919959A"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Supra</w:t>
      </w:r>
      <w:r w:rsidRPr="00C95E6B">
        <w:rPr>
          <w:rFonts w:cs="Times New Roman"/>
        </w:rPr>
        <w:t xml:space="preserve"> </w:t>
      </w:r>
      <w:r>
        <w:rPr>
          <w:rFonts w:cs="Times New Roman"/>
        </w:rPr>
        <w:t>nr. 19</w:t>
      </w:r>
      <w:r w:rsidRPr="00C95E6B">
        <w:rPr>
          <w:rFonts w:cs="Times New Roman"/>
        </w:rPr>
        <w:t>.</w:t>
      </w:r>
    </w:p>
  </w:footnote>
  <w:footnote w:id="133">
    <w:p w14:paraId="13D3BD2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 </w:t>
      </w:r>
      <w:r w:rsidRPr="00C95E6B">
        <w:rPr>
          <w:rFonts w:cs="Times New Roman"/>
          <w:smallCaps/>
        </w:rPr>
        <w:t>Van Eeckhoutte</w:t>
      </w:r>
      <w:r w:rsidRPr="00C95E6B">
        <w:rPr>
          <w:rFonts w:cs="Times New Roman"/>
        </w:rPr>
        <w:t xml:space="preserve"> en M. </w:t>
      </w:r>
      <w:r w:rsidRPr="00C95E6B">
        <w:rPr>
          <w:rFonts w:cs="Times New Roman"/>
          <w:smallCaps/>
        </w:rPr>
        <w:t>Vidal</w:t>
      </w:r>
      <w:r w:rsidRPr="00C95E6B">
        <w:rPr>
          <w:rFonts w:cs="Times New Roman"/>
        </w:rPr>
        <w:t xml:space="preserve">, “Internationaal en grensoverschrijdend bestuursrecht”, </w:t>
      </w:r>
      <w:r w:rsidRPr="00C95E6B">
        <w:rPr>
          <w:rFonts w:cs="Times New Roman"/>
          <w:i/>
        </w:rPr>
        <w:t xml:space="preserve">RW </w:t>
      </w:r>
      <w:r w:rsidRPr="00C95E6B">
        <w:rPr>
          <w:rFonts w:cs="Times New Roman"/>
        </w:rPr>
        <w:t>2013-14, 1130, nr. 14.</w:t>
      </w:r>
    </w:p>
  </w:footnote>
  <w:footnote w:id="134">
    <w:p w14:paraId="3D0C794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A87036">
        <w:rPr>
          <w:rFonts w:cs="Times New Roman"/>
          <w:color w:val="000000"/>
        </w:rPr>
        <w:t xml:space="preserve">De akkoorden die betrekking hebben op de aangelegenheden die bij </w:t>
      </w:r>
      <w:r w:rsidRPr="00C95E6B">
        <w:rPr>
          <w:rFonts w:cs="Times New Roman"/>
          <w:color w:val="000000"/>
        </w:rPr>
        <w:t>wet</w:t>
      </w:r>
      <w:r w:rsidRPr="00A87036">
        <w:rPr>
          <w:rFonts w:cs="Times New Roman"/>
          <w:color w:val="000000"/>
        </w:rPr>
        <w:t xml:space="preserve"> worden geregeld, alsmede de akkoorden die de </w:t>
      </w:r>
      <w:r w:rsidRPr="00C95E6B">
        <w:rPr>
          <w:rFonts w:cs="Times New Roman"/>
          <w:color w:val="000000"/>
        </w:rPr>
        <w:t>g</w:t>
      </w:r>
      <w:r w:rsidRPr="00A87036">
        <w:rPr>
          <w:rFonts w:cs="Times New Roman"/>
          <w:color w:val="000000"/>
        </w:rPr>
        <w:t>emeenschap</w:t>
      </w:r>
      <w:r w:rsidRPr="00C95E6B">
        <w:rPr>
          <w:rFonts w:cs="Times New Roman"/>
          <w:color w:val="000000"/>
        </w:rPr>
        <w:t>, g</w:t>
      </w:r>
      <w:r w:rsidRPr="00A87036">
        <w:rPr>
          <w:rFonts w:cs="Times New Roman"/>
          <w:color w:val="000000"/>
        </w:rPr>
        <w:t xml:space="preserve">ewest </w:t>
      </w:r>
      <w:r w:rsidRPr="00C95E6B">
        <w:rPr>
          <w:rFonts w:cs="Times New Roman"/>
          <w:color w:val="000000"/>
        </w:rPr>
        <w:t xml:space="preserve">of de federale overheid </w:t>
      </w:r>
      <w:r w:rsidRPr="00A87036">
        <w:rPr>
          <w:rFonts w:cs="Times New Roman"/>
          <w:color w:val="000000"/>
        </w:rPr>
        <w:t>zouden kunnen bezwaren of Belgen persoonlijk zouden kunnen binden, hebben eerst gevolg nadat zij instemming hebben verkregen bij decreet</w:t>
      </w:r>
      <w:r w:rsidRPr="00C95E6B">
        <w:rPr>
          <w:rFonts w:cs="Times New Roman"/>
          <w:color w:val="000000"/>
        </w:rPr>
        <w:t xml:space="preserve"> </w:t>
      </w:r>
      <w:r w:rsidRPr="00C95E6B">
        <w:rPr>
          <w:rFonts w:cs="Times New Roman"/>
        </w:rPr>
        <w:t xml:space="preserve"> (</w:t>
      </w:r>
      <w:r w:rsidRPr="00A87036">
        <w:rPr>
          <w:rFonts w:cs="Times New Roman"/>
          <w:i/>
        </w:rPr>
        <w:t>supra</w:t>
      </w:r>
      <w:r w:rsidRPr="00C95E6B">
        <w:rPr>
          <w:rFonts w:cs="Times New Roman"/>
        </w:rPr>
        <w:t xml:space="preserve"> hoofdstuk </w:t>
      </w:r>
      <w:r w:rsidRPr="00B2070B">
        <w:t>IV)</w:t>
      </w:r>
      <w:r w:rsidRPr="00A87036">
        <w:rPr>
          <w:rFonts w:cs="Times New Roman"/>
          <w:color w:val="000000"/>
        </w:rPr>
        <w:t>.</w:t>
      </w:r>
    </w:p>
  </w:footnote>
  <w:footnote w:id="135">
    <w:p w14:paraId="22957927" w14:textId="77777777" w:rsidR="00AB5378" w:rsidRPr="00B2070B" w:rsidRDefault="00AB5378">
      <w:pPr>
        <w:pStyle w:val="Voetnoottekst"/>
        <w:spacing w:after="0"/>
        <w:rPr>
          <w:lang w:val="pt-PT"/>
        </w:rPr>
      </w:pPr>
      <w:r w:rsidRPr="00C95E6B">
        <w:rPr>
          <w:rStyle w:val="Voetnootmarkering"/>
          <w:rFonts w:cs="Times New Roman"/>
        </w:rPr>
        <w:footnoteRef/>
      </w:r>
      <w:r w:rsidRPr="00B2070B">
        <w:rPr>
          <w:lang w:val="pt-PT"/>
        </w:rPr>
        <w:t xml:space="preserve"> </w:t>
      </w:r>
      <w:r w:rsidRPr="00B2070B">
        <w:rPr>
          <w:i/>
          <w:lang w:val="pt-PT"/>
        </w:rPr>
        <w:t>Supra</w:t>
      </w:r>
      <w:r w:rsidRPr="00B2070B">
        <w:rPr>
          <w:lang w:val="pt-PT"/>
        </w:rPr>
        <w:t xml:space="preserve"> nr. 7.</w:t>
      </w:r>
    </w:p>
  </w:footnote>
  <w:footnote w:id="136">
    <w:p w14:paraId="5B559745" w14:textId="77777777" w:rsidR="00AB5378" w:rsidRPr="00B2070B" w:rsidRDefault="00AB5378">
      <w:pPr>
        <w:pStyle w:val="Voetnoottekst"/>
        <w:spacing w:after="0"/>
        <w:rPr>
          <w:lang w:val="pt-PT"/>
        </w:rPr>
      </w:pPr>
      <w:r w:rsidRPr="00C95E6B">
        <w:rPr>
          <w:rStyle w:val="Voetnootmarkering"/>
          <w:rFonts w:cs="Times New Roman"/>
        </w:rPr>
        <w:footnoteRef/>
      </w:r>
      <w:r w:rsidRPr="00B2070B">
        <w:rPr>
          <w:lang w:val="pt-PT"/>
        </w:rPr>
        <w:t xml:space="preserve"> Bv. </w:t>
      </w:r>
      <w:r w:rsidRPr="00B2070B">
        <w:rPr>
          <w:i/>
          <w:lang w:val="pt-PT"/>
        </w:rPr>
        <w:t xml:space="preserve">supra </w:t>
      </w:r>
      <w:r w:rsidRPr="00B2070B">
        <w:rPr>
          <w:lang w:val="pt-PT"/>
        </w:rPr>
        <w:t xml:space="preserve">voetnoot 11, nr. 14 en </w:t>
      </w:r>
      <w:r w:rsidRPr="00B2070B">
        <w:rPr>
          <w:i/>
          <w:lang w:val="pt-PT"/>
        </w:rPr>
        <w:t xml:space="preserve">infra </w:t>
      </w:r>
      <w:r w:rsidRPr="00B2070B">
        <w:rPr>
          <w:lang w:val="pt-PT"/>
        </w:rPr>
        <w:t>nr. 41.</w:t>
      </w:r>
    </w:p>
  </w:footnote>
  <w:footnote w:id="137">
    <w:p w14:paraId="7D99248E" w14:textId="77777777" w:rsidR="00AB5378" w:rsidRDefault="00AB5378">
      <w:pPr>
        <w:pStyle w:val="Voetnoottekst"/>
        <w:spacing w:after="0"/>
      </w:pPr>
      <w:r>
        <w:rPr>
          <w:rStyle w:val="Voetnootmarkering"/>
        </w:rPr>
        <w:footnoteRef/>
      </w:r>
      <w:r>
        <w:t xml:space="preserve"> Over die mogelijkheid blijft de Raad van State nog steeds vaag, ook al lijkt hij de deur op een kier te zetten voor een formele vereenvoudigde wijzigingsprocedure, zolang die geen betrekking heeft op essentiële elementen of grondrechten, zie adv.RvS 64.800/VR van 5 februari 2019, nr. 8, onder verwijzing naar Y. P</w:t>
      </w:r>
      <w:r>
        <w:rPr>
          <w:sz w:val="16"/>
          <w:szCs w:val="16"/>
        </w:rPr>
        <w:t>EETERS</w:t>
      </w:r>
      <w:r>
        <w:t xml:space="preserve">, </w:t>
      </w:r>
      <w:r>
        <w:rPr>
          <w:i/>
          <w:iCs/>
        </w:rPr>
        <w:t>De plaats van samenwerkingsakkoorden in het constitutioneel kader</w:t>
      </w:r>
      <w:r>
        <w:t xml:space="preserve">, Brugge, die Keure, 2016, 312-315. Zie ook, </w:t>
      </w:r>
      <w:r>
        <w:rPr>
          <w:i/>
          <w:iCs/>
        </w:rPr>
        <w:t>infra</w:t>
      </w:r>
      <w:r>
        <w:t>, hoofdstuk VII.</w:t>
      </w:r>
    </w:p>
  </w:footnote>
  <w:footnote w:id="138">
    <w:p w14:paraId="771C4A67" w14:textId="77777777" w:rsidR="00AB5378" w:rsidRDefault="00AB5378">
      <w:pPr>
        <w:pStyle w:val="Voetnoottekst"/>
        <w:spacing w:after="0"/>
      </w:pPr>
      <w:r>
        <w:rPr>
          <w:rStyle w:val="Voetnootmarkering"/>
        </w:rPr>
        <w:footnoteRef/>
      </w:r>
      <w:r w:rsidRPr="008D4462">
        <w:t xml:space="preserve"> Zie bv. a</w:t>
      </w:r>
      <w:r w:rsidRPr="00D045ED">
        <w:t>dv.RvS 63.030/V</w:t>
      </w:r>
      <w:r>
        <w:t>R van 23 maart 2018, nrs. 7.1-7.4.</w:t>
      </w:r>
    </w:p>
  </w:footnote>
  <w:footnote w:id="139">
    <w:p w14:paraId="135F4423" w14:textId="77777777" w:rsidR="00AB5378" w:rsidRDefault="00AB5378">
      <w:pPr>
        <w:pStyle w:val="Voetnoottekst"/>
        <w:spacing w:after="0"/>
        <w:rPr>
          <w:rFonts w:cs="Times New Roman"/>
        </w:rPr>
      </w:pPr>
      <w:r w:rsidRPr="00C95E6B">
        <w:rPr>
          <w:rStyle w:val="Voetnootmarkering"/>
          <w:rFonts w:cs="Times New Roman"/>
        </w:rPr>
        <w:footnoteRef/>
      </w:r>
      <w:r w:rsidRPr="00F31CCB">
        <w:rPr>
          <w:rFonts w:cs="Times New Roman"/>
        </w:rPr>
        <w:t xml:space="preserve"> </w:t>
      </w:r>
      <w:r w:rsidRPr="00F31CCB">
        <w:rPr>
          <w:rFonts w:cs="Times New Roman"/>
          <w:i/>
        </w:rPr>
        <w:t xml:space="preserve">Supra </w:t>
      </w:r>
      <w:r w:rsidRPr="00F31CCB">
        <w:rPr>
          <w:rFonts w:cs="Times New Roman"/>
        </w:rPr>
        <w:t xml:space="preserve">nr. </w:t>
      </w:r>
      <w:r w:rsidRPr="00B2070B">
        <w:t>6</w:t>
      </w:r>
      <w:r w:rsidRPr="00F31CCB">
        <w:rPr>
          <w:rFonts w:cs="Times New Roman"/>
        </w:rPr>
        <w:t>.</w:t>
      </w:r>
    </w:p>
  </w:footnote>
  <w:footnote w:id="140">
    <w:p w14:paraId="48C5A9C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Wat echter niet kan is een tussenvorm waarbij partijen eenzijdig bepaalde bepalingen zouden kunnen opzeggen op een wijze die zou neerkomen op een eenzijdige wijziging van de rechten en verplichtingen onder de samenwerkingsovereenkomst, want dit dient te worden geregeld in een formele wijzigingsprocedure (adv.RvS nr. 54.817/VR van 13 januari  2014, nr. 16).</w:t>
      </w:r>
    </w:p>
  </w:footnote>
  <w:footnote w:id="141">
    <w:p w14:paraId="620F7143" w14:textId="77777777" w:rsidR="00AB5378" w:rsidRDefault="00AB5378">
      <w:pPr>
        <w:pStyle w:val="Voetnoottekst"/>
        <w:spacing w:after="0"/>
      </w:pPr>
      <w:r>
        <w:rPr>
          <w:rStyle w:val="Voetnootmarkering"/>
        </w:rPr>
        <w:footnoteRef/>
      </w:r>
      <w:r>
        <w:t xml:space="preserve"> </w:t>
      </w:r>
      <w:r w:rsidRPr="009862B1">
        <w:t>Zie bv.</w:t>
      </w:r>
      <w:r>
        <w:t xml:space="preserve"> de opeenvolgende “communications” van de partijen overeenkomstig</w:t>
      </w:r>
      <w:r w:rsidRPr="009862B1">
        <w:t xml:space="preserve"> artikel 7 van het Verdrag van Boedapest </w:t>
      </w:r>
      <w:r>
        <w:t>‘</w:t>
      </w:r>
      <w:r w:rsidRPr="009862B1">
        <w:t>inzake de Internationale erkenning van het depot van micro-organismen ten dienste van de octrooiverlening, en Uitvoeringsreglement, opgemaakt te Boedapest op 28 april 1977</w:t>
      </w:r>
      <w:r>
        <w:t>’ (al wordt in dat geval de tekst van de overeenkomst niet formeel gewijzigd).</w:t>
      </w:r>
    </w:p>
  </w:footnote>
  <w:footnote w:id="142">
    <w:p w14:paraId="0579111A" w14:textId="058CF05E"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de mogelijkheid dat een bepaalde voordelige regeling van toepassing zal zijn indien één van de verdragspartijen een dergelijke voordelige regeling aan een derde staat verleent </w:t>
      </w:r>
      <w:r w:rsidRPr="00C95E6B">
        <w:rPr>
          <w:rFonts w:cs="Times New Roman"/>
          <w:lang w:val="nl-NL"/>
        </w:rPr>
        <w:t>(een zgn. “most favo</w:t>
      </w:r>
      <w:r>
        <w:rPr>
          <w:rFonts w:cs="Times New Roman"/>
          <w:lang w:val="nl-NL"/>
        </w:rPr>
        <w:t>u</w:t>
      </w:r>
      <w:r w:rsidRPr="00C95E6B">
        <w:rPr>
          <w:rFonts w:cs="Times New Roman"/>
          <w:lang w:val="nl-NL"/>
        </w:rPr>
        <w:t>r</w:t>
      </w:r>
      <w:r>
        <w:rPr>
          <w:rFonts w:cs="Times New Roman"/>
          <w:lang w:val="nl-NL"/>
        </w:rPr>
        <w:t>ed</w:t>
      </w:r>
      <w:r w:rsidRPr="00C95E6B">
        <w:rPr>
          <w:rFonts w:cs="Times New Roman"/>
          <w:lang w:val="nl-NL"/>
        </w:rPr>
        <w:t xml:space="preserve"> nation clause”, zie bv. adv.RvS 58.734/3 van 20 januari 2016, nr. 6) of zelfs een heel complexe multilaterale regeling waarbij partijen na hun bekrachtiging door een kennisgeving nog een </w:t>
      </w:r>
      <w:r w:rsidRPr="00C95E6B">
        <w:rPr>
          <w:rFonts w:cs="Times New Roman"/>
        </w:rPr>
        <w:t>voorbehoud kunnen intrekken of vervangen door een beperkter voorbehoud, de lijst met bilaterale verdragen die zij door het multilaterale verdrag wensen te wijzigen kunnen aanvullen, of ervoor kunnen opteren om nieuwe facultatieve bepalingen toe te passen (adv. 63.951/VR van 23 november 2018, nr. 5).</w:t>
      </w:r>
      <w:r>
        <w:rPr>
          <w:rFonts w:cs="Times New Roman"/>
        </w:rPr>
        <w:t xml:space="preserve"> Ook kan een verdrag bepalen dat latere wijzigingen aan de nationale </w:t>
      </w:r>
      <w:r w:rsidR="00F82F21">
        <w:rPr>
          <w:rFonts w:cs="Times New Roman"/>
        </w:rPr>
        <w:t>socialezekerheidswetgeving</w:t>
      </w:r>
      <w:r>
        <w:rPr>
          <w:rFonts w:cs="Times New Roman"/>
        </w:rPr>
        <w:t xml:space="preserve"> meteen ook gevolg hebben voor het toepassingsgebied van een overeenkomst ter zake, zie bv. artikel 2 van de </w:t>
      </w:r>
      <w:r w:rsidRPr="008C5CAB">
        <w:rPr>
          <w:rFonts w:cs="Times New Roman"/>
        </w:rPr>
        <w:t>Overeenkomst betreffende de sociale zekerheid tussen het Koninkrijk België en de Republiek Tunesië, gedaan te Tunis op 28 maart 2013</w:t>
      </w:r>
      <w:r>
        <w:rPr>
          <w:rFonts w:cs="Times New Roman"/>
        </w:rPr>
        <w:t xml:space="preserve"> (adv.RvS 57.105/VR van 26 maart 2015), dat dan wel weer in een procedure voorziet voor de tegenpartij om zich alsnog te verzetten.</w:t>
      </w:r>
    </w:p>
  </w:footnote>
  <w:footnote w:id="143">
    <w:p w14:paraId="1091CC4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31, lid 3, b), van het WVV. </w:t>
      </w:r>
    </w:p>
  </w:footnote>
  <w:footnote w:id="144">
    <w:p w14:paraId="4457156A" w14:textId="77777777" w:rsidR="00AB5378" w:rsidRPr="00B2070B" w:rsidRDefault="00AB5378">
      <w:pPr>
        <w:pStyle w:val="Kop2"/>
        <w:shd w:val="clear" w:color="auto" w:fill="FFFFFF"/>
        <w:spacing w:before="0"/>
        <w:jc w:val="both"/>
        <w:rPr>
          <w:lang w:val="en-GB"/>
        </w:rPr>
      </w:pPr>
      <w:r w:rsidRPr="00A87036">
        <w:rPr>
          <w:rStyle w:val="Voetnootmarkering"/>
          <w:rFonts w:ascii="Times New Roman" w:hAnsi="Times New Roman" w:cs="Times New Roman"/>
          <w:color w:val="auto"/>
          <w:sz w:val="20"/>
          <w:szCs w:val="20"/>
        </w:rPr>
        <w:footnoteRef/>
      </w:r>
      <w:r w:rsidRPr="00AE73DA">
        <w:rPr>
          <w:rFonts w:ascii="Times New Roman" w:hAnsi="Times New Roman" w:cs="Times New Roman"/>
          <w:color w:val="auto"/>
          <w:sz w:val="20"/>
          <w:szCs w:val="20"/>
          <w:lang w:val="nl-NL"/>
        </w:rPr>
        <w:t xml:space="preserve"> </w:t>
      </w:r>
      <w:r w:rsidRPr="00A87036">
        <w:rPr>
          <w:rFonts w:ascii="Times New Roman" w:hAnsi="Times New Roman" w:cs="Times New Roman"/>
          <w:color w:val="auto"/>
          <w:sz w:val="20"/>
          <w:szCs w:val="20"/>
          <w:lang w:val="nl-BE"/>
        </w:rPr>
        <w:t xml:space="preserve">Met andere woorden een </w:t>
      </w:r>
      <w:r w:rsidRPr="00AE73DA">
        <w:rPr>
          <w:rFonts w:ascii="Times New Roman" w:hAnsi="Times New Roman" w:cs="Times New Roman"/>
          <w:color w:val="auto"/>
          <w:sz w:val="20"/>
          <w:szCs w:val="20"/>
          <w:lang w:val="nl-NL"/>
        </w:rPr>
        <w:t xml:space="preserve">interpretatie die we internrechtelijk als </w:t>
      </w:r>
      <w:r w:rsidRPr="00AE73DA">
        <w:rPr>
          <w:rFonts w:ascii="Times New Roman" w:hAnsi="Times New Roman" w:cs="Times New Roman"/>
          <w:i/>
          <w:color w:val="auto"/>
          <w:sz w:val="20"/>
          <w:szCs w:val="20"/>
          <w:lang w:val="nl-NL"/>
        </w:rPr>
        <w:t>contra legem</w:t>
      </w:r>
      <w:r w:rsidRPr="00AE73DA">
        <w:rPr>
          <w:rFonts w:ascii="Times New Roman" w:hAnsi="Times New Roman" w:cs="Times New Roman"/>
          <w:color w:val="auto"/>
          <w:sz w:val="20"/>
          <w:szCs w:val="20"/>
          <w:lang w:val="nl-NL"/>
        </w:rPr>
        <w:t xml:space="preserve"> zouden beschouwen. </w:t>
      </w:r>
      <w:r w:rsidRPr="00A87036">
        <w:rPr>
          <w:rFonts w:ascii="Times New Roman" w:hAnsi="Times New Roman" w:cs="Times New Roman"/>
          <w:color w:val="auto"/>
          <w:sz w:val="20"/>
          <w:szCs w:val="20"/>
        </w:rPr>
        <w:t xml:space="preserve">Zie bv. IGH 21 juni 1971, advisory opinion on the </w:t>
      </w:r>
      <w:r w:rsidRPr="00A87036">
        <w:rPr>
          <w:rStyle w:val="Nadruk"/>
          <w:rFonts w:ascii="Times New Roman" w:hAnsi="Times New Roman" w:cs="Times New Roman"/>
          <w:color w:val="auto"/>
          <w:sz w:val="20"/>
          <w:szCs w:val="20"/>
          <w:bdr w:val="none" w:sz="0" w:space="0" w:color="auto" w:frame="1"/>
          <w:shd w:val="clear" w:color="auto" w:fill="FFFFFF"/>
        </w:rPr>
        <w:t>Legal Consequences for States of the Continued Presence of South Africa in Namibia (South West Africa) notwithstanding Security Council Resolution 276 (1970)</w:t>
      </w:r>
      <w:r w:rsidRPr="00A87036">
        <w:rPr>
          <w:rStyle w:val="Nadruk"/>
          <w:rFonts w:ascii="Times New Roman" w:hAnsi="Times New Roman" w:cs="Times New Roman"/>
          <w:i w:val="0"/>
          <w:color w:val="auto"/>
          <w:sz w:val="20"/>
          <w:szCs w:val="20"/>
          <w:bdr w:val="none" w:sz="0" w:space="0" w:color="auto" w:frame="1"/>
          <w:shd w:val="clear" w:color="auto" w:fill="FFFFFF"/>
        </w:rPr>
        <w:t xml:space="preserve">, §§ 21-22. </w:t>
      </w:r>
      <w:r w:rsidRPr="00B2070B">
        <w:rPr>
          <w:rStyle w:val="Nadruk"/>
          <w:rFonts w:ascii="Times New Roman" w:hAnsi="Times New Roman"/>
          <w:i w:val="0"/>
          <w:color w:val="auto"/>
          <w:sz w:val="20"/>
          <w:bdr w:val="none" w:sz="0" w:space="0" w:color="auto" w:frame="1"/>
          <w:shd w:val="clear" w:color="auto" w:fill="FFFFFF"/>
          <w:lang w:val="en-GB"/>
        </w:rPr>
        <w:t xml:space="preserve">Zie ook: </w:t>
      </w:r>
      <w:r w:rsidRPr="00B2070B">
        <w:rPr>
          <w:rFonts w:ascii="Times New Roman" w:hAnsi="Times New Roman"/>
          <w:color w:val="auto"/>
          <w:sz w:val="20"/>
          <w:lang w:val="en-GB"/>
        </w:rPr>
        <w:t xml:space="preserve">G. </w:t>
      </w:r>
      <w:r w:rsidRPr="00B2070B">
        <w:rPr>
          <w:rFonts w:ascii="Times New Roman" w:hAnsi="Times New Roman"/>
          <w:smallCaps/>
          <w:color w:val="auto"/>
          <w:sz w:val="20"/>
          <w:lang w:val="en-GB"/>
        </w:rPr>
        <w:t>Nolte</w:t>
      </w:r>
      <w:r w:rsidRPr="00B2070B">
        <w:rPr>
          <w:rFonts w:ascii="Times New Roman" w:hAnsi="Times New Roman"/>
          <w:color w:val="auto"/>
          <w:sz w:val="20"/>
          <w:lang w:val="en-GB"/>
        </w:rPr>
        <w:t xml:space="preserve"> (ed.), </w:t>
      </w:r>
      <w:r w:rsidRPr="00B2070B">
        <w:rPr>
          <w:rFonts w:ascii="Times New Roman" w:hAnsi="Times New Roman"/>
          <w:i/>
          <w:color w:val="auto"/>
          <w:sz w:val="20"/>
          <w:lang w:val="en-GB"/>
        </w:rPr>
        <w:t>Treaties and Subsequent Practice</w:t>
      </w:r>
      <w:r w:rsidRPr="00B2070B">
        <w:rPr>
          <w:rFonts w:ascii="Times New Roman" w:hAnsi="Times New Roman"/>
          <w:color w:val="auto"/>
          <w:sz w:val="20"/>
          <w:lang w:val="en-GB"/>
        </w:rPr>
        <w:t>, Oxford, OUP, 2013, 432 p.</w:t>
      </w:r>
    </w:p>
  </w:footnote>
  <w:footnote w:id="145">
    <w:p w14:paraId="5BDD57E0"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Bv. adv.RvS 58.736/3 van 26 januari 2016, nr. 4 en adv.RvS 59.688/VR/V van 26 augustus 2016, nrs. 6.2-6.3. Zie ook: adv.RvS 58.734/3 van 20 januari 2016, nr. 8.</w:t>
      </w:r>
    </w:p>
  </w:footnote>
  <w:footnote w:id="146">
    <w:p w14:paraId="54E05ABC"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A87036">
        <w:rPr>
          <w:rFonts w:cs="Times New Roman"/>
        </w:rPr>
        <w:t>Een voorbeeld kan worden gevonden in het samenwerkingsakkoord van 31 augustus 2018 tussen de federale staat, de Vlaamse Gemeenschap, de Franse Gemeenschap en de Duitstalige Gemeenschap betreffende de coördinatie van de radiofrequenties voor radio-omroep in de frequentieband 87,5-108 MHz overeenkomstig artikel 17 van de wet van 13 juni 2005 ‘betreffende de elektronische communicatie’. Daarin wordt een onderscheid gemaakt tussen de wijziging van niet-betwiste onderdelen van het nationaal frequentieplan, die elk van de gemeenschappen voor zijn deel van het plan zelf kan initiëren via een vereenvoudigde procedure (dus strikt genomen niet volledig eenzijdig), en de wijziging van een aantal betwiste frequenties, die het evenwicht tussen de partijen in het gedrang zou kunnen brengen, waarvoor de overeenkomst zelf moet worden gewijzigd, met alle bijhorende formaliteiten. De Raad van State heeft zich niet tegen die werkwijze verzet, zie adv.RvS 64.270/VR van 31 oktober 2018.</w:t>
      </w:r>
    </w:p>
  </w:footnote>
  <w:footnote w:id="147">
    <w:p w14:paraId="3E05B78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bv. adv.RvS 67.089/VR van 12 maart 2020.</w:t>
      </w:r>
    </w:p>
  </w:footnote>
  <w:footnote w:id="148">
    <w:p w14:paraId="7C5EE96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25.642/VR van 3 maart 1997 en adv.RvS 53.372/VR van 18 juni 2013, nr. 9. Uiteraard geldt de decretale instemming niet voor de wijziging van administratieve samenwerkingsakkoorden en uitvoerende samenwerkingsakkoorden, maar ook daar geldt als uitgangspunt dat een wijziging de sluiting van een nieuw akkoord vereist.</w:t>
      </w:r>
    </w:p>
  </w:footnote>
  <w:footnote w:id="149">
    <w:p w14:paraId="602DA83A"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52.303/AV van 20 november 2012, nr. 12. Zie uiteindelijk artikel 92</w:t>
      </w:r>
      <w:r w:rsidRPr="00A87036">
        <w:rPr>
          <w:rFonts w:cs="Times New Roman"/>
          <w:i/>
        </w:rPr>
        <w:t>bis</w:t>
      </w:r>
      <w:r w:rsidRPr="00C95E6B">
        <w:rPr>
          <w:rFonts w:cs="Times New Roman"/>
        </w:rPr>
        <w:t>/1, § 4, derde lid, BWHI.</w:t>
      </w:r>
    </w:p>
  </w:footnote>
  <w:footnote w:id="150">
    <w:p w14:paraId="529BAAB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bv. adv.RvS 53.600/VR van 8 augustus 2013, nr. 3.2.3.</w:t>
      </w:r>
    </w:p>
  </w:footnote>
  <w:footnote w:id="151">
    <w:p w14:paraId="38F1DD3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52.303/AV van 20 november 2012, nr. 16.</w:t>
      </w:r>
    </w:p>
  </w:footnote>
  <w:footnote w:id="152">
    <w:p w14:paraId="31BF740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iCs/>
        </w:rPr>
        <w:t>bis</w:t>
      </w:r>
      <w:r w:rsidRPr="00C95E6B">
        <w:rPr>
          <w:rFonts w:cs="Times New Roman"/>
        </w:rPr>
        <w:t>/1, § 4, derde lid, BWHI</w:t>
      </w:r>
    </w:p>
  </w:footnote>
  <w:footnote w:id="153">
    <w:p w14:paraId="0EDE8544" w14:textId="60B62C1D"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color w:val="000000"/>
        </w:rPr>
        <w:t xml:space="preserve">Die situatie is niet goed geregeld. </w:t>
      </w:r>
      <w:r w:rsidRPr="00C95E6B">
        <w:rPr>
          <w:rFonts w:cs="Times New Roman"/>
        </w:rPr>
        <w:t xml:space="preserve">Indien alle partijen bij het samenwerkingsakkoord ook het latere gezamenlijke decreet zouden aannemen zou er vanuit consensueel oogpunt geen bezwaar mogen zijn en lijkt het normenconflict op basis van het </w:t>
      </w:r>
      <w:r w:rsidRPr="00C95E6B">
        <w:rPr>
          <w:rFonts w:cs="Times New Roman"/>
          <w:i/>
          <w:iCs/>
        </w:rPr>
        <w:t xml:space="preserve">lex posterior </w:t>
      </w:r>
      <w:r w:rsidRPr="00C95E6B">
        <w:rPr>
          <w:rFonts w:cs="Times New Roman"/>
        </w:rPr>
        <w:t xml:space="preserve">beginsel </w:t>
      </w:r>
      <w:r>
        <w:rPr>
          <w:rFonts w:cs="Times New Roman"/>
        </w:rPr>
        <w:t xml:space="preserve">of het </w:t>
      </w:r>
      <w:r>
        <w:rPr>
          <w:rFonts w:cs="Times New Roman"/>
          <w:i/>
          <w:iCs/>
        </w:rPr>
        <w:t xml:space="preserve">lex specialis </w:t>
      </w:r>
      <w:r>
        <w:rPr>
          <w:rFonts w:cs="Times New Roman"/>
        </w:rPr>
        <w:t xml:space="preserve">beginsel </w:t>
      </w:r>
      <w:r w:rsidRPr="00C95E6B">
        <w:rPr>
          <w:rFonts w:cs="Times New Roman"/>
        </w:rPr>
        <w:t xml:space="preserve">te kunnen worden opgelost, maar wetgevingstechnisch blijft het sterk aan te bevelen om in die situatie het oude samenwerkingsakkoord formeel te wijzigen (zie ook: </w:t>
      </w:r>
      <w:r w:rsidRPr="00C95E6B">
        <w:rPr>
          <w:rFonts w:cs="Times New Roman"/>
          <w:i/>
        </w:rPr>
        <w:t xml:space="preserve">Parl.St. </w:t>
      </w:r>
      <w:r w:rsidRPr="00C95E6B">
        <w:rPr>
          <w:rFonts w:cs="Times New Roman"/>
        </w:rPr>
        <w:t xml:space="preserve">Senaat, 2013-14, nr. 5-1815/5, 16). </w:t>
      </w:r>
    </w:p>
  </w:footnote>
  <w:footnote w:id="154">
    <w:p w14:paraId="09AB2EF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Bij multilaterale verdragen is die mogelijkheid geregeld in </w:t>
      </w:r>
      <w:r w:rsidRPr="00A87036">
        <w:rPr>
          <w:rFonts w:cs="Times New Roman"/>
        </w:rPr>
        <w:t xml:space="preserve">artikel 41 van het </w:t>
      </w:r>
      <w:r w:rsidRPr="00C95E6B">
        <w:rPr>
          <w:rFonts w:cs="Times New Roman"/>
        </w:rPr>
        <w:t xml:space="preserve">WVV. Dergelijke verdragen kunnen als het basisverdrag uitdrukkelijk in die mogelijkheid voorziet (lid 1, a), of – indien niet uitdrukkelijk verboden – de wijziging in kwestie “noch het genot der aan de andere partijen op grond van het verdrag toekomende rechten, noch het nakomen van hun verplichtingen aantast; en zich niet uitstrekt tot een bepaling, waarvan niet mag worden afgeweken als dit onverenigbaar is met de doeltreffende verwezenlijking van voorwerp en doel van het verdrag in zijn geheel” (lid 1, b). In de mogelijkheid niet bij verdrag voorzien is (lid 1, b) dienen de partijen in kwestie de andere partijen in kennis te stellen van hun voornemen om de overeenkomst te sluiten en van de wijzigingen die deze ten gevolge heeft voor het verdrag (lid 2). </w:t>
      </w:r>
    </w:p>
    <w:p w14:paraId="0735621F" w14:textId="40985B8C" w:rsidR="00AB5378" w:rsidRDefault="00AB5378">
      <w:pPr>
        <w:pStyle w:val="Voetnoottekst"/>
        <w:spacing w:after="0"/>
        <w:rPr>
          <w:rFonts w:cs="Times New Roman"/>
          <w:lang w:val="nl-NL"/>
        </w:rPr>
      </w:pPr>
      <w:r w:rsidRPr="00C95E6B">
        <w:rPr>
          <w:rFonts w:cs="Times New Roman"/>
        </w:rPr>
        <w:t>Hoewel we hiervoor hebben opgemerkt dat een samenwerkingsakkoord niet zonder meer met een multilateraal verdrag kan worden vergeleken (</w:t>
      </w:r>
      <w:r w:rsidRPr="00A87036">
        <w:rPr>
          <w:rFonts w:cs="Times New Roman"/>
          <w:i/>
        </w:rPr>
        <w:t>supra</w:t>
      </w:r>
      <w:r w:rsidRPr="00C95E6B">
        <w:rPr>
          <w:rFonts w:cs="Times New Roman"/>
        </w:rPr>
        <w:t xml:space="preserve"> </w:t>
      </w:r>
      <w:r w:rsidRPr="00B2070B">
        <w:t>nr. 8</w:t>
      </w:r>
      <w:r w:rsidRPr="00C95E6B">
        <w:rPr>
          <w:rFonts w:cs="Times New Roman"/>
        </w:rPr>
        <w:t xml:space="preserve">), kan worden </w:t>
      </w:r>
      <w:r w:rsidRPr="00E93D19">
        <w:rPr>
          <w:rFonts w:cs="Times New Roman"/>
        </w:rPr>
        <w:t>vast</w:t>
      </w:r>
      <w:r>
        <w:rPr>
          <w:rFonts w:cs="Times New Roman"/>
        </w:rPr>
        <w:t>ge</w:t>
      </w:r>
      <w:r w:rsidRPr="00E93D19">
        <w:rPr>
          <w:rFonts w:cs="Times New Roman"/>
        </w:rPr>
        <w:t>steld</w:t>
      </w:r>
      <w:r w:rsidRPr="00C95E6B">
        <w:rPr>
          <w:rFonts w:cs="Times New Roman"/>
        </w:rPr>
        <w:t xml:space="preserve"> dat de eerste hypothese (lid 1, a) niet meer is dan een uitdrukking van het beginsel algemeen verdragsrecht (en burgerlijk recht) dat de overeenkomst de partijen tot wet strekt, en dat de tweede hypothese (lid 1, b en lid 2) naar analogie inpasbaar lijkt in de Belgische regeling voor samenwerkingsakkoorden voor zover de kennisgeving aanleiding geeft tot daadwerkelijk overleg.</w:t>
      </w:r>
    </w:p>
  </w:footnote>
  <w:footnote w:id="155">
    <w:p w14:paraId="2601EF1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rPr>
        <w:t xml:space="preserve">Parl.St. </w:t>
      </w:r>
      <w:r w:rsidRPr="00C95E6B">
        <w:rPr>
          <w:rFonts w:cs="Times New Roman"/>
        </w:rPr>
        <w:t>Senaat, 2013-14, nr. 5-1815/5, 16 en 21</w:t>
      </w:r>
    </w:p>
  </w:footnote>
  <w:footnote w:id="156">
    <w:p w14:paraId="333D34AC" w14:textId="2FFCD191" w:rsidR="00AB5378" w:rsidRDefault="00AB5378">
      <w:pPr>
        <w:autoSpaceDE w:val="0"/>
        <w:autoSpaceDN w:val="0"/>
        <w:adjustRightInd w:val="0"/>
        <w:jc w:val="both"/>
        <w:rPr>
          <w:lang w:val="nl-NL"/>
        </w:rPr>
      </w:pPr>
      <w:r w:rsidRPr="00A87036">
        <w:rPr>
          <w:rStyle w:val="Voetnootmarkering"/>
          <w:sz w:val="20"/>
          <w:szCs w:val="20"/>
        </w:rPr>
        <w:footnoteRef/>
      </w:r>
      <w:r w:rsidRPr="00A87036">
        <w:rPr>
          <w:sz w:val="20"/>
          <w:szCs w:val="20"/>
          <w:lang w:val="nl-NL"/>
        </w:rPr>
        <w:t xml:space="preserve"> P. </w:t>
      </w:r>
      <w:r w:rsidRPr="00A87036">
        <w:rPr>
          <w:smallCaps/>
          <w:sz w:val="20"/>
          <w:szCs w:val="20"/>
          <w:lang w:val="nl-NL"/>
        </w:rPr>
        <w:t>Popelier</w:t>
      </w:r>
      <w:r w:rsidRPr="00A87036">
        <w:rPr>
          <w:sz w:val="20"/>
          <w:szCs w:val="20"/>
          <w:lang w:val="nl-NL"/>
        </w:rPr>
        <w:t>, “</w:t>
      </w:r>
      <w:r w:rsidRPr="00A87036">
        <w:rPr>
          <w:rFonts w:eastAsiaTheme="minorHAnsi"/>
          <w:sz w:val="20"/>
          <w:szCs w:val="20"/>
          <w:lang w:val="nl-NL" w:eastAsia="en-US"/>
        </w:rPr>
        <w:t xml:space="preserve">Rechtszekerheid en transparantie als grenzen voor doorwerking van internationaal recht ten aanzien van particulieren” in </w:t>
      </w:r>
      <w:r w:rsidRPr="00A87036">
        <w:rPr>
          <w:sz w:val="20"/>
          <w:szCs w:val="20"/>
          <w:lang w:val="nl-NL"/>
        </w:rPr>
        <w:t xml:space="preserve">J. </w:t>
      </w:r>
      <w:r w:rsidRPr="00A87036">
        <w:rPr>
          <w:smallCaps/>
          <w:sz w:val="20"/>
          <w:szCs w:val="20"/>
          <w:lang w:val="nl-NL"/>
        </w:rPr>
        <w:t>Wouters</w:t>
      </w:r>
      <w:r w:rsidRPr="00A87036">
        <w:rPr>
          <w:sz w:val="20"/>
          <w:szCs w:val="20"/>
          <w:lang w:val="nl-NL"/>
        </w:rPr>
        <w:t xml:space="preserve"> en D. </w:t>
      </w:r>
      <w:r w:rsidRPr="00A87036">
        <w:rPr>
          <w:smallCaps/>
          <w:sz w:val="20"/>
          <w:szCs w:val="20"/>
          <w:lang w:val="nl-NL"/>
        </w:rPr>
        <w:t>Van Eeckhoutte</w:t>
      </w:r>
      <w:r w:rsidRPr="00A87036">
        <w:rPr>
          <w:sz w:val="20"/>
          <w:szCs w:val="20"/>
          <w:lang w:val="nl-NL"/>
        </w:rPr>
        <w:t xml:space="preserve"> (eds.), </w:t>
      </w:r>
      <w:r w:rsidRPr="00A87036">
        <w:rPr>
          <w:i/>
          <w:iCs/>
          <w:sz w:val="20"/>
          <w:szCs w:val="20"/>
          <w:lang w:val="nl-NL"/>
        </w:rPr>
        <w:t xml:space="preserve">Doorwerking van internationaal recht in de Belgische </w:t>
      </w:r>
      <w:r w:rsidRPr="00A87036">
        <w:rPr>
          <w:sz w:val="20"/>
          <w:szCs w:val="20"/>
          <w:lang w:val="nl-NL"/>
        </w:rPr>
        <w:t xml:space="preserve">rechtsorde, Antwerpen, Intersentia, 2006 </w:t>
      </w:r>
      <w:r w:rsidRPr="00D045ED">
        <w:rPr>
          <w:sz w:val="20"/>
          <w:szCs w:val="20"/>
          <w:lang w:val="nl-NL"/>
        </w:rPr>
        <w:t xml:space="preserve">(139), </w:t>
      </w:r>
      <w:r w:rsidRPr="00D045ED">
        <w:rPr>
          <w:rFonts w:eastAsiaTheme="minorHAnsi"/>
          <w:sz w:val="20"/>
          <w:szCs w:val="20"/>
          <w:lang w:val="nl-NL" w:eastAsia="en-US"/>
        </w:rPr>
        <w:t>164,</w:t>
      </w:r>
      <w:r w:rsidRPr="00A87036">
        <w:rPr>
          <w:rFonts w:eastAsiaTheme="minorHAnsi"/>
          <w:sz w:val="20"/>
          <w:szCs w:val="20"/>
          <w:lang w:val="nl-NL" w:eastAsia="en-US"/>
        </w:rPr>
        <w:t xml:space="preserve"> nr. 56.</w:t>
      </w:r>
    </w:p>
  </w:footnote>
  <w:footnote w:id="157">
    <w:p w14:paraId="4E1A67A0"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smallCaps/>
        </w:rPr>
        <w:t>Raad van State</w:t>
      </w:r>
      <w:r w:rsidRPr="00C95E6B">
        <w:rPr>
          <w:rFonts w:cs="Times New Roman"/>
        </w:rPr>
        <w:t xml:space="preserve">, </w:t>
      </w:r>
      <w:r w:rsidRPr="00C95E6B">
        <w:rPr>
          <w:rFonts w:cs="Times New Roman"/>
          <w:i/>
          <w:iCs/>
        </w:rPr>
        <w:t>Beginselen van de wetgevingstechniek – Handleiding voor het opstellen van wetgevende en reglementaire teksten</w:t>
      </w:r>
      <w:r w:rsidRPr="00C95E6B">
        <w:rPr>
          <w:rFonts w:cs="Times New Roman"/>
        </w:rPr>
        <w:t>, 2008, www.raadvst-consetat.be, tab “Wetgevingstechniek”, p. 124, aanbeveling nr. 208,</w:t>
      </w:r>
    </w:p>
  </w:footnote>
  <w:footnote w:id="158">
    <w:p w14:paraId="6606475B" w14:textId="77777777" w:rsidR="00AB5378" w:rsidRDefault="00AB5378">
      <w:pPr>
        <w:pStyle w:val="Voetnoottekst"/>
        <w:spacing w:after="0"/>
        <w:rPr>
          <w:rFonts w:cs="Times New Roman"/>
        </w:rPr>
      </w:pPr>
      <w:r w:rsidRPr="00A87036">
        <w:rPr>
          <w:rStyle w:val="Voetnootmarkering"/>
          <w:rFonts w:cs="Times New Roman"/>
        </w:rPr>
        <w:footnoteRef/>
      </w:r>
      <w:r w:rsidRPr="00A87036">
        <w:rPr>
          <w:rFonts w:cs="Times New Roman"/>
        </w:rPr>
        <w:t xml:space="preserve"> Adv.RvS 59.829/AV van 8 september 2016, blz. 10</w:t>
      </w:r>
      <w:r w:rsidRPr="00C95E6B">
        <w:rPr>
          <w:rFonts w:cs="Times New Roman"/>
        </w:rPr>
        <w:t>.</w:t>
      </w:r>
    </w:p>
  </w:footnote>
  <w:footnote w:id="159">
    <w:p w14:paraId="19EC4CE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Onderhandelingstechnisch is dit logisch: een verdragspartner voelt zich doorgaans als een vis op het droge als het over interne, Belgische wetgeving aankomt. Door op basis hiervan te werken, zou hij zich dan ook in een zwakkere onderhandelingspositie plaatsen en is de reëel dat hij door een slecht begrip ervan zijn doelstellingen niet behaalt. </w:t>
      </w:r>
    </w:p>
  </w:footnote>
  <w:footnote w:id="160">
    <w:p w14:paraId="194FAB90"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door een delegatie aan de regering of de minister bevoegdheidsconform te interpreteren (bv. adv.RvS 59.688/VR/V van 26 augustus 2016, nr. 5 en adv.RvS 55.573/VR van 15 april 2014, nr. 4.1) of conform het legaliteitsbeginsel in fiscale zaken (bv. adv.RvS 57.095/VR van 27 april 2015 en adv.RvS 55.573/VR van 15 april 2014, nrs. 4.2-4.3), of door erop te wijzen dat afspraken mogelijks niet uitvoerbaar zijn of afdwingbaar voor de Belgische rechter (bv. adv.RvS 59.688/VR/V van 26 augustus 2016, nr. 11, adv.RvS 55.573/VR van 15 april 2014, nr. 5 en adv.RvS 53.064/VR van 6 mei 2013, nrs. 3.1-3.2: wat betreft de in (het kader van) een zetelakkoord middels voorlopige toepassing of terugwerkende kracht toegekende immuniteiten en voorrechten) of aanleiding kunnen geven tot ernstige interpretatieproblemen (bv. </w:t>
      </w:r>
      <w:r w:rsidRPr="00A87036">
        <w:rPr>
          <w:rFonts w:cs="Times New Roman"/>
        </w:rPr>
        <w:t>adv.RvS 59.688/VR/V van 26 augustus 2016</w:t>
      </w:r>
      <w:r w:rsidRPr="00C95E6B">
        <w:rPr>
          <w:rFonts w:cs="Times New Roman"/>
        </w:rPr>
        <w:t xml:space="preserve">, nr. 8: zijn de fiscale voorrechten enkel van toepassing op echtgenoten of ook op wettelijke partners). Slechts in uitzonderlijke gevallen vraagt de Raad een aanpassing van de verdragstekst (bv. adv.RvS 59.688/VR/V van 26 augustus 2016, nr. 9; adv.RvS 55.573/VR van 15 april 2014, nrs. 4.2 en </w:t>
      </w:r>
      <w:r w:rsidRPr="00A87036">
        <w:rPr>
          <w:rFonts w:cs="Times New Roman"/>
        </w:rPr>
        <w:t>6</w:t>
      </w:r>
      <w:r w:rsidRPr="00C95E6B">
        <w:rPr>
          <w:rFonts w:cs="Times New Roman"/>
        </w:rPr>
        <w:t xml:space="preserve"> en adv.RvS 54.747/VR van 27 januari 2014, nr. 2)</w:t>
      </w:r>
    </w:p>
  </w:footnote>
  <w:footnote w:id="161">
    <w:p w14:paraId="2075852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Een zogenaamde ‘joint decision trap’. </w:t>
      </w:r>
    </w:p>
  </w:footnote>
  <w:footnote w:id="162">
    <w:p w14:paraId="578150A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36.392/1 van 22 januari 2004, nr. 2.</w:t>
      </w:r>
    </w:p>
  </w:footnote>
  <w:footnote w:id="163">
    <w:p w14:paraId="1700E93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Een klassiek voorbeeld zijn opdrachten aan “de minister van Financiën” in een aantal belastingsverdragen en verdragen over voorrechten en immuniteiten, die in het geval van België ook een aantal bevoegdheidsrechtelijke problemen met zich meebrengen.</w:t>
      </w:r>
    </w:p>
  </w:footnote>
  <w:footnote w:id="164">
    <w:p w14:paraId="18FEEFA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28.396/3 van 27 oktober 1998, nr. 3.3. Zie ook adv.RvS 64.141/VR van 16 oktober 2018, waar de rechtsgrond voor het oude KB altijd al wankel was, en het samenwerkingsakkoord voor de betrokken radiofrequentie in een nieuw stabiel rechtskader moet zorgen.</w:t>
      </w:r>
    </w:p>
  </w:footnote>
  <w:footnote w:id="165">
    <w:p w14:paraId="073D380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iCs/>
        </w:rPr>
        <w:t>bis</w:t>
      </w:r>
      <w:r w:rsidRPr="00C95E6B">
        <w:rPr>
          <w:rFonts w:cs="Times New Roman"/>
        </w:rPr>
        <w:t>/1, § 4, eerste lid, eerst zin, BWHI.</w:t>
      </w:r>
    </w:p>
  </w:footnote>
  <w:footnote w:id="166">
    <w:p w14:paraId="529C4F1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iCs/>
        </w:rPr>
        <w:t>bis</w:t>
      </w:r>
      <w:r w:rsidRPr="00C95E6B">
        <w:rPr>
          <w:rFonts w:cs="Times New Roman"/>
        </w:rPr>
        <w:t xml:space="preserve">/1, § 4, eerste lid, tweede zin, tweede lid en derde lid, tweede zin, BWHI. </w:t>
      </w:r>
    </w:p>
  </w:footnote>
  <w:footnote w:id="167">
    <w:p w14:paraId="5194308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niet sluiten van een verplicht samenwerkingsakkoord kan in beginsel evenwel niet als een schending van een substantiële vormvereiste worden ingeroepen voor de Raad van State (</w:t>
      </w:r>
      <w:r w:rsidRPr="00C95E6B">
        <w:rPr>
          <w:rFonts w:cs="Times New Roman"/>
          <w:lang w:val="nl-NL"/>
        </w:rPr>
        <w:t xml:space="preserve">RvS 29 december 2010, nr. 210.163, </w:t>
      </w:r>
      <w:r w:rsidRPr="00C95E6B">
        <w:rPr>
          <w:rFonts w:cs="Times New Roman"/>
          <w:i/>
          <w:iCs/>
          <w:lang w:val="nl-NL"/>
        </w:rPr>
        <w:t>Yernaux</w:t>
      </w:r>
      <w:r w:rsidRPr="00C95E6B">
        <w:rPr>
          <w:rFonts w:cs="Times New Roman"/>
          <w:lang w:val="nl-NL"/>
        </w:rPr>
        <w:t>, blz. 13).</w:t>
      </w:r>
    </w:p>
  </w:footnote>
  <w:footnote w:id="168">
    <w:p w14:paraId="3D1683D5"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Gelet op het versterkt legaliteitsbeginsel dat geldt bij samenwerkingsakkoorden kan dit enkel in het samenwerkingsakkoord zelf, en niet in een afgeleid instrument of uitvoerend samenwerkingsakkoord, zie adv.RvS 66.170/2/V van 11 september 2019, opmerkingen bij artikel 9.</w:t>
      </w:r>
    </w:p>
  </w:footnote>
  <w:footnote w:id="169">
    <w:p w14:paraId="23CC6596" w14:textId="77777777" w:rsidR="00AB5378" w:rsidRDefault="00AB5378">
      <w:pPr>
        <w:jc w:val="both"/>
        <w:rPr>
          <w:sz w:val="20"/>
          <w:szCs w:val="20"/>
          <w:lang w:val="nl-NL"/>
        </w:rPr>
      </w:pPr>
      <w:r w:rsidRPr="00C95E6B">
        <w:rPr>
          <w:rStyle w:val="Voetnootmarkering"/>
          <w:sz w:val="20"/>
          <w:szCs w:val="20"/>
        </w:rPr>
        <w:footnoteRef/>
      </w:r>
      <w:r w:rsidRPr="00C95E6B">
        <w:rPr>
          <w:sz w:val="20"/>
          <w:szCs w:val="20"/>
          <w:lang w:val="nl-BE"/>
        </w:rPr>
        <w:t xml:space="preserve"> Artikel 92</w:t>
      </w:r>
      <w:r w:rsidRPr="00A87036">
        <w:rPr>
          <w:i/>
          <w:sz w:val="20"/>
          <w:szCs w:val="20"/>
          <w:lang w:val="nl-BE"/>
        </w:rPr>
        <w:t>bis</w:t>
      </w:r>
      <w:r w:rsidRPr="00C95E6B">
        <w:rPr>
          <w:sz w:val="20"/>
          <w:szCs w:val="20"/>
          <w:lang w:val="nl-BE"/>
        </w:rPr>
        <w:t xml:space="preserve">, §6, BWHI en adv.RvS </w:t>
      </w:r>
      <w:r w:rsidRPr="00C95E6B">
        <w:rPr>
          <w:rFonts w:eastAsiaTheme="minorHAnsi"/>
          <w:sz w:val="20"/>
          <w:szCs w:val="20"/>
          <w:lang w:val="nl-BE" w:eastAsia="en-US"/>
        </w:rPr>
        <w:t xml:space="preserve">66.170/2/V </w:t>
      </w:r>
      <w:r w:rsidRPr="00C95E6B">
        <w:rPr>
          <w:sz w:val="20"/>
          <w:szCs w:val="20"/>
          <w:lang w:val="nl-BE"/>
        </w:rPr>
        <w:t xml:space="preserve">van </w:t>
      </w:r>
      <w:r w:rsidRPr="00C95E6B">
        <w:rPr>
          <w:rFonts w:eastAsiaTheme="minorHAnsi"/>
          <w:sz w:val="20"/>
          <w:szCs w:val="20"/>
          <w:lang w:val="nl-BE" w:eastAsia="en-US"/>
        </w:rPr>
        <w:t>11 septemb</w:t>
      </w:r>
      <w:r w:rsidRPr="00C95E6B">
        <w:rPr>
          <w:sz w:val="20"/>
          <w:szCs w:val="20"/>
          <w:lang w:val="nl-BE"/>
        </w:rPr>
        <w:t>e</w:t>
      </w:r>
      <w:r w:rsidRPr="00C95E6B">
        <w:rPr>
          <w:rFonts w:eastAsiaTheme="minorHAnsi"/>
          <w:sz w:val="20"/>
          <w:szCs w:val="20"/>
          <w:lang w:val="nl-BE" w:eastAsia="en-US"/>
        </w:rPr>
        <w:t>r 2019</w:t>
      </w:r>
      <w:r w:rsidRPr="00C95E6B">
        <w:rPr>
          <w:sz w:val="20"/>
          <w:szCs w:val="20"/>
          <w:lang w:val="nl-BE"/>
        </w:rPr>
        <w:t>, opmerkingen bij artikel 9.</w:t>
      </w:r>
    </w:p>
  </w:footnote>
  <w:footnote w:id="170">
    <w:p w14:paraId="7361F1D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Cass. (1e k.) AR C.14.0090.N, 3 april 2015 (</w:t>
      </w:r>
      <w:r w:rsidRPr="00C95E6B">
        <w:rPr>
          <w:rFonts w:cs="Times New Roman"/>
          <w:i/>
          <w:iCs/>
        </w:rPr>
        <w:t>Waterwegen en Zeekanaal nv / De Haven van Brussel nv</w:t>
      </w:r>
      <w:r w:rsidRPr="00C95E6B">
        <w:rPr>
          <w:rFonts w:cs="Times New Roman"/>
        </w:rPr>
        <w:t xml:space="preserve">). Zie ook, impliciet: RvS nr. 243.280 van 19 december 2018, </w:t>
      </w:r>
      <w:r w:rsidRPr="00C95E6B">
        <w:rPr>
          <w:rFonts w:cs="Times New Roman"/>
          <w:i/>
          <w:iCs/>
        </w:rPr>
        <w:t>Vlaamse Maatschappij voor Watervoorziening/Waals Gewest</w:t>
      </w:r>
      <w:r w:rsidRPr="00C95E6B">
        <w:rPr>
          <w:rFonts w:cs="Times New Roman"/>
        </w:rPr>
        <w:t>.</w:t>
      </w:r>
    </w:p>
  </w:footnote>
  <w:footnote w:id="171">
    <w:p w14:paraId="0F88012E"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RvS 3 december 2015, nr. 233.137, </w:t>
      </w:r>
      <w:r w:rsidRPr="00C95E6B">
        <w:rPr>
          <w:rFonts w:cs="Times New Roman"/>
          <w:i/>
          <w:iCs/>
        </w:rPr>
        <w:t>Vlaams Gewest/Waals Gewest</w:t>
      </w:r>
      <w:r w:rsidRPr="00C95E6B">
        <w:rPr>
          <w:rFonts w:cs="Times New Roman"/>
        </w:rPr>
        <w:t>, nr. 47.</w:t>
      </w:r>
    </w:p>
  </w:footnote>
  <w:footnote w:id="172">
    <w:p w14:paraId="6FA1F230"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Althans voor zover deze samenwerkingsakkoorden de vereiste instemming hebben bekomen van de bevoegde wetgevers (</w:t>
      </w:r>
      <w:r w:rsidRPr="00B2070B">
        <w:rPr>
          <w:i/>
        </w:rPr>
        <w:t>supra</w:t>
      </w:r>
      <w:r w:rsidRPr="00B2070B">
        <w:t xml:space="preserve"> hoofdstuk IV</w:t>
      </w:r>
      <w:r w:rsidRPr="00C95E6B">
        <w:rPr>
          <w:rFonts w:cs="Times New Roman"/>
        </w:rPr>
        <w:t>).</w:t>
      </w:r>
    </w:p>
  </w:footnote>
  <w:footnote w:id="173">
    <w:p w14:paraId="32D50949"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Het Grondwettelijk Hof is immers enkel bevoegd voor beroepen tegen wetten, decreten of ordonnanties (artikel 142 Grondwet). </w:t>
      </w:r>
      <w:r w:rsidRPr="00C95E6B">
        <w:rPr>
          <w:rFonts w:cs="Times New Roman"/>
          <w:lang w:val="nl-NL"/>
        </w:rPr>
        <w:t>De Belgische Raad van State is in beginsel dan weer enkel bevoegd voor beroepen tegen eenzijdige bestuurshandelingen (artikel 14 van de gecoördineerde wetten op de Raad van State van 12 januari 1973). Een overeenkomst – ook al is deze publiekrechtelijke van aard – is dit niet. Hiervoor is in beginsel de justitiële rechter bevoegd (artikelen 144 en 145 Grondwet), behalve dan voor de geschillen die door een jurisdictie-clausule aan een andere rechter (bv. een samenwerkingsgerecht) werden toegewezen.</w:t>
      </w:r>
    </w:p>
  </w:footnote>
  <w:footnote w:id="174">
    <w:p w14:paraId="31D1F416" w14:textId="4F2D8F1A"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Gezamenlijke decreten en ordonnanties kunnen daarentegen wel rechtstreeks worden aangevochten voor het Grondwettelijk Hof, zie adv.RvS 52.303/AV van 20 november 2012, nr. 11. Zie bv. GwH nr.</w:t>
      </w:r>
      <w:r w:rsidR="003B3C30">
        <w:rPr>
          <w:rFonts w:cs="Times New Roman"/>
        </w:rPr>
        <w:t xml:space="preserve"> </w:t>
      </w:r>
      <w:r w:rsidRPr="00C95E6B">
        <w:rPr>
          <w:rFonts w:cs="Times New Roman"/>
        </w:rPr>
        <w:t>50/2020 van 26 maart 2020.</w:t>
      </w:r>
    </w:p>
  </w:footnote>
  <w:footnote w:id="175">
    <w:p w14:paraId="5E8DBD2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Dit allemaal los van de mogelijkheid om voor de justitiële rechter in een exceptie van onrechtmatigheid de onrechtmatigheid van een verdrag, samenwerkingsakkoord of zijn instemmingsakten op te werpen.</w:t>
      </w:r>
    </w:p>
  </w:footnote>
  <w:footnote w:id="176">
    <w:p w14:paraId="7E9EF7E7" w14:textId="11007B00" w:rsidR="00AB5378" w:rsidRDefault="00AB5378">
      <w:pPr>
        <w:jc w:val="both"/>
        <w:rPr>
          <w:sz w:val="20"/>
          <w:szCs w:val="20"/>
          <w:lang w:val="nl-NL"/>
        </w:rPr>
      </w:pPr>
      <w:r w:rsidRPr="00C95E6B">
        <w:rPr>
          <w:rStyle w:val="Voetnootmarkering"/>
          <w:sz w:val="20"/>
          <w:szCs w:val="20"/>
        </w:rPr>
        <w:footnoteRef/>
      </w:r>
      <w:r w:rsidRPr="00C95E6B">
        <w:rPr>
          <w:sz w:val="20"/>
          <w:szCs w:val="20"/>
          <w:lang w:val="nl-BE"/>
        </w:rPr>
        <w:t xml:space="preserve"> GwH </w:t>
      </w:r>
      <w:r w:rsidR="00D21C33">
        <w:rPr>
          <w:sz w:val="20"/>
          <w:szCs w:val="20"/>
          <w:lang w:val="nl-BE"/>
        </w:rPr>
        <w:t xml:space="preserve">nr. </w:t>
      </w:r>
      <w:r w:rsidRPr="00C95E6B">
        <w:rPr>
          <w:sz w:val="20"/>
          <w:szCs w:val="20"/>
          <w:lang w:val="nl-BE"/>
        </w:rPr>
        <w:t>177/2019 va</w:t>
      </w:r>
      <w:r w:rsidRPr="00A87036">
        <w:rPr>
          <w:sz w:val="20"/>
          <w:szCs w:val="20"/>
          <w:lang w:val="nl-BE"/>
        </w:rPr>
        <w:t>n 14</w:t>
      </w:r>
      <w:r w:rsidRPr="00C95E6B">
        <w:rPr>
          <w:sz w:val="20"/>
          <w:szCs w:val="20"/>
          <w:lang w:val="nl-BE"/>
        </w:rPr>
        <w:t xml:space="preserve"> november 2019, B.4.2-B.12 en GwH </w:t>
      </w:r>
      <w:r w:rsidR="00D21C33">
        <w:rPr>
          <w:sz w:val="20"/>
          <w:szCs w:val="20"/>
          <w:lang w:val="nl-BE"/>
        </w:rPr>
        <w:t xml:space="preserve">nr. </w:t>
      </w:r>
      <w:r w:rsidRPr="00C95E6B">
        <w:rPr>
          <w:sz w:val="20"/>
          <w:szCs w:val="20"/>
          <w:lang w:val="nl-BE"/>
        </w:rPr>
        <w:t xml:space="preserve">62/2016 van 28 april 2016, B.1.2.- B.1.3. </w:t>
      </w:r>
    </w:p>
  </w:footnote>
  <w:footnote w:id="177">
    <w:p w14:paraId="33995E97"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A87036">
        <w:rPr>
          <w:rFonts w:cs="Times New Roman"/>
          <w:i/>
        </w:rPr>
        <w:t>Supra</w:t>
      </w:r>
      <w:r w:rsidRPr="00C95E6B">
        <w:rPr>
          <w:rFonts w:cs="Times New Roman"/>
        </w:rPr>
        <w:t xml:space="preserve"> </w:t>
      </w:r>
      <w:r w:rsidRPr="00B2070B">
        <w:t>voetnoot 23</w:t>
      </w:r>
      <w:r w:rsidRPr="00C95E6B">
        <w:rPr>
          <w:rFonts w:cs="Times New Roman"/>
        </w:rPr>
        <w:t>. Met uitzondering wellicht voor de parlementaire samenwerkingsakkoorden.</w:t>
      </w:r>
    </w:p>
  </w:footnote>
  <w:footnote w:id="178">
    <w:p w14:paraId="1DCEA27F" w14:textId="5A7B61E0"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GwH </w:t>
      </w:r>
      <w:r w:rsidR="00D21C33">
        <w:rPr>
          <w:rFonts w:cs="Times New Roman"/>
        </w:rPr>
        <w:t xml:space="preserve">nr. </w:t>
      </w:r>
      <w:r w:rsidRPr="00C95E6B">
        <w:rPr>
          <w:rFonts w:cs="Times New Roman"/>
        </w:rPr>
        <w:t xml:space="preserve">37/2020 van 5 maart </w:t>
      </w:r>
      <w:r w:rsidR="003B3C30" w:rsidRPr="00C95E6B">
        <w:rPr>
          <w:rFonts w:cs="Times New Roman"/>
        </w:rPr>
        <w:t>2020, B.2.1</w:t>
      </w:r>
      <w:r w:rsidRPr="00C95E6B">
        <w:rPr>
          <w:rFonts w:cs="Times New Roman"/>
        </w:rPr>
        <w:t xml:space="preserve">, </w:t>
      </w:r>
      <w:proofErr w:type="spellStart"/>
      <w:r w:rsidRPr="00C95E6B">
        <w:rPr>
          <w:rFonts w:cs="Times New Roman"/>
        </w:rPr>
        <w:t>GwH</w:t>
      </w:r>
      <w:proofErr w:type="spellEnd"/>
      <w:r w:rsidRPr="00C95E6B">
        <w:rPr>
          <w:rFonts w:cs="Times New Roman"/>
        </w:rPr>
        <w:t xml:space="preserve"> </w:t>
      </w:r>
      <w:r w:rsidR="00D21C33">
        <w:rPr>
          <w:rFonts w:cs="Times New Roman"/>
        </w:rPr>
        <w:t xml:space="preserve">nr. </w:t>
      </w:r>
      <w:r w:rsidRPr="00C95E6B">
        <w:rPr>
          <w:rFonts w:cs="Times New Roman"/>
        </w:rPr>
        <w:t xml:space="preserve">171/2015 van </w:t>
      </w:r>
      <w:r>
        <w:rPr>
          <w:rFonts w:cs="Times New Roman"/>
        </w:rPr>
        <w:t>3 december 2015,</w:t>
      </w:r>
      <w:r w:rsidRPr="00C95E6B">
        <w:rPr>
          <w:rFonts w:cs="Times New Roman"/>
        </w:rPr>
        <w:t xml:space="preserve"> B.2 en GwH </w:t>
      </w:r>
      <w:r w:rsidR="00D21C33">
        <w:rPr>
          <w:rFonts w:cs="Times New Roman"/>
        </w:rPr>
        <w:t xml:space="preserve">nr. </w:t>
      </w:r>
      <w:r w:rsidRPr="00C95E6B">
        <w:rPr>
          <w:rFonts w:cs="Times New Roman"/>
        </w:rPr>
        <w:t xml:space="preserve">17/94 van </w:t>
      </w:r>
      <w:r>
        <w:rPr>
          <w:rFonts w:cs="Times New Roman"/>
        </w:rPr>
        <w:t>3 maart 1994,</w:t>
      </w:r>
      <w:r w:rsidRPr="00C95E6B">
        <w:rPr>
          <w:rFonts w:cs="Times New Roman"/>
        </w:rPr>
        <w:t xml:space="preserve"> B.1.</w:t>
      </w:r>
    </w:p>
  </w:footnote>
  <w:footnote w:id="179">
    <w:p w14:paraId="1B3C9B3C" w14:textId="442B7842" w:rsidR="00AB5378" w:rsidRDefault="00AB5378">
      <w:pPr>
        <w:pStyle w:val="Tekstopmerking"/>
        <w:rPr>
          <w:rFonts w:cs="Times New Roman"/>
        </w:rPr>
      </w:pPr>
      <w:r w:rsidRPr="00C95E6B">
        <w:rPr>
          <w:rStyle w:val="Voetnootmarkering"/>
          <w:rFonts w:cs="Times New Roman"/>
        </w:rPr>
        <w:footnoteRef/>
      </w:r>
      <w:r w:rsidRPr="00C95E6B">
        <w:rPr>
          <w:rFonts w:cs="Times New Roman"/>
        </w:rPr>
        <w:t xml:space="preserve"> Overeenkomstig artikel 46 WVV mag het feit dat de instemming van de staat om door een verdrag te worden gebonden gegeven is in strijd met het nationaal recht in beginsel niet worden aangevoerd ter ongeldigverklaring van de instemming</w:t>
      </w:r>
      <w:r w:rsidR="006D4A94">
        <w:rPr>
          <w:rFonts w:cs="Times New Roman"/>
        </w:rPr>
        <w:t>, t</w:t>
      </w:r>
      <w:r w:rsidRPr="00C95E6B">
        <w:rPr>
          <w:rFonts w:cs="Times New Roman"/>
        </w:rPr>
        <w:t xml:space="preserve">enzij die strijdigheid onmiskenbaar was en een regel van fundamenteel belang van het nationaal recht van die Staat betrof. Dit dient telkens </w:t>
      </w:r>
      <w:r w:rsidRPr="00B2070B">
        <w:rPr>
          <w:rFonts w:cs="Times New Roman"/>
          <w:i/>
          <w:iCs/>
        </w:rPr>
        <w:t>in concreto</w:t>
      </w:r>
      <w:r w:rsidRPr="00C95E6B">
        <w:rPr>
          <w:rFonts w:cs="Times New Roman"/>
        </w:rPr>
        <w:t xml:space="preserve"> te worden beoordeeld. Zo lijkt </w:t>
      </w:r>
      <w:r>
        <w:rPr>
          <w:rFonts w:cs="Times New Roman"/>
        </w:rPr>
        <w:t xml:space="preserve">ons </w:t>
      </w:r>
      <w:r w:rsidRPr="00C95E6B">
        <w:rPr>
          <w:rFonts w:cs="Times New Roman"/>
        </w:rPr>
        <w:t xml:space="preserve">dat </w:t>
      </w:r>
      <w:r w:rsidR="006D4A94">
        <w:rPr>
          <w:rFonts w:cs="Times New Roman"/>
        </w:rPr>
        <w:t xml:space="preserve">het wilsgebrek ten gevolge van </w:t>
      </w:r>
      <w:r w:rsidRPr="00C95E6B">
        <w:rPr>
          <w:rFonts w:cs="Times New Roman"/>
        </w:rPr>
        <w:t xml:space="preserve">een bekrachtiging </w:t>
      </w:r>
      <w:r w:rsidR="006D4A94">
        <w:rPr>
          <w:rFonts w:cs="Times New Roman"/>
        </w:rPr>
        <w:t>zonder</w:t>
      </w:r>
      <w:r w:rsidRPr="00C95E6B">
        <w:rPr>
          <w:rFonts w:cs="Times New Roman"/>
        </w:rPr>
        <w:t xml:space="preserve"> </w:t>
      </w:r>
      <w:r w:rsidR="006D4A94">
        <w:rPr>
          <w:rFonts w:cs="Times New Roman"/>
        </w:rPr>
        <w:t>voorafgaande</w:t>
      </w:r>
      <w:r w:rsidR="006D4A94" w:rsidRPr="00C95E6B">
        <w:rPr>
          <w:rFonts w:cs="Times New Roman"/>
        </w:rPr>
        <w:t xml:space="preserve"> </w:t>
      </w:r>
      <w:r w:rsidRPr="00C95E6B">
        <w:rPr>
          <w:rFonts w:cs="Times New Roman"/>
        </w:rPr>
        <w:t>par</w:t>
      </w:r>
      <w:r w:rsidR="006D4A94">
        <w:rPr>
          <w:rFonts w:cs="Times New Roman"/>
        </w:rPr>
        <w:t>l</w:t>
      </w:r>
      <w:r w:rsidRPr="00C95E6B">
        <w:rPr>
          <w:rFonts w:cs="Times New Roman"/>
        </w:rPr>
        <w:t>ementaire instemming met een verdrag kan worden tegengeworpen aan de verdragspartner, terwijl bv. een bekrachtiging met veronachtzaming van de deelname van een Belgische deelentiteit op basis van een bevoegdheidsrechtelijke regel voor gevorderden en voor een bijkomstige aangelegenheid, niet zal kunnen worden tegengeworpen aan de verdragspartner</w:t>
      </w:r>
      <w:r>
        <w:rPr>
          <w:rFonts w:cs="Times New Roman"/>
        </w:rPr>
        <w:t xml:space="preserve"> (zie ook: P. </w:t>
      </w:r>
      <w:r w:rsidRPr="00B2070B">
        <w:rPr>
          <w:rFonts w:cs="Times New Roman"/>
          <w:smallCaps/>
        </w:rPr>
        <w:t>Reuter</w:t>
      </w:r>
      <w:r>
        <w:rPr>
          <w:rFonts w:cs="Times New Roman"/>
        </w:rPr>
        <w:t xml:space="preserve">, </w:t>
      </w:r>
      <w:r>
        <w:rPr>
          <w:rFonts w:cs="Times New Roman"/>
          <w:i/>
        </w:rPr>
        <w:t>Introduction au droit des traités</w:t>
      </w:r>
      <w:r>
        <w:rPr>
          <w:rFonts w:cs="Times New Roman"/>
        </w:rPr>
        <w:t>, Paris, PUF, 1995, 155, nrs. 256-257)</w:t>
      </w:r>
      <w:r w:rsidRPr="00C95E6B">
        <w:rPr>
          <w:rFonts w:cs="Times New Roman"/>
        </w:rPr>
        <w:t xml:space="preserve">. </w:t>
      </w:r>
    </w:p>
    <w:p w14:paraId="7F1C1001" w14:textId="52B159DC" w:rsidR="00AB5378" w:rsidRDefault="00AB5378">
      <w:pPr>
        <w:pStyle w:val="Tekstopmerking"/>
        <w:rPr>
          <w:rFonts w:cs="Times New Roman"/>
        </w:rPr>
      </w:pPr>
      <w:r w:rsidRPr="00C95E6B">
        <w:rPr>
          <w:rFonts w:cs="Times New Roman"/>
        </w:rPr>
        <w:t>In geval van een nationale ongeldigheidsverklaring zal in elk geval op alle betrokken Belgische overheden de plicht rusten om zo spoedig als mogelijk de internationale en de interne, Belgische rechtsorde opnieuw met elkaar in overeenstemming te brengen.</w:t>
      </w:r>
      <w:r>
        <w:rPr>
          <w:rFonts w:cs="Times New Roman"/>
        </w:rPr>
        <w:t xml:space="preserve"> </w:t>
      </w:r>
      <w:r w:rsidRPr="00D43D4C">
        <w:rPr>
          <w:rFonts w:cs="Times New Roman"/>
        </w:rPr>
        <w:t xml:space="preserve">Voor een indirect voorbeeld van een dergelijke ongeldigverklaring, zie GwH </w:t>
      </w:r>
      <w:r w:rsidRPr="00B2070B">
        <w:rPr>
          <w:rFonts w:cs="Times New Roman"/>
        </w:rPr>
        <w:t xml:space="preserve">6 juni 2019, nr. </w:t>
      </w:r>
      <w:r w:rsidRPr="00D43D4C">
        <w:t>92/2019 van 6 juni 2019</w:t>
      </w:r>
      <w:r>
        <w:t>.</w:t>
      </w:r>
      <w:r w:rsidRPr="00D43D4C">
        <w:rPr>
          <w:rFonts w:cs="Times New Roman"/>
        </w:rPr>
        <w:t xml:space="preserve"> </w:t>
      </w:r>
    </w:p>
  </w:footnote>
  <w:footnote w:id="180">
    <w:p w14:paraId="729EF3F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102 van het Handvest van de Verenigde Naties van 26 juni 1945. Met als sancties dat een partij bij een niet-geregistreerd verdrag zich er niet op mag beroepen tegenover enig orgaan van de Verenigde Naties.</w:t>
      </w:r>
    </w:p>
  </w:footnote>
  <w:footnote w:id="181">
    <w:p w14:paraId="57014EDF"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Voor de bekendmaking ervan, zie de </w:t>
      </w:r>
      <w:r w:rsidRPr="00A87036">
        <w:rPr>
          <w:rFonts w:cs="Times New Roman"/>
          <w:i/>
          <w:iCs/>
        </w:rPr>
        <w:t>United Nations Treaty Series</w:t>
      </w:r>
      <w:r w:rsidRPr="00C95E6B">
        <w:rPr>
          <w:rFonts w:cs="Times New Roman"/>
        </w:rPr>
        <w:t xml:space="preserve"> raadpleegbaar op: </w:t>
      </w:r>
      <w:hyperlink r:id="rId9" w:history="1">
        <w:r w:rsidRPr="00C95E6B">
          <w:rPr>
            <w:rStyle w:val="Hyperlink"/>
            <w:rFonts w:cs="Times New Roman"/>
          </w:rPr>
          <w:t>treaties.un.org</w:t>
        </w:r>
      </w:hyperlink>
      <w:r w:rsidRPr="00C95E6B">
        <w:rPr>
          <w:rFonts w:cs="Times New Roman"/>
        </w:rPr>
        <w:t xml:space="preserve">. </w:t>
      </w:r>
    </w:p>
  </w:footnote>
  <w:footnote w:id="182">
    <w:p w14:paraId="683BB79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77, lid 1, g, WVV.</w:t>
      </w:r>
    </w:p>
  </w:footnote>
  <w:footnote w:id="183">
    <w:p w14:paraId="56003D34" w14:textId="78D13D9C"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Punt 11 van de </w:t>
      </w:r>
      <w:r w:rsidRPr="00A87036">
        <w:rPr>
          <w:rFonts w:cs="Times New Roman"/>
          <w:lang w:val="nl-NL"/>
        </w:rPr>
        <w:t>Mededeling van het Overlegcomité ‘Tips voor het realiseren van een samenwerkingsakkoord’ van 10 februari 2015</w:t>
      </w:r>
      <w:r w:rsidRPr="00C95E6B">
        <w:rPr>
          <w:rFonts w:cs="Times New Roman"/>
        </w:rPr>
        <w:t>.</w:t>
      </w:r>
    </w:p>
  </w:footnote>
  <w:footnote w:id="184">
    <w:p w14:paraId="6238EA0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i/>
          <w:iCs/>
        </w:rPr>
        <w:t>Idem</w:t>
      </w:r>
      <w:r w:rsidRPr="00C95E6B">
        <w:rPr>
          <w:rFonts w:cs="Times New Roman"/>
        </w:rPr>
        <w:t>.</w:t>
      </w:r>
    </w:p>
  </w:footnote>
  <w:footnote w:id="185">
    <w:p w14:paraId="3C77DFB9"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Zie in dat verband de rubriek ‘verdragen’ van de databank ‘reflex’ </w:t>
      </w:r>
      <w:hyperlink r:id="rId10" w:history="1">
        <w:r w:rsidRPr="00C95E6B">
          <w:rPr>
            <w:rStyle w:val="Hyperlink"/>
            <w:rFonts w:cs="Times New Roman"/>
          </w:rPr>
          <w:t>http://reflex.raadvst-consetat.be/reflex/</w:t>
        </w:r>
      </w:hyperlink>
      <w:r w:rsidRPr="00C95E6B">
        <w:rPr>
          <w:rFonts w:cs="Times New Roman"/>
        </w:rPr>
        <w:t xml:space="preserve">. </w:t>
      </w:r>
    </w:p>
  </w:footnote>
  <w:footnote w:id="186">
    <w:p w14:paraId="5DCE7E5E"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65.275/VR van 12 maart 2019 nr. 3.4. </w:t>
      </w:r>
    </w:p>
  </w:footnote>
  <w:footnote w:id="187">
    <w:p w14:paraId="55D2C4E6"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Voor verdragen zie bv. Cass. 11 december 1953, </w:t>
      </w:r>
      <w:r w:rsidRPr="00C95E6B">
        <w:rPr>
          <w:rFonts w:cs="Times New Roman"/>
          <w:i/>
          <w:iCs/>
        </w:rPr>
        <w:t>Pas.</w:t>
      </w:r>
      <w:r w:rsidRPr="00C95E6B">
        <w:rPr>
          <w:rFonts w:cs="Times New Roman"/>
        </w:rPr>
        <w:t xml:space="preserve"> 1954, I, 298 en Cass. 19 maart 1981, </w:t>
      </w:r>
      <w:r w:rsidRPr="00C95E6B">
        <w:rPr>
          <w:rFonts w:cs="Times New Roman"/>
          <w:i/>
          <w:iCs/>
        </w:rPr>
        <w:t>JT</w:t>
      </w:r>
      <w:r w:rsidRPr="00C95E6B">
        <w:rPr>
          <w:rFonts w:cs="Times New Roman"/>
        </w:rPr>
        <w:t xml:space="preserve"> 1982, 565-567. Zie nog recent: adv.RvS 63.951/VR van 23 november 2018: het publiek toegankelijk maken van "synthetische teksten" doet geen afbreuk aan de verplichting om het instemmingsdecreet en de bijhorende documenten (de Overeenkomst, de gemeenschappelijke verklaring en de verklaringen en voorbehouden van België) bekend te maken in het </w:t>
      </w:r>
      <w:r w:rsidRPr="00C95E6B">
        <w:rPr>
          <w:rFonts w:cs="Times New Roman"/>
          <w:i/>
          <w:iCs/>
        </w:rPr>
        <w:t>Belgisch Staatsblad</w:t>
      </w:r>
      <w:r w:rsidRPr="00C95E6B">
        <w:rPr>
          <w:rFonts w:cs="Times New Roman"/>
        </w:rPr>
        <w:t>. Voor samenwerkingsakkoorden, zie bv. adv.RvS 43.802/3 van 27 november 2007, nr. 8.2. Hetzelfde geldt bij latere wijziging van een samenwerkingsakkoord, zie bv. adv.RvS 64.753/3 van 18 december 2018, punt 11, onder verwijzing naar adv.RvS 63.373/VR van 14 juni 2018.</w:t>
      </w:r>
    </w:p>
  </w:footnote>
  <w:footnote w:id="188">
    <w:p w14:paraId="11D882D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ook de Omzendbrief VR 2019/11 van de Vlaamse Regering, </w:t>
      </w:r>
      <w:r w:rsidRPr="00C95E6B">
        <w:rPr>
          <w:rFonts w:cs="Times New Roman"/>
          <w:lang w:val="nl-NL"/>
        </w:rPr>
        <w:t>titels 4.1.1.4, 4.1.2.4 en 4.2.3.</w:t>
      </w:r>
    </w:p>
  </w:footnote>
  <w:footnote w:id="189">
    <w:p w14:paraId="3A2089C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Wat verdragen betreft, zie bv. D. V</w:t>
      </w:r>
      <w:r w:rsidRPr="00C95E6B">
        <w:rPr>
          <w:rFonts w:cs="Times New Roman"/>
          <w:smallCaps/>
        </w:rPr>
        <w:t>an Eeckhoutte</w:t>
      </w:r>
      <w:r w:rsidRPr="00C95E6B">
        <w:rPr>
          <w:rFonts w:cs="Times New Roman"/>
        </w:rPr>
        <w:t xml:space="preserve">, “Bekendmaking van verdragen: voorstel tot genezing van een zieke'”, </w:t>
      </w:r>
      <w:r w:rsidRPr="00C95E6B">
        <w:rPr>
          <w:rFonts w:cs="Times New Roman"/>
          <w:i/>
        </w:rPr>
        <w:t xml:space="preserve">TvW </w:t>
      </w:r>
      <w:r w:rsidRPr="00C95E6B">
        <w:rPr>
          <w:rFonts w:cs="Times New Roman"/>
        </w:rPr>
        <w:t>2002, 3-31, maar analoge problemen doen zich tevens voor bij samenwerkingsakkoorden.</w:t>
      </w:r>
    </w:p>
  </w:footnote>
  <w:footnote w:id="190">
    <w:p w14:paraId="0D51C9E5"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Zie bv. adv.RvS 65.275/VR van 12 maart 2019 nr. 3.4 (uitvoeringsovereenkomsten) en nr. 5 (eerdere overeenkomst bij briefwisseling bleek niet bekendgemaakt).</w:t>
      </w:r>
    </w:p>
  </w:footnote>
  <w:footnote w:id="191">
    <w:p w14:paraId="15BB17AF"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Bv. D. V</w:t>
      </w:r>
      <w:r w:rsidRPr="00A87036">
        <w:rPr>
          <w:rFonts w:cs="Times New Roman"/>
          <w:smallCaps/>
        </w:rPr>
        <w:t>an Eeckhoutte</w:t>
      </w:r>
      <w:r w:rsidRPr="00C95E6B">
        <w:rPr>
          <w:rFonts w:cs="Times New Roman"/>
        </w:rPr>
        <w:t xml:space="preserve"> en M. </w:t>
      </w:r>
      <w:r w:rsidRPr="00A87036">
        <w:rPr>
          <w:rFonts w:cs="Times New Roman"/>
          <w:smallCaps/>
        </w:rPr>
        <w:t>Vidal</w:t>
      </w:r>
      <w:r w:rsidRPr="00C95E6B">
        <w:rPr>
          <w:rFonts w:cs="Times New Roman"/>
        </w:rPr>
        <w:t xml:space="preserve">, “Er zijn nog 258 verdragen voor u”, </w:t>
      </w:r>
      <w:r w:rsidRPr="00A87036">
        <w:rPr>
          <w:rFonts w:cs="Times New Roman"/>
          <w:i/>
        </w:rPr>
        <w:t>De Tijd</w:t>
      </w:r>
      <w:r w:rsidRPr="00C95E6B">
        <w:rPr>
          <w:rFonts w:cs="Times New Roman"/>
        </w:rPr>
        <w:t xml:space="preserve"> 20 september 2004.</w:t>
      </w:r>
    </w:p>
  </w:footnote>
  <w:footnote w:id="192">
    <w:p w14:paraId="45883E9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14 van en §8 van de toelichting bij het samenwerkingsakkoord van 8 maart 1994 tussen de federale overheid, de gemeenschappen en de gewesten ‘over de nadere regelen voor het sluiten van gemengde verdragen’.</w:t>
      </w:r>
    </w:p>
  </w:footnote>
  <w:footnote w:id="193">
    <w:p w14:paraId="16D6BCB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sidRPr="00C95E6B">
        <w:rPr>
          <w:rFonts w:cs="Times New Roman"/>
          <w:lang w:val="nl-NL"/>
        </w:rPr>
        <w:t xml:space="preserve">Mededeling van het Overlegcomité </w:t>
      </w:r>
      <w:r w:rsidRPr="00C95E6B">
        <w:rPr>
          <w:rFonts w:cs="Times New Roman"/>
        </w:rPr>
        <w:t>‘Tips voor het realiseren van een samenwerkingsakkoord’ van 10 februari 2015, punt 12. In het geval van het bestaan van meerdere originele exemplaren, verwittigt het Regeringslid (zie punt 7) dat oorspronkelijk het initiatief nam voor het sluiten van een samenwerkingsakkoord, de Centrale Secretarie van het Overlegcomité van zijn/haar voornemen.</w:t>
      </w:r>
    </w:p>
  </w:footnote>
  <w:footnote w:id="194">
    <w:p w14:paraId="471199D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64.275/1 van 25 </w:t>
      </w:r>
      <w:r w:rsidRPr="008D71D3">
        <w:rPr>
          <w:rFonts w:cs="Times New Roman"/>
        </w:rPr>
        <w:t xml:space="preserve">oktober 2018, nr. 9.3; adv.RvS 63.447/VR van 19 juni 2018, nr. 5.5 en adv.RvS 63.949/VR van 31 juli 2018, nr. 4.1.4.2. </w:t>
      </w:r>
      <w:r w:rsidRPr="00D045ED">
        <w:rPr>
          <w:rFonts w:cs="Times New Roman"/>
        </w:rPr>
        <w:t xml:space="preserve">Zie ook </w:t>
      </w:r>
      <w:r w:rsidRPr="00D045ED">
        <w:rPr>
          <w:rFonts w:cs="Times New Roman"/>
          <w:smallCaps/>
        </w:rPr>
        <w:t>D. Van Eeckhoutte, F. Vanneste, J. Van Nieuwenhove</w:t>
      </w:r>
      <w:r w:rsidRPr="00D045ED">
        <w:rPr>
          <w:rFonts w:cs="Times New Roman"/>
        </w:rPr>
        <w:t xml:space="preserve"> en </w:t>
      </w:r>
      <w:r w:rsidRPr="00D045ED">
        <w:rPr>
          <w:rFonts w:cs="Times New Roman"/>
          <w:smallCaps/>
        </w:rPr>
        <w:t>I. Verheven</w:t>
      </w:r>
      <w:r w:rsidRPr="00D045ED">
        <w:rPr>
          <w:rFonts w:cs="Times New Roman"/>
        </w:rPr>
        <w:t xml:space="preserve">, “Behoorlijke Wetgeving in de Adviespraktijk van de Raad van State (2011 en 2012)”, </w:t>
      </w:r>
      <w:r w:rsidRPr="00D045ED">
        <w:rPr>
          <w:rFonts w:cs="Times New Roman"/>
          <w:i/>
          <w:iCs/>
        </w:rPr>
        <w:t xml:space="preserve">TvW </w:t>
      </w:r>
      <w:r w:rsidRPr="00D045ED">
        <w:rPr>
          <w:rFonts w:cs="Times New Roman"/>
        </w:rPr>
        <w:t>2013 (124) 128, nr. 11.</w:t>
      </w:r>
    </w:p>
  </w:footnote>
  <w:footnote w:id="195">
    <w:p w14:paraId="0948524F"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C95E6B">
        <w:rPr>
          <w:rFonts w:cs="Times New Roman"/>
          <w:lang w:val="nl-NL"/>
        </w:rPr>
        <w:t>Artikelen 1, 4 en 8 van de wet van 31 mei 1961 ‘betreffende het gebruik der talen in wetgevingszaken, het opmaken, bekendmaken en inwerkingtreden van wetten en verordeningen’; artikelen 55 en 84 BWHI; artikelen 33, 39, 70</w:t>
      </w:r>
      <w:r w:rsidRPr="00C95E6B">
        <w:rPr>
          <w:rFonts w:cs="Times New Roman"/>
          <w:i/>
          <w:iCs/>
          <w:lang w:val="nl-NL"/>
        </w:rPr>
        <w:t xml:space="preserve">bis </w:t>
      </w:r>
      <w:r w:rsidRPr="00C95E6B">
        <w:rPr>
          <w:rFonts w:cs="Times New Roman"/>
          <w:lang w:val="nl-NL"/>
        </w:rPr>
        <w:t>en 73, §2, BWBI en artikelen 47 en 53 WDG.</w:t>
      </w:r>
    </w:p>
  </w:footnote>
  <w:footnote w:id="196">
    <w:p w14:paraId="368A5BD2" w14:textId="3AC94665"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w:t>
      </w:r>
      <w:r w:rsidRPr="00A87036">
        <w:rPr>
          <w:rFonts w:cs="Times New Roman"/>
          <w:lang w:val="nl-NL"/>
        </w:rPr>
        <w:t xml:space="preserve">Om die reden worden best </w:t>
      </w:r>
      <w:r w:rsidRPr="00C95E6B">
        <w:rPr>
          <w:rFonts w:cs="Times New Roman"/>
          <w:lang w:val="nl-NL"/>
        </w:rPr>
        <w:t xml:space="preserve">alle revelante begeleidende gegevens evenals </w:t>
      </w:r>
      <w:r w:rsidRPr="00A87036">
        <w:rPr>
          <w:rFonts w:cs="Times New Roman"/>
          <w:lang w:val="nl-NL"/>
        </w:rPr>
        <w:t xml:space="preserve">allerlei andere </w:t>
      </w:r>
      <w:r w:rsidRPr="00C95E6B">
        <w:rPr>
          <w:rFonts w:cs="Times New Roman"/>
          <w:lang w:val="nl-NL"/>
        </w:rPr>
        <w:t>overeenkomsten die in de</w:t>
      </w:r>
      <w:r w:rsidRPr="00A87036">
        <w:rPr>
          <w:rFonts w:cs="Times New Roman"/>
          <w:lang w:val="nl-NL"/>
        </w:rPr>
        <w:t xml:space="preserve"> schermerzone van samenwerkingsakkoorden </w:t>
      </w:r>
      <w:r w:rsidRPr="00C95E6B">
        <w:rPr>
          <w:rFonts w:cs="Times New Roman"/>
          <w:lang w:val="nl-NL"/>
        </w:rPr>
        <w:t xml:space="preserve">en van hun afgeleid recht </w:t>
      </w:r>
      <w:r w:rsidRPr="00A87036">
        <w:rPr>
          <w:rFonts w:cs="Times New Roman"/>
          <w:lang w:val="nl-NL"/>
        </w:rPr>
        <w:t xml:space="preserve">worden gesloten ook </w:t>
      </w:r>
      <w:r w:rsidRPr="00C95E6B">
        <w:rPr>
          <w:rFonts w:cs="Times New Roman"/>
          <w:lang w:val="nl-NL"/>
        </w:rPr>
        <w:t xml:space="preserve">het </w:t>
      </w:r>
      <w:r w:rsidRPr="00A87036">
        <w:rPr>
          <w:rFonts w:cs="Times New Roman"/>
          <w:lang w:val="nl-NL"/>
        </w:rPr>
        <w:t xml:space="preserve">best bekendgemaakt, zoals </w:t>
      </w:r>
      <w:r w:rsidRPr="00C95E6B">
        <w:rPr>
          <w:rFonts w:cs="Times New Roman"/>
          <w:lang w:val="nl-NL"/>
        </w:rPr>
        <w:t xml:space="preserve">bv. sommige </w:t>
      </w:r>
      <w:r w:rsidRPr="00A87036">
        <w:rPr>
          <w:rFonts w:cs="Times New Roman"/>
          <w:lang w:val="nl-NL"/>
        </w:rPr>
        <w:t>zgn. ‘protocolakkoorden’</w:t>
      </w:r>
      <w:r w:rsidRPr="00C95E6B">
        <w:rPr>
          <w:rFonts w:cs="Times New Roman"/>
          <w:lang w:val="nl-NL"/>
        </w:rPr>
        <w:t>, intentieverklaringen</w:t>
      </w:r>
      <w:r w:rsidRPr="00A87036">
        <w:rPr>
          <w:rFonts w:cs="Times New Roman"/>
          <w:lang w:val="nl-NL"/>
        </w:rPr>
        <w:t xml:space="preserve"> </w:t>
      </w:r>
      <w:r w:rsidRPr="00C95E6B">
        <w:rPr>
          <w:rFonts w:cs="Times New Roman"/>
          <w:lang w:val="nl-NL"/>
        </w:rPr>
        <w:t xml:space="preserve">of gemeenschappelijke toelichtingen </w:t>
      </w:r>
      <w:r w:rsidRPr="00A87036">
        <w:rPr>
          <w:rFonts w:cs="Times New Roman"/>
          <w:lang w:val="nl-NL"/>
        </w:rPr>
        <w:t>die tussen verschillende overheden of de van hen afhangende administraties worden gesloten.</w:t>
      </w:r>
      <w:r w:rsidR="00DB7A18">
        <w:rPr>
          <w:rFonts w:cs="Times New Roman"/>
          <w:lang w:val="nl-NL"/>
        </w:rPr>
        <w:t xml:space="preserve"> Zie bv. adv.RvS 67.110/3 van 15 april 2020, nr. 4.</w:t>
      </w:r>
    </w:p>
  </w:footnote>
  <w:footnote w:id="197">
    <w:p w14:paraId="74F146D3"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In een uitzonderlijk geval wordt volgens de Raad </w:t>
      </w:r>
      <w:r w:rsidRPr="008D71D3">
        <w:rPr>
          <w:rFonts w:cs="Times New Roman"/>
        </w:rPr>
        <w:t>van State soms iets te veel bekendgemaakt, of althans wordt bij de bekendmaking</w:t>
      </w:r>
      <w:r w:rsidRPr="00C95E6B">
        <w:rPr>
          <w:rFonts w:cs="Times New Roman"/>
        </w:rPr>
        <w:t xml:space="preserve"> niet voldoende duidelijk gemaakt dat het nog maar een ontwerp van samenwerkingsakkoord betreft dat nog niet definitief werd gesloten, en mogelijks nog aan verandering onderhevig is, in het bijzonder naar aanleiding van het latere advies van de Raad van State. Het probleem is dat er zo twee versies van schijnbaar eenzelfde samenwerkingsakkoord worden gepubliceerd.</w:t>
      </w:r>
    </w:p>
  </w:footnote>
  <w:footnote w:id="198">
    <w:p w14:paraId="67370E0D"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57.287/VR van 24 april 2015, nr. 6. Desnoods kan die opheffing, als een samenwerkingsakkoord na een bepaalde </w:t>
      </w:r>
      <w:r w:rsidRPr="00D045ED">
        <w:rPr>
          <w:rFonts w:cs="Times New Roman"/>
        </w:rPr>
        <w:t>tijd</w:t>
      </w:r>
      <w:r w:rsidRPr="00C95E6B">
        <w:rPr>
          <w:rFonts w:cs="Times New Roman"/>
        </w:rPr>
        <w:t xml:space="preserve"> werkelijk geen rechtsgevolgen meer heeft, achteraf gebeuren met terugwerkende kracht.</w:t>
      </w:r>
    </w:p>
  </w:footnote>
  <w:footnote w:id="199">
    <w:p w14:paraId="4622FD3C"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Artikel 92</w:t>
      </w:r>
      <w:r w:rsidRPr="00C95E6B">
        <w:rPr>
          <w:rFonts w:cs="Times New Roman"/>
          <w:i/>
          <w:iCs/>
        </w:rPr>
        <w:t>bis</w:t>
      </w:r>
      <w:r w:rsidRPr="00C95E6B">
        <w:rPr>
          <w:rFonts w:cs="Times New Roman"/>
        </w:rPr>
        <w:t xml:space="preserve">/1, § 4, tweede en derde lid, BWHI. Voor gezamenlijke decreten wordt evenwel ook voorzien in de mogelijkheid van eenzijdige opheffing, zie </w:t>
      </w:r>
      <w:r w:rsidRPr="00A87036">
        <w:rPr>
          <w:rFonts w:cs="Times New Roman"/>
          <w:i/>
        </w:rPr>
        <w:t>infra</w:t>
      </w:r>
      <w:r w:rsidRPr="00C95E6B">
        <w:rPr>
          <w:rFonts w:cs="Times New Roman"/>
        </w:rPr>
        <w:t xml:space="preserve"> nr. </w:t>
      </w:r>
      <w:r w:rsidRPr="00B2070B">
        <w:t>40.</w:t>
      </w:r>
    </w:p>
  </w:footnote>
  <w:footnote w:id="200">
    <w:p w14:paraId="4759D1F2"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Het opzeggen van een verdrag wordt traditioneel gezien als een aspect van het sluiten van een verdrag overeenkomstig de artikelen 167, §§2-3, van de Grondwet. Volgens artikel 167, § 5, van de Grondwet en artikel 81, § 8, BWHI is de Koning bevoegd om “in overeenstemming met </w:t>
      </w:r>
      <w:r w:rsidRPr="00C95E6B">
        <w:rPr>
          <w:rFonts w:cs="Times New Roman"/>
          <w:color w:val="000000"/>
          <w:shd w:val="clear" w:color="auto" w:fill="FFFFFF"/>
        </w:rPr>
        <w:t>de betrokken Gemeenschaps- en Gewestregeringen</w:t>
      </w:r>
      <w:r w:rsidRPr="00C95E6B">
        <w:rPr>
          <w:rFonts w:cs="Times New Roman"/>
        </w:rPr>
        <w:t xml:space="preserve">” verdragen op te zeggen die vóór 18 mei 1993 werden gesloten, maar die thans betrekking hebben op aangelegenheden die tot de bevoegdheid van de gewesten of gemeenschappen behoren. Zie: D. </w:t>
      </w:r>
      <w:r w:rsidRPr="00A87036">
        <w:rPr>
          <w:rFonts w:cs="Times New Roman"/>
          <w:smallCaps/>
        </w:rPr>
        <w:t>Van</w:t>
      </w:r>
      <w:r w:rsidRPr="00C95E6B">
        <w:rPr>
          <w:rFonts w:cs="Times New Roman"/>
        </w:rPr>
        <w:t xml:space="preserve"> </w:t>
      </w:r>
      <w:r w:rsidRPr="00A87036">
        <w:rPr>
          <w:rFonts w:cs="Times New Roman"/>
          <w:smallCaps/>
        </w:rPr>
        <w:t>Eeckhoutte</w:t>
      </w:r>
      <w:r w:rsidRPr="00C95E6B">
        <w:rPr>
          <w:rFonts w:cs="Times New Roman"/>
        </w:rPr>
        <w:t xml:space="preserve"> en M. </w:t>
      </w:r>
      <w:r w:rsidRPr="00A87036">
        <w:rPr>
          <w:rFonts w:cs="Times New Roman"/>
          <w:smallCaps/>
        </w:rPr>
        <w:t>Vidal</w:t>
      </w:r>
      <w:r w:rsidRPr="00C95E6B">
        <w:rPr>
          <w:rFonts w:cs="Times New Roman"/>
        </w:rPr>
        <w:t>, “</w:t>
      </w:r>
      <w:r w:rsidRPr="00A87036">
        <w:rPr>
          <w:rFonts w:cs="Times New Roman"/>
        </w:rPr>
        <w:t>Artikel 167 Grondwet”</w:t>
      </w:r>
      <w:r w:rsidRPr="00C95E6B">
        <w:rPr>
          <w:rFonts w:cs="Times New Roman"/>
        </w:rPr>
        <w:t xml:space="preserve"> in B. </w:t>
      </w:r>
      <w:r w:rsidRPr="00C95E6B">
        <w:rPr>
          <w:rFonts w:cs="Times New Roman"/>
          <w:smallCaps/>
        </w:rPr>
        <w:t>Dalle</w:t>
      </w:r>
      <w:r w:rsidRPr="00C95E6B">
        <w:rPr>
          <w:rFonts w:cs="Times New Roman"/>
        </w:rPr>
        <w:t xml:space="preserve"> e.a. (eds.), </w:t>
      </w:r>
      <w:r w:rsidRPr="00C95E6B">
        <w:rPr>
          <w:rFonts w:cs="Times New Roman"/>
          <w:i/>
        </w:rPr>
        <w:t>Duiding Federale Staatsstructuur</w:t>
      </w:r>
      <w:r w:rsidRPr="00C95E6B">
        <w:rPr>
          <w:rFonts w:cs="Times New Roman"/>
        </w:rPr>
        <w:t>, Brussel, Larcier, 2018, 234, nr. 46 en verwijzingen aldaar.</w:t>
      </w:r>
    </w:p>
  </w:footnote>
  <w:footnote w:id="201">
    <w:p w14:paraId="5BD80103"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59.829/AV van 8 september 2016, waarin de Raad van State zich verzet tegen een ontwerpbesluit van de Waalse Regering dat ertoe strekte om een samenwerkingsakkoord op te zeggen.</w:t>
      </w:r>
    </w:p>
  </w:footnote>
  <w:footnote w:id="202">
    <w:p w14:paraId="08ABB09A"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Parallelisme der vormen tussen enerzijds </w:t>
      </w:r>
      <w:r w:rsidRPr="00C95E6B">
        <w:rPr>
          <w:rFonts w:cs="Times New Roman"/>
          <w:lang w:val="nl-NL"/>
        </w:rPr>
        <w:t>het sluiten en anderzijds het opzeggen van het samenwerkingsakkoord.</w:t>
      </w:r>
    </w:p>
  </w:footnote>
  <w:footnote w:id="203">
    <w:p w14:paraId="3DA2B5A0" w14:textId="77777777" w:rsidR="00AB5378" w:rsidRDefault="00AB5378">
      <w:pPr>
        <w:pStyle w:val="Voetnoottekst"/>
        <w:spacing w:after="0"/>
        <w:rPr>
          <w:rFonts w:cs="Times New Roman"/>
        </w:rPr>
      </w:pPr>
      <w:r w:rsidRPr="00C95E6B">
        <w:rPr>
          <w:rStyle w:val="Voetnootmarkering"/>
          <w:rFonts w:cs="Times New Roman"/>
        </w:rPr>
        <w:footnoteRef/>
      </w:r>
      <w:r w:rsidRPr="00D045ED">
        <w:rPr>
          <w:rFonts w:cs="Times New Roman"/>
        </w:rPr>
        <w:t xml:space="preserve"> </w:t>
      </w:r>
      <w:r w:rsidRPr="00A87036">
        <w:t xml:space="preserve">T. </w:t>
      </w:r>
      <w:r w:rsidRPr="00A87036">
        <w:rPr>
          <w:smallCaps/>
        </w:rPr>
        <w:t>Corthaut</w:t>
      </w:r>
      <w:r w:rsidRPr="00A87036">
        <w:t xml:space="preserve">, J. </w:t>
      </w:r>
      <w:r w:rsidRPr="00A87036">
        <w:rPr>
          <w:smallCaps/>
        </w:rPr>
        <w:t>Riemslagh</w:t>
      </w:r>
      <w:r w:rsidRPr="00A87036">
        <w:t xml:space="preserve">, D. </w:t>
      </w:r>
      <w:r w:rsidRPr="00A87036">
        <w:rPr>
          <w:smallCaps/>
        </w:rPr>
        <w:t>Van</w:t>
      </w:r>
      <w:r w:rsidRPr="00C95E6B">
        <w:t xml:space="preserve"> </w:t>
      </w:r>
      <w:r w:rsidRPr="00A87036">
        <w:rPr>
          <w:smallCaps/>
        </w:rPr>
        <w:t>Eeckhoutte</w:t>
      </w:r>
      <w:r w:rsidRPr="00A87036">
        <w:t xml:space="preserve">, F. </w:t>
      </w:r>
      <w:r w:rsidRPr="00A87036">
        <w:rPr>
          <w:smallCaps/>
        </w:rPr>
        <w:t>Vanneste</w:t>
      </w:r>
      <w:r w:rsidRPr="00A87036">
        <w:t xml:space="preserve"> </w:t>
      </w:r>
      <w:r w:rsidRPr="00C95E6B">
        <w:t xml:space="preserve">en </w:t>
      </w:r>
      <w:r w:rsidRPr="00A87036">
        <w:t xml:space="preserve">J. </w:t>
      </w:r>
      <w:r w:rsidRPr="00A87036">
        <w:rPr>
          <w:smallCaps/>
        </w:rPr>
        <w:t>Van</w:t>
      </w:r>
      <w:r w:rsidRPr="00C95E6B">
        <w:t xml:space="preserve"> </w:t>
      </w:r>
      <w:r w:rsidRPr="00A87036">
        <w:rPr>
          <w:smallCaps/>
        </w:rPr>
        <w:t>Nieuwenhove</w:t>
      </w:r>
      <w:r w:rsidRPr="00A87036">
        <w:t xml:space="preserve">, </w:t>
      </w:r>
      <w:r w:rsidRPr="00C95E6B">
        <w:t>“</w:t>
      </w:r>
      <w:r w:rsidRPr="00A87036">
        <w:t>Behoorlijke wetgeving in de adviespraktijk van de afdeling Wetgeving van de Raad van State (2015 en 2016)</w:t>
      </w:r>
      <w:r w:rsidRPr="00C95E6B">
        <w:t>”</w:t>
      </w:r>
      <w:r w:rsidRPr="00A87036">
        <w:t xml:space="preserve">, </w:t>
      </w:r>
      <w:r w:rsidRPr="00A87036">
        <w:rPr>
          <w:i/>
        </w:rPr>
        <w:t>TvW</w:t>
      </w:r>
      <w:r w:rsidRPr="00A87036">
        <w:t xml:space="preserve"> 2017 (275)</w:t>
      </w:r>
      <w:r>
        <w:t xml:space="preserve"> 303</w:t>
      </w:r>
      <w:r w:rsidRPr="00D045ED">
        <w:rPr>
          <w:rFonts w:cs="Times New Roman"/>
        </w:rPr>
        <w:t>, nr. 67.</w:t>
      </w:r>
    </w:p>
  </w:footnote>
  <w:footnote w:id="204">
    <w:p w14:paraId="261E7F03" w14:textId="77777777" w:rsidR="00AB5378" w:rsidRDefault="00AB5378">
      <w:pPr>
        <w:pStyle w:val="Voetnoottekst"/>
        <w:spacing w:after="0"/>
        <w:rPr>
          <w:rFonts w:cs="Times New Roman"/>
          <w:lang w:val="fr-FR"/>
        </w:rPr>
      </w:pPr>
      <w:r w:rsidRPr="00C95E6B">
        <w:rPr>
          <w:rStyle w:val="Voetnootmarkering"/>
          <w:rFonts w:cs="Times New Roman"/>
        </w:rPr>
        <w:footnoteRef/>
      </w:r>
      <w:r w:rsidRPr="00C95E6B">
        <w:rPr>
          <w:rFonts w:cs="Times New Roman"/>
          <w:lang w:val="fr-FR"/>
        </w:rPr>
        <w:t xml:space="preserve"> </w:t>
      </w:r>
      <w:r w:rsidRPr="00A87036">
        <w:rPr>
          <w:rFonts w:cs="Times New Roman"/>
          <w:lang w:val="fr-FR"/>
        </w:rPr>
        <w:t xml:space="preserve">N. </w:t>
      </w:r>
      <w:r w:rsidRPr="00A87036">
        <w:rPr>
          <w:rFonts w:cs="Times New Roman"/>
          <w:smallCaps/>
          <w:lang w:val="fr-FR"/>
        </w:rPr>
        <w:t>Bernard</w:t>
      </w:r>
      <w:r w:rsidRPr="00A87036">
        <w:rPr>
          <w:rFonts w:cs="Times New Roman"/>
          <w:lang w:val="fr-FR"/>
        </w:rPr>
        <w:t xml:space="preserve"> en S. </w:t>
      </w:r>
      <w:r w:rsidRPr="00A87036">
        <w:rPr>
          <w:rFonts w:cs="Times New Roman"/>
          <w:smallCaps/>
          <w:lang w:val="fr-FR"/>
        </w:rPr>
        <w:t>Vandenbosch</w:t>
      </w:r>
      <w:r w:rsidRPr="00A87036">
        <w:rPr>
          <w:rFonts w:cs="Times New Roman"/>
          <w:lang w:val="fr-FR"/>
        </w:rPr>
        <w:t xml:space="preserve">, “Quelques propositions pour une remise au goût du jour de l’article 167 de la Constitution”, </w:t>
      </w:r>
      <w:r w:rsidRPr="00B2070B">
        <w:rPr>
          <w:lang w:val="fr-FR"/>
        </w:rPr>
        <w:t xml:space="preserve">te verschijnen in </w:t>
      </w:r>
      <w:r w:rsidRPr="00B2070B">
        <w:rPr>
          <w:i/>
          <w:lang w:val="fr-FR"/>
        </w:rPr>
        <w:t>CDPK</w:t>
      </w:r>
      <w:r w:rsidRPr="00A87036">
        <w:rPr>
          <w:rFonts w:cs="Times New Roman"/>
          <w:i/>
          <w:iCs/>
          <w:lang w:val="fr-FR"/>
        </w:rPr>
        <w:t xml:space="preserve"> </w:t>
      </w:r>
      <w:r w:rsidRPr="00B2070B">
        <w:rPr>
          <w:lang w:val="fr-FR"/>
        </w:rPr>
        <w:t>2020</w:t>
      </w:r>
      <w:r w:rsidRPr="00A87036">
        <w:rPr>
          <w:rFonts w:cs="Times New Roman"/>
          <w:lang w:val="fr-FR"/>
        </w:rPr>
        <w:t xml:space="preserve"> </w:t>
      </w:r>
      <w:r w:rsidRPr="00B2070B">
        <w:rPr>
          <w:lang w:val="fr-FR"/>
        </w:rPr>
        <w:t>(pp. 9-10, titel II.1.4)</w:t>
      </w:r>
    </w:p>
  </w:footnote>
  <w:footnote w:id="205">
    <w:p w14:paraId="7AFB5F4B" w14:textId="77777777" w:rsidR="00AB5378" w:rsidRDefault="00AB5378">
      <w:pPr>
        <w:pStyle w:val="Voetnoottekst"/>
        <w:spacing w:after="0"/>
        <w:rPr>
          <w:rFonts w:cs="Times New Roman"/>
          <w:lang w:val="nl-NL"/>
        </w:rPr>
      </w:pPr>
      <w:r w:rsidRPr="00C95E6B">
        <w:rPr>
          <w:rStyle w:val="Voetnootmarkering"/>
          <w:rFonts w:cs="Times New Roman"/>
        </w:rPr>
        <w:footnoteRef/>
      </w:r>
      <w:r w:rsidRPr="00A87036">
        <w:rPr>
          <w:rFonts w:cs="Times New Roman"/>
          <w:lang w:val="nl-NL"/>
        </w:rPr>
        <w:t xml:space="preserve"> </w:t>
      </w:r>
      <w:r w:rsidRPr="00C95E6B">
        <w:rPr>
          <w:rFonts w:cs="Times New Roman"/>
          <w:lang w:val="nl-NL"/>
        </w:rPr>
        <w:t xml:space="preserve">Adv.RvS 63.951/VR van 23 november 2018, nr. 12. Zie ook: </w:t>
      </w:r>
      <w:r w:rsidRPr="00C95E6B">
        <w:rPr>
          <w:rFonts w:cs="Times New Roman"/>
        </w:rPr>
        <w:t xml:space="preserve">RvS nr. 138.411, 13 december 2004, Stekhnovski; </w:t>
      </w:r>
      <w:r w:rsidRPr="00C95E6B">
        <w:rPr>
          <w:rFonts w:cs="Times New Roman"/>
          <w:lang w:val="nl-NL"/>
        </w:rPr>
        <w:t>a</w:t>
      </w:r>
      <w:r w:rsidRPr="00A87036">
        <w:rPr>
          <w:rFonts w:cs="Times New Roman"/>
        </w:rPr>
        <w:t>dv.RvS 41.064/AV van 23 januari 2007, nrs. 2 en 3</w:t>
      </w:r>
      <w:r w:rsidRPr="00C95E6B">
        <w:rPr>
          <w:rFonts w:cs="Times New Roman"/>
        </w:rPr>
        <w:t xml:space="preserve"> en D. </w:t>
      </w:r>
      <w:r w:rsidRPr="00C95E6B">
        <w:rPr>
          <w:rFonts w:cs="Times New Roman"/>
          <w:smallCaps/>
        </w:rPr>
        <w:t>Van</w:t>
      </w:r>
      <w:r w:rsidRPr="00C95E6B">
        <w:rPr>
          <w:rFonts w:cs="Times New Roman"/>
        </w:rPr>
        <w:t xml:space="preserve"> </w:t>
      </w:r>
      <w:r w:rsidRPr="00C95E6B">
        <w:rPr>
          <w:rFonts w:cs="Times New Roman"/>
          <w:smallCaps/>
        </w:rPr>
        <w:t>Eeckhoutte</w:t>
      </w:r>
      <w:r w:rsidRPr="00C95E6B">
        <w:rPr>
          <w:rFonts w:cs="Times New Roman"/>
        </w:rPr>
        <w:t xml:space="preserve"> en M. </w:t>
      </w:r>
      <w:r w:rsidRPr="00C95E6B">
        <w:rPr>
          <w:rFonts w:cs="Times New Roman"/>
          <w:smallCaps/>
        </w:rPr>
        <w:t>Vidal</w:t>
      </w:r>
      <w:r w:rsidRPr="00C95E6B">
        <w:rPr>
          <w:rFonts w:cs="Times New Roman"/>
        </w:rPr>
        <w:t xml:space="preserve">, “Artikel 167 Grondwet” in B. </w:t>
      </w:r>
      <w:r w:rsidRPr="00C95E6B">
        <w:rPr>
          <w:rFonts w:cs="Times New Roman"/>
          <w:smallCaps/>
        </w:rPr>
        <w:t>Dalle</w:t>
      </w:r>
      <w:r w:rsidRPr="00C95E6B">
        <w:rPr>
          <w:rFonts w:cs="Times New Roman"/>
        </w:rPr>
        <w:t xml:space="preserve"> e.a. (eds.), </w:t>
      </w:r>
      <w:r w:rsidRPr="00C95E6B">
        <w:rPr>
          <w:rFonts w:cs="Times New Roman"/>
          <w:i/>
        </w:rPr>
        <w:t>Duiding Federale Staatsstructuur</w:t>
      </w:r>
      <w:r w:rsidRPr="00C95E6B">
        <w:rPr>
          <w:rFonts w:cs="Times New Roman"/>
        </w:rPr>
        <w:t>, Brussel, Larcier, 2018, 221-222, nr. 17.</w:t>
      </w:r>
      <w:r w:rsidRPr="00A87036">
        <w:rPr>
          <w:rFonts w:cs="Times New Roman"/>
        </w:rPr>
        <w:t xml:space="preserve"> </w:t>
      </w:r>
    </w:p>
  </w:footnote>
  <w:footnote w:id="206">
    <w:p w14:paraId="1883ABD9" w14:textId="0E359112" w:rsidR="00AB5378" w:rsidRDefault="00AB5378">
      <w:pPr>
        <w:pStyle w:val="Voetnoottekst"/>
        <w:spacing w:after="0"/>
      </w:pPr>
      <w:r>
        <w:rPr>
          <w:rStyle w:val="Voetnootmarkering"/>
        </w:rPr>
        <w:footnoteRef/>
      </w:r>
      <w:r w:rsidRPr="00CB013E">
        <w:t xml:space="preserve"> </w:t>
      </w:r>
      <w:r w:rsidRPr="00D045ED">
        <w:t>Adv.RvS 57.004/VR van 24 m</w:t>
      </w:r>
      <w:r>
        <w:t>aart 2015, nrs 5.1-5.3: de w</w:t>
      </w:r>
      <w:r w:rsidRPr="00D045ED">
        <w:t>etgever,</w:t>
      </w:r>
      <w:r>
        <w:t xml:space="preserve"> </w:t>
      </w:r>
      <w:r w:rsidRPr="00D045ED">
        <w:t>noch de Kamer, kan de Koning opdragen een ver</w:t>
      </w:r>
      <w:r>
        <w:t>drag (</w:t>
      </w:r>
      <w:r w:rsidRPr="00D045ED">
        <w:rPr>
          <w:i/>
        </w:rPr>
        <w:t>in casu</w:t>
      </w:r>
      <w:r>
        <w:t xml:space="preserve"> het EVRM) op te zeggen.</w:t>
      </w:r>
    </w:p>
  </w:footnote>
  <w:footnote w:id="207">
    <w:p w14:paraId="270DD253" w14:textId="7C6588AF" w:rsidR="001D52BE" w:rsidRPr="00B2070B" w:rsidRDefault="001D52BE">
      <w:pPr>
        <w:pStyle w:val="Voetnoottekst"/>
      </w:pPr>
      <w:r>
        <w:rPr>
          <w:rStyle w:val="Voetnootmarkering"/>
        </w:rPr>
        <w:footnoteRef/>
      </w:r>
      <w:r w:rsidRPr="00B2070B">
        <w:t xml:space="preserve"> Vergelijk </w:t>
      </w:r>
      <w:r>
        <w:t xml:space="preserve">met het </w:t>
      </w:r>
      <w:r>
        <w:rPr>
          <w:i/>
          <w:iCs/>
        </w:rPr>
        <w:t xml:space="preserve">Miller </w:t>
      </w:r>
      <w:r>
        <w:t>arrest van het UK Supreme Court van 24 januari 2017, waarin werd geoordeeld dat niettegenstaande de royal prerogatives m.b.t. de buitenlandse betrekkingen parlementaire instemming met de beslissing om</w:t>
      </w:r>
      <w:r w:rsidR="006B0288">
        <w:t xml:space="preserve"> het voornemen te uiten om</w:t>
      </w:r>
      <w:r>
        <w:t xml:space="preserve"> uit te treden uit de Europese Unie was vereist, zie </w:t>
      </w:r>
      <w:r w:rsidRPr="00B2070B">
        <w:rPr>
          <w:i/>
          <w:iCs/>
        </w:rPr>
        <w:t>R (on the application of Miller and another) v Secretary of State for Exiting the European Union</w:t>
      </w:r>
      <w:r w:rsidR="006B0288" w:rsidRPr="00B2070B">
        <w:t xml:space="preserve"> </w:t>
      </w:r>
      <w:r w:rsidRPr="00B2070B">
        <w:t>[2017] UKSC 5</w:t>
      </w:r>
      <w:r w:rsidR="006B0288" w:rsidRPr="00B2070B">
        <w:t>.</w:t>
      </w:r>
    </w:p>
  </w:footnote>
  <w:footnote w:id="208">
    <w:p w14:paraId="0E645104" w14:textId="380B1BB5" w:rsidR="00AB5378" w:rsidRPr="00B2070B" w:rsidRDefault="00AB5378" w:rsidP="007C381A">
      <w:pPr>
        <w:pStyle w:val="Voetnoottekst"/>
        <w:spacing w:after="0"/>
        <w:rPr>
          <w:rFonts w:cs="Times New Roman"/>
          <w:lang w:val="en-GB"/>
        </w:rPr>
      </w:pPr>
      <w:r w:rsidRPr="00C95E6B">
        <w:rPr>
          <w:rStyle w:val="Voetnootmarkering"/>
          <w:rFonts w:cs="Times New Roman"/>
        </w:rPr>
        <w:footnoteRef/>
      </w:r>
      <w:r w:rsidRPr="00B2070B">
        <w:rPr>
          <w:rFonts w:cs="Times New Roman"/>
          <w:lang w:val="en-GB"/>
        </w:rPr>
        <w:t xml:space="preserve"> Zie: A. </w:t>
      </w:r>
      <w:r w:rsidRPr="00B2070B">
        <w:rPr>
          <w:rFonts w:cs="Times New Roman"/>
          <w:smallCaps/>
          <w:lang w:val="en-GB"/>
        </w:rPr>
        <w:t>Aust</w:t>
      </w:r>
      <w:r w:rsidRPr="00B2070B">
        <w:rPr>
          <w:rFonts w:cs="Times New Roman"/>
          <w:lang w:val="en-GB"/>
        </w:rPr>
        <w:t xml:space="preserve">, </w:t>
      </w:r>
      <w:r w:rsidRPr="00B2070B">
        <w:rPr>
          <w:rFonts w:cs="Times New Roman"/>
          <w:i/>
          <w:iCs/>
          <w:lang w:val="en-GB"/>
        </w:rPr>
        <w:t>Modern Treaty Law and Practice</w:t>
      </w:r>
      <w:r w:rsidRPr="00B2070B">
        <w:rPr>
          <w:rFonts w:cs="Times New Roman"/>
          <w:lang w:val="en-GB"/>
        </w:rPr>
        <w:t xml:space="preserve">, Cambridge, CUP, 2013, 245 </w:t>
      </w:r>
      <w:proofErr w:type="spellStart"/>
      <w:r w:rsidRPr="00B2070B">
        <w:rPr>
          <w:rFonts w:cs="Times New Roman"/>
          <w:lang w:val="en-GB"/>
        </w:rPr>
        <w:t>e.v</w:t>
      </w:r>
      <w:proofErr w:type="spellEnd"/>
      <w:r w:rsidRPr="00B2070B">
        <w:rPr>
          <w:rFonts w:cs="Times New Roman"/>
          <w:lang w:val="en-GB"/>
        </w:rPr>
        <w:t xml:space="preserve">., E. </w:t>
      </w:r>
      <w:r w:rsidRPr="00B2070B">
        <w:rPr>
          <w:rFonts w:cs="Times New Roman"/>
          <w:smallCaps/>
          <w:lang w:val="en-GB"/>
        </w:rPr>
        <w:t>Cannizzaro</w:t>
      </w:r>
      <w:r w:rsidRPr="00B2070B">
        <w:rPr>
          <w:rFonts w:cs="Times New Roman"/>
          <w:lang w:val="en-GB"/>
        </w:rPr>
        <w:t xml:space="preserve"> (ed.), </w:t>
      </w:r>
      <w:r w:rsidRPr="00B2070B">
        <w:rPr>
          <w:rFonts w:cs="Times New Roman"/>
          <w:bCs/>
          <w:i/>
          <w:lang w:val="en-GB"/>
        </w:rPr>
        <w:t>The Law of Treaties Beyond the Vienna Convention</w:t>
      </w:r>
      <w:r w:rsidRPr="00B2070B">
        <w:rPr>
          <w:rFonts w:cs="Times New Roman"/>
          <w:bCs/>
          <w:lang w:val="en-GB"/>
        </w:rPr>
        <w:t xml:space="preserve">, Oxford, OUP, 2011, 293 e.v.; P. </w:t>
      </w:r>
      <w:r w:rsidRPr="00B2070B">
        <w:rPr>
          <w:rFonts w:cs="Times New Roman"/>
          <w:bCs/>
          <w:smallCaps/>
          <w:lang w:val="en-GB"/>
        </w:rPr>
        <w:t>Reuter</w:t>
      </w:r>
      <w:r w:rsidRPr="00B2070B">
        <w:rPr>
          <w:rFonts w:cs="Times New Roman"/>
          <w:bCs/>
          <w:lang w:val="en-GB"/>
        </w:rPr>
        <w:t xml:space="preserve"> </w:t>
      </w:r>
      <w:r w:rsidRPr="00B2070B">
        <w:rPr>
          <w:rFonts w:cs="Times New Roman"/>
          <w:i/>
          <w:lang w:val="en-GB"/>
        </w:rPr>
        <w:t>Introduction au droit des traités</w:t>
      </w:r>
      <w:r w:rsidRPr="00B2070B">
        <w:rPr>
          <w:rFonts w:cs="Times New Roman"/>
          <w:lang w:val="en-GB"/>
        </w:rPr>
        <w:t xml:space="preserve">, Paris, PUF, 1995, 153 e.v. en Lord McNair, </w:t>
      </w:r>
      <w:r w:rsidRPr="00B2070B">
        <w:rPr>
          <w:rFonts w:cs="Times New Roman"/>
          <w:i/>
          <w:lang w:val="en-GB"/>
        </w:rPr>
        <w:t>The Law of Treaties</w:t>
      </w:r>
      <w:r w:rsidRPr="00B2070B">
        <w:rPr>
          <w:rFonts w:cs="Times New Roman"/>
          <w:lang w:val="en-GB"/>
        </w:rPr>
        <w:t>, Oxford, OUP, 1961, 493 e.v.</w:t>
      </w:r>
    </w:p>
  </w:footnote>
  <w:footnote w:id="209">
    <w:p w14:paraId="3984CE3C" w14:textId="77777777" w:rsidR="00AB5378" w:rsidRDefault="00AB5378" w:rsidP="007C381A">
      <w:pPr>
        <w:pStyle w:val="Voetnoottekst"/>
        <w:spacing w:after="0"/>
        <w:rPr>
          <w:rFonts w:cs="Times New Roman"/>
        </w:rPr>
      </w:pPr>
      <w:r w:rsidRPr="00C95E6B">
        <w:rPr>
          <w:rStyle w:val="Voetnootmarkering"/>
          <w:rFonts w:cs="Times New Roman"/>
        </w:rPr>
        <w:footnoteRef/>
      </w:r>
      <w:r w:rsidRPr="00C95E6B">
        <w:rPr>
          <w:rFonts w:cs="Times New Roman"/>
        </w:rPr>
        <w:t xml:space="preserve"> Adv.RvS 43.945/4 van 28 januari 2008 en adv.RvS 57.287/VR van 24 april 2015, nr. 6.</w:t>
      </w:r>
    </w:p>
  </w:footnote>
  <w:footnote w:id="210">
    <w:p w14:paraId="176B571D" w14:textId="7517BDB4" w:rsidR="00AB5378" w:rsidRPr="00B2070B" w:rsidRDefault="00AB5378" w:rsidP="007C381A">
      <w:pPr>
        <w:pStyle w:val="Voetnoottekst"/>
        <w:spacing w:after="0"/>
        <w:rPr>
          <w:rFonts w:cs="Times New Roman"/>
          <w:lang w:val="fr-BE"/>
        </w:rPr>
      </w:pPr>
      <w:r w:rsidRPr="00C95E6B">
        <w:rPr>
          <w:rStyle w:val="Voetnootmarkering"/>
          <w:rFonts w:cs="Times New Roman"/>
        </w:rPr>
        <w:footnoteRef/>
      </w:r>
      <w:r w:rsidRPr="00C95E6B">
        <w:rPr>
          <w:rFonts w:cs="Times New Roman"/>
        </w:rPr>
        <w:t xml:space="preserve"> </w:t>
      </w:r>
      <w:r w:rsidR="006B0288">
        <w:rPr>
          <w:rFonts w:cs="Times New Roman"/>
        </w:rPr>
        <w:t>Bv</w:t>
      </w:r>
      <w:r w:rsidRPr="00C95E6B">
        <w:rPr>
          <w:rFonts w:cs="Times New Roman"/>
        </w:rPr>
        <w:t xml:space="preserve">. </w:t>
      </w:r>
      <w:r w:rsidRPr="00B2070B">
        <w:rPr>
          <w:rFonts w:cs="Times New Roman"/>
          <w:i/>
          <w:lang w:val="nl-NL"/>
        </w:rPr>
        <w:t xml:space="preserve">Parl. </w:t>
      </w:r>
      <w:r w:rsidRPr="00B2070B">
        <w:rPr>
          <w:rFonts w:cs="Times New Roman"/>
          <w:i/>
          <w:lang w:val="fr-BE"/>
        </w:rPr>
        <w:t xml:space="preserve">St. </w:t>
      </w:r>
      <w:r w:rsidRPr="00B2070B">
        <w:rPr>
          <w:rFonts w:cs="Times New Roman"/>
          <w:lang w:val="fr-BE"/>
        </w:rPr>
        <w:t>Senaat, 2013-14, nr. 5-1815/1, 3 en nr. 5-1815/5, 1.</w:t>
      </w:r>
    </w:p>
  </w:footnote>
  <w:footnote w:id="211">
    <w:p w14:paraId="0BF9B434" w14:textId="77777777" w:rsidR="00AB5378" w:rsidRDefault="00AB5378" w:rsidP="007C381A">
      <w:pPr>
        <w:pStyle w:val="Voetnoottekst"/>
        <w:spacing w:after="0"/>
        <w:rPr>
          <w:rFonts w:cs="Times New Roman"/>
        </w:rPr>
      </w:pPr>
      <w:r w:rsidRPr="00C95E6B">
        <w:rPr>
          <w:rStyle w:val="Voetnootmarkering"/>
          <w:rFonts w:cs="Times New Roman"/>
        </w:rPr>
        <w:footnoteRef/>
      </w:r>
      <w:r w:rsidRPr="00C95E6B">
        <w:rPr>
          <w:rFonts w:cs="Times New Roman"/>
        </w:rPr>
        <w:t xml:space="preserve"> Adv.RvS 52.303/AV van 20 november 2012, nr. 12.</w:t>
      </w:r>
    </w:p>
  </w:footnote>
  <w:footnote w:id="212">
    <w:p w14:paraId="0582D901"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Cass. 16 oktober 1969, </w:t>
      </w:r>
      <w:r w:rsidRPr="00A87036">
        <w:rPr>
          <w:rFonts w:cs="Times New Roman"/>
          <w:i/>
          <w:iCs/>
        </w:rPr>
        <w:t>RCJB</w:t>
      </w:r>
      <w:r w:rsidRPr="00C95E6B">
        <w:rPr>
          <w:rFonts w:cs="Times New Roman"/>
        </w:rPr>
        <w:t xml:space="preserve"> 1970, 529-530, noot M. </w:t>
      </w:r>
      <w:r w:rsidRPr="00A87036">
        <w:rPr>
          <w:rFonts w:cs="Times New Roman"/>
          <w:smallCaps/>
        </w:rPr>
        <w:t>Papier-Jamoulle</w:t>
      </w:r>
      <w:r w:rsidRPr="00C95E6B">
        <w:rPr>
          <w:rFonts w:cs="Times New Roman"/>
        </w:rPr>
        <w:t xml:space="preserve">; I. </w:t>
      </w:r>
      <w:r w:rsidRPr="00A87036">
        <w:rPr>
          <w:rFonts w:cs="Times New Roman"/>
          <w:smallCaps/>
        </w:rPr>
        <w:t>Claeys</w:t>
      </w:r>
      <w:r w:rsidRPr="00C95E6B">
        <w:rPr>
          <w:rFonts w:cs="Times New Roman"/>
        </w:rPr>
        <w:t xml:space="preserve"> en L. </w:t>
      </w:r>
      <w:r w:rsidRPr="00A87036">
        <w:rPr>
          <w:rFonts w:cs="Times New Roman"/>
          <w:smallCaps/>
        </w:rPr>
        <w:t>Phang</w:t>
      </w:r>
      <w:r w:rsidRPr="00C95E6B">
        <w:rPr>
          <w:rFonts w:cs="Times New Roman"/>
        </w:rPr>
        <w:t xml:space="preserve">, “Van bepaalde duur naar onbepaalde duur en terug”, </w:t>
      </w:r>
      <w:r w:rsidRPr="00A87036">
        <w:rPr>
          <w:rFonts w:cs="Times New Roman"/>
          <w:i/>
          <w:iCs/>
        </w:rPr>
        <w:t>TPR</w:t>
      </w:r>
      <w:r w:rsidRPr="00C95E6B">
        <w:rPr>
          <w:rFonts w:cs="Times New Roman"/>
        </w:rPr>
        <w:t xml:space="preserve"> 2008, 396 ; L. </w:t>
      </w:r>
      <w:r w:rsidRPr="00A87036">
        <w:rPr>
          <w:rFonts w:cs="Times New Roman"/>
          <w:smallCaps/>
        </w:rPr>
        <w:t>Cornelis</w:t>
      </w:r>
      <w:r w:rsidRPr="00C95E6B">
        <w:rPr>
          <w:rFonts w:cs="Times New Roman"/>
        </w:rPr>
        <w:t xml:space="preserve">, </w:t>
      </w:r>
      <w:r w:rsidRPr="00A87036">
        <w:rPr>
          <w:rFonts w:cs="Times New Roman"/>
          <w:i/>
          <w:iCs/>
        </w:rPr>
        <w:t>Algemene theorie van de verbintenis</w:t>
      </w:r>
      <w:r w:rsidRPr="00C95E6B">
        <w:rPr>
          <w:rFonts w:cs="Times New Roman"/>
        </w:rPr>
        <w:t xml:space="preserve">, Antwerpen, Intersentia, 2000, 814 en R. Van </w:t>
      </w:r>
      <w:r w:rsidRPr="00A87036">
        <w:rPr>
          <w:rFonts w:cs="Times New Roman"/>
          <w:smallCaps/>
        </w:rPr>
        <w:t>Ransbeeck</w:t>
      </w:r>
      <w:r w:rsidRPr="00C95E6B">
        <w:rPr>
          <w:rFonts w:cs="Times New Roman"/>
        </w:rPr>
        <w:t xml:space="preserve">, “De opzegging”, </w:t>
      </w:r>
      <w:r w:rsidRPr="00C95E6B">
        <w:rPr>
          <w:rFonts w:cs="Times New Roman"/>
          <w:i/>
          <w:iCs/>
        </w:rPr>
        <w:t>RW</w:t>
      </w:r>
      <w:r w:rsidRPr="00C95E6B">
        <w:rPr>
          <w:rFonts w:cs="Times New Roman"/>
        </w:rPr>
        <w:t xml:space="preserve"> 1995-1996, 352. </w:t>
      </w:r>
    </w:p>
  </w:footnote>
  <w:footnote w:id="213">
    <w:p w14:paraId="07CBB1FD" w14:textId="5D395C1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t>
      </w:r>
      <w:r>
        <w:rPr>
          <w:rFonts w:cs="Times New Roman"/>
        </w:rPr>
        <w:t xml:space="preserve">Zie ook, </w:t>
      </w:r>
      <w:r>
        <w:rPr>
          <w:rFonts w:cs="Times New Roman"/>
          <w:i/>
          <w:iCs/>
        </w:rPr>
        <w:t>supra</w:t>
      </w:r>
      <w:r>
        <w:rPr>
          <w:rFonts w:cs="Times New Roman"/>
        </w:rPr>
        <w:t xml:space="preserve">, voetnoten </w:t>
      </w:r>
      <w:r w:rsidRPr="00B2070B">
        <w:t xml:space="preserve">36 en </w:t>
      </w:r>
      <w:r w:rsidR="006B0288">
        <w:t>162</w:t>
      </w:r>
      <w:r w:rsidR="006B0288">
        <w:rPr>
          <w:rFonts w:cs="Times New Roman"/>
        </w:rPr>
        <w:t xml:space="preserve"> </w:t>
      </w:r>
      <w:r>
        <w:rPr>
          <w:rFonts w:cs="Times New Roman"/>
        </w:rPr>
        <w:t xml:space="preserve">over het probleem van </w:t>
      </w:r>
      <w:r>
        <w:rPr>
          <w:rFonts w:cs="Times New Roman"/>
          <w:i/>
          <w:iCs/>
        </w:rPr>
        <w:t>joint decision traps</w:t>
      </w:r>
      <w:r>
        <w:rPr>
          <w:rFonts w:cs="Times New Roman"/>
        </w:rPr>
        <w:t>.</w:t>
      </w:r>
    </w:p>
  </w:footnote>
  <w:footnote w:id="214">
    <w:p w14:paraId="2C77FA59"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Waaruit voortvloeit dat een bestuur steeds zijn beleid moeten kunnen aanpassen. Hiermee wordt natuurlijk geen uitspraak gedaan over de vraag of een dergelijke opzegging al dan niet aanleiding geeft tot overleg, het respecteren van een opzeggingstermijn of mogelijks zelfs tot schadevergoeding. </w:t>
      </w:r>
    </w:p>
  </w:footnote>
  <w:footnote w:id="215">
    <w:p w14:paraId="11CBEE1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Vergelijk overigens ook met de rechtspraak van de hoven en rechtbanken. Uit het verbod op eeuwigdurende verbintenissen, leidt het Hof van Cassatie af dat overeenkomsten van onbepaalde duur steeds eenzijdig kunnen worden opgezegd (Cass. 9 maart 1973, </w:t>
      </w:r>
      <w:r w:rsidRPr="00C95E6B">
        <w:rPr>
          <w:rFonts w:cs="Times New Roman"/>
          <w:i/>
        </w:rPr>
        <w:t>Arr.Cass.</w:t>
      </w:r>
      <w:r w:rsidRPr="00C95E6B">
        <w:rPr>
          <w:rFonts w:cs="Times New Roman"/>
        </w:rPr>
        <w:t xml:space="preserve"> 1973, 671, Cass. 6 april 1978, </w:t>
      </w:r>
      <w:r w:rsidRPr="00C95E6B">
        <w:rPr>
          <w:rFonts w:cs="Times New Roman"/>
          <w:i/>
        </w:rPr>
        <w:t>Arr.Cass.</w:t>
      </w:r>
      <w:r w:rsidRPr="00C95E6B">
        <w:rPr>
          <w:rFonts w:cs="Times New Roman"/>
        </w:rPr>
        <w:t xml:space="preserve"> 1977-78, 898) en het principiële verbod om opzegmogelijkheden weg te bedingen bij een overeenkomst van onbepaalde duur.</w:t>
      </w:r>
    </w:p>
  </w:footnote>
  <w:footnote w:id="216">
    <w:p w14:paraId="5779C650"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59.829/AV van 8 september 2016, voetnoot 8.</w:t>
      </w:r>
    </w:p>
  </w:footnote>
  <w:footnote w:id="217">
    <w:p w14:paraId="75B9E2B8"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Adv.RvS 64.842/VR van 5 februari 2019, nr. 11.6.</w:t>
      </w:r>
    </w:p>
  </w:footnote>
  <w:footnote w:id="218">
    <w:p w14:paraId="773BB01D" w14:textId="77777777" w:rsidR="00AB5378" w:rsidRDefault="00AB5378">
      <w:pPr>
        <w:pStyle w:val="Voetnoottekst"/>
        <w:spacing w:after="0"/>
        <w:rPr>
          <w:rFonts w:cs="Times New Roman"/>
          <w:lang w:val="nl-NL"/>
        </w:rPr>
      </w:pPr>
      <w:r w:rsidRPr="00C95E6B">
        <w:rPr>
          <w:rStyle w:val="Voetnootmarkering"/>
          <w:rFonts w:cs="Times New Roman"/>
        </w:rPr>
        <w:footnoteRef/>
      </w:r>
      <w:r w:rsidRPr="00C95E6B">
        <w:rPr>
          <w:rFonts w:cs="Times New Roman"/>
        </w:rPr>
        <w:t xml:space="preserve"> Over de modaliteiten van de eenzijdige opheffing of bv. over een gezamenlijke wijziging die aan de bezorgdheden van alle partijen voldoet.</w:t>
      </w:r>
    </w:p>
  </w:footnote>
  <w:footnote w:id="219">
    <w:p w14:paraId="47E051BB"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Adv. 52.303/AV van 20 november 2012, nr. 12 en </w:t>
      </w:r>
      <w:r w:rsidRPr="00C95E6B">
        <w:rPr>
          <w:rFonts w:cs="Times New Roman"/>
          <w:i/>
        </w:rPr>
        <w:t xml:space="preserve">Parl.St. </w:t>
      </w:r>
      <w:r w:rsidRPr="00C95E6B">
        <w:rPr>
          <w:rFonts w:cs="Times New Roman"/>
        </w:rPr>
        <w:t>Senaat 2013-14, nr. 5-1815/5, 6, 16 en 18.</w:t>
      </w:r>
    </w:p>
  </w:footnote>
  <w:footnote w:id="220">
    <w:p w14:paraId="03AC3CE4"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Althans voor zover het nog uitvoerbaar is. De redelijke opzegtermijn die in de overlegverplichting vervat is, dient overigens rekening te houden met de mogelijke noodzaak</w:t>
      </w:r>
      <w:r>
        <w:rPr>
          <w:rFonts w:cs="Times New Roman"/>
        </w:rPr>
        <w:t xml:space="preserve"> voor elke van de andere partijen</w:t>
      </w:r>
      <w:r w:rsidRPr="00C95E6B">
        <w:rPr>
          <w:rFonts w:cs="Times New Roman"/>
        </w:rPr>
        <w:t xml:space="preserve"> om het gezamenlijk decreet in </w:t>
      </w:r>
      <w:r>
        <w:rPr>
          <w:rFonts w:cs="Times New Roman"/>
        </w:rPr>
        <w:t xml:space="preserve">hun interne </w:t>
      </w:r>
      <w:r w:rsidRPr="00C95E6B">
        <w:rPr>
          <w:rFonts w:cs="Times New Roman"/>
        </w:rPr>
        <w:t xml:space="preserve"> rechtsorde aan te passen of te vervangen</w:t>
      </w:r>
      <w:r>
        <w:rPr>
          <w:rFonts w:cs="Times New Roman"/>
        </w:rPr>
        <w:t>, ook – en in het bijzonder – indien er geen akkoord wordt bereikt tijdens het overleg</w:t>
      </w:r>
      <w:r w:rsidRPr="00C95E6B">
        <w:rPr>
          <w:rFonts w:cs="Times New Roman"/>
        </w:rPr>
        <w:t>.</w:t>
      </w:r>
    </w:p>
  </w:footnote>
  <w:footnote w:id="221">
    <w:p w14:paraId="01A8B506"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Dat ze mogelijks zullen moeten wijzigen om rekening te houden met de opheffing van één van de partijen. </w:t>
      </w:r>
    </w:p>
  </w:footnote>
  <w:footnote w:id="222">
    <w:p w14:paraId="40355184" w14:textId="77777777" w:rsidR="00AB5378" w:rsidRDefault="00AB5378">
      <w:pPr>
        <w:pStyle w:val="Voetnoottekst"/>
        <w:spacing w:after="0"/>
        <w:rPr>
          <w:rFonts w:cs="Times New Roman"/>
        </w:rPr>
      </w:pPr>
      <w:r w:rsidRPr="00C95E6B">
        <w:rPr>
          <w:rStyle w:val="Voetnootmarkering"/>
          <w:rFonts w:cs="Times New Roman"/>
        </w:rPr>
        <w:footnoteRef/>
      </w:r>
      <w:r w:rsidRPr="00C95E6B">
        <w:rPr>
          <w:rFonts w:cs="Times New Roman"/>
        </w:rPr>
        <w:t xml:space="preserve"> Ook al is dat wel niet de bedoeling.</w:t>
      </w:r>
    </w:p>
  </w:footnote>
  <w:footnote w:id="223">
    <w:p w14:paraId="5885007B" w14:textId="77777777" w:rsidR="00AB5378" w:rsidRPr="00B2070B" w:rsidRDefault="00AB5378">
      <w:pPr>
        <w:pStyle w:val="Voetnoottekst"/>
        <w:rPr>
          <w:lang w:val="nl-NL"/>
        </w:rPr>
      </w:pPr>
      <w:r>
        <w:rPr>
          <w:rStyle w:val="Voetnootmarkering"/>
        </w:rPr>
        <w:footnoteRef/>
      </w:r>
      <w:r>
        <w:t xml:space="preserve"> </w:t>
      </w:r>
      <w:r>
        <w:rPr>
          <w:lang w:val="nl-NL"/>
        </w:rPr>
        <w:t xml:space="preserve">Het lijkt hierbij wel van belang om in een contactpersoon (de zgn. gemachtigde) voor elk van de verschillende betrokken overheden te voorzien, zodat door de Raad van State met elk van hen in overleg kan worden getreden om zo nodig gevoeligheden over het ontwerp voor hun overheid op te vangen.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D6EB8"/>
    <w:multiLevelType w:val="hybridMultilevel"/>
    <w:tmpl w:val="85C8BDE8"/>
    <w:lvl w:ilvl="0" w:tplc="3990B2C4">
      <w:start w:val="1"/>
      <w:numFmt w:val="upperLetter"/>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 w15:restartNumberingAfterBreak="0">
    <w:nsid w:val="11076ADF"/>
    <w:multiLevelType w:val="hybridMultilevel"/>
    <w:tmpl w:val="AF328ED2"/>
    <w:lvl w:ilvl="0" w:tplc="514666A8">
      <w:start w:val="2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5087ACA"/>
    <w:multiLevelType w:val="hybridMultilevel"/>
    <w:tmpl w:val="D32CE88C"/>
    <w:lvl w:ilvl="0" w:tplc="21B8050A">
      <w:start w:val="1"/>
      <w:numFmt w:val="upperRoman"/>
      <w:lvlText w:val="%1."/>
      <w:lvlJc w:val="left"/>
      <w:pPr>
        <w:ind w:left="1571"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C17971"/>
    <w:multiLevelType w:val="hybridMultilevel"/>
    <w:tmpl w:val="212016F2"/>
    <w:lvl w:ilvl="0" w:tplc="08130017">
      <w:start w:val="1"/>
      <w:numFmt w:val="lowerLetter"/>
      <w:lvlText w:val="%1)"/>
      <w:lvlJc w:val="left"/>
      <w:pPr>
        <w:ind w:left="720" w:hanging="360"/>
      </w:pPr>
      <w:rPr>
        <w:rFont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F9A1689"/>
    <w:multiLevelType w:val="hybridMultilevel"/>
    <w:tmpl w:val="F3EC403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C0E5E89"/>
    <w:multiLevelType w:val="hybridMultilevel"/>
    <w:tmpl w:val="09F695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C7A088B"/>
    <w:multiLevelType w:val="hybridMultilevel"/>
    <w:tmpl w:val="D5828C7C"/>
    <w:lvl w:ilvl="0" w:tplc="AE14D5E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2DE022FC"/>
    <w:multiLevelType w:val="hybridMultilevel"/>
    <w:tmpl w:val="502AEA86"/>
    <w:lvl w:ilvl="0" w:tplc="E3B8C64E">
      <w:start w:val="1"/>
      <w:numFmt w:val="upp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348B05D0"/>
    <w:multiLevelType w:val="hybridMultilevel"/>
    <w:tmpl w:val="584AA576"/>
    <w:lvl w:ilvl="0" w:tplc="F2E4DD1E">
      <w:start w:val="2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7C259EA"/>
    <w:multiLevelType w:val="hybridMultilevel"/>
    <w:tmpl w:val="712E6E92"/>
    <w:lvl w:ilvl="0" w:tplc="9B76AD56">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0" w15:restartNumberingAfterBreak="0">
    <w:nsid w:val="39ED7A03"/>
    <w:multiLevelType w:val="hybridMultilevel"/>
    <w:tmpl w:val="FF8C53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3FCE0D85"/>
    <w:multiLevelType w:val="hybridMultilevel"/>
    <w:tmpl w:val="9A2E6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E5615F"/>
    <w:multiLevelType w:val="hybridMultilevel"/>
    <w:tmpl w:val="CF64B2F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49B74327"/>
    <w:multiLevelType w:val="hybridMultilevel"/>
    <w:tmpl w:val="8B64223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4A101C3D"/>
    <w:multiLevelType w:val="hybridMultilevel"/>
    <w:tmpl w:val="898AEF94"/>
    <w:lvl w:ilvl="0" w:tplc="C6B8347E">
      <w:start w:val="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31136E"/>
    <w:multiLevelType w:val="hybridMultilevel"/>
    <w:tmpl w:val="928ECFA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57B73DDA"/>
    <w:multiLevelType w:val="hybridMultilevel"/>
    <w:tmpl w:val="15E689FC"/>
    <w:lvl w:ilvl="0" w:tplc="DA22FB7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C3792B"/>
    <w:multiLevelType w:val="hybridMultilevel"/>
    <w:tmpl w:val="8CA41ACC"/>
    <w:lvl w:ilvl="0" w:tplc="9996A946">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DB22DA3"/>
    <w:multiLevelType w:val="hybridMultilevel"/>
    <w:tmpl w:val="D1F403F6"/>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2DD0B09"/>
    <w:multiLevelType w:val="hybridMultilevel"/>
    <w:tmpl w:val="9062A7EE"/>
    <w:lvl w:ilvl="0" w:tplc="3370C82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64137E7D"/>
    <w:multiLevelType w:val="hybridMultilevel"/>
    <w:tmpl w:val="8CA41ACC"/>
    <w:lvl w:ilvl="0" w:tplc="9996A946">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64431A68"/>
    <w:multiLevelType w:val="hybridMultilevel"/>
    <w:tmpl w:val="759A0876"/>
    <w:lvl w:ilvl="0" w:tplc="32D21900">
      <w:start w:val="3"/>
      <w:numFmt w:val="bullet"/>
      <w:lvlText w:val="-"/>
      <w:lvlJc w:val="left"/>
      <w:pPr>
        <w:ind w:left="1440" w:hanging="360"/>
      </w:pPr>
      <w:rPr>
        <w:rFonts w:ascii="Calibri" w:eastAsiaTheme="minorHAnsi" w:hAnsi="Calibri"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5FA038F"/>
    <w:multiLevelType w:val="hybridMultilevel"/>
    <w:tmpl w:val="CA0E0FFA"/>
    <w:lvl w:ilvl="0" w:tplc="BEE61278">
      <w:start w:val="11"/>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3" w15:restartNumberingAfterBreak="0">
    <w:nsid w:val="689030D5"/>
    <w:multiLevelType w:val="hybridMultilevel"/>
    <w:tmpl w:val="2204602C"/>
    <w:lvl w:ilvl="0" w:tplc="1A2C777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69B3496B"/>
    <w:multiLevelType w:val="hybridMultilevel"/>
    <w:tmpl w:val="A3ACA4A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EE878F9"/>
    <w:multiLevelType w:val="hybridMultilevel"/>
    <w:tmpl w:val="DC32EE96"/>
    <w:lvl w:ilvl="0" w:tplc="FF561E40">
      <w:start w:val="35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77D865FF"/>
    <w:multiLevelType w:val="hybridMultilevel"/>
    <w:tmpl w:val="663CA266"/>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6"/>
  </w:num>
  <w:num w:numId="2">
    <w:abstractNumId w:val="19"/>
  </w:num>
  <w:num w:numId="3">
    <w:abstractNumId w:val="15"/>
  </w:num>
  <w:num w:numId="4">
    <w:abstractNumId w:val="0"/>
  </w:num>
  <w:num w:numId="5">
    <w:abstractNumId w:val="2"/>
  </w:num>
  <w:num w:numId="6">
    <w:abstractNumId w:val="7"/>
  </w:num>
  <w:num w:numId="7">
    <w:abstractNumId w:val="21"/>
  </w:num>
  <w:num w:numId="8">
    <w:abstractNumId w:val="26"/>
  </w:num>
  <w:num w:numId="9">
    <w:abstractNumId w:val="22"/>
  </w:num>
  <w:num w:numId="10">
    <w:abstractNumId w:val="3"/>
  </w:num>
  <w:num w:numId="11">
    <w:abstractNumId w:val="11"/>
  </w:num>
  <w:num w:numId="12">
    <w:abstractNumId w:val="14"/>
  </w:num>
  <w:num w:numId="13">
    <w:abstractNumId w:val="18"/>
  </w:num>
  <w:num w:numId="14">
    <w:abstractNumId w:val="6"/>
  </w:num>
  <w:num w:numId="15">
    <w:abstractNumId w:val="8"/>
  </w:num>
  <w:num w:numId="16">
    <w:abstractNumId w:val="20"/>
  </w:num>
  <w:num w:numId="17">
    <w:abstractNumId w:val="1"/>
  </w:num>
  <w:num w:numId="18">
    <w:abstractNumId w:val="23"/>
  </w:num>
  <w:num w:numId="19">
    <w:abstractNumId w:val="25"/>
  </w:num>
  <w:num w:numId="20">
    <w:abstractNumId w:val="17"/>
  </w:num>
  <w:num w:numId="21">
    <w:abstractNumId w:val="24"/>
  </w:num>
  <w:num w:numId="22">
    <w:abstractNumId w:val="13"/>
  </w:num>
  <w:num w:numId="23">
    <w:abstractNumId w:val="5"/>
  </w:num>
  <w:num w:numId="24">
    <w:abstractNumId w:val="10"/>
  </w:num>
  <w:num w:numId="25">
    <w:abstractNumId w:val="4"/>
  </w:num>
  <w:num w:numId="26">
    <w:abstractNumId w:val="12"/>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4E2783"/>
    <w:rsid w:val="00001D60"/>
    <w:rsid w:val="00006F75"/>
    <w:rsid w:val="000108A9"/>
    <w:rsid w:val="00011958"/>
    <w:rsid w:val="000171B9"/>
    <w:rsid w:val="00020B69"/>
    <w:rsid w:val="000251AE"/>
    <w:rsid w:val="0003243B"/>
    <w:rsid w:val="000338C9"/>
    <w:rsid w:val="000341CC"/>
    <w:rsid w:val="00036868"/>
    <w:rsid w:val="00043E7F"/>
    <w:rsid w:val="00045B7D"/>
    <w:rsid w:val="00052CA0"/>
    <w:rsid w:val="000532BD"/>
    <w:rsid w:val="0005686D"/>
    <w:rsid w:val="00060A64"/>
    <w:rsid w:val="00061DF1"/>
    <w:rsid w:val="000628E4"/>
    <w:rsid w:val="00062CA9"/>
    <w:rsid w:val="000654F6"/>
    <w:rsid w:val="00066308"/>
    <w:rsid w:val="000715FB"/>
    <w:rsid w:val="000724A4"/>
    <w:rsid w:val="00072E90"/>
    <w:rsid w:val="000749E6"/>
    <w:rsid w:val="000757E9"/>
    <w:rsid w:val="000818ED"/>
    <w:rsid w:val="00082EB0"/>
    <w:rsid w:val="00083ECC"/>
    <w:rsid w:val="000852BC"/>
    <w:rsid w:val="000855FE"/>
    <w:rsid w:val="00085E04"/>
    <w:rsid w:val="00090EA3"/>
    <w:rsid w:val="000A033E"/>
    <w:rsid w:val="000A53B7"/>
    <w:rsid w:val="000A73D5"/>
    <w:rsid w:val="000B1D79"/>
    <w:rsid w:val="000B6349"/>
    <w:rsid w:val="000C0247"/>
    <w:rsid w:val="000C1FED"/>
    <w:rsid w:val="000C428C"/>
    <w:rsid w:val="000C4F26"/>
    <w:rsid w:val="000C55CF"/>
    <w:rsid w:val="000C7A6B"/>
    <w:rsid w:val="000D33E4"/>
    <w:rsid w:val="000D54A5"/>
    <w:rsid w:val="000D6D1B"/>
    <w:rsid w:val="000D6EFF"/>
    <w:rsid w:val="000D7894"/>
    <w:rsid w:val="000D7FC6"/>
    <w:rsid w:val="000E228A"/>
    <w:rsid w:val="000E23EE"/>
    <w:rsid w:val="000E276D"/>
    <w:rsid w:val="000F11EF"/>
    <w:rsid w:val="000F3214"/>
    <w:rsid w:val="000F747B"/>
    <w:rsid w:val="000F7E9C"/>
    <w:rsid w:val="00101C62"/>
    <w:rsid w:val="00104710"/>
    <w:rsid w:val="001058A1"/>
    <w:rsid w:val="00110E1A"/>
    <w:rsid w:val="0011463A"/>
    <w:rsid w:val="00114B62"/>
    <w:rsid w:val="00117432"/>
    <w:rsid w:val="001225A0"/>
    <w:rsid w:val="001248CB"/>
    <w:rsid w:val="001249DF"/>
    <w:rsid w:val="0012512F"/>
    <w:rsid w:val="00125CBB"/>
    <w:rsid w:val="001316DC"/>
    <w:rsid w:val="00133251"/>
    <w:rsid w:val="00137A57"/>
    <w:rsid w:val="0014704E"/>
    <w:rsid w:val="00147D68"/>
    <w:rsid w:val="00150A6C"/>
    <w:rsid w:val="00151B0E"/>
    <w:rsid w:val="00152DC1"/>
    <w:rsid w:val="00155751"/>
    <w:rsid w:val="0015626D"/>
    <w:rsid w:val="00157342"/>
    <w:rsid w:val="00160E21"/>
    <w:rsid w:val="00161131"/>
    <w:rsid w:val="001657EB"/>
    <w:rsid w:val="00166D23"/>
    <w:rsid w:val="00170081"/>
    <w:rsid w:val="0017387F"/>
    <w:rsid w:val="00175A35"/>
    <w:rsid w:val="0017613C"/>
    <w:rsid w:val="00176CA7"/>
    <w:rsid w:val="00177128"/>
    <w:rsid w:val="00177666"/>
    <w:rsid w:val="0017775E"/>
    <w:rsid w:val="001778A4"/>
    <w:rsid w:val="0018107E"/>
    <w:rsid w:val="00181E3E"/>
    <w:rsid w:val="00183DDC"/>
    <w:rsid w:val="00185180"/>
    <w:rsid w:val="00193F73"/>
    <w:rsid w:val="001A02FF"/>
    <w:rsid w:val="001A2215"/>
    <w:rsid w:val="001A289E"/>
    <w:rsid w:val="001A313B"/>
    <w:rsid w:val="001A5BD2"/>
    <w:rsid w:val="001B1EE4"/>
    <w:rsid w:val="001B2DBC"/>
    <w:rsid w:val="001B7B24"/>
    <w:rsid w:val="001C139B"/>
    <w:rsid w:val="001C35D6"/>
    <w:rsid w:val="001C54CD"/>
    <w:rsid w:val="001D20B5"/>
    <w:rsid w:val="001D52BE"/>
    <w:rsid w:val="001E5C51"/>
    <w:rsid w:val="001F66EC"/>
    <w:rsid w:val="00200FDD"/>
    <w:rsid w:val="002017AA"/>
    <w:rsid w:val="0020623F"/>
    <w:rsid w:val="00207F5C"/>
    <w:rsid w:val="00210376"/>
    <w:rsid w:val="00211524"/>
    <w:rsid w:val="0021431D"/>
    <w:rsid w:val="002203BB"/>
    <w:rsid w:val="00220854"/>
    <w:rsid w:val="002211C5"/>
    <w:rsid w:val="00221CB3"/>
    <w:rsid w:val="00225953"/>
    <w:rsid w:val="0022759C"/>
    <w:rsid w:val="00232416"/>
    <w:rsid w:val="00235750"/>
    <w:rsid w:val="00237D45"/>
    <w:rsid w:val="00242994"/>
    <w:rsid w:val="00246E6C"/>
    <w:rsid w:val="00247DF0"/>
    <w:rsid w:val="00247E9F"/>
    <w:rsid w:val="00251294"/>
    <w:rsid w:val="00253A95"/>
    <w:rsid w:val="00254250"/>
    <w:rsid w:val="00254640"/>
    <w:rsid w:val="00254A75"/>
    <w:rsid w:val="00260F8E"/>
    <w:rsid w:val="00263FB2"/>
    <w:rsid w:val="0026474C"/>
    <w:rsid w:val="002663E8"/>
    <w:rsid w:val="00266F49"/>
    <w:rsid w:val="00267CCF"/>
    <w:rsid w:val="00273D1D"/>
    <w:rsid w:val="00275E31"/>
    <w:rsid w:val="00292967"/>
    <w:rsid w:val="00295B83"/>
    <w:rsid w:val="002A097B"/>
    <w:rsid w:val="002A2399"/>
    <w:rsid w:val="002A448E"/>
    <w:rsid w:val="002A4971"/>
    <w:rsid w:val="002A7507"/>
    <w:rsid w:val="002A75BC"/>
    <w:rsid w:val="002B07AE"/>
    <w:rsid w:val="002B07F8"/>
    <w:rsid w:val="002B23FA"/>
    <w:rsid w:val="002B37DF"/>
    <w:rsid w:val="002B7635"/>
    <w:rsid w:val="002C2DAE"/>
    <w:rsid w:val="002C4564"/>
    <w:rsid w:val="002C7377"/>
    <w:rsid w:val="002D413E"/>
    <w:rsid w:val="002D5315"/>
    <w:rsid w:val="002D5FCF"/>
    <w:rsid w:val="002E2175"/>
    <w:rsid w:val="002E4DE9"/>
    <w:rsid w:val="002E5F78"/>
    <w:rsid w:val="002F4A3A"/>
    <w:rsid w:val="002F50E8"/>
    <w:rsid w:val="003001AC"/>
    <w:rsid w:val="00300D4B"/>
    <w:rsid w:val="00306FF6"/>
    <w:rsid w:val="00307A37"/>
    <w:rsid w:val="00316639"/>
    <w:rsid w:val="0031686C"/>
    <w:rsid w:val="003174D6"/>
    <w:rsid w:val="0031760A"/>
    <w:rsid w:val="0032475A"/>
    <w:rsid w:val="00324E4B"/>
    <w:rsid w:val="003309A0"/>
    <w:rsid w:val="00330C18"/>
    <w:rsid w:val="003320B2"/>
    <w:rsid w:val="00332C2E"/>
    <w:rsid w:val="00333C71"/>
    <w:rsid w:val="0034113C"/>
    <w:rsid w:val="00342383"/>
    <w:rsid w:val="00344DA0"/>
    <w:rsid w:val="00346281"/>
    <w:rsid w:val="0035537B"/>
    <w:rsid w:val="00357F20"/>
    <w:rsid w:val="003601BD"/>
    <w:rsid w:val="003617FA"/>
    <w:rsid w:val="00363519"/>
    <w:rsid w:val="00363DA8"/>
    <w:rsid w:val="00371104"/>
    <w:rsid w:val="00377B1F"/>
    <w:rsid w:val="00381175"/>
    <w:rsid w:val="0038448A"/>
    <w:rsid w:val="00385832"/>
    <w:rsid w:val="00385C4C"/>
    <w:rsid w:val="0038733E"/>
    <w:rsid w:val="00391D3B"/>
    <w:rsid w:val="00391F16"/>
    <w:rsid w:val="00393B1D"/>
    <w:rsid w:val="00396043"/>
    <w:rsid w:val="003968B4"/>
    <w:rsid w:val="003A089C"/>
    <w:rsid w:val="003A1877"/>
    <w:rsid w:val="003A32C5"/>
    <w:rsid w:val="003A5D61"/>
    <w:rsid w:val="003B11CD"/>
    <w:rsid w:val="003B237A"/>
    <w:rsid w:val="003B3496"/>
    <w:rsid w:val="003B3696"/>
    <w:rsid w:val="003B3C30"/>
    <w:rsid w:val="003B6637"/>
    <w:rsid w:val="003B6F5C"/>
    <w:rsid w:val="003B7619"/>
    <w:rsid w:val="003C0532"/>
    <w:rsid w:val="003C0F9B"/>
    <w:rsid w:val="003C34A2"/>
    <w:rsid w:val="003C3EC2"/>
    <w:rsid w:val="003C4419"/>
    <w:rsid w:val="003C71CF"/>
    <w:rsid w:val="003C7AE5"/>
    <w:rsid w:val="003D2657"/>
    <w:rsid w:val="003D3228"/>
    <w:rsid w:val="003D3B58"/>
    <w:rsid w:val="003D6762"/>
    <w:rsid w:val="003D7FBF"/>
    <w:rsid w:val="003E41E5"/>
    <w:rsid w:val="003E5080"/>
    <w:rsid w:val="003E73E8"/>
    <w:rsid w:val="003F202D"/>
    <w:rsid w:val="003F5CA0"/>
    <w:rsid w:val="003F7171"/>
    <w:rsid w:val="004001FA"/>
    <w:rsid w:val="00400D75"/>
    <w:rsid w:val="004017FB"/>
    <w:rsid w:val="00403893"/>
    <w:rsid w:val="00404C28"/>
    <w:rsid w:val="0040541D"/>
    <w:rsid w:val="004075FD"/>
    <w:rsid w:val="00410614"/>
    <w:rsid w:val="004110DC"/>
    <w:rsid w:val="004133A6"/>
    <w:rsid w:val="00415562"/>
    <w:rsid w:val="0041726A"/>
    <w:rsid w:val="00421A09"/>
    <w:rsid w:val="00422449"/>
    <w:rsid w:val="004248D8"/>
    <w:rsid w:val="00424C43"/>
    <w:rsid w:val="00427AFC"/>
    <w:rsid w:val="00430292"/>
    <w:rsid w:val="004302C8"/>
    <w:rsid w:val="00432D39"/>
    <w:rsid w:val="004356A7"/>
    <w:rsid w:val="0045082F"/>
    <w:rsid w:val="00453F49"/>
    <w:rsid w:val="0046112F"/>
    <w:rsid w:val="00462780"/>
    <w:rsid w:val="00463D0B"/>
    <w:rsid w:val="00465057"/>
    <w:rsid w:val="00466698"/>
    <w:rsid w:val="004712B2"/>
    <w:rsid w:val="0047290F"/>
    <w:rsid w:val="004811F6"/>
    <w:rsid w:val="004822A8"/>
    <w:rsid w:val="0049102B"/>
    <w:rsid w:val="00491EC6"/>
    <w:rsid w:val="00494E5F"/>
    <w:rsid w:val="00495464"/>
    <w:rsid w:val="00497D4A"/>
    <w:rsid w:val="004A0F84"/>
    <w:rsid w:val="004A470E"/>
    <w:rsid w:val="004A6B4F"/>
    <w:rsid w:val="004A7412"/>
    <w:rsid w:val="004A772E"/>
    <w:rsid w:val="004B03F4"/>
    <w:rsid w:val="004C1478"/>
    <w:rsid w:val="004C361D"/>
    <w:rsid w:val="004C446B"/>
    <w:rsid w:val="004C5754"/>
    <w:rsid w:val="004C64FB"/>
    <w:rsid w:val="004D03FE"/>
    <w:rsid w:val="004D2187"/>
    <w:rsid w:val="004D39A8"/>
    <w:rsid w:val="004D4173"/>
    <w:rsid w:val="004E2783"/>
    <w:rsid w:val="004E60AF"/>
    <w:rsid w:val="004F321A"/>
    <w:rsid w:val="004F4152"/>
    <w:rsid w:val="004F69A6"/>
    <w:rsid w:val="004F6B5B"/>
    <w:rsid w:val="004F6DBB"/>
    <w:rsid w:val="004F7AC0"/>
    <w:rsid w:val="00504761"/>
    <w:rsid w:val="005053D4"/>
    <w:rsid w:val="00515C73"/>
    <w:rsid w:val="0052021D"/>
    <w:rsid w:val="00532022"/>
    <w:rsid w:val="005349BF"/>
    <w:rsid w:val="0053749A"/>
    <w:rsid w:val="00546CDC"/>
    <w:rsid w:val="00546E8A"/>
    <w:rsid w:val="005538D3"/>
    <w:rsid w:val="005557CF"/>
    <w:rsid w:val="00556323"/>
    <w:rsid w:val="005568BF"/>
    <w:rsid w:val="0056136C"/>
    <w:rsid w:val="00572562"/>
    <w:rsid w:val="005729F9"/>
    <w:rsid w:val="00573C61"/>
    <w:rsid w:val="00574B89"/>
    <w:rsid w:val="00583EA0"/>
    <w:rsid w:val="00584DD2"/>
    <w:rsid w:val="005854FE"/>
    <w:rsid w:val="005861A0"/>
    <w:rsid w:val="005924CF"/>
    <w:rsid w:val="005934EA"/>
    <w:rsid w:val="00593EB5"/>
    <w:rsid w:val="005942CF"/>
    <w:rsid w:val="005946C0"/>
    <w:rsid w:val="005949EF"/>
    <w:rsid w:val="00597130"/>
    <w:rsid w:val="005A1D36"/>
    <w:rsid w:val="005A1DCC"/>
    <w:rsid w:val="005A4FB1"/>
    <w:rsid w:val="005A73AA"/>
    <w:rsid w:val="005B0093"/>
    <w:rsid w:val="005B01D2"/>
    <w:rsid w:val="005B099E"/>
    <w:rsid w:val="005B233D"/>
    <w:rsid w:val="005B4E2B"/>
    <w:rsid w:val="005B5BFE"/>
    <w:rsid w:val="005B75B8"/>
    <w:rsid w:val="005D0841"/>
    <w:rsid w:val="005D1229"/>
    <w:rsid w:val="005D3D8B"/>
    <w:rsid w:val="005D406C"/>
    <w:rsid w:val="005D70C6"/>
    <w:rsid w:val="005E0BC2"/>
    <w:rsid w:val="005E0EB9"/>
    <w:rsid w:val="005E7227"/>
    <w:rsid w:val="005F21AB"/>
    <w:rsid w:val="005F28BB"/>
    <w:rsid w:val="005F3751"/>
    <w:rsid w:val="005F61EC"/>
    <w:rsid w:val="00600293"/>
    <w:rsid w:val="00605A7B"/>
    <w:rsid w:val="006101BA"/>
    <w:rsid w:val="00610F8E"/>
    <w:rsid w:val="00612DC1"/>
    <w:rsid w:val="00613FAB"/>
    <w:rsid w:val="006235C4"/>
    <w:rsid w:val="00625EEA"/>
    <w:rsid w:val="00626C02"/>
    <w:rsid w:val="00630A8F"/>
    <w:rsid w:val="00632305"/>
    <w:rsid w:val="00633B52"/>
    <w:rsid w:val="00633D76"/>
    <w:rsid w:val="00634D68"/>
    <w:rsid w:val="00640005"/>
    <w:rsid w:val="00641FA4"/>
    <w:rsid w:val="00642050"/>
    <w:rsid w:val="006431FE"/>
    <w:rsid w:val="00644369"/>
    <w:rsid w:val="006502DE"/>
    <w:rsid w:val="00650A7E"/>
    <w:rsid w:val="00650FB2"/>
    <w:rsid w:val="0065101F"/>
    <w:rsid w:val="00651E2E"/>
    <w:rsid w:val="006559E0"/>
    <w:rsid w:val="00657CDE"/>
    <w:rsid w:val="00673A23"/>
    <w:rsid w:val="00674B9A"/>
    <w:rsid w:val="0067608F"/>
    <w:rsid w:val="006766F7"/>
    <w:rsid w:val="00677FFC"/>
    <w:rsid w:val="00681F0F"/>
    <w:rsid w:val="006831EE"/>
    <w:rsid w:val="00683DBD"/>
    <w:rsid w:val="00684EEF"/>
    <w:rsid w:val="006941B9"/>
    <w:rsid w:val="00694865"/>
    <w:rsid w:val="00695056"/>
    <w:rsid w:val="006A3F33"/>
    <w:rsid w:val="006A51B0"/>
    <w:rsid w:val="006B0288"/>
    <w:rsid w:val="006B11B4"/>
    <w:rsid w:val="006B125F"/>
    <w:rsid w:val="006B1EE0"/>
    <w:rsid w:val="006B23DE"/>
    <w:rsid w:val="006B3527"/>
    <w:rsid w:val="006B4CD8"/>
    <w:rsid w:val="006B74F3"/>
    <w:rsid w:val="006B7F95"/>
    <w:rsid w:val="006C5EA7"/>
    <w:rsid w:val="006C6053"/>
    <w:rsid w:val="006C68BF"/>
    <w:rsid w:val="006D3803"/>
    <w:rsid w:val="006D3C6B"/>
    <w:rsid w:val="006D4A94"/>
    <w:rsid w:val="006D65E2"/>
    <w:rsid w:val="006E07B4"/>
    <w:rsid w:val="006E5CBD"/>
    <w:rsid w:val="006E6CC1"/>
    <w:rsid w:val="006E79A3"/>
    <w:rsid w:val="006F3D2B"/>
    <w:rsid w:val="006F470E"/>
    <w:rsid w:val="007003C9"/>
    <w:rsid w:val="00703988"/>
    <w:rsid w:val="00706109"/>
    <w:rsid w:val="00707121"/>
    <w:rsid w:val="0070790E"/>
    <w:rsid w:val="00707A19"/>
    <w:rsid w:val="00707ED0"/>
    <w:rsid w:val="00710610"/>
    <w:rsid w:val="0071188A"/>
    <w:rsid w:val="007134FB"/>
    <w:rsid w:val="00713505"/>
    <w:rsid w:val="007214DA"/>
    <w:rsid w:val="007251AE"/>
    <w:rsid w:val="00727578"/>
    <w:rsid w:val="00727F18"/>
    <w:rsid w:val="00730283"/>
    <w:rsid w:val="0073270A"/>
    <w:rsid w:val="007328D0"/>
    <w:rsid w:val="00732C53"/>
    <w:rsid w:val="007426A9"/>
    <w:rsid w:val="0074604D"/>
    <w:rsid w:val="007469B6"/>
    <w:rsid w:val="00747290"/>
    <w:rsid w:val="0075147A"/>
    <w:rsid w:val="00752D8C"/>
    <w:rsid w:val="00753493"/>
    <w:rsid w:val="0076437C"/>
    <w:rsid w:val="0077373B"/>
    <w:rsid w:val="00773778"/>
    <w:rsid w:val="007766FD"/>
    <w:rsid w:val="00781EAC"/>
    <w:rsid w:val="007837C6"/>
    <w:rsid w:val="00784E6D"/>
    <w:rsid w:val="00792B3E"/>
    <w:rsid w:val="00792E43"/>
    <w:rsid w:val="00797632"/>
    <w:rsid w:val="007A568F"/>
    <w:rsid w:val="007A5C38"/>
    <w:rsid w:val="007A7B51"/>
    <w:rsid w:val="007B1C22"/>
    <w:rsid w:val="007B1DEC"/>
    <w:rsid w:val="007B2F33"/>
    <w:rsid w:val="007C313E"/>
    <w:rsid w:val="007C381A"/>
    <w:rsid w:val="007C4675"/>
    <w:rsid w:val="007D115D"/>
    <w:rsid w:val="007D1E77"/>
    <w:rsid w:val="007D34AF"/>
    <w:rsid w:val="007D4B7C"/>
    <w:rsid w:val="007D4BF0"/>
    <w:rsid w:val="007D72D6"/>
    <w:rsid w:val="007E0BE4"/>
    <w:rsid w:val="007E3875"/>
    <w:rsid w:val="007E3A2A"/>
    <w:rsid w:val="007E55A6"/>
    <w:rsid w:val="007E5D6D"/>
    <w:rsid w:val="007F1E71"/>
    <w:rsid w:val="008068C0"/>
    <w:rsid w:val="00806971"/>
    <w:rsid w:val="00806E2A"/>
    <w:rsid w:val="00810C85"/>
    <w:rsid w:val="00820147"/>
    <w:rsid w:val="008201ED"/>
    <w:rsid w:val="00820A4B"/>
    <w:rsid w:val="0082198E"/>
    <w:rsid w:val="00825A55"/>
    <w:rsid w:val="00827E59"/>
    <w:rsid w:val="008319AE"/>
    <w:rsid w:val="00833037"/>
    <w:rsid w:val="00834093"/>
    <w:rsid w:val="00834AC0"/>
    <w:rsid w:val="00835460"/>
    <w:rsid w:val="0083626B"/>
    <w:rsid w:val="0084502B"/>
    <w:rsid w:val="00847506"/>
    <w:rsid w:val="0084781B"/>
    <w:rsid w:val="00847C05"/>
    <w:rsid w:val="00855552"/>
    <w:rsid w:val="00855E43"/>
    <w:rsid w:val="00866AA3"/>
    <w:rsid w:val="00870B21"/>
    <w:rsid w:val="0087127B"/>
    <w:rsid w:val="00872A95"/>
    <w:rsid w:val="00883729"/>
    <w:rsid w:val="00886D91"/>
    <w:rsid w:val="00887463"/>
    <w:rsid w:val="008903A4"/>
    <w:rsid w:val="00891F0B"/>
    <w:rsid w:val="008940DD"/>
    <w:rsid w:val="0089630F"/>
    <w:rsid w:val="008A44D4"/>
    <w:rsid w:val="008A68A2"/>
    <w:rsid w:val="008B0A1D"/>
    <w:rsid w:val="008B1201"/>
    <w:rsid w:val="008B1CB9"/>
    <w:rsid w:val="008B1EE8"/>
    <w:rsid w:val="008B6D44"/>
    <w:rsid w:val="008C3A52"/>
    <w:rsid w:val="008C3FCA"/>
    <w:rsid w:val="008C5CAB"/>
    <w:rsid w:val="008C72EF"/>
    <w:rsid w:val="008D0CA9"/>
    <w:rsid w:val="008D2AF1"/>
    <w:rsid w:val="008D4462"/>
    <w:rsid w:val="008D4A0B"/>
    <w:rsid w:val="008D59BE"/>
    <w:rsid w:val="008D71D3"/>
    <w:rsid w:val="008E0E2F"/>
    <w:rsid w:val="008F1CC5"/>
    <w:rsid w:val="008F4664"/>
    <w:rsid w:val="008F67B3"/>
    <w:rsid w:val="008F7488"/>
    <w:rsid w:val="0090050D"/>
    <w:rsid w:val="00900AE2"/>
    <w:rsid w:val="00903741"/>
    <w:rsid w:val="0090376A"/>
    <w:rsid w:val="00905809"/>
    <w:rsid w:val="0091378E"/>
    <w:rsid w:val="00913E82"/>
    <w:rsid w:val="00916608"/>
    <w:rsid w:val="00920EA2"/>
    <w:rsid w:val="00927999"/>
    <w:rsid w:val="00933524"/>
    <w:rsid w:val="00940060"/>
    <w:rsid w:val="009456E1"/>
    <w:rsid w:val="00946110"/>
    <w:rsid w:val="0094730A"/>
    <w:rsid w:val="0094743C"/>
    <w:rsid w:val="00955297"/>
    <w:rsid w:val="00962421"/>
    <w:rsid w:val="00964E5F"/>
    <w:rsid w:val="00964F17"/>
    <w:rsid w:val="00966B5C"/>
    <w:rsid w:val="0097120B"/>
    <w:rsid w:val="009755A8"/>
    <w:rsid w:val="0098037E"/>
    <w:rsid w:val="00980FD4"/>
    <w:rsid w:val="00982408"/>
    <w:rsid w:val="00982DB8"/>
    <w:rsid w:val="009861AD"/>
    <w:rsid w:val="00992199"/>
    <w:rsid w:val="00992423"/>
    <w:rsid w:val="00993513"/>
    <w:rsid w:val="00996D71"/>
    <w:rsid w:val="009A0BBF"/>
    <w:rsid w:val="009A27D9"/>
    <w:rsid w:val="009A5A2B"/>
    <w:rsid w:val="009A6B2E"/>
    <w:rsid w:val="009B11FB"/>
    <w:rsid w:val="009B29D1"/>
    <w:rsid w:val="009B4EA7"/>
    <w:rsid w:val="009B52C6"/>
    <w:rsid w:val="009B5FF2"/>
    <w:rsid w:val="009C0026"/>
    <w:rsid w:val="009C773F"/>
    <w:rsid w:val="009D0ACD"/>
    <w:rsid w:val="009D2E2E"/>
    <w:rsid w:val="009D34EE"/>
    <w:rsid w:val="009D3DA3"/>
    <w:rsid w:val="009D43FF"/>
    <w:rsid w:val="009D45EF"/>
    <w:rsid w:val="009E4D87"/>
    <w:rsid w:val="009E7C15"/>
    <w:rsid w:val="009F172E"/>
    <w:rsid w:val="009F4FCE"/>
    <w:rsid w:val="009F61FF"/>
    <w:rsid w:val="009F6BB8"/>
    <w:rsid w:val="009F75E0"/>
    <w:rsid w:val="00A00EFB"/>
    <w:rsid w:val="00A03CDC"/>
    <w:rsid w:val="00A100DA"/>
    <w:rsid w:val="00A13034"/>
    <w:rsid w:val="00A1457D"/>
    <w:rsid w:val="00A15B29"/>
    <w:rsid w:val="00A16653"/>
    <w:rsid w:val="00A20A5A"/>
    <w:rsid w:val="00A20DB1"/>
    <w:rsid w:val="00A2149E"/>
    <w:rsid w:val="00A239EE"/>
    <w:rsid w:val="00A25DD2"/>
    <w:rsid w:val="00A304CE"/>
    <w:rsid w:val="00A326D9"/>
    <w:rsid w:val="00A32C95"/>
    <w:rsid w:val="00A36FEC"/>
    <w:rsid w:val="00A3765D"/>
    <w:rsid w:val="00A41044"/>
    <w:rsid w:val="00A42CE7"/>
    <w:rsid w:val="00A43EFE"/>
    <w:rsid w:val="00A4647E"/>
    <w:rsid w:val="00A547ED"/>
    <w:rsid w:val="00A54F64"/>
    <w:rsid w:val="00A557F1"/>
    <w:rsid w:val="00A56E33"/>
    <w:rsid w:val="00A659D0"/>
    <w:rsid w:val="00A70D26"/>
    <w:rsid w:val="00A72F80"/>
    <w:rsid w:val="00A76168"/>
    <w:rsid w:val="00A776C1"/>
    <w:rsid w:val="00A8352C"/>
    <w:rsid w:val="00A836E7"/>
    <w:rsid w:val="00A8482E"/>
    <w:rsid w:val="00A85377"/>
    <w:rsid w:val="00A87036"/>
    <w:rsid w:val="00A901F2"/>
    <w:rsid w:val="00A907F0"/>
    <w:rsid w:val="00A973BF"/>
    <w:rsid w:val="00AA189D"/>
    <w:rsid w:val="00AA3335"/>
    <w:rsid w:val="00AB1804"/>
    <w:rsid w:val="00AB2E0C"/>
    <w:rsid w:val="00AB47B6"/>
    <w:rsid w:val="00AB5378"/>
    <w:rsid w:val="00AB6F85"/>
    <w:rsid w:val="00AC20C1"/>
    <w:rsid w:val="00AC34B8"/>
    <w:rsid w:val="00AC350C"/>
    <w:rsid w:val="00AC436E"/>
    <w:rsid w:val="00AC470B"/>
    <w:rsid w:val="00AC4D0B"/>
    <w:rsid w:val="00AC72A4"/>
    <w:rsid w:val="00AE1B10"/>
    <w:rsid w:val="00AE6396"/>
    <w:rsid w:val="00AE73DA"/>
    <w:rsid w:val="00AF0932"/>
    <w:rsid w:val="00AF784C"/>
    <w:rsid w:val="00B02A54"/>
    <w:rsid w:val="00B05A7E"/>
    <w:rsid w:val="00B10D05"/>
    <w:rsid w:val="00B10F2A"/>
    <w:rsid w:val="00B2070B"/>
    <w:rsid w:val="00B22FF2"/>
    <w:rsid w:val="00B42CEF"/>
    <w:rsid w:val="00B44098"/>
    <w:rsid w:val="00B44AEF"/>
    <w:rsid w:val="00B507A2"/>
    <w:rsid w:val="00B531EC"/>
    <w:rsid w:val="00B53F49"/>
    <w:rsid w:val="00B54C6A"/>
    <w:rsid w:val="00B55E4A"/>
    <w:rsid w:val="00B57AF9"/>
    <w:rsid w:val="00B623B4"/>
    <w:rsid w:val="00B645A7"/>
    <w:rsid w:val="00B7108D"/>
    <w:rsid w:val="00B71FBB"/>
    <w:rsid w:val="00B7772E"/>
    <w:rsid w:val="00B80034"/>
    <w:rsid w:val="00B83B69"/>
    <w:rsid w:val="00B83BE8"/>
    <w:rsid w:val="00B86B24"/>
    <w:rsid w:val="00B91315"/>
    <w:rsid w:val="00B93106"/>
    <w:rsid w:val="00B942B9"/>
    <w:rsid w:val="00BA0EEA"/>
    <w:rsid w:val="00BA2C33"/>
    <w:rsid w:val="00BA3794"/>
    <w:rsid w:val="00BA3902"/>
    <w:rsid w:val="00BA421D"/>
    <w:rsid w:val="00BC0FBF"/>
    <w:rsid w:val="00BC6195"/>
    <w:rsid w:val="00BC6BFD"/>
    <w:rsid w:val="00BD07C7"/>
    <w:rsid w:val="00BD4841"/>
    <w:rsid w:val="00BD527D"/>
    <w:rsid w:val="00BE4010"/>
    <w:rsid w:val="00BE5B16"/>
    <w:rsid w:val="00BE6B66"/>
    <w:rsid w:val="00BE6E44"/>
    <w:rsid w:val="00BE70C2"/>
    <w:rsid w:val="00BE734C"/>
    <w:rsid w:val="00BF0E1D"/>
    <w:rsid w:val="00BF121C"/>
    <w:rsid w:val="00BF1948"/>
    <w:rsid w:val="00BF3D14"/>
    <w:rsid w:val="00BF46D0"/>
    <w:rsid w:val="00BF536E"/>
    <w:rsid w:val="00BF6940"/>
    <w:rsid w:val="00C0000A"/>
    <w:rsid w:val="00C02144"/>
    <w:rsid w:val="00C03136"/>
    <w:rsid w:val="00C06C08"/>
    <w:rsid w:val="00C26F50"/>
    <w:rsid w:val="00C30C22"/>
    <w:rsid w:val="00C30D6B"/>
    <w:rsid w:val="00C3106F"/>
    <w:rsid w:val="00C318CD"/>
    <w:rsid w:val="00C319C3"/>
    <w:rsid w:val="00C31B07"/>
    <w:rsid w:val="00C33176"/>
    <w:rsid w:val="00C416FF"/>
    <w:rsid w:val="00C44D4E"/>
    <w:rsid w:val="00C5028C"/>
    <w:rsid w:val="00C50E94"/>
    <w:rsid w:val="00C551F6"/>
    <w:rsid w:val="00C57216"/>
    <w:rsid w:val="00C5761B"/>
    <w:rsid w:val="00C57977"/>
    <w:rsid w:val="00C62580"/>
    <w:rsid w:val="00C64195"/>
    <w:rsid w:val="00C65169"/>
    <w:rsid w:val="00C66F18"/>
    <w:rsid w:val="00C67B3F"/>
    <w:rsid w:val="00C70A32"/>
    <w:rsid w:val="00C71659"/>
    <w:rsid w:val="00C74A8F"/>
    <w:rsid w:val="00C75576"/>
    <w:rsid w:val="00C80324"/>
    <w:rsid w:val="00C81F32"/>
    <w:rsid w:val="00C91924"/>
    <w:rsid w:val="00C91E2D"/>
    <w:rsid w:val="00C93803"/>
    <w:rsid w:val="00C95E6B"/>
    <w:rsid w:val="00C97BBD"/>
    <w:rsid w:val="00CA0739"/>
    <w:rsid w:val="00CA36F7"/>
    <w:rsid w:val="00CA6EC7"/>
    <w:rsid w:val="00CB013E"/>
    <w:rsid w:val="00CB0C59"/>
    <w:rsid w:val="00CB14A2"/>
    <w:rsid w:val="00CB2ABB"/>
    <w:rsid w:val="00CB3B7F"/>
    <w:rsid w:val="00CB7638"/>
    <w:rsid w:val="00CC532B"/>
    <w:rsid w:val="00CC7420"/>
    <w:rsid w:val="00CD5343"/>
    <w:rsid w:val="00CD7BA5"/>
    <w:rsid w:val="00CE3CF7"/>
    <w:rsid w:val="00CE48AB"/>
    <w:rsid w:val="00CF225E"/>
    <w:rsid w:val="00CF3715"/>
    <w:rsid w:val="00D01198"/>
    <w:rsid w:val="00D045ED"/>
    <w:rsid w:val="00D11552"/>
    <w:rsid w:val="00D154F1"/>
    <w:rsid w:val="00D2036E"/>
    <w:rsid w:val="00D20B58"/>
    <w:rsid w:val="00D21C33"/>
    <w:rsid w:val="00D23B17"/>
    <w:rsid w:val="00D271A2"/>
    <w:rsid w:val="00D33189"/>
    <w:rsid w:val="00D33ED2"/>
    <w:rsid w:val="00D4275B"/>
    <w:rsid w:val="00D42B88"/>
    <w:rsid w:val="00D43D4C"/>
    <w:rsid w:val="00D458A6"/>
    <w:rsid w:val="00D50522"/>
    <w:rsid w:val="00D52BAF"/>
    <w:rsid w:val="00D540CA"/>
    <w:rsid w:val="00D5500D"/>
    <w:rsid w:val="00D62D89"/>
    <w:rsid w:val="00D66457"/>
    <w:rsid w:val="00D6792C"/>
    <w:rsid w:val="00D7251C"/>
    <w:rsid w:val="00D74967"/>
    <w:rsid w:val="00D76522"/>
    <w:rsid w:val="00D84065"/>
    <w:rsid w:val="00D8547E"/>
    <w:rsid w:val="00D87D07"/>
    <w:rsid w:val="00D91767"/>
    <w:rsid w:val="00D926D4"/>
    <w:rsid w:val="00D9315B"/>
    <w:rsid w:val="00D951CF"/>
    <w:rsid w:val="00D9607C"/>
    <w:rsid w:val="00DA0D7F"/>
    <w:rsid w:val="00DA178D"/>
    <w:rsid w:val="00DA1CDB"/>
    <w:rsid w:val="00DA329F"/>
    <w:rsid w:val="00DA5AB8"/>
    <w:rsid w:val="00DA7ABA"/>
    <w:rsid w:val="00DB1352"/>
    <w:rsid w:val="00DB7A18"/>
    <w:rsid w:val="00DC1ABB"/>
    <w:rsid w:val="00DC2259"/>
    <w:rsid w:val="00DD2E72"/>
    <w:rsid w:val="00DD2F2B"/>
    <w:rsid w:val="00DD30D3"/>
    <w:rsid w:val="00DD3878"/>
    <w:rsid w:val="00DE2C00"/>
    <w:rsid w:val="00DE307B"/>
    <w:rsid w:val="00DE4234"/>
    <w:rsid w:val="00DE57FD"/>
    <w:rsid w:val="00DF01A8"/>
    <w:rsid w:val="00DF169F"/>
    <w:rsid w:val="00DF2F1C"/>
    <w:rsid w:val="00DF352F"/>
    <w:rsid w:val="00DF36CE"/>
    <w:rsid w:val="00E05527"/>
    <w:rsid w:val="00E07037"/>
    <w:rsid w:val="00E10924"/>
    <w:rsid w:val="00E10E87"/>
    <w:rsid w:val="00E12E81"/>
    <w:rsid w:val="00E15CC0"/>
    <w:rsid w:val="00E243C1"/>
    <w:rsid w:val="00E24949"/>
    <w:rsid w:val="00E2646F"/>
    <w:rsid w:val="00E3014B"/>
    <w:rsid w:val="00E310BE"/>
    <w:rsid w:val="00E340B6"/>
    <w:rsid w:val="00E35741"/>
    <w:rsid w:val="00E36FA1"/>
    <w:rsid w:val="00E4071E"/>
    <w:rsid w:val="00E40AA3"/>
    <w:rsid w:val="00E40C47"/>
    <w:rsid w:val="00E46295"/>
    <w:rsid w:val="00E4789C"/>
    <w:rsid w:val="00E53408"/>
    <w:rsid w:val="00E608D8"/>
    <w:rsid w:val="00E6494D"/>
    <w:rsid w:val="00E715F9"/>
    <w:rsid w:val="00E727AE"/>
    <w:rsid w:val="00E769ED"/>
    <w:rsid w:val="00E91712"/>
    <w:rsid w:val="00E935FA"/>
    <w:rsid w:val="00E93D19"/>
    <w:rsid w:val="00E9439B"/>
    <w:rsid w:val="00E96218"/>
    <w:rsid w:val="00E96401"/>
    <w:rsid w:val="00E9643A"/>
    <w:rsid w:val="00E96531"/>
    <w:rsid w:val="00EA3F4C"/>
    <w:rsid w:val="00EA54FB"/>
    <w:rsid w:val="00EA5A4D"/>
    <w:rsid w:val="00EA76F6"/>
    <w:rsid w:val="00EA7E01"/>
    <w:rsid w:val="00EB26AF"/>
    <w:rsid w:val="00EB4895"/>
    <w:rsid w:val="00EB5D18"/>
    <w:rsid w:val="00EB7E75"/>
    <w:rsid w:val="00EC39F3"/>
    <w:rsid w:val="00EC60EF"/>
    <w:rsid w:val="00ED1762"/>
    <w:rsid w:val="00ED53EA"/>
    <w:rsid w:val="00ED5920"/>
    <w:rsid w:val="00ED5E83"/>
    <w:rsid w:val="00ED6B4A"/>
    <w:rsid w:val="00EE35C3"/>
    <w:rsid w:val="00EE4A68"/>
    <w:rsid w:val="00EE6390"/>
    <w:rsid w:val="00EE734F"/>
    <w:rsid w:val="00EF2F8E"/>
    <w:rsid w:val="00EF46B9"/>
    <w:rsid w:val="00F00705"/>
    <w:rsid w:val="00F0332B"/>
    <w:rsid w:val="00F0524C"/>
    <w:rsid w:val="00F07E23"/>
    <w:rsid w:val="00F11BCC"/>
    <w:rsid w:val="00F13443"/>
    <w:rsid w:val="00F135C6"/>
    <w:rsid w:val="00F1418B"/>
    <w:rsid w:val="00F14B93"/>
    <w:rsid w:val="00F2081B"/>
    <w:rsid w:val="00F21D30"/>
    <w:rsid w:val="00F30456"/>
    <w:rsid w:val="00F312B0"/>
    <w:rsid w:val="00F31CCB"/>
    <w:rsid w:val="00F343C6"/>
    <w:rsid w:val="00F34868"/>
    <w:rsid w:val="00F353E4"/>
    <w:rsid w:val="00F35E44"/>
    <w:rsid w:val="00F3654A"/>
    <w:rsid w:val="00F36740"/>
    <w:rsid w:val="00F374BC"/>
    <w:rsid w:val="00F406CE"/>
    <w:rsid w:val="00F41041"/>
    <w:rsid w:val="00F410BA"/>
    <w:rsid w:val="00F41DEA"/>
    <w:rsid w:val="00F43B18"/>
    <w:rsid w:val="00F47DF7"/>
    <w:rsid w:val="00F5090E"/>
    <w:rsid w:val="00F526A5"/>
    <w:rsid w:val="00F52C08"/>
    <w:rsid w:val="00F53C32"/>
    <w:rsid w:val="00F53E61"/>
    <w:rsid w:val="00F55063"/>
    <w:rsid w:val="00F56B00"/>
    <w:rsid w:val="00F56C26"/>
    <w:rsid w:val="00F56C96"/>
    <w:rsid w:val="00F62896"/>
    <w:rsid w:val="00F65120"/>
    <w:rsid w:val="00F71580"/>
    <w:rsid w:val="00F74806"/>
    <w:rsid w:val="00F80764"/>
    <w:rsid w:val="00F81527"/>
    <w:rsid w:val="00F82F21"/>
    <w:rsid w:val="00F85F2A"/>
    <w:rsid w:val="00F91F71"/>
    <w:rsid w:val="00F93B3B"/>
    <w:rsid w:val="00F9665E"/>
    <w:rsid w:val="00F97EAA"/>
    <w:rsid w:val="00FA16C0"/>
    <w:rsid w:val="00FA5D87"/>
    <w:rsid w:val="00FB09FB"/>
    <w:rsid w:val="00FB6E23"/>
    <w:rsid w:val="00FC37EB"/>
    <w:rsid w:val="00FD766A"/>
    <w:rsid w:val="00FE13E8"/>
    <w:rsid w:val="00FF2736"/>
    <w:rsid w:val="00FF57EC"/>
    <w:rsid w:val="00FF713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CB901C"/>
  <w15:docId w15:val="{0DA1D805-5DCE-42D6-8782-25407C36E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rsid w:val="00F34868"/>
    <w:rPr>
      <w:rFonts w:ascii="Times New Roman" w:eastAsia="Times New Roman" w:hAnsi="Times New Roman" w:cs="Times New Roman"/>
      <w:lang w:eastAsia="en-GB"/>
    </w:rPr>
  </w:style>
  <w:style w:type="paragraph" w:styleId="Kop1">
    <w:name w:val="heading 1"/>
    <w:basedOn w:val="Standaard"/>
    <w:next w:val="Standaard"/>
    <w:link w:val="Kop1Char"/>
    <w:uiPriority w:val="9"/>
    <w:qFormat/>
    <w:rsid w:val="005F28BB"/>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Kop2">
    <w:name w:val="heading 2"/>
    <w:basedOn w:val="Standaard"/>
    <w:next w:val="Standaard"/>
    <w:link w:val="Kop2Char"/>
    <w:uiPriority w:val="9"/>
    <w:unhideWhenUsed/>
    <w:qFormat/>
    <w:rsid w:val="005F28BB"/>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Kop3">
    <w:name w:val="heading 3"/>
    <w:basedOn w:val="Standaard"/>
    <w:next w:val="Standaard"/>
    <w:link w:val="Kop3Char"/>
    <w:uiPriority w:val="9"/>
    <w:unhideWhenUsed/>
    <w:qFormat/>
    <w:rsid w:val="005F28BB"/>
    <w:pPr>
      <w:keepNext/>
      <w:keepLines/>
      <w:spacing w:before="40"/>
      <w:outlineLvl w:val="2"/>
    </w:pPr>
    <w:rPr>
      <w:rFonts w:asciiTheme="majorHAnsi" w:eastAsiaTheme="majorEastAsia" w:hAnsiTheme="majorHAnsi" w:cstheme="majorBidi"/>
      <w:color w:val="1F3763" w:themeColor="accent1" w:themeShade="7F"/>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4E2783"/>
    <w:pPr>
      <w:ind w:left="720"/>
      <w:contextualSpacing/>
    </w:pPr>
    <w:rPr>
      <w:rFonts w:asciiTheme="minorHAnsi" w:eastAsiaTheme="minorHAnsi" w:hAnsiTheme="minorHAnsi" w:cstheme="minorBidi"/>
      <w:lang w:eastAsia="en-US"/>
    </w:rPr>
  </w:style>
  <w:style w:type="character" w:customStyle="1" w:styleId="Kop1Char">
    <w:name w:val="Kop 1 Char"/>
    <w:basedOn w:val="Standaardalinea-lettertype"/>
    <w:link w:val="Kop1"/>
    <w:uiPriority w:val="9"/>
    <w:rsid w:val="005F28BB"/>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5F28BB"/>
    <w:rPr>
      <w:rFonts w:asciiTheme="majorHAnsi" w:eastAsiaTheme="majorEastAsia" w:hAnsiTheme="majorHAnsi" w:cstheme="majorBidi"/>
      <w:color w:val="2F5496" w:themeColor="accent1" w:themeShade="BF"/>
      <w:sz w:val="26"/>
      <w:szCs w:val="26"/>
    </w:rPr>
  </w:style>
  <w:style w:type="paragraph" w:styleId="Voetnoottekst">
    <w:name w:val="footnote text"/>
    <w:aliases w:val="tekst,DTE-Voetnoottekst,Car Char,Car,Char,5_G,DTE-V,Footnote Tex"/>
    <w:basedOn w:val="Standaard"/>
    <w:link w:val="VoetnoottekstChar"/>
    <w:uiPriority w:val="99"/>
    <w:unhideWhenUsed/>
    <w:qFormat/>
    <w:rsid w:val="005F28BB"/>
    <w:pPr>
      <w:spacing w:after="120"/>
      <w:jc w:val="both"/>
    </w:pPr>
    <w:rPr>
      <w:rFonts w:eastAsiaTheme="minorHAnsi" w:cstheme="minorBidi"/>
      <w:sz w:val="20"/>
      <w:szCs w:val="20"/>
      <w:lang w:val="nl-BE" w:eastAsia="en-US"/>
    </w:rPr>
  </w:style>
  <w:style w:type="character" w:customStyle="1" w:styleId="FootnoteTextChar">
    <w:name w:val="Footnote Text Char"/>
    <w:basedOn w:val="Standaardalinea-lettertype"/>
    <w:uiPriority w:val="99"/>
    <w:rsid w:val="005F28BB"/>
    <w:rPr>
      <w:sz w:val="20"/>
      <w:szCs w:val="20"/>
    </w:rPr>
  </w:style>
  <w:style w:type="character" w:customStyle="1" w:styleId="VoetnoottekstChar">
    <w:name w:val="Voetnoottekst Char"/>
    <w:aliases w:val="tekst Char,DTE-Voetnoottekst Char,Car Char Char,Car Char1,Char Char,5_G Char,DTE-V Char,Footnote Tex Char"/>
    <w:basedOn w:val="Standaardalinea-lettertype"/>
    <w:link w:val="Voetnoottekst"/>
    <w:uiPriority w:val="99"/>
    <w:rsid w:val="005F28BB"/>
    <w:rPr>
      <w:rFonts w:ascii="Times New Roman" w:hAnsi="Times New Roman"/>
      <w:sz w:val="20"/>
      <w:szCs w:val="20"/>
      <w:lang w:val="nl-BE"/>
    </w:rPr>
  </w:style>
  <w:style w:type="character" w:styleId="Voetnootmarkering">
    <w:name w:val="footnote reference"/>
    <w:aliases w:val="4_G"/>
    <w:basedOn w:val="Standaardalinea-lettertype"/>
    <w:uiPriority w:val="99"/>
    <w:unhideWhenUsed/>
    <w:qFormat/>
    <w:rsid w:val="005F28BB"/>
    <w:rPr>
      <w:vertAlign w:val="superscript"/>
    </w:rPr>
  </w:style>
  <w:style w:type="character" w:styleId="Verwijzingopmerking">
    <w:name w:val="annotation reference"/>
    <w:basedOn w:val="Standaardalinea-lettertype"/>
    <w:semiHidden/>
    <w:unhideWhenUsed/>
    <w:rsid w:val="005F28BB"/>
    <w:rPr>
      <w:sz w:val="16"/>
      <w:szCs w:val="16"/>
    </w:rPr>
  </w:style>
  <w:style w:type="paragraph" w:styleId="Tekstopmerking">
    <w:name w:val="annotation text"/>
    <w:basedOn w:val="Standaard"/>
    <w:link w:val="TekstopmerkingChar"/>
    <w:unhideWhenUsed/>
    <w:rsid w:val="005F28BB"/>
    <w:pPr>
      <w:jc w:val="both"/>
    </w:pPr>
    <w:rPr>
      <w:rFonts w:eastAsiaTheme="minorHAnsi" w:cstheme="minorBidi"/>
      <w:sz w:val="20"/>
      <w:szCs w:val="20"/>
      <w:lang w:val="nl-BE" w:eastAsia="en-US"/>
    </w:rPr>
  </w:style>
  <w:style w:type="character" w:customStyle="1" w:styleId="TekstopmerkingChar">
    <w:name w:val="Tekst opmerking Char"/>
    <w:basedOn w:val="Standaardalinea-lettertype"/>
    <w:link w:val="Tekstopmerking"/>
    <w:rsid w:val="005F28BB"/>
    <w:rPr>
      <w:rFonts w:ascii="Times New Roman" w:hAnsi="Times New Roman"/>
      <w:sz w:val="20"/>
      <w:szCs w:val="20"/>
      <w:lang w:val="nl-BE"/>
    </w:rPr>
  </w:style>
  <w:style w:type="paragraph" w:styleId="Normaalweb">
    <w:name w:val="Normal (Web)"/>
    <w:basedOn w:val="Standaard"/>
    <w:uiPriority w:val="99"/>
    <w:rsid w:val="005F28BB"/>
    <w:pPr>
      <w:spacing w:beforeLines="1" w:afterLines="1"/>
      <w:jc w:val="both"/>
    </w:pPr>
    <w:rPr>
      <w:rFonts w:ascii="Times" w:eastAsiaTheme="minorHAnsi" w:hAnsi="Times"/>
      <w:sz w:val="20"/>
      <w:szCs w:val="20"/>
      <w:lang w:eastAsia="en-US"/>
    </w:rPr>
  </w:style>
  <w:style w:type="character" w:customStyle="1" w:styleId="Kop3Char">
    <w:name w:val="Kop 3 Char"/>
    <w:basedOn w:val="Standaardalinea-lettertype"/>
    <w:link w:val="Kop3"/>
    <w:uiPriority w:val="9"/>
    <w:rsid w:val="005F28BB"/>
    <w:rPr>
      <w:rFonts w:asciiTheme="majorHAnsi" w:eastAsiaTheme="majorEastAsia" w:hAnsiTheme="majorHAnsi" w:cstheme="majorBidi"/>
      <w:color w:val="1F3763" w:themeColor="accent1" w:themeShade="7F"/>
    </w:rPr>
  </w:style>
  <w:style w:type="paragraph" w:customStyle="1" w:styleId="sdfootnote">
    <w:name w:val="sdfootnote"/>
    <w:basedOn w:val="Standaard"/>
    <w:rsid w:val="005F28BB"/>
    <w:pPr>
      <w:spacing w:before="100" w:beforeAutospacing="1" w:after="200" w:line="252" w:lineRule="auto"/>
      <w:ind w:left="284" w:hanging="284"/>
    </w:pPr>
    <w:rPr>
      <w:rFonts w:ascii="Cambria" w:hAnsi="Cambria"/>
      <w:sz w:val="20"/>
      <w:szCs w:val="20"/>
      <w:lang w:eastAsia="en-US" w:bidi="en-US"/>
    </w:rPr>
  </w:style>
  <w:style w:type="paragraph" w:customStyle="1" w:styleId="sdfootnote-western">
    <w:name w:val="sdfootnote-western"/>
    <w:basedOn w:val="Standaard"/>
    <w:rsid w:val="005F28BB"/>
    <w:pPr>
      <w:spacing w:before="100" w:beforeAutospacing="1" w:after="200" w:line="252" w:lineRule="auto"/>
      <w:ind w:left="720" w:hanging="720"/>
    </w:pPr>
    <w:rPr>
      <w:rFonts w:ascii="Cambria" w:hAnsi="Cambria"/>
      <w:sz w:val="20"/>
      <w:szCs w:val="20"/>
      <w:lang w:eastAsia="en-US" w:bidi="en-US"/>
    </w:rPr>
  </w:style>
  <w:style w:type="paragraph" w:styleId="Geenafstand">
    <w:name w:val="No Spacing"/>
    <w:basedOn w:val="Standaard"/>
    <w:link w:val="GeenafstandChar"/>
    <w:uiPriority w:val="1"/>
    <w:qFormat/>
    <w:rsid w:val="005F28BB"/>
    <w:rPr>
      <w:rFonts w:ascii="Cambria" w:hAnsi="Cambria"/>
      <w:sz w:val="22"/>
      <w:szCs w:val="22"/>
      <w:lang w:eastAsia="en-US" w:bidi="en-US"/>
    </w:rPr>
  </w:style>
  <w:style w:type="character" w:customStyle="1" w:styleId="GeenafstandChar">
    <w:name w:val="Geen afstand Char"/>
    <w:basedOn w:val="Standaardalinea-lettertype"/>
    <w:link w:val="Geenafstand"/>
    <w:uiPriority w:val="1"/>
    <w:rsid w:val="005F28BB"/>
    <w:rPr>
      <w:rFonts w:ascii="Cambria" w:eastAsia="Times New Roman" w:hAnsi="Cambria" w:cs="Times New Roman"/>
      <w:sz w:val="22"/>
      <w:szCs w:val="22"/>
      <w:lang w:bidi="en-US"/>
    </w:rPr>
  </w:style>
  <w:style w:type="paragraph" w:styleId="Ballontekst">
    <w:name w:val="Balloon Text"/>
    <w:basedOn w:val="Standaard"/>
    <w:link w:val="BallontekstChar"/>
    <w:uiPriority w:val="99"/>
    <w:semiHidden/>
    <w:unhideWhenUsed/>
    <w:rsid w:val="002F50E8"/>
    <w:rPr>
      <w:rFonts w:ascii="Tahoma" w:eastAsiaTheme="minorHAnsi" w:hAnsi="Tahoma" w:cs="Tahoma"/>
      <w:sz w:val="16"/>
      <w:szCs w:val="16"/>
      <w:lang w:eastAsia="en-US"/>
    </w:rPr>
  </w:style>
  <w:style w:type="character" w:customStyle="1" w:styleId="BallontekstChar">
    <w:name w:val="Ballontekst Char"/>
    <w:basedOn w:val="Standaardalinea-lettertype"/>
    <w:link w:val="Ballontekst"/>
    <w:uiPriority w:val="99"/>
    <w:semiHidden/>
    <w:rsid w:val="002F50E8"/>
    <w:rPr>
      <w:rFonts w:ascii="Tahoma" w:hAnsi="Tahoma" w:cs="Tahoma"/>
      <w:sz w:val="16"/>
      <w:szCs w:val="16"/>
    </w:rPr>
  </w:style>
  <w:style w:type="paragraph" w:styleId="Documentstructuur">
    <w:name w:val="Document Map"/>
    <w:basedOn w:val="Standaard"/>
    <w:link w:val="DocumentstructuurChar"/>
    <w:uiPriority w:val="99"/>
    <w:semiHidden/>
    <w:unhideWhenUsed/>
    <w:rsid w:val="002F50E8"/>
    <w:rPr>
      <w:rFonts w:ascii="Tahoma" w:eastAsiaTheme="minorHAnsi" w:hAnsi="Tahoma" w:cs="Tahoma"/>
      <w:sz w:val="16"/>
      <w:szCs w:val="16"/>
      <w:lang w:eastAsia="en-US"/>
    </w:rPr>
  </w:style>
  <w:style w:type="character" w:customStyle="1" w:styleId="DocumentstructuurChar">
    <w:name w:val="Documentstructuur Char"/>
    <w:basedOn w:val="Standaardalinea-lettertype"/>
    <w:link w:val="Documentstructuur"/>
    <w:uiPriority w:val="99"/>
    <w:semiHidden/>
    <w:rsid w:val="002F50E8"/>
    <w:rPr>
      <w:rFonts w:ascii="Tahoma" w:hAnsi="Tahoma" w:cs="Tahoma"/>
      <w:sz w:val="16"/>
      <w:szCs w:val="16"/>
    </w:rPr>
  </w:style>
  <w:style w:type="paragraph" w:styleId="Onderwerpvanopmerking">
    <w:name w:val="annotation subject"/>
    <w:basedOn w:val="Tekstopmerking"/>
    <w:next w:val="Tekstopmerking"/>
    <w:link w:val="OnderwerpvanopmerkingChar"/>
    <w:uiPriority w:val="99"/>
    <w:semiHidden/>
    <w:unhideWhenUsed/>
    <w:rsid w:val="008D0CA9"/>
    <w:pPr>
      <w:jc w:val="left"/>
    </w:pPr>
    <w:rPr>
      <w:rFonts w:asciiTheme="minorHAnsi" w:hAnsiTheme="minorHAnsi"/>
      <w:b/>
      <w:bCs/>
      <w:lang w:val="en-US"/>
    </w:rPr>
  </w:style>
  <w:style w:type="character" w:customStyle="1" w:styleId="OnderwerpvanopmerkingChar">
    <w:name w:val="Onderwerp van opmerking Char"/>
    <w:basedOn w:val="TekstopmerkingChar"/>
    <w:link w:val="Onderwerpvanopmerking"/>
    <w:uiPriority w:val="99"/>
    <w:semiHidden/>
    <w:rsid w:val="008D0CA9"/>
    <w:rPr>
      <w:rFonts w:ascii="Times New Roman" w:hAnsi="Times New Roman"/>
      <w:b/>
      <w:bCs/>
      <w:sz w:val="20"/>
      <w:szCs w:val="20"/>
      <w:lang w:val="nl-BE"/>
    </w:rPr>
  </w:style>
  <w:style w:type="character" w:styleId="Hyperlink">
    <w:name w:val="Hyperlink"/>
    <w:basedOn w:val="Standaardalinea-lettertype"/>
    <w:uiPriority w:val="99"/>
    <w:unhideWhenUsed/>
    <w:rsid w:val="00732C53"/>
    <w:rPr>
      <w:color w:val="0563C1" w:themeColor="hyperlink"/>
      <w:u w:val="single"/>
    </w:rPr>
  </w:style>
  <w:style w:type="character" w:customStyle="1" w:styleId="apple-converted-space">
    <w:name w:val="apple-converted-space"/>
    <w:basedOn w:val="Standaardalinea-lettertype"/>
    <w:rsid w:val="00A8482E"/>
  </w:style>
  <w:style w:type="paragraph" w:customStyle="1" w:styleId="doc-ti">
    <w:name w:val="doc-ti"/>
    <w:basedOn w:val="Standaard"/>
    <w:rsid w:val="00A8482E"/>
    <w:pPr>
      <w:spacing w:before="100" w:beforeAutospacing="1" w:after="100" w:afterAutospacing="1"/>
    </w:pPr>
  </w:style>
  <w:style w:type="character" w:styleId="GevolgdeHyperlink">
    <w:name w:val="FollowedHyperlink"/>
    <w:basedOn w:val="Standaardalinea-lettertype"/>
    <w:uiPriority w:val="99"/>
    <w:semiHidden/>
    <w:unhideWhenUsed/>
    <w:rsid w:val="00F34868"/>
    <w:rPr>
      <w:color w:val="954F72" w:themeColor="followedHyperlink"/>
      <w:u w:val="single"/>
    </w:rPr>
  </w:style>
  <w:style w:type="character" w:customStyle="1" w:styleId="Onopgelostemelding1">
    <w:name w:val="Onopgeloste melding1"/>
    <w:basedOn w:val="Standaardalinea-lettertype"/>
    <w:uiPriority w:val="99"/>
    <w:semiHidden/>
    <w:unhideWhenUsed/>
    <w:rsid w:val="00F34868"/>
    <w:rPr>
      <w:color w:val="605E5C"/>
      <w:shd w:val="clear" w:color="auto" w:fill="E1DFDD"/>
    </w:rPr>
  </w:style>
  <w:style w:type="character" w:customStyle="1" w:styleId="5yl5">
    <w:name w:val="_5yl5"/>
    <w:basedOn w:val="Standaardalinea-lettertype"/>
    <w:rsid w:val="00695056"/>
  </w:style>
  <w:style w:type="paragraph" w:styleId="Revisie">
    <w:name w:val="Revision"/>
    <w:hidden/>
    <w:uiPriority w:val="99"/>
    <w:semiHidden/>
    <w:rsid w:val="004075FD"/>
    <w:rPr>
      <w:rFonts w:ascii="Times New Roman" w:eastAsia="Times New Roman" w:hAnsi="Times New Roman" w:cs="Times New Roman"/>
      <w:lang w:eastAsia="en-GB"/>
    </w:rPr>
  </w:style>
  <w:style w:type="character" w:styleId="Nadruk">
    <w:name w:val="Emphasis"/>
    <w:basedOn w:val="Standaardalinea-lettertype"/>
    <w:uiPriority w:val="20"/>
    <w:qFormat/>
    <w:rsid w:val="00C64195"/>
    <w:rPr>
      <w:i/>
      <w:iCs/>
    </w:rPr>
  </w:style>
  <w:style w:type="paragraph" w:customStyle="1" w:styleId="Default">
    <w:name w:val="Default"/>
    <w:rsid w:val="0031686C"/>
    <w:pPr>
      <w:autoSpaceDE w:val="0"/>
      <w:autoSpaceDN w:val="0"/>
      <w:adjustRightInd w:val="0"/>
    </w:pPr>
    <w:rPr>
      <w:rFonts w:ascii="Times New Roman" w:hAnsi="Times New Roman" w:cs="Times New Roman"/>
      <w:color w:val="000000"/>
      <w:lang w:val="nl-NL"/>
    </w:rPr>
  </w:style>
  <w:style w:type="paragraph" w:styleId="Koptekst">
    <w:name w:val="header"/>
    <w:basedOn w:val="Standaard"/>
    <w:link w:val="KoptekstChar"/>
    <w:uiPriority w:val="99"/>
    <w:unhideWhenUsed/>
    <w:rsid w:val="0082198E"/>
    <w:pPr>
      <w:tabs>
        <w:tab w:val="center" w:pos="4536"/>
        <w:tab w:val="right" w:pos="9072"/>
      </w:tabs>
    </w:pPr>
  </w:style>
  <w:style w:type="character" w:customStyle="1" w:styleId="KoptekstChar">
    <w:name w:val="Koptekst Char"/>
    <w:basedOn w:val="Standaardalinea-lettertype"/>
    <w:link w:val="Koptekst"/>
    <w:uiPriority w:val="99"/>
    <w:rsid w:val="0082198E"/>
    <w:rPr>
      <w:rFonts w:ascii="Times New Roman" w:eastAsia="Times New Roman" w:hAnsi="Times New Roman" w:cs="Times New Roman"/>
      <w:lang w:eastAsia="en-GB"/>
    </w:rPr>
  </w:style>
  <w:style w:type="paragraph" w:styleId="Voettekst">
    <w:name w:val="footer"/>
    <w:basedOn w:val="Standaard"/>
    <w:link w:val="VoettekstChar"/>
    <w:uiPriority w:val="99"/>
    <w:unhideWhenUsed/>
    <w:rsid w:val="0082198E"/>
    <w:pPr>
      <w:tabs>
        <w:tab w:val="center" w:pos="4536"/>
        <w:tab w:val="right" w:pos="9072"/>
      </w:tabs>
    </w:pPr>
  </w:style>
  <w:style w:type="character" w:customStyle="1" w:styleId="VoettekstChar">
    <w:name w:val="Voettekst Char"/>
    <w:basedOn w:val="Standaardalinea-lettertype"/>
    <w:link w:val="Voettekst"/>
    <w:uiPriority w:val="99"/>
    <w:rsid w:val="0082198E"/>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164328">
      <w:bodyDiv w:val="1"/>
      <w:marLeft w:val="0"/>
      <w:marRight w:val="0"/>
      <w:marTop w:val="0"/>
      <w:marBottom w:val="0"/>
      <w:divBdr>
        <w:top w:val="none" w:sz="0" w:space="0" w:color="auto"/>
        <w:left w:val="none" w:sz="0" w:space="0" w:color="auto"/>
        <w:bottom w:val="none" w:sz="0" w:space="0" w:color="auto"/>
        <w:right w:val="none" w:sz="0" w:space="0" w:color="auto"/>
      </w:divBdr>
      <w:divsChild>
        <w:div w:id="681277178">
          <w:marLeft w:val="0"/>
          <w:marRight w:val="0"/>
          <w:marTop w:val="0"/>
          <w:marBottom w:val="0"/>
          <w:divBdr>
            <w:top w:val="none" w:sz="0" w:space="0" w:color="auto"/>
            <w:left w:val="none" w:sz="0" w:space="0" w:color="auto"/>
            <w:bottom w:val="none" w:sz="0" w:space="0" w:color="auto"/>
            <w:right w:val="none" w:sz="0" w:space="0" w:color="auto"/>
          </w:divBdr>
          <w:divsChild>
            <w:div w:id="1945502294">
              <w:marLeft w:val="0"/>
              <w:marRight w:val="0"/>
              <w:marTop w:val="0"/>
              <w:marBottom w:val="0"/>
              <w:divBdr>
                <w:top w:val="none" w:sz="0" w:space="0" w:color="auto"/>
                <w:left w:val="none" w:sz="0" w:space="0" w:color="auto"/>
                <w:bottom w:val="none" w:sz="0" w:space="0" w:color="auto"/>
                <w:right w:val="none" w:sz="0" w:space="0" w:color="auto"/>
              </w:divBdr>
              <w:divsChild>
                <w:div w:id="180191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53790">
      <w:bodyDiv w:val="1"/>
      <w:marLeft w:val="0"/>
      <w:marRight w:val="0"/>
      <w:marTop w:val="0"/>
      <w:marBottom w:val="0"/>
      <w:divBdr>
        <w:top w:val="none" w:sz="0" w:space="0" w:color="auto"/>
        <w:left w:val="none" w:sz="0" w:space="0" w:color="auto"/>
        <w:bottom w:val="none" w:sz="0" w:space="0" w:color="auto"/>
        <w:right w:val="none" w:sz="0" w:space="0" w:color="auto"/>
      </w:divBdr>
    </w:div>
    <w:div w:id="254024041">
      <w:bodyDiv w:val="1"/>
      <w:marLeft w:val="0"/>
      <w:marRight w:val="0"/>
      <w:marTop w:val="0"/>
      <w:marBottom w:val="0"/>
      <w:divBdr>
        <w:top w:val="none" w:sz="0" w:space="0" w:color="auto"/>
        <w:left w:val="none" w:sz="0" w:space="0" w:color="auto"/>
        <w:bottom w:val="none" w:sz="0" w:space="0" w:color="auto"/>
        <w:right w:val="none" w:sz="0" w:space="0" w:color="auto"/>
      </w:divBdr>
    </w:div>
    <w:div w:id="272175343">
      <w:bodyDiv w:val="1"/>
      <w:marLeft w:val="0"/>
      <w:marRight w:val="0"/>
      <w:marTop w:val="0"/>
      <w:marBottom w:val="0"/>
      <w:divBdr>
        <w:top w:val="none" w:sz="0" w:space="0" w:color="auto"/>
        <w:left w:val="none" w:sz="0" w:space="0" w:color="auto"/>
        <w:bottom w:val="none" w:sz="0" w:space="0" w:color="auto"/>
        <w:right w:val="none" w:sz="0" w:space="0" w:color="auto"/>
      </w:divBdr>
    </w:div>
    <w:div w:id="298733739">
      <w:bodyDiv w:val="1"/>
      <w:marLeft w:val="0"/>
      <w:marRight w:val="0"/>
      <w:marTop w:val="0"/>
      <w:marBottom w:val="0"/>
      <w:divBdr>
        <w:top w:val="none" w:sz="0" w:space="0" w:color="auto"/>
        <w:left w:val="none" w:sz="0" w:space="0" w:color="auto"/>
        <w:bottom w:val="none" w:sz="0" w:space="0" w:color="auto"/>
        <w:right w:val="none" w:sz="0" w:space="0" w:color="auto"/>
      </w:divBdr>
    </w:div>
    <w:div w:id="351614866">
      <w:bodyDiv w:val="1"/>
      <w:marLeft w:val="0"/>
      <w:marRight w:val="0"/>
      <w:marTop w:val="0"/>
      <w:marBottom w:val="0"/>
      <w:divBdr>
        <w:top w:val="none" w:sz="0" w:space="0" w:color="auto"/>
        <w:left w:val="none" w:sz="0" w:space="0" w:color="auto"/>
        <w:bottom w:val="none" w:sz="0" w:space="0" w:color="auto"/>
        <w:right w:val="none" w:sz="0" w:space="0" w:color="auto"/>
      </w:divBdr>
    </w:div>
    <w:div w:id="402527663">
      <w:bodyDiv w:val="1"/>
      <w:marLeft w:val="0"/>
      <w:marRight w:val="0"/>
      <w:marTop w:val="0"/>
      <w:marBottom w:val="0"/>
      <w:divBdr>
        <w:top w:val="none" w:sz="0" w:space="0" w:color="auto"/>
        <w:left w:val="none" w:sz="0" w:space="0" w:color="auto"/>
        <w:bottom w:val="none" w:sz="0" w:space="0" w:color="auto"/>
        <w:right w:val="none" w:sz="0" w:space="0" w:color="auto"/>
      </w:divBdr>
    </w:div>
    <w:div w:id="457382577">
      <w:bodyDiv w:val="1"/>
      <w:marLeft w:val="0"/>
      <w:marRight w:val="0"/>
      <w:marTop w:val="0"/>
      <w:marBottom w:val="0"/>
      <w:divBdr>
        <w:top w:val="none" w:sz="0" w:space="0" w:color="auto"/>
        <w:left w:val="none" w:sz="0" w:space="0" w:color="auto"/>
        <w:bottom w:val="none" w:sz="0" w:space="0" w:color="auto"/>
        <w:right w:val="none" w:sz="0" w:space="0" w:color="auto"/>
      </w:divBdr>
    </w:div>
    <w:div w:id="476537256">
      <w:bodyDiv w:val="1"/>
      <w:marLeft w:val="0"/>
      <w:marRight w:val="0"/>
      <w:marTop w:val="0"/>
      <w:marBottom w:val="0"/>
      <w:divBdr>
        <w:top w:val="none" w:sz="0" w:space="0" w:color="auto"/>
        <w:left w:val="none" w:sz="0" w:space="0" w:color="auto"/>
        <w:bottom w:val="none" w:sz="0" w:space="0" w:color="auto"/>
        <w:right w:val="none" w:sz="0" w:space="0" w:color="auto"/>
      </w:divBdr>
    </w:div>
    <w:div w:id="494034734">
      <w:bodyDiv w:val="1"/>
      <w:marLeft w:val="0"/>
      <w:marRight w:val="0"/>
      <w:marTop w:val="0"/>
      <w:marBottom w:val="0"/>
      <w:divBdr>
        <w:top w:val="none" w:sz="0" w:space="0" w:color="auto"/>
        <w:left w:val="none" w:sz="0" w:space="0" w:color="auto"/>
        <w:bottom w:val="none" w:sz="0" w:space="0" w:color="auto"/>
        <w:right w:val="none" w:sz="0" w:space="0" w:color="auto"/>
      </w:divBdr>
      <w:divsChild>
        <w:div w:id="946691182">
          <w:marLeft w:val="0"/>
          <w:marRight w:val="0"/>
          <w:marTop w:val="0"/>
          <w:marBottom w:val="0"/>
          <w:divBdr>
            <w:top w:val="none" w:sz="0" w:space="0" w:color="auto"/>
            <w:left w:val="none" w:sz="0" w:space="0" w:color="auto"/>
            <w:bottom w:val="none" w:sz="0" w:space="0" w:color="auto"/>
            <w:right w:val="none" w:sz="0" w:space="0" w:color="auto"/>
          </w:divBdr>
          <w:divsChild>
            <w:div w:id="1121221479">
              <w:marLeft w:val="0"/>
              <w:marRight w:val="0"/>
              <w:marTop w:val="0"/>
              <w:marBottom w:val="0"/>
              <w:divBdr>
                <w:top w:val="none" w:sz="0" w:space="0" w:color="auto"/>
                <w:left w:val="none" w:sz="0" w:space="0" w:color="auto"/>
                <w:bottom w:val="none" w:sz="0" w:space="0" w:color="auto"/>
                <w:right w:val="none" w:sz="0" w:space="0" w:color="auto"/>
              </w:divBdr>
              <w:divsChild>
                <w:div w:id="109782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179597">
      <w:bodyDiv w:val="1"/>
      <w:marLeft w:val="0"/>
      <w:marRight w:val="0"/>
      <w:marTop w:val="0"/>
      <w:marBottom w:val="0"/>
      <w:divBdr>
        <w:top w:val="none" w:sz="0" w:space="0" w:color="auto"/>
        <w:left w:val="none" w:sz="0" w:space="0" w:color="auto"/>
        <w:bottom w:val="none" w:sz="0" w:space="0" w:color="auto"/>
        <w:right w:val="none" w:sz="0" w:space="0" w:color="auto"/>
      </w:divBdr>
    </w:div>
    <w:div w:id="578369371">
      <w:bodyDiv w:val="1"/>
      <w:marLeft w:val="0"/>
      <w:marRight w:val="0"/>
      <w:marTop w:val="0"/>
      <w:marBottom w:val="0"/>
      <w:divBdr>
        <w:top w:val="none" w:sz="0" w:space="0" w:color="auto"/>
        <w:left w:val="none" w:sz="0" w:space="0" w:color="auto"/>
        <w:bottom w:val="none" w:sz="0" w:space="0" w:color="auto"/>
        <w:right w:val="none" w:sz="0" w:space="0" w:color="auto"/>
      </w:divBdr>
    </w:div>
    <w:div w:id="652149267">
      <w:bodyDiv w:val="1"/>
      <w:marLeft w:val="0"/>
      <w:marRight w:val="0"/>
      <w:marTop w:val="0"/>
      <w:marBottom w:val="0"/>
      <w:divBdr>
        <w:top w:val="none" w:sz="0" w:space="0" w:color="auto"/>
        <w:left w:val="none" w:sz="0" w:space="0" w:color="auto"/>
        <w:bottom w:val="none" w:sz="0" w:space="0" w:color="auto"/>
        <w:right w:val="none" w:sz="0" w:space="0" w:color="auto"/>
      </w:divBdr>
    </w:div>
    <w:div w:id="687946720">
      <w:bodyDiv w:val="1"/>
      <w:marLeft w:val="0"/>
      <w:marRight w:val="0"/>
      <w:marTop w:val="0"/>
      <w:marBottom w:val="0"/>
      <w:divBdr>
        <w:top w:val="none" w:sz="0" w:space="0" w:color="auto"/>
        <w:left w:val="none" w:sz="0" w:space="0" w:color="auto"/>
        <w:bottom w:val="none" w:sz="0" w:space="0" w:color="auto"/>
        <w:right w:val="none" w:sz="0" w:space="0" w:color="auto"/>
      </w:divBdr>
      <w:divsChild>
        <w:div w:id="511382433">
          <w:marLeft w:val="0"/>
          <w:marRight w:val="0"/>
          <w:marTop w:val="0"/>
          <w:marBottom w:val="0"/>
          <w:divBdr>
            <w:top w:val="none" w:sz="0" w:space="0" w:color="auto"/>
            <w:left w:val="none" w:sz="0" w:space="0" w:color="auto"/>
            <w:bottom w:val="none" w:sz="0" w:space="0" w:color="auto"/>
            <w:right w:val="none" w:sz="0" w:space="0" w:color="auto"/>
          </w:divBdr>
          <w:divsChild>
            <w:div w:id="1658025049">
              <w:marLeft w:val="0"/>
              <w:marRight w:val="0"/>
              <w:marTop w:val="0"/>
              <w:marBottom w:val="0"/>
              <w:divBdr>
                <w:top w:val="none" w:sz="0" w:space="0" w:color="auto"/>
                <w:left w:val="none" w:sz="0" w:space="0" w:color="auto"/>
                <w:bottom w:val="none" w:sz="0" w:space="0" w:color="auto"/>
                <w:right w:val="none" w:sz="0" w:space="0" w:color="auto"/>
              </w:divBdr>
              <w:divsChild>
                <w:div w:id="725564389">
                  <w:marLeft w:val="0"/>
                  <w:marRight w:val="0"/>
                  <w:marTop w:val="0"/>
                  <w:marBottom w:val="0"/>
                  <w:divBdr>
                    <w:top w:val="none" w:sz="0" w:space="0" w:color="auto"/>
                    <w:left w:val="none" w:sz="0" w:space="0" w:color="auto"/>
                    <w:bottom w:val="none" w:sz="0" w:space="0" w:color="auto"/>
                    <w:right w:val="none" w:sz="0" w:space="0" w:color="auto"/>
                  </w:divBdr>
                  <w:divsChild>
                    <w:div w:id="243074306">
                      <w:marLeft w:val="0"/>
                      <w:marRight w:val="0"/>
                      <w:marTop w:val="0"/>
                      <w:marBottom w:val="0"/>
                      <w:divBdr>
                        <w:top w:val="none" w:sz="0" w:space="0" w:color="auto"/>
                        <w:left w:val="none" w:sz="0" w:space="0" w:color="auto"/>
                        <w:bottom w:val="none" w:sz="0" w:space="0" w:color="auto"/>
                        <w:right w:val="none" w:sz="0" w:space="0" w:color="auto"/>
                      </w:divBdr>
                      <w:divsChild>
                        <w:div w:id="1001346698">
                          <w:marLeft w:val="0"/>
                          <w:marRight w:val="0"/>
                          <w:marTop w:val="0"/>
                          <w:marBottom w:val="0"/>
                          <w:divBdr>
                            <w:top w:val="none" w:sz="0" w:space="0" w:color="auto"/>
                            <w:left w:val="none" w:sz="0" w:space="0" w:color="auto"/>
                            <w:bottom w:val="none" w:sz="0" w:space="0" w:color="auto"/>
                            <w:right w:val="none" w:sz="0" w:space="0" w:color="auto"/>
                          </w:divBdr>
                          <w:divsChild>
                            <w:div w:id="150262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892692">
          <w:marLeft w:val="0"/>
          <w:marRight w:val="0"/>
          <w:marTop w:val="0"/>
          <w:marBottom w:val="0"/>
          <w:divBdr>
            <w:top w:val="single" w:sz="6" w:space="0" w:color="FFFFFF"/>
            <w:left w:val="none" w:sz="0" w:space="0" w:color="auto"/>
            <w:bottom w:val="none" w:sz="0" w:space="0" w:color="auto"/>
            <w:right w:val="none" w:sz="0" w:space="0" w:color="auto"/>
          </w:divBdr>
          <w:divsChild>
            <w:div w:id="1633244783">
              <w:marLeft w:val="0"/>
              <w:marRight w:val="0"/>
              <w:marTop w:val="0"/>
              <w:marBottom w:val="0"/>
              <w:divBdr>
                <w:top w:val="single" w:sz="6" w:space="0" w:color="D1D1D1"/>
                <w:left w:val="single" w:sz="6" w:space="0" w:color="D1D1D1"/>
                <w:bottom w:val="single" w:sz="6" w:space="0" w:color="D1D1D1"/>
                <w:right w:val="single" w:sz="6" w:space="0" w:color="D1D1D1"/>
              </w:divBdr>
              <w:divsChild>
                <w:div w:id="730735844">
                  <w:marLeft w:val="0"/>
                  <w:marRight w:val="0"/>
                  <w:marTop w:val="0"/>
                  <w:marBottom w:val="0"/>
                  <w:divBdr>
                    <w:top w:val="none" w:sz="0" w:space="0" w:color="auto"/>
                    <w:left w:val="none" w:sz="0" w:space="0" w:color="auto"/>
                    <w:bottom w:val="none" w:sz="0" w:space="0" w:color="auto"/>
                    <w:right w:val="none" w:sz="0" w:space="0" w:color="auto"/>
                  </w:divBdr>
                  <w:divsChild>
                    <w:div w:id="563685236">
                      <w:marLeft w:val="0"/>
                      <w:marRight w:val="0"/>
                      <w:marTop w:val="0"/>
                      <w:marBottom w:val="0"/>
                      <w:divBdr>
                        <w:top w:val="none" w:sz="0" w:space="0" w:color="auto"/>
                        <w:left w:val="none" w:sz="0" w:space="0" w:color="auto"/>
                        <w:bottom w:val="none" w:sz="0" w:space="0" w:color="auto"/>
                        <w:right w:val="none" w:sz="0" w:space="0" w:color="auto"/>
                      </w:divBdr>
                      <w:divsChild>
                        <w:div w:id="1966037152">
                          <w:marLeft w:val="0"/>
                          <w:marRight w:val="0"/>
                          <w:marTop w:val="0"/>
                          <w:marBottom w:val="0"/>
                          <w:divBdr>
                            <w:top w:val="none" w:sz="0" w:space="0" w:color="auto"/>
                            <w:left w:val="none" w:sz="0" w:space="0" w:color="auto"/>
                            <w:bottom w:val="none" w:sz="0" w:space="0" w:color="auto"/>
                            <w:right w:val="none" w:sz="0" w:space="0" w:color="auto"/>
                          </w:divBdr>
                          <w:divsChild>
                            <w:div w:id="1870757002">
                              <w:marLeft w:val="0"/>
                              <w:marRight w:val="0"/>
                              <w:marTop w:val="0"/>
                              <w:marBottom w:val="0"/>
                              <w:divBdr>
                                <w:top w:val="none" w:sz="0" w:space="0" w:color="auto"/>
                                <w:left w:val="none" w:sz="0" w:space="0" w:color="auto"/>
                                <w:bottom w:val="none" w:sz="0" w:space="0" w:color="auto"/>
                                <w:right w:val="none" w:sz="0" w:space="0" w:color="auto"/>
                              </w:divBdr>
                              <w:divsChild>
                                <w:div w:id="343364670">
                                  <w:marLeft w:val="0"/>
                                  <w:marRight w:val="0"/>
                                  <w:marTop w:val="0"/>
                                  <w:marBottom w:val="0"/>
                                  <w:divBdr>
                                    <w:top w:val="none" w:sz="0" w:space="0" w:color="auto"/>
                                    <w:left w:val="none" w:sz="0" w:space="0" w:color="auto"/>
                                    <w:bottom w:val="none" w:sz="0" w:space="0" w:color="auto"/>
                                    <w:right w:val="none" w:sz="0" w:space="0" w:color="auto"/>
                                  </w:divBdr>
                                  <w:divsChild>
                                    <w:div w:id="476847697">
                                      <w:marLeft w:val="0"/>
                                      <w:marRight w:val="0"/>
                                      <w:marTop w:val="0"/>
                                      <w:marBottom w:val="0"/>
                                      <w:divBdr>
                                        <w:top w:val="single" w:sz="36" w:space="0" w:color="FFFFFF"/>
                                        <w:left w:val="single" w:sz="48" w:space="0" w:color="FFFFFF"/>
                                        <w:bottom w:val="single" w:sz="36" w:space="0" w:color="FFFFFF"/>
                                        <w:right w:val="single" w:sz="48" w:space="0" w:color="FFFFFF"/>
                                      </w:divBdr>
                                    </w:div>
                                  </w:divsChild>
                                </w:div>
                              </w:divsChild>
                            </w:div>
                          </w:divsChild>
                        </w:div>
                      </w:divsChild>
                    </w:div>
                  </w:divsChild>
                </w:div>
              </w:divsChild>
            </w:div>
          </w:divsChild>
        </w:div>
      </w:divsChild>
    </w:div>
    <w:div w:id="713653421">
      <w:bodyDiv w:val="1"/>
      <w:marLeft w:val="0"/>
      <w:marRight w:val="0"/>
      <w:marTop w:val="0"/>
      <w:marBottom w:val="0"/>
      <w:divBdr>
        <w:top w:val="none" w:sz="0" w:space="0" w:color="auto"/>
        <w:left w:val="none" w:sz="0" w:space="0" w:color="auto"/>
        <w:bottom w:val="none" w:sz="0" w:space="0" w:color="auto"/>
        <w:right w:val="none" w:sz="0" w:space="0" w:color="auto"/>
      </w:divBdr>
      <w:divsChild>
        <w:div w:id="603417705">
          <w:marLeft w:val="0"/>
          <w:marRight w:val="0"/>
          <w:marTop w:val="0"/>
          <w:marBottom w:val="0"/>
          <w:divBdr>
            <w:top w:val="none" w:sz="0" w:space="0" w:color="auto"/>
            <w:left w:val="none" w:sz="0" w:space="0" w:color="auto"/>
            <w:bottom w:val="none" w:sz="0" w:space="0" w:color="auto"/>
            <w:right w:val="none" w:sz="0" w:space="0" w:color="auto"/>
          </w:divBdr>
          <w:divsChild>
            <w:div w:id="99617223">
              <w:marLeft w:val="0"/>
              <w:marRight w:val="0"/>
              <w:marTop w:val="0"/>
              <w:marBottom w:val="0"/>
              <w:divBdr>
                <w:top w:val="none" w:sz="0" w:space="0" w:color="auto"/>
                <w:left w:val="none" w:sz="0" w:space="0" w:color="auto"/>
                <w:bottom w:val="none" w:sz="0" w:space="0" w:color="auto"/>
                <w:right w:val="none" w:sz="0" w:space="0" w:color="auto"/>
              </w:divBdr>
              <w:divsChild>
                <w:div w:id="77163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562041">
      <w:bodyDiv w:val="1"/>
      <w:marLeft w:val="0"/>
      <w:marRight w:val="0"/>
      <w:marTop w:val="0"/>
      <w:marBottom w:val="0"/>
      <w:divBdr>
        <w:top w:val="none" w:sz="0" w:space="0" w:color="auto"/>
        <w:left w:val="none" w:sz="0" w:space="0" w:color="auto"/>
        <w:bottom w:val="none" w:sz="0" w:space="0" w:color="auto"/>
        <w:right w:val="none" w:sz="0" w:space="0" w:color="auto"/>
      </w:divBdr>
    </w:div>
    <w:div w:id="822430409">
      <w:bodyDiv w:val="1"/>
      <w:marLeft w:val="0"/>
      <w:marRight w:val="0"/>
      <w:marTop w:val="0"/>
      <w:marBottom w:val="0"/>
      <w:divBdr>
        <w:top w:val="none" w:sz="0" w:space="0" w:color="auto"/>
        <w:left w:val="none" w:sz="0" w:space="0" w:color="auto"/>
        <w:bottom w:val="none" w:sz="0" w:space="0" w:color="auto"/>
        <w:right w:val="none" w:sz="0" w:space="0" w:color="auto"/>
      </w:divBdr>
      <w:divsChild>
        <w:div w:id="2126389952">
          <w:marLeft w:val="0"/>
          <w:marRight w:val="0"/>
          <w:marTop w:val="0"/>
          <w:marBottom w:val="150"/>
          <w:divBdr>
            <w:top w:val="none" w:sz="0" w:space="0" w:color="auto"/>
            <w:left w:val="none" w:sz="0" w:space="0" w:color="auto"/>
            <w:bottom w:val="none" w:sz="0" w:space="0" w:color="auto"/>
            <w:right w:val="none" w:sz="0" w:space="0" w:color="auto"/>
          </w:divBdr>
        </w:div>
      </w:divsChild>
    </w:div>
    <w:div w:id="851991055">
      <w:bodyDiv w:val="1"/>
      <w:marLeft w:val="0"/>
      <w:marRight w:val="0"/>
      <w:marTop w:val="0"/>
      <w:marBottom w:val="0"/>
      <w:divBdr>
        <w:top w:val="none" w:sz="0" w:space="0" w:color="auto"/>
        <w:left w:val="none" w:sz="0" w:space="0" w:color="auto"/>
        <w:bottom w:val="none" w:sz="0" w:space="0" w:color="auto"/>
        <w:right w:val="none" w:sz="0" w:space="0" w:color="auto"/>
      </w:divBdr>
      <w:divsChild>
        <w:div w:id="245892865">
          <w:marLeft w:val="0"/>
          <w:marRight w:val="0"/>
          <w:marTop w:val="0"/>
          <w:marBottom w:val="0"/>
          <w:divBdr>
            <w:top w:val="none" w:sz="0" w:space="0" w:color="auto"/>
            <w:left w:val="none" w:sz="0" w:space="0" w:color="auto"/>
            <w:bottom w:val="none" w:sz="0" w:space="0" w:color="auto"/>
            <w:right w:val="none" w:sz="0" w:space="0" w:color="auto"/>
          </w:divBdr>
          <w:divsChild>
            <w:div w:id="1896116786">
              <w:marLeft w:val="0"/>
              <w:marRight w:val="0"/>
              <w:marTop w:val="0"/>
              <w:marBottom w:val="0"/>
              <w:divBdr>
                <w:top w:val="none" w:sz="0" w:space="0" w:color="auto"/>
                <w:left w:val="none" w:sz="0" w:space="0" w:color="auto"/>
                <w:bottom w:val="none" w:sz="0" w:space="0" w:color="auto"/>
                <w:right w:val="none" w:sz="0" w:space="0" w:color="auto"/>
              </w:divBdr>
              <w:divsChild>
                <w:div w:id="188445954">
                  <w:marLeft w:val="0"/>
                  <w:marRight w:val="0"/>
                  <w:marTop w:val="0"/>
                  <w:marBottom w:val="0"/>
                  <w:divBdr>
                    <w:top w:val="none" w:sz="0" w:space="0" w:color="auto"/>
                    <w:left w:val="none" w:sz="0" w:space="0" w:color="auto"/>
                    <w:bottom w:val="none" w:sz="0" w:space="0" w:color="auto"/>
                    <w:right w:val="none" w:sz="0" w:space="0" w:color="auto"/>
                  </w:divBdr>
                  <w:divsChild>
                    <w:div w:id="210044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6382663">
      <w:bodyDiv w:val="1"/>
      <w:marLeft w:val="0"/>
      <w:marRight w:val="0"/>
      <w:marTop w:val="0"/>
      <w:marBottom w:val="0"/>
      <w:divBdr>
        <w:top w:val="none" w:sz="0" w:space="0" w:color="auto"/>
        <w:left w:val="none" w:sz="0" w:space="0" w:color="auto"/>
        <w:bottom w:val="none" w:sz="0" w:space="0" w:color="auto"/>
        <w:right w:val="none" w:sz="0" w:space="0" w:color="auto"/>
      </w:divBdr>
      <w:divsChild>
        <w:div w:id="1308557543">
          <w:marLeft w:val="0"/>
          <w:marRight w:val="0"/>
          <w:marTop w:val="0"/>
          <w:marBottom w:val="0"/>
          <w:divBdr>
            <w:top w:val="none" w:sz="0" w:space="0" w:color="auto"/>
            <w:left w:val="none" w:sz="0" w:space="0" w:color="auto"/>
            <w:bottom w:val="none" w:sz="0" w:space="0" w:color="auto"/>
            <w:right w:val="none" w:sz="0" w:space="0" w:color="auto"/>
          </w:divBdr>
          <w:divsChild>
            <w:div w:id="1463306037">
              <w:marLeft w:val="0"/>
              <w:marRight w:val="0"/>
              <w:marTop w:val="0"/>
              <w:marBottom w:val="0"/>
              <w:divBdr>
                <w:top w:val="none" w:sz="0" w:space="0" w:color="auto"/>
                <w:left w:val="none" w:sz="0" w:space="0" w:color="auto"/>
                <w:bottom w:val="none" w:sz="0" w:space="0" w:color="auto"/>
                <w:right w:val="none" w:sz="0" w:space="0" w:color="auto"/>
              </w:divBdr>
              <w:divsChild>
                <w:div w:id="149359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958714">
      <w:bodyDiv w:val="1"/>
      <w:marLeft w:val="0"/>
      <w:marRight w:val="0"/>
      <w:marTop w:val="0"/>
      <w:marBottom w:val="0"/>
      <w:divBdr>
        <w:top w:val="none" w:sz="0" w:space="0" w:color="auto"/>
        <w:left w:val="none" w:sz="0" w:space="0" w:color="auto"/>
        <w:bottom w:val="none" w:sz="0" w:space="0" w:color="auto"/>
        <w:right w:val="none" w:sz="0" w:space="0" w:color="auto"/>
      </w:divBdr>
      <w:divsChild>
        <w:div w:id="1207327755">
          <w:marLeft w:val="0"/>
          <w:marRight w:val="0"/>
          <w:marTop w:val="0"/>
          <w:marBottom w:val="0"/>
          <w:divBdr>
            <w:top w:val="none" w:sz="0" w:space="0" w:color="auto"/>
            <w:left w:val="none" w:sz="0" w:space="0" w:color="auto"/>
            <w:bottom w:val="none" w:sz="0" w:space="0" w:color="auto"/>
            <w:right w:val="none" w:sz="0" w:space="0" w:color="auto"/>
          </w:divBdr>
          <w:divsChild>
            <w:div w:id="1534228083">
              <w:marLeft w:val="0"/>
              <w:marRight w:val="0"/>
              <w:marTop w:val="0"/>
              <w:marBottom w:val="0"/>
              <w:divBdr>
                <w:top w:val="none" w:sz="0" w:space="0" w:color="auto"/>
                <w:left w:val="none" w:sz="0" w:space="0" w:color="auto"/>
                <w:bottom w:val="none" w:sz="0" w:space="0" w:color="auto"/>
                <w:right w:val="none" w:sz="0" w:space="0" w:color="auto"/>
              </w:divBdr>
              <w:divsChild>
                <w:div w:id="40580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787613">
      <w:bodyDiv w:val="1"/>
      <w:marLeft w:val="0"/>
      <w:marRight w:val="0"/>
      <w:marTop w:val="0"/>
      <w:marBottom w:val="0"/>
      <w:divBdr>
        <w:top w:val="none" w:sz="0" w:space="0" w:color="auto"/>
        <w:left w:val="none" w:sz="0" w:space="0" w:color="auto"/>
        <w:bottom w:val="none" w:sz="0" w:space="0" w:color="auto"/>
        <w:right w:val="none" w:sz="0" w:space="0" w:color="auto"/>
      </w:divBdr>
    </w:div>
    <w:div w:id="991369280">
      <w:bodyDiv w:val="1"/>
      <w:marLeft w:val="0"/>
      <w:marRight w:val="0"/>
      <w:marTop w:val="0"/>
      <w:marBottom w:val="0"/>
      <w:divBdr>
        <w:top w:val="none" w:sz="0" w:space="0" w:color="auto"/>
        <w:left w:val="none" w:sz="0" w:space="0" w:color="auto"/>
        <w:bottom w:val="none" w:sz="0" w:space="0" w:color="auto"/>
        <w:right w:val="none" w:sz="0" w:space="0" w:color="auto"/>
      </w:divBdr>
      <w:divsChild>
        <w:div w:id="1438136699">
          <w:marLeft w:val="0"/>
          <w:marRight w:val="0"/>
          <w:marTop w:val="0"/>
          <w:marBottom w:val="0"/>
          <w:divBdr>
            <w:top w:val="none" w:sz="0" w:space="0" w:color="auto"/>
            <w:left w:val="none" w:sz="0" w:space="0" w:color="auto"/>
            <w:bottom w:val="none" w:sz="0" w:space="0" w:color="auto"/>
            <w:right w:val="none" w:sz="0" w:space="0" w:color="auto"/>
          </w:divBdr>
          <w:divsChild>
            <w:div w:id="1680506127">
              <w:marLeft w:val="0"/>
              <w:marRight w:val="0"/>
              <w:marTop w:val="0"/>
              <w:marBottom w:val="0"/>
              <w:divBdr>
                <w:top w:val="none" w:sz="0" w:space="0" w:color="auto"/>
                <w:left w:val="none" w:sz="0" w:space="0" w:color="auto"/>
                <w:bottom w:val="none" w:sz="0" w:space="0" w:color="auto"/>
                <w:right w:val="none" w:sz="0" w:space="0" w:color="auto"/>
              </w:divBdr>
              <w:divsChild>
                <w:div w:id="164477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047081">
      <w:bodyDiv w:val="1"/>
      <w:marLeft w:val="0"/>
      <w:marRight w:val="0"/>
      <w:marTop w:val="0"/>
      <w:marBottom w:val="0"/>
      <w:divBdr>
        <w:top w:val="none" w:sz="0" w:space="0" w:color="auto"/>
        <w:left w:val="none" w:sz="0" w:space="0" w:color="auto"/>
        <w:bottom w:val="none" w:sz="0" w:space="0" w:color="auto"/>
        <w:right w:val="none" w:sz="0" w:space="0" w:color="auto"/>
      </w:divBdr>
    </w:div>
    <w:div w:id="1036388701">
      <w:bodyDiv w:val="1"/>
      <w:marLeft w:val="0"/>
      <w:marRight w:val="0"/>
      <w:marTop w:val="0"/>
      <w:marBottom w:val="0"/>
      <w:divBdr>
        <w:top w:val="none" w:sz="0" w:space="0" w:color="auto"/>
        <w:left w:val="none" w:sz="0" w:space="0" w:color="auto"/>
        <w:bottom w:val="none" w:sz="0" w:space="0" w:color="auto"/>
        <w:right w:val="none" w:sz="0" w:space="0" w:color="auto"/>
      </w:divBdr>
    </w:div>
    <w:div w:id="1104110832">
      <w:bodyDiv w:val="1"/>
      <w:marLeft w:val="0"/>
      <w:marRight w:val="0"/>
      <w:marTop w:val="0"/>
      <w:marBottom w:val="0"/>
      <w:divBdr>
        <w:top w:val="none" w:sz="0" w:space="0" w:color="auto"/>
        <w:left w:val="none" w:sz="0" w:space="0" w:color="auto"/>
        <w:bottom w:val="none" w:sz="0" w:space="0" w:color="auto"/>
        <w:right w:val="none" w:sz="0" w:space="0" w:color="auto"/>
      </w:divBdr>
    </w:div>
    <w:div w:id="1115832639">
      <w:bodyDiv w:val="1"/>
      <w:marLeft w:val="0"/>
      <w:marRight w:val="0"/>
      <w:marTop w:val="0"/>
      <w:marBottom w:val="0"/>
      <w:divBdr>
        <w:top w:val="none" w:sz="0" w:space="0" w:color="auto"/>
        <w:left w:val="none" w:sz="0" w:space="0" w:color="auto"/>
        <w:bottom w:val="none" w:sz="0" w:space="0" w:color="auto"/>
        <w:right w:val="none" w:sz="0" w:space="0" w:color="auto"/>
      </w:divBdr>
      <w:divsChild>
        <w:div w:id="1349259877">
          <w:marLeft w:val="0"/>
          <w:marRight w:val="0"/>
          <w:marTop w:val="0"/>
          <w:marBottom w:val="0"/>
          <w:divBdr>
            <w:top w:val="none" w:sz="0" w:space="0" w:color="auto"/>
            <w:left w:val="none" w:sz="0" w:space="0" w:color="auto"/>
            <w:bottom w:val="none" w:sz="0" w:space="0" w:color="auto"/>
            <w:right w:val="none" w:sz="0" w:space="0" w:color="auto"/>
          </w:divBdr>
          <w:divsChild>
            <w:div w:id="1798184617">
              <w:marLeft w:val="0"/>
              <w:marRight w:val="0"/>
              <w:marTop w:val="0"/>
              <w:marBottom w:val="0"/>
              <w:divBdr>
                <w:top w:val="none" w:sz="0" w:space="0" w:color="auto"/>
                <w:left w:val="none" w:sz="0" w:space="0" w:color="auto"/>
                <w:bottom w:val="none" w:sz="0" w:space="0" w:color="auto"/>
                <w:right w:val="none" w:sz="0" w:space="0" w:color="auto"/>
              </w:divBdr>
              <w:divsChild>
                <w:div w:id="165514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865781">
      <w:bodyDiv w:val="1"/>
      <w:marLeft w:val="0"/>
      <w:marRight w:val="0"/>
      <w:marTop w:val="0"/>
      <w:marBottom w:val="0"/>
      <w:divBdr>
        <w:top w:val="none" w:sz="0" w:space="0" w:color="auto"/>
        <w:left w:val="none" w:sz="0" w:space="0" w:color="auto"/>
        <w:bottom w:val="none" w:sz="0" w:space="0" w:color="auto"/>
        <w:right w:val="none" w:sz="0" w:space="0" w:color="auto"/>
      </w:divBdr>
    </w:div>
    <w:div w:id="1152790138">
      <w:bodyDiv w:val="1"/>
      <w:marLeft w:val="0"/>
      <w:marRight w:val="0"/>
      <w:marTop w:val="0"/>
      <w:marBottom w:val="0"/>
      <w:divBdr>
        <w:top w:val="none" w:sz="0" w:space="0" w:color="auto"/>
        <w:left w:val="none" w:sz="0" w:space="0" w:color="auto"/>
        <w:bottom w:val="none" w:sz="0" w:space="0" w:color="auto"/>
        <w:right w:val="none" w:sz="0" w:space="0" w:color="auto"/>
      </w:divBdr>
    </w:div>
    <w:div w:id="1185631353">
      <w:bodyDiv w:val="1"/>
      <w:marLeft w:val="0"/>
      <w:marRight w:val="0"/>
      <w:marTop w:val="0"/>
      <w:marBottom w:val="0"/>
      <w:divBdr>
        <w:top w:val="none" w:sz="0" w:space="0" w:color="auto"/>
        <w:left w:val="none" w:sz="0" w:space="0" w:color="auto"/>
        <w:bottom w:val="none" w:sz="0" w:space="0" w:color="auto"/>
        <w:right w:val="none" w:sz="0" w:space="0" w:color="auto"/>
      </w:divBdr>
      <w:divsChild>
        <w:div w:id="1927035428">
          <w:marLeft w:val="0"/>
          <w:marRight w:val="0"/>
          <w:marTop w:val="0"/>
          <w:marBottom w:val="0"/>
          <w:divBdr>
            <w:top w:val="single" w:sz="24" w:space="0" w:color="FFFFFF"/>
            <w:left w:val="single" w:sz="48" w:space="0" w:color="FFFFFF"/>
            <w:bottom w:val="single" w:sz="24" w:space="0" w:color="FFFFFF"/>
            <w:right w:val="single" w:sz="48" w:space="0" w:color="FFFFFF"/>
          </w:divBdr>
          <w:divsChild>
            <w:div w:id="506406858">
              <w:marLeft w:val="0"/>
              <w:marRight w:val="0"/>
              <w:marTop w:val="0"/>
              <w:marBottom w:val="0"/>
              <w:divBdr>
                <w:top w:val="none" w:sz="0" w:space="0" w:color="auto"/>
                <w:left w:val="none" w:sz="0" w:space="0" w:color="auto"/>
                <w:bottom w:val="none" w:sz="0" w:space="0" w:color="auto"/>
                <w:right w:val="none" w:sz="0" w:space="0" w:color="auto"/>
              </w:divBdr>
              <w:divsChild>
                <w:div w:id="2058503617">
                  <w:marLeft w:val="0"/>
                  <w:marRight w:val="0"/>
                  <w:marTop w:val="0"/>
                  <w:marBottom w:val="0"/>
                  <w:divBdr>
                    <w:top w:val="none" w:sz="0" w:space="0" w:color="auto"/>
                    <w:left w:val="none" w:sz="0" w:space="0" w:color="auto"/>
                    <w:bottom w:val="none" w:sz="0" w:space="0" w:color="auto"/>
                    <w:right w:val="none" w:sz="0" w:space="0" w:color="auto"/>
                  </w:divBdr>
                  <w:divsChild>
                    <w:div w:id="182131120">
                      <w:marLeft w:val="0"/>
                      <w:marRight w:val="0"/>
                      <w:marTop w:val="0"/>
                      <w:marBottom w:val="0"/>
                      <w:divBdr>
                        <w:top w:val="none" w:sz="0" w:space="0" w:color="auto"/>
                        <w:left w:val="none" w:sz="0" w:space="0" w:color="auto"/>
                        <w:bottom w:val="none" w:sz="0" w:space="0" w:color="auto"/>
                        <w:right w:val="none" w:sz="0" w:space="0" w:color="auto"/>
                      </w:divBdr>
                      <w:divsChild>
                        <w:div w:id="782381687">
                          <w:marLeft w:val="0"/>
                          <w:marRight w:val="0"/>
                          <w:marTop w:val="0"/>
                          <w:marBottom w:val="0"/>
                          <w:divBdr>
                            <w:top w:val="none" w:sz="0" w:space="0" w:color="auto"/>
                            <w:left w:val="none" w:sz="0" w:space="0" w:color="auto"/>
                            <w:bottom w:val="none" w:sz="0" w:space="0" w:color="auto"/>
                            <w:right w:val="none" w:sz="0" w:space="0" w:color="auto"/>
                          </w:divBdr>
                          <w:divsChild>
                            <w:div w:id="149099923">
                              <w:marLeft w:val="0"/>
                              <w:marRight w:val="0"/>
                              <w:marTop w:val="0"/>
                              <w:marBottom w:val="0"/>
                              <w:divBdr>
                                <w:top w:val="none" w:sz="0" w:space="0" w:color="auto"/>
                                <w:left w:val="none" w:sz="0" w:space="0" w:color="auto"/>
                                <w:bottom w:val="none" w:sz="0" w:space="0" w:color="auto"/>
                                <w:right w:val="none" w:sz="0" w:space="0" w:color="auto"/>
                              </w:divBdr>
                              <w:divsChild>
                                <w:div w:id="1203324069">
                                  <w:marLeft w:val="0"/>
                                  <w:marRight w:val="0"/>
                                  <w:marTop w:val="0"/>
                                  <w:marBottom w:val="0"/>
                                  <w:divBdr>
                                    <w:top w:val="none" w:sz="0" w:space="0" w:color="auto"/>
                                    <w:left w:val="none" w:sz="0" w:space="0" w:color="auto"/>
                                    <w:bottom w:val="none" w:sz="0" w:space="0" w:color="auto"/>
                                    <w:right w:val="none" w:sz="0" w:space="0" w:color="auto"/>
                                  </w:divBdr>
                                  <w:divsChild>
                                    <w:div w:id="1140999128">
                                      <w:marLeft w:val="0"/>
                                      <w:marRight w:val="0"/>
                                      <w:marTop w:val="0"/>
                                      <w:marBottom w:val="0"/>
                                      <w:divBdr>
                                        <w:top w:val="none" w:sz="0" w:space="0" w:color="auto"/>
                                        <w:left w:val="none" w:sz="0" w:space="0" w:color="auto"/>
                                        <w:bottom w:val="none" w:sz="0" w:space="0" w:color="auto"/>
                                        <w:right w:val="none" w:sz="0" w:space="0" w:color="auto"/>
                                      </w:divBdr>
                                      <w:divsChild>
                                        <w:div w:id="1863090080">
                                          <w:marLeft w:val="0"/>
                                          <w:marRight w:val="0"/>
                                          <w:marTop w:val="0"/>
                                          <w:marBottom w:val="0"/>
                                          <w:divBdr>
                                            <w:top w:val="none" w:sz="0" w:space="0" w:color="auto"/>
                                            <w:left w:val="none" w:sz="0" w:space="0" w:color="auto"/>
                                            <w:bottom w:val="none" w:sz="0" w:space="0" w:color="auto"/>
                                            <w:right w:val="none" w:sz="0" w:space="0" w:color="auto"/>
                                          </w:divBdr>
                                          <w:divsChild>
                                            <w:div w:id="1416123344">
                                              <w:marLeft w:val="0"/>
                                              <w:marRight w:val="0"/>
                                              <w:marTop w:val="0"/>
                                              <w:marBottom w:val="0"/>
                                              <w:divBdr>
                                                <w:top w:val="none" w:sz="0" w:space="0" w:color="auto"/>
                                                <w:left w:val="none" w:sz="0" w:space="0" w:color="auto"/>
                                                <w:bottom w:val="none" w:sz="0" w:space="0" w:color="auto"/>
                                                <w:right w:val="none" w:sz="0" w:space="0" w:color="auto"/>
                                              </w:divBdr>
                                              <w:divsChild>
                                                <w:div w:id="1299455230">
                                                  <w:marLeft w:val="0"/>
                                                  <w:marRight w:val="0"/>
                                                  <w:marTop w:val="0"/>
                                                  <w:marBottom w:val="0"/>
                                                  <w:divBdr>
                                                    <w:top w:val="none" w:sz="0" w:space="0" w:color="auto"/>
                                                    <w:left w:val="none" w:sz="0" w:space="0" w:color="auto"/>
                                                    <w:bottom w:val="none" w:sz="0" w:space="0" w:color="auto"/>
                                                    <w:right w:val="none" w:sz="0" w:space="0" w:color="auto"/>
                                                  </w:divBdr>
                                                  <w:divsChild>
                                                    <w:div w:id="72321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18663645">
      <w:bodyDiv w:val="1"/>
      <w:marLeft w:val="0"/>
      <w:marRight w:val="0"/>
      <w:marTop w:val="0"/>
      <w:marBottom w:val="0"/>
      <w:divBdr>
        <w:top w:val="none" w:sz="0" w:space="0" w:color="auto"/>
        <w:left w:val="none" w:sz="0" w:space="0" w:color="auto"/>
        <w:bottom w:val="none" w:sz="0" w:space="0" w:color="auto"/>
        <w:right w:val="none" w:sz="0" w:space="0" w:color="auto"/>
      </w:divBdr>
    </w:div>
    <w:div w:id="1250509028">
      <w:bodyDiv w:val="1"/>
      <w:marLeft w:val="0"/>
      <w:marRight w:val="0"/>
      <w:marTop w:val="0"/>
      <w:marBottom w:val="0"/>
      <w:divBdr>
        <w:top w:val="none" w:sz="0" w:space="0" w:color="auto"/>
        <w:left w:val="none" w:sz="0" w:space="0" w:color="auto"/>
        <w:bottom w:val="none" w:sz="0" w:space="0" w:color="auto"/>
        <w:right w:val="none" w:sz="0" w:space="0" w:color="auto"/>
      </w:divBdr>
    </w:div>
    <w:div w:id="1298486118">
      <w:bodyDiv w:val="1"/>
      <w:marLeft w:val="0"/>
      <w:marRight w:val="0"/>
      <w:marTop w:val="0"/>
      <w:marBottom w:val="0"/>
      <w:divBdr>
        <w:top w:val="none" w:sz="0" w:space="0" w:color="auto"/>
        <w:left w:val="none" w:sz="0" w:space="0" w:color="auto"/>
        <w:bottom w:val="none" w:sz="0" w:space="0" w:color="auto"/>
        <w:right w:val="none" w:sz="0" w:space="0" w:color="auto"/>
      </w:divBdr>
    </w:div>
    <w:div w:id="1309940121">
      <w:bodyDiv w:val="1"/>
      <w:marLeft w:val="0"/>
      <w:marRight w:val="0"/>
      <w:marTop w:val="0"/>
      <w:marBottom w:val="0"/>
      <w:divBdr>
        <w:top w:val="none" w:sz="0" w:space="0" w:color="auto"/>
        <w:left w:val="none" w:sz="0" w:space="0" w:color="auto"/>
        <w:bottom w:val="none" w:sz="0" w:space="0" w:color="auto"/>
        <w:right w:val="none" w:sz="0" w:space="0" w:color="auto"/>
      </w:divBdr>
    </w:div>
    <w:div w:id="1339429001">
      <w:bodyDiv w:val="1"/>
      <w:marLeft w:val="0"/>
      <w:marRight w:val="0"/>
      <w:marTop w:val="0"/>
      <w:marBottom w:val="0"/>
      <w:divBdr>
        <w:top w:val="none" w:sz="0" w:space="0" w:color="auto"/>
        <w:left w:val="none" w:sz="0" w:space="0" w:color="auto"/>
        <w:bottom w:val="none" w:sz="0" w:space="0" w:color="auto"/>
        <w:right w:val="none" w:sz="0" w:space="0" w:color="auto"/>
      </w:divBdr>
      <w:divsChild>
        <w:div w:id="892304588">
          <w:marLeft w:val="0"/>
          <w:marRight w:val="0"/>
          <w:marTop w:val="0"/>
          <w:marBottom w:val="0"/>
          <w:divBdr>
            <w:top w:val="none" w:sz="0" w:space="0" w:color="auto"/>
            <w:left w:val="none" w:sz="0" w:space="0" w:color="auto"/>
            <w:bottom w:val="none" w:sz="0" w:space="0" w:color="auto"/>
            <w:right w:val="none" w:sz="0" w:space="0" w:color="auto"/>
          </w:divBdr>
          <w:divsChild>
            <w:div w:id="371150294">
              <w:marLeft w:val="0"/>
              <w:marRight w:val="0"/>
              <w:marTop w:val="0"/>
              <w:marBottom w:val="0"/>
              <w:divBdr>
                <w:top w:val="none" w:sz="0" w:space="0" w:color="auto"/>
                <w:left w:val="none" w:sz="0" w:space="0" w:color="auto"/>
                <w:bottom w:val="none" w:sz="0" w:space="0" w:color="auto"/>
                <w:right w:val="none" w:sz="0" w:space="0" w:color="auto"/>
              </w:divBdr>
              <w:divsChild>
                <w:div w:id="780346331">
                  <w:marLeft w:val="0"/>
                  <w:marRight w:val="0"/>
                  <w:marTop w:val="0"/>
                  <w:marBottom w:val="0"/>
                  <w:divBdr>
                    <w:top w:val="none" w:sz="0" w:space="0" w:color="auto"/>
                    <w:left w:val="none" w:sz="0" w:space="0" w:color="auto"/>
                    <w:bottom w:val="none" w:sz="0" w:space="0" w:color="auto"/>
                    <w:right w:val="none" w:sz="0" w:space="0" w:color="auto"/>
                  </w:divBdr>
                  <w:divsChild>
                    <w:div w:id="105180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281695">
      <w:bodyDiv w:val="1"/>
      <w:marLeft w:val="0"/>
      <w:marRight w:val="0"/>
      <w:marTop w:val="0"/>
      <w:marBottom w:val="0"/>
      <w:divBdr>
        <w:top w:val="none" w:sz="0" w:space="0" w:color="auto"/>
        <w:left w:val="none" w:sz="0" w:space="0" w:color="auto"/>
        <w:bottom w:val="none" w:sz="0" w:space="0" w:color="auto"/>
        <w:right w:val="none" w:sz="0" w:space="0" w:color="auto"/>
      </w:divBdr>
    </w:div>
    <w:div w:id="1344431798">
      <w:bodyDiv w:val="1"/>
      <w:marLeft w:val="0"/>
      <w:marRight w:val="0"/>
      <w:marTop w:val="0"/>
      <w:marBottom w:val="0"/>
      <w:divBdr>
        <w:top w:val="none" w:sz="0" w:space="0" w:color="auto"/>
        <w:left w:val="none" w:sz="0" w:space="0" w:color="auto"/>
        <w:bottom w:val="none" w:sz="0" w:space="0" w:color="auto"/>
        <w:right w:val="none" w:sz="0" w:space="0" w:color="auto"/>
      </w:divBdr>
      <w:divsChild>
        <w:div w:id="456917504">
          <w:marLeft w:val="0"/>
          <w:marRight w:val="0"/>
          <w:marTop w:val="0"/>
          <w:marBottom w:val="0"/>
          <w:divBdr>
            <w:top w:val="none" w:sz="0" w:space="0" w:color="auto"/>
            <w:left w:val="none" w:sz="0" w:space="0" w:color="auto"/>
            <w:bottom w:val="none" w:sz="0" w:space="0" w:color="auto"/>
            <w:right w:val="none" w:sz="0" w:space="0" w:color="auto"/>
          </w:divBdr>
          <w:divsChild>
            <w:div w:id="1722289537">
              <w:marLeft w:val="0"/>
              <w:marRight w:val="0"/>
              <w:marTop w:val="0"/>
              <w:marBottom w:val="0"/>
              <w:divBdr>
                <w:top w:val="none" w:sz="0" w:space="0" w:color="auto"/>
                <w:left w:val="none" w:sz="0" w:space="0" w:color="auto"/>
                <w:bottom w:val="none" w:sz="0" w:space="0" w:color="auto"/>
                <w:right w:val="none" w:sz="0" w:space="0" w:color="auto"/>
              </w:divBdr>
              <w:divsChild>
                <w:div w:id="154016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323956">
      <w:bodyDiv w:val="1"/>
      <w:marLeft w:val="0"/>
      <w:marRight w:val="0"/>
      <w:marTop w:val="0"/>
      <w:marBottom w:val="0"/>
      <w:divBdr>
        <w:top w:val="none" w:sz="0" w:space="0" w:color="auto"/>
        <w:left w:val="none" w:sz="0" w:space="0" w:color="auto"/>
        <w:bottom w:val="none" w:sz="0" w:space="0" w:color="auto"/>
        <w:right w:val="none" w:sz="0" w:space="0" w:color="auto"/>
      </w:divBdr>
      <w:divsChild>
        <w:div w:id="3023983">
          <w:marLeft w:val="0"/>
          <w:marRight w:val="0"/>
          <w:marTop w:val="0"/>
          <w:marBottom w:val="0"/>
          <w:divBdr>
            <w:top w:val="none" w:sz="0" w:space="0" w:color="auto"/>
            <w:left w:val="none" w:sz="0" w:space="0" w:color="auto"/>
            <w:bottom w:val="none" w:sz="0" w:space="0" w:color="auto"/>
            <w:right w:val="none" w:sz="0" w:space="0" w:color="auto"/>
          </w:divBdr>
          <w:divsChild>
            <w:div w:id="609776228">
              <w:marLeft w:val="0"/>
              <w:marRight w:val="0"/>
              <w:marTop w:val="0"/>
              <w:marBottom w:val="0"/>
              <w:divBdr>
                <w:top w:val="none" w:sz="0" w:space="0" w:color="auto"/>
                <w:left w:val="none" w:sz="0" w:space="0" w:color="auto"/>
                <w:bottom w:val="none" w:sz="0" w:space="0" w:color="auto"/>
                <w:right w:val="none" w:sz="0" w:space="0" w:color="auto"/>
              </w:divBdr>
              <w:divsChild>
                <w:div w:id="16189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617388">
      <w:bodyDiv w:val="1"/>
      <w:marLeft w:val="0"/>
      <w:marRight w:val="0"/>
      <w:marTop w:val="0"/>
      <w:marBottom w:val="0"/>
      <w:divBdr>
        <w:top w:val="none" w:sz="0" w:space="0" w:color="auto"/>
        <w:left w:val="none" w:sz="0" w:space="0" w:color="auto"/>
        <w:bottom w:val="none" w:sz="0" w:space="0" w:color="auto"/>
        <w:right w:val="none" w:sz="0" w:space="0" w:color="auto"/>
      </w:divBdr>
    </w:div>
    <w:div w:id="1452551684">
      <w:bodyDiv w:val="1"/>
      <w:marLeft w:val="0"/>
      <w:marRight w:val="0"/>
      <w:marTop w:val="0"/>
      <w:marBottom w:val="0"/>
      <w:divBdr>
        <w:top w:val="none" w:sz="0" w:space="0" w:color="auto"/>
        <w:left w:val="none" w:sz="0" w:space="0" w:color="auto"/>
        <w:bottom w:val="none" w:sz="0" w:space="0" w:color="auto"/>
        <w:right w:val="none" w:sz="0" w:space="0" w:color="auto"/>
      </w:divBdr>
    </w:div>
    <w:div w:id="1487431064">
      <w:bodyDiv w:val="1"/>
      <w:marLeft w:val="0"/>
      <w:marRight w:val="0"/>
      <w:marTop w:val="0"/>
      <w:marBottom w:val="0"/>
      <w:divBdr>
        <w:top w:val="none" w:sz="0" w:space="0" w:color="auto"/>
        <w:left w:val="none" w:sz="0" w:space="0" w:color="auto"/>
        <w:bottom w:val="none" w:sz="0" w:space="0" w:color="auto"/>
        <w:right w:val="none" w:sz="0" w:space="0" w:color="auto"/>
      </w:divBdr>
    </w:div>
    <w:div w:id="1487437553">
      <w:bodyDiv w:val="1"/>
      <w:marLeft w:val="0"/>
      <w:marRight w:val="0"/>
      <w:marTop w:val="0"/>
      <w:marBottom w:val="0"/>
      <w:divBdr>
        <w:top w:val="none" w:sz="0" w:space="0" w:color="auto"/>
        <w:left w:val="none" w:sz="0" w:space="0" w:color="auto"/>
        <w:bottom w:val="none" w:sz="0" w:space="0" w:color="auto"/>
        <w:right w:val="none" w:sz="0" w:space="0" w:color="auto"/>
      </w:divBdr>
    </w:div>
    <w:div w:id="1504931488">
      <w:bodyDiv w:val="1"/>
      <w:marLeft w:val="0"/>
      <w:marRight w:val="0"/>
      <w:marTop w:val="0"/>
      <w:marBottom w:val="0"/>
      <w:divBdr>
        <w:top w:val="none" w:sz="0" w:space="0" w:color="auto"/>
        <w:left w:val="none" w:sz="0" w:space="0" w:color="auto"/>
        <w:bottom w:val="none" w:sz="0" w:space="0" w:color="auto"/>
        <w:right w:val="none" w:sz="0" w:space="0" w:color="auto"/>
      </w:divBdr>
    </w:div>
    <w:div w:id="1509834275">
      <w:bodyDiv w:val="1"/>
      <w:marLeft w:val="0"/>
      <w:marRight w:val="0"/>
      <w:marTop w:val="0"/>
      <w:marBottom w:val="0"/>
      <w:divBdr>
        <w:top w:val="none" w:sz="0" w:space="0" w:color="auto"/>
        <w:left w:val="none" w:sz="0" w:space="0" w:color="auto"/>
        <w:bottom w:val="none" w:sz="0" w:space="0" w:color="auto"/>
        <w:right w:val="none" w:sz="0" w:space="0" w:color="auto"/>
      </w:divBdr>
    </w:div>
    <w:div w:id="1546867482">
      <w:bodyDiv w:val="1"/>
      <w:marLeft w:val="0"/>
      <w:marRight w:val="0"/>
      <w:marTop w:val="0"/>
      <w:marBottom w:val="0"/>
      <w:divBdr>
        <w:top w:val="none" w:sz="0" w:space="0" w:color="auto"/>
        <w:left w:val="none" w:sz="0" w:space="0" w:color="auto"/>
        <w:bottom w:val="none" w:sz="0" w:space="0" w:color="auto"/>
        <w:right w:val="none" w:sz="0" w:space="0" w:color="auto"/>
      </w:divBdr>
    </w:div>
    <w:div w:id="1562789031">
      <w:bodyDiv w:val="1"/>
      <w:marLeft w:val="0"/>
      <w:marRight w:val="0"/>
      <w:marTop w:val="0"/>
      <w:marBottom w:val="0"/>
      <w:divBdr>
        <w:top w:val="none" w:sz="0" w:space="0" w:color="auto"/>
        <w:left w:val="none" w:sz="0" w:space="0" w:color="auto"/>
        <w:bottom w:val="none" w:sz="0" w:space="0" w:color="auto"/>
        <w:right w:val="none" w:sz="0" w:space="0" w:color="auto"/>
      </w:divBdr>
    </w:div>
    <w:div w:id="1570458234">
      <w:bodyDiv w:val="1"/>
      <w:marLeft w:val="0"/>
      <w:marRight w:val="0"/>
      <w:marTop w:val="0"/>
      <w:marBottom w:val="0"/>
      <w:divBdr>
        <w:top w:val="none" w:sz="0" w:space="0" w:color="auto"/>
        <w:left w:val="none" w:sz="0" w:space="0" w:color="auto"/>
        <w:bottom w:val="none" w:sz="0" w:space="0" w:color="auto"/>
        <w:right w:val="none" w:sz="0" w:space="0" w:color="auto"/>
      </w:divBdr>
      <w:divsChild>
        <w:div w:id="742220999">
          <w:marLeft w:val="0"/>
          <w:marRight w:val="0"/>
          <w:marTop w:val="0"/>
          <w:marBottom w:val="0"/>
          <w:divBdr>
            <w:top w:val="none" w:sz="0" w:space="0" w:color="auto"/>
            <w:left w:val="none" w:sz="0" w:space="0" w:color="auto"/>
            <w:bottom w:val="none" w:sz="0" w:space="0" w:color="auto"/>
            <w:right w:val="none" w:sz="0" w:space="0" w:color="auto"/>
          </w:divBdr>
          <w:divsChild>
            <w:div w:id="803622959">
              <w:marLeft w:val="0"/>
              <w:marRight w:val="0"/>
              <w:marTop w:val="0"/>
              <w:marBottom w:val="0"/>
              <w:divBdr>
                <w:top w:val="none" w:sz="0" w:space="0" w:color="auto"/>
                <w:left w:val="none" w:sz="0" w:space="0" w:color="auto"/>
                <w:bottom w:val="none" w:sz="0" w:space="0" w:color="auto"/>
                <w:right w:val="none" w:sz="0" w:space="0" w:color="auto"/>
              </w:divBdr>
              <w:divsChild>
                <w:div w:id="31687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306778">
      <w:bodyDiv w:val="1"/>
      <w:marLeft w:val="0"/>
      <w:marRight w:val="0"/>
      <w:marTop w:val="0"/>
      <w:marBottom w:val="0"/>
      <w:divBdr>
        <w:top w:val="none" w:sz="0" w:space="0" w:color="auto"/>
        <w:left w:val="none" w:sz="0" w:space="0" w:color="auto"/>
        <w:bottom w:val="none" w:sz="0" w:space="0" w:color="auto"/>
        <w:right w:val="none" w:sz="0" w:space="0" w:color="auto"/>
      </w:divBdr>
    </w:div>
    <w:div w:id="1592355433">
      <w:bodyDiv w:val="1"/>
      <w:marLeft w:val="0"/>
      <w:marRight w:val="0"/>
      <w:marTop w:val="0"/>
      <w:marBottom w:val="0"/>
      <w:divBdr>
        <w:top w:val="none" w:sz="0" w:space="0" w:color="auto"/>
        <w:left w:val="none" w:sz="0" w:space="0" w:color="auto"/>
        <w:bottom w:val="none" w:sz="0" w:space="0" w:color="auto"/>
        <w:right w:val="none" w:sz="0" w:space="0" w:color="auto"/>
      </w:divBdr>
    </w:div>
    <w:div w:id="1609972156">
      <w:bodyDiv w:val="1"/>
      <w:marLeft w:val="0"/>
      <w:marRight w:val="0"/>
      <w:marTop w:val="0"/>
      <w:marBottom w:val="0"/>
      <w:divBdr>
        <w:top w:val="none" w:sz="0" w:space="0" w:color="auto"/>
        <w:left w:val="none" w:sz="0" w:space="0" w:color="auto"/>
        <w:bottom w:val="none" w:sz="0" w:space="0" w:color="auto"/>
        <w:right w:val="none" w:sz="0" w:space="0" w:color="auto"/>
      </w:divBdr>
    </w:div>
    <w:div w:id="1663968864">
      <w:bodyDiv w:val="1"/>
      <w:marLeft w:val="0"/>
      <w:marRight w:val="0"/>
      <w:marTop w:val="0"/>
      <w:marBottom w:val="0"/>
      <w:divBdr>
        <w:top w:val="none" w:sz="0" w:space="0" w:color="auto"/>
        <w:left w:val="none" w:sz="0" w:space="0" w:color="auto"/>
        <w:bottom w:val="none" w:sz="0" w:space="0" w:color="auto"/>
        <w:right w:val="none" w:sz="0" w:space="0" w:color="auto"/>
      </w:divBdr>
    </w:div>
    <w:div w:id="1719743588">
      <w:bodyDiv w:val="1"/>
      <w:marLeft w:val="0"/>
      <w:marRight w:val="0"/>
      <w:marTop w:val="0"/>
      <w:marBottom w:val="0"/>
      <w:divBdr>
        <w:top w:val="none" w:sz="0" w:space="0" w:color="auto"/>
        <w:left w:val="none" w:sz="0" w:space="0" w:color="auto"/>
        <w:bottom w:val="none" w:sz="0" w:space="0" w:color="auto"/>
        <w:right w:val="none" w:sz="0" w:space="0" w:color="auto"/>
      </w:divBdr>
      <w:divsChild>
        <w:div w:id="366376157">
          <w:marLeft w:val="0"/>
          <w:marRight w:val="0"/>
          <w:marTop w:val="0"/>
          <w:marBottom w:val="0"/>
          <w:divBdr>
            <w:top w:val="none" w:sz="0" w:space="0" w:color="auto"/>
            <w:left w:val="none" w:sz="0" w:space="0" w:color="auto"/>
            <w:bottom w:val="none" w:sz="0" w:space="0" w:color="auto"/>
            <w:right w:val="none" w:sz="0" w:space="0" w:color="auto"/>
          </w:divBdr>
          <w:divsChild>
            <w:div w:id="136268145">
              <w:marLeft w:val="0"/>
              <w:marRight w:val="0"/>
              <w:marTop w:val="0"/>
              <w:marBottom w:val="0"/>
              <w:divBdr>
                <w:top w:val="none" w:sz="0" w:space="0" w:color="auto"/>
                <w:left w:val="none" w:sz="0" w:space="0" w:color="auto"/>
                <w:bottom w:val="none" w:sz="0" w:space="0" w:color="auto"/>
                <w:right w:val="none" w:sz="0" w:space="0" w:color="auto"/>
              </w:divBdr>
              <w:divsChild>
                <w:div w:id="1501122616">
                  <w:marLeft w:val="0"/>
                  <w:marRight w:val="0"/>
                  <w:marTop w:val="0"/>
                  <w:marBottom w:val="0"/>
                  <w:divBdr>
                    <w:top w:val="none" w:sz="0" w:space="0" w:color="auto"/>
                    <w:left w:val="none" w:sz="0" w:space="0" w:color="auto"/>
                    <w:bottom w:val="none" w:sz="0" w:space="0" w:color="auto"/>
                    <w:right w:val="none" w:sz="0" w:space="0" w:color="auto"/>
                  </w:divBdr>
                  <w:divsChild>
                    <w:div w:id="80192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636303">
      <w:bodyDiv w:val="1"/>
      <w:marLeft w:val="0"/>
      <w:marRight w:val="0"/>
      <w:marTop w:val="0"/>
      <w:marBottom w:val="0"/>
      <w:divBdr>
        <w:top w:val="none" w:sz="0" w:space="0" w:color="auto"/>
        <w:left w:val="none" w:sz="0" w:space="0" w:color="auto"/>
        <w:bottom w:val="none" w:sz="0" w:space="0" w:color="auto"/>
        <w:right w:val="none" w:sz="0" w:space="0" w:color="auto"/>
      </w:divBdr>
      <w:divsChild>
        <w:div w:id="1217931590">
          <w:marLeft w:val="0"/>
          <w:marRight w:val="0"/>
          <w:marTop w:val="0"/>
          <w:marBottom w:val="0"/>
          <w:divBdr>
            <w:top w:val="none" w:sz="0" w:space="0" w:color="auto"/>
            <w:left w:val="none" w:sz="0" w:space="0" w:color="auto"/>
            <w:bottom w:val="single" w:sz="6" w:space="0" w:color="FFFFFF"/>
            <w:right w:val="none" w:sz="0" w:space="0" w:color="auto"/>
          </w:divBdr>
          <w:divsChild>
            <w:div w:id="1839617325">
              <w:marLeft w:val="0"/>
              <w:marRight w:val="0"/>
              <w:marTop w:val="0"/>
              <w:marBottom w:val="0"/>
              <w:divBdr>
                <w:top w:val="none" w:sz="0" w:space="0" w:color="auto"/>
                <w:left w:val="none" w:sz="0" w:space="0" w:color="auto"/>
                <w:bottom w:val="none" w:sz="0" w:space="0" w:color="auto"/>
                <w:right w:val="none" w:sz="0" w:space="0" w:color="auto"/>
              </w:divBdr>
              <w:divsChild>
                <w:div w:id="1593081681">
                  <w:marLeft w:val="0"/>
                  <w:marRight w:val="0"/>
                  <w:marTop w:val="0"/>
                  <w:marBottom w:val="0"/>
                  <w:divBdr>
                    <w:top w:val="none" w:sz="0" w:space="0" w:color="auto"/>
                    <w:left w:val="none" w:sz="0" w:space="0" w:color="auto"/>
                    <w:bottom w:val="none" w:sz="0" w:space="0" w:color="auto"/>
                    <w:right w:val="none" w:sz="0" w:space="0" w:color="auto"/>
                  </w:divBdr>
                  <w:divsChild>
                    <w:div w:id="1711370297">
                      <w:marLeft w:val="0"/>
                      <w:marRight w:val="0"/>
                      <w:marTop w:val="0"/>
                      <w:marBottom w:val="0"/>
                      <w:divBdr>
                        <w:top w:val="none" w:sz="0" w:space="0" w:color="auto"/>
                        <w:left w:val="none" w:sz="0" w:space="0" w:color="auto"/>
                        <w:bottom w:val="none" w:sz="0" w:space="0" w:color="auto"/>
                        <w:right w:val="none" w:sz="0" w:space="0" w:color="auto"/>
                      </w:divBdr>
                      <w:divsChild>
                        <w:div w:id="2078362081">
                          <w:marLeft w:val="0"/>
                          <w:marRight w:val="0"/>
                          <w:marTop w:val="0"/>
                          <w:marBottom w:val="0"/>
                          <w:divBdr>
                            <w:top w:val="none" w:sz="0" w:space="0" w:color="auto"/>
                            <w:left w:val="none" w:sz="0" w:space="0" w:color="auto"/>
                            <w:bottom w:val="none" w:sz="0" w:space="0" w:color="auto"/>
                            <w:right w:val="none" w:sz="0" w:space="0" w:color="auto"/>
                          </w:divBdr>
                          <w:divsChild>
                            <w:div w:id="962154958">
                              <w:marLeft w:val="0"/>
                              <w:marRight w:val="0"/>
                              <w:marTop w:val="0"/>
                              <w:marBottom w:val="0"/>
                              <w:divBdr>
                                <w:top w:val="none" w:sz="0" w:space="0" w:color="auto"/>
                                <w:left w:val="none" w:sz="0" w:space="0" w:color="auto"/>
                                <w:bottom w:val="none" w:sz="0" w:space="0" w:color="auto"/>
                                <w:right w:val="none" w:sz="0" w:space="0" w:color="auto"/>
                              </w:divBdr>
                              <w:divsChild>
                                <w:div w:id="1168445813">
                                  <w:marLeft w:val="0"/>
                                  <w:marRight w:val="0"/>
                                  <w:marTop w:val="0"/>
                                  <w:marBottom w:val="0"/>
                                  <w:divBdr>
                                    <w:top w:val="none" w:sz="0" w:space="0" w:color="auto"/>
                                    <w:left w:val="none" w:sz="0" w:space="0" w:color="auto"/>
                                    <w:bottom w:val="none" w:sz="0" w:space="0" w:color="auto"/>
                                    <w:right w:val="none" w:sz="0" w:space="0" w:color="auto"/>
                                  </w:divBdr>
                                  <w:divsChild>
                                    <w:div w:id="297534593">
                                      <w:marLeft w:val="0"/>
                                      <w:marRight w:val="0"/>
                                      <w:marTop w:val="0"/>
                                      <w:marBottom w:val="0"/>
                                      <w:divBdr>
                                        <w:top w:val="none" w:sz="0" w:space="0" w:color="auto"/>
                                        <w:left w:val="none" w:sz="0" w:space="0" w:color="auto"/>
                                        <w:bottom w:val="none" w:sz="0" w:space="0" w:color="auto"/>
                                        <w:right w:val="none" w:sz="0" w:space="0" w:color="auto"/>
                                      </w:divBdr>
                                      <w:divsChild>
                                        <w:div w:id="150732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7541633">
          <w:marLeft w:val="0"/>
          <w:marRight w:val="0"/>
          <w:marTop w:val="0"/>
          <w:marBottom w:val="0"/>
          <w:divBdr>
            <w:top w:val="none" w:sz="0" w:space="0" w:color="auto"/>
            <w:left w:val="none" w:sz="0" w:space="0" w:color="auto"/>
            <w:bottom w:val="none" w:sz="0" w:space="0" w:color="auto"/>
            <w:right w:val="none" w:sz="0" w:space="0" w:color="auto"/>
          </w:divBdr>
          <w:divsChild>
            <w:div w:id="504630820">
              <w:marLeft w:val="0"/>
              <w:marRight w:val="0"/>
              <w:marTop w:val="0"/>
              <w:marBottom w:val="0"/>
              <w:divBdr>
                <w:top w:val="none" w:sz="0" w:space="0" w:color="auto"/>
                <w:left w:val="none" w:sz="0" w:space="0" w:color="auto"/>
                <w:bottom w:val="none" w:sz="0" w:space="0" w:color="auto"/>
                <w:right w:val="none" w:sz="0" w:space="0" w:color="auto"/>
              </w:divBdr>
              <w:divsChild>
                <w:div w:id="1868255538">
                  <w:marLeft w:val="0"/>
                  <w:marRight w:val="0"/>
                  <w:marTop w:val="0"/>
                  <w:marBottom w:val="0"/>
                  <w:divBdr>
                    <w:top w:val="none" w:sz="0" w:space="0" w:color="auto"/>
                    <w:left w:val="none" w:sz="0" w:space="0" w:color="auto"/>
                    <w:bottom w:val="none" w:sz="0" w:space="0" w:color="auto"/>
                    <w:right w:val="none" w:sz="0" w:space="0" w:color="auto"/>
                  </w:divBdr>
                  <w:divsChild>
                    <w:div w:id="1078477434">
                      <w:marLeft w:val="0"/>
                      <w:marRight w:val="0"/>
                      <w:marTop w:val="0"/>
                      <w:marBottom w:val="0"/>
                      <w:divBdr>
                        <w:top w:val="none" w:sz="0" w:space="0" w:color="auto"/>
                        <w:left w:val="none" w:sz="0" w:space="0" w:color="auto"/>
                        <w:bottom w:val="none" w:sz="0" w:space="0" w:color="auto"/>
                        <w:right w:val="none" w:sz="0" w:space="0" w:color="auto"/>
                      </w:divBdr>
                      <w:divsChild>
                        <w:div w:id="1475566109">
                          <w:marLeft w:val="0"/>
                          <w:marRight w:val="0"/>
                          <w:marTop w:val="0"/>
                          <w:marBottom w:val="0"/>
                          <w:divBdr>
                            <w:top w:val="none" w:sz="0" w:space="0" w:color="auto"/>
                            <w:left w:val="none" w:sz="0" w:space="0" w:color="auto"/>
                            <w:bottom w:val="none" w:sz="0" w:space="0" w:color="auto"/>
                            <w:right w:val="none" w:sz="0" w:space="0" w:color="auto"/>
                          </w:divBdr>
                          <w:divsChild>
                            <w:div w:id="1146581125">
                              <w:marLeft w:val="0"/>
                              <w:marRight w:val="0"/>
                              <w:marTop w:val="0"/>
                              <w:marBottom w:val="0"/>
                              <w:divBdr>
                                <w:top w:val="none" w:sz="0" w:space="0" w:color="auto"/>
                                <w:left w:val="none" w:sz="0" w:space="0" w:color="auto"/>
                                <w:bottom w:val="none" w:sz="0" w:space="0" w:color="auto"/>
                                <w:right w:val="none" w:sz="0" w:space="0" w:color="auto"/>
                              </w:divBdr>
                              <w:divsChild>
                                <w:div w:id="2093500810">
                                  <w:marLeft w:val="0"/>
                                  <w:marRight w:val="0"/>
                                  <w:marTop w:val="0"/>
                                  <w:marBottom w:val="0"/>
                                  <w:divBdr>
                                    <w:top w:val="none" w:sz="0" w:space="0" w:color="auto"/>
                                    <w:left w:val="none" w:sz="0" w:space="0" w:color="auto"/>
                                    <w:bottom w:val="none" w:sz="0" w:space="0" w:color="auto"/>
                                    <w:right w:val="none" w:sz="0" w:space="0" w:color="auto"/>
                                  </w:divBdr>
                                  <w:divsChild>
                                    <w:div w:id="953514256">
                                      <w:marLeft w:val="0"/>
                                      <w:marRight w:val="0"/>
                                      <w:marTop w:val="0"/>
                                      <w:marBottom w:val="0"/>
                                      <w:divBdr>
                                        <w:top w:val="none" w:sz="0" w:space="0" w:color="auto"/>
                                        <w:left w:val="none" w:sz="0" w:space="0" w:color="auto"/>
                                        <w:bottom w:val="none" w:sz="0" w:space="0" w:color="auto"/>
                                        <w:right w:val="none" w:sz="0" w:space="0" w:color="auto"/>
                                      </w:divBdr>
                                      <w:divsChild>
                                        <w:div w:id="175185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1465058">
      <w:bodyDiv w:val="1"/>
      <w:marLeft w:val="0"/>
      <w:marRight w:val="0"/>
      <w:marTop w:val="0"/>
      <w:marBottom w:val="0"/>
      <w:divBdr>
        <w:top w:val="none" w:sz="0" w:space="0" w:color="auto"/>
        <w:left w:val="none" w:sz="0" w:space="0" w:color="auto"/>
        <w:bottom w:val="none" w:sz="0" w:space="0" w:color="auto"/>
        <w:right w:val="none" w:sz="0" w:space="0" w:color="auto"/>
      </w:divBdr>
      <w:divsChild>
        <w:div w:id="947080377">
          <w:marLeft w:val="0"/>
          <w:marRight w:val="0"/>
          <w:marTop w:val="0"/>
          <w:marBottom w:val="0"/>
          <w:divBdr>
            <w:top w:val="none" w:sz="0" w:space="0" w:color="auto"/>
            <w:left w:val="none" w:sz="0" w:space="0" w:color="auto"/>
            <w:bottom w:val="none" w:sz="0" w:space="0" w:color="auto"/>
            <w:right w:val="none" w:sz="0" w:space="0" w:color="auto"/>
          </w:divBdr>
          <w:divsChild>
            <w:div w:id="778598623">
              <w:marLeft w:val="0"/>
              <w:marRight w:val="0"/>
              <w:marTop w:val="0"/>
              <w:marBottom w:val="0"/>
              <w:divBdr>
                <w:top w:val="none" w:sz="0" w:space="0" w:color="auto"/>
                <w:left w:val="none" w:sz="0" w:space="0" w:color="auto"/>
                <w:bottom w:val="none" w:sz="0" w:space="0" w:color="auto"/>
                <w:right w:val="none" w:sz="0" w:space="0" w:color="auto"/>
              </w:divBdr>
              <w:divsChild>
                <w:div w:id="1558972548">
                  <w:marLeft w:val="0"/>
                  <w:marRight w:val="0"/>
                  <w:marTop w:val="0"/>
                  <w:marBottom w:val="0"/>
                  <w:divBdr>
                    <w:top w:val="none" w:sz="0" w:space="0" w:color="auto"/>
                    <w:left w:val="none" w:sz="0" w:space="0" w:color="auto"/>
                    <w:bottom w:val="none" w:sz="0" w:space="0" w:color="auto"/>
                    <w:right w:val="none" w:sz="0" w:space="0" w:color="auto"/>
                  </w:divBdr>
                  <w:divsChild>
                    <w:div w:id="599484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965537">
      <w:bodyDiv w:val="1"/>
      <w:marLeft w:val="0"/>
      <w:marRight w:val="0"/>
      <w:marTop w:val="0"/>
      <w:marBottom w:val="0"/>
      <w:divBdr>
        <w:top w:val="none" w:sz="0" w:space="0" w:color="auto"/>
        <w:left w:val="none" w:sz="0" w:space="0" w:color="auto"/>
        <w:bottom w:val="none" w:sz="0" w:space="0" w:color="auto"/>
        <w:right w:val="none" w:sz="0" w:space="0" w:color="auto"/>
      </w:divBdr>
    </w:div>
    <w:div w:id="1783762668">
      <w:bodyDiv w:val="1"/>
      <w:marLeft w:val="0"/>
      <w:marRight w:val="0"/>
      <w:marTop w:val="0"/>
      <w:marBottom w:val="0"/>
      <w:divBdr>
        <w:top w:val="none" w:sz="0" w:space="0" w:color="auto"/>
        <w:left w:val="none" w:sz="0" w:space="0" w:color="auto"/>
        <w:bottom w:val="none" w:sz="0" w:space="0" w:color="auto"/>
        <w:right w:val="none" w:sz="0" w:space="0" w:color="auto"/>
      </w:divBdr>
    </w:div>
    <w:div w:id="1956448446">
      <w:bodyDiv w:val="1"/>
      <w:marLeft w:val="0"/>
      <w:marRight w:val="0"/>
      <w:marTop w:val="0"/>
      <w:marBottom w:val="0"/>
      <w:divBdr>
        <w:top w:val="none" w:sz="0" w:space="0" w:color="auto"/>
        <w:left w:val="none" w:sz="0" w:space="0" w:color="auto"/>
        <w:bottom w:val="none" w:sz="0" w:space="0" w:color="auto"/>
        <w:right w:val="none" w:sz="0" w:space="0" w:color="auto"/>
      </w:divBdr>
    </w:div>
    <w:div w:id="1987928410">
      <w:bodyDiv w:val="1"/>
      <w:marLeft w:val="0"/>
      <w:marRight w:val="0"/>
      <w:marTop w:val="0"/>
      <w:marBottom w:val="0"/>
      <w:divBdr>
        <w:top w:val="none" w:sz="0" w:space="0" w:color="auto"/>
        <w:left w:val="none" w:sz="0" w:space="0" w:color="auto"/>
        <w:bottom w:val="none" w:sz="0" w:space="0" w:color="auto"/>
        <w:right w:val="none" w:sz="0" w:space="0" w:color="auto"/>
      </w:divBdr>
    </w:div>
    <w:div w:id="1997878683">
      <w:bodyDiv w:val="1"/>
      <w:marLeft w:val="0"/>
      <w:marRight w:val="0"/>
      <w:marTop w:val="0"/>
      <w:marBottom w:val="0"/>
      <w:divBdr>
        <w:top w:val="none" w:sz="0" w:space="0" w:color="auto"/>
        <w:left w:val="none" w:sz="0" w:space="0" w:color="auto"/>
        <w:bottom w:val="none" w:sz="0" w:space="0" w:color="auto"/>
        <w:right w:val="none" w:sz="0" w:space="0" w:color="auto"/>
      </w:divBdr>
    </w:div>
    <w:div w:id="2058426750">
      <w:bodyDiv w:val="1"/>
      <w:marLeft w:val="0"/>
      <w:marRight w:val="0"/>
      <w:marTop w:val="0"/>
      <w:marBottom w:val="0"/>
      <w:divBdr>
        <w:top w:val="none" w:sz="0" w:space="0" w:color="auto"/>
        <w:left w:val="none" w:sz="0" w:space="0" w:color="auto"/>
        <w:bottom w:val="none" w:sz="0" w:space="0" w:color="auto"/>
        <w:right w:val="none" w:sz="0" w:space="0" w:color="auto"/>
      </w:divBdr>
      <w:divsChild>
        <w:div w:id="153421717">
          <w:marLeft w:val="0"/>
          <w:marRight w:val="0"/>
          <w:marTop w:val="0"/>
          <w:marBottom w:val="0"/>
          <w:divBdr>
            <w:top w:val="none" w:sz="0" w:space="0" w:color="auto"/>
            <w:left w:val="none" w:sz="0" w:space="0" w:color="auto"/>
            <w:bottom w:val="none" w:sz="0" w:space="0" w:color="auto"/>
            <w:right w:val="none" w:sz="0" w:space="0" w:color="auto"/>
          </w:divBdr>
          <w:divsChild>
            <w:div w:id="543834947">
              <w:marLeft w:val="0"/>
              <w:marRight w:val="0"/>
              <w:marTop w:val="0"/>
              <w:marBottom w:val="0"/>
              <w:divBdr>
                <w:top w:val="none" w:sz="0" w:space="0" w:color="auto"/>
                <w:left w:val="none" w:sz="0" w:space="0" w:color="auto"/>
                <w:bottom w:val="none" w:sz="0" w:space="0" w:color="auto"/>
                <w:right w:val="none" w:sz="0" w:space="0" w:color="auto"/>
              </w:divBdr>
              <w:divsChild>
                <w:div w:id="342125700">
                  <w:marLeft w:val="0"/>
                  <w:marRight w:val="0"/>
                  <w:marTop w:val="0"/>
                  <w:marBottom w:val="0"/>
                  <w:divBdr>
                    <w:top w:val="none" w:sz="0" w:space="0" w:color="auto"/>
                    <w:left w:val="none" w:sz="0" w:space="0" w:color="auto"/>
                    <w:bottom w:val="none" w:sz="0" w:space="0" w:color="auto"/>
                    <w:right w:val="none" w:sz="0" w:space="0" w:color="auto"/>
                  </w:divBdr>
                  <w:divsChild>
                    <w:div w:id="1419404005">
                      <w:marLeft w:val="0"/>
                      <w:marRight w:val="0"/>
                      <w:marTop w:val="0"/>
                      <w:marBottom w:val="0"/>
                      <w:divBdr>
                        <w:top w:val="none" w:sz="0" w:space="0" w:color="auto"/>
                        <w:left w:val="none" w:sz="0" w:space="0" w:color="auto"/>
                        <w:bottom w:val="none" w:sz="0" w:space="0" w:color="auto"/>
                        <w:right w:val="none" w:sz="0" w:space="0" w:color="auto"/>
                      </w:divBdr>
                      <w:divsChild>
                        <w:div w:id="1799953365">
                          <w:marLeft w:val="0"/>
                          <w:marRight w:val="0"/>
                          <w:marTop w:val="0"/>
                          <w:marBottom w:val="0"/>
                          <w:divBdr>
                            <w:top w:val="none" w:sz="0" w:space="0" w:color="auto"/>
                            <w:left w:val="none" w:sz="0" w:space="0" w:color="auto"/>
                            <w:bottom w:val="none" w:sz="0" w:space="0" w:color="auto"/>
                            <w:right w:val="none" w:sz="0" w:space="0" w:color="auto"/>
                          </w:divBdr>
                          <w:divsChild>
                            <w:div w:id="17198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461349">
          <w:marLeft w:val="0"/>
          <w:marRight w:val="0"/>
          <w:marTop w:val="0"/>
          <w:marBottom w:val="0"/>
          <w:divBdr>
            <w:top w:val="single" w:sz="6" w:space="0" w:color="FFFFFF"/>
            <w:left w:val="none" w:sz="0" w:space="0" w:color="auto"/>
            <w:bottom w:val="single" w:sz="48" w:space="0" w:color="FFFFFF"/>
            <w:right w:val="none" w:sz="0" w:space="0" w:color="auto"/>
          </w:divBdr>
          <w:divsChild>
            <w:div w:id="1686205649">
              <w:marLeft w:val="0"/>
              <w:marRight w:val="0"/>
              <w:marTop w:val="0"/>
              <w:marBottom w:val="0"/>
              <w:divBdr>
                <w:top w:val="single" w:sz="6" w:space="0" w:color="D1D1D1"/>
                <w:left w:val="single" w:sz="6" w:space="0" w:color="D1D1D1"/>
                <w:bottom w:val="single" w:sz="6" w:space="0" w:color="D1D1D1"/>
                <w:right w:val="single" w:sz="6" w:space="0" w:color="D1D1D1"/>
              </w:divBdr>
              <w:divsChild>
                <w:div w:id="1336494935">
                  <w:marLeft w:val="0"/>
                  <w:marRight w:val="0"/>
                  <w:marTop w:val="0"/>
                  <w:marBottom w:val="0"/>
                  <w:divBdr>
                    <w:top w:val="none" w:sz="0" w:space="0" w:color="auto"/>
                    <w:left w:val="none" w:sz="0" w:space="0" w:color="auto"/>
                    <w:bottom w:val="none" w:sz="0" w:space="0" w:color="auto"/>
                    <w:right w:val="none" w:sz="0" w:space="0" w:color="auto"/>
                  </w:divBdr>
                  <w:divsChild>
                    <w:div w:id="371542170">
                      <w:marLeft w:val="0"/>
                      <w:marRight w:val="0"/>
                      <w:marTop w:val="0"/>
                      <w:marBottom w:val="0"/>
                      <w:divBdr>
                        <w:top w:val="none" w:sz="0" w:space="0" w:color="auto"/>
                        <w:left w:val="none" w:sz="0" w:space="0" w:color="auto"/>
                        <w:bottom w:val="none" w:sz="0" w:space="0" w:color="auto"/>
                        <w:right w:val="none" w:sz="0" w:space="0" w:color="auto"/>
                      </w:divBdr>
                      <w:divsChild>
                        <w:div w:id="832795176">
                          <w:marLeft w:val="0"/>
                          <w:marRight w:val="0"/>
                          <w:marTop w:val="0"/>
                          <w:marBottom w:val="0"/>
                          <w:divBdr>
                            <w:top w:val="single" w:sz="36" w:space="0" w:color="FFFFFF"/>
                            <w:left w:val="single" w:sz="48" w:space="0" w:color="FFFFFF"/>
                            <w:bottom w:val="single" w:sz="36" w:space="0" w:color="FFFFFF"/>
                            <w:right w:val="single" w:sz="48" w:space="0" w:color="FFFFFF"/>
                          </w:divBdr>
                        </w:div>
                      </w:divsChild>
                    </w:div>
                  </w:divsChild>
                </w:div>
              </w:divsChild>
            </w:div>
          </w:divsChild>
        </w:div>
      </w:divsChild>
    </w:div>
    <w:div w:id="2120642693">
      <w:bodyDiv w:val="1"/>
      <w:marLeft w:val="0"/>
      <w:marRight w:val="0"/>
      <w:marTop w:val="0"/>
      <w:marBottom w:val="0"/>
      <w:divBdr>
        <w:top w:val="none" w:sz="0" w:space="0" w:color="auto"/>
        <w:left w:val="none" w:sz="0" w:space="0" w:color="auto"/>
        <w:bottom w:val="none" w:sz="0" w:space="0" w:color="auto"/>
        <w:right w:val="none" w:sz="0" w:space="0" w:color="auto"/>
      </w:divBdr>
      <w:divsChild>
        <w:div w:id="851719809">
          <w:marLeft w:val="0"/>
          <w:marRight w:val="0"/>
          <w:marTop w:val="0"/>
          <w:marBottom w:val="0"/>
          <w:divBdr>
            <w:top w:val="none" w:sz="0" w:space="0" w:color="auto"/>
            <w:left w:val="none" w:sz="0" w:space="0" w:color="auto"/>
            <w:bottom w:val="none" w:sz="0" w:space="0" w:color="auto"/>
            <w:right w:val="none" w:sz="0" w:space="0" w:color="auto"/>
          </w:divBdr>
          <w:divsChild>
            <w:div w:id="198133443">
              <w:marLeft w:val="0"/>
              <w:marRight w:val="0"/>
              <w:marTop w:val="0"/>
              <w:marBottom w:val="0"/>
              <w:divBdr>
                <w:top w:val="none" w:sz="0" w:space="0" w:color="auto"/>
                <w:left w:val="none" w:sz="0" w:space="0" w:color="auto"/>
                <w:bottom w:val="none" w:sz="0" w:space="0" w:color="auto"/>
                <w:right w:val="none" w:sz="0" w:space="0" w:color="auto"/>
              </w:divBdr>
              <w:divsChild>
                <w:div w:id="213308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vlaanderen.be/publicaties/regeerakkoord-van-de-vlaamse-regering-2019-2024" TargetMode="External"/><Relationship Id="rId3" Type="http://schemas.openxmlformats.org/officeDocument/2006/relationships/hyperlink" Target="http://www.oecd.org/ctp/model-tax-convention-on-income-and-on-capital-full-version-9a5b369e-en.htm" TargetMode="External"/><Relationship Id="rId7" Type="http://schemas.openxmlformats.org/officeDocument/2006/relationships/hyperlink" Target="https://www.vademecumvlaamseregering.be/entity.aspx?id=123" TargetMode="External"/><Relationship Id="rId2" Type="http://schemas.openxmlformats.org/officeDocument/2006/relationships/hyperlink" Target="http://www.raadvanstate.be" TargetMode="External"/><Relationship Id="rId1" Type="http://schemas.openxmlformats.org/officeDocument/2006/relationships/hyperlink" Target="http://www.raadvanstate.be/?action=doc&amp;doc=1069" TargetMode="External"/><Relationship Id="rId6" Type="http://schemas.openxmlformats.org/officeDocument/2006/relationships/hyperlink" Target="https://www.vlaamsparlement.be/over-het-vlaams-parlement/statistieken-en-jaarverslagen" TargetMode="External"/><Relationship Id="rId5" Type="http://schemas.openxmlformats.org/officeDocument/2006/relationships/hyperlink" Target="http://juspoliticum.com/article/Treaty-Powers-of-Federated-States-and-International-Law-1117.html" TargetMode="External"/><Relationship Id="rId10" Type="http://schemas.openxmlformats.org/officeDocument/2006/relationships/hyperlink" Target="http://reflex.raadvst-consetat.be/reflex/" TargetMode="External"/><Relationship Id="rId4" Type="http://schemas.openxmlformats.org/officeDocument/2006/relationships/hyperlink" Target="http://juspoliticum.com/auteur/hugo-cyr-868.html" TargetMode="External"/><Relationship Id="rId9" Type="http://schemas.openxmlformats.org/officeDocument/2006/relationships/hyperlink" Target="https://treaties.un.org/Pages/Home.aspx?lang=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D0A011-1A20-4E63-9FEE-88D30214E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13196</Words>
  <Characters>72580</Characters>
  <Application>Microsoft Office Word</Application>
  <DocSecurity>0</DocSecurity>
  <Lines>604</Lines>
  <Paragraphs>171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85605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Dries Van Eeckhoutte</dc:creator>
  <cp:lastModifiedBy>Tim Corthaut</cp:lastModifiedBy>
  <cp:revision>2</cp:revision>
  <cp:lastPrinted>2020-04-06T08:09:00Z</cp:lastPrinted>
  <dcterms:created xsi:type="dcterms:W3CDTF">2020-04-15T11:51:00Z</dcterms:created>
  <dcterms:modified xsi:type="dcterms:W3CDTF">2020-04-15T11:51:00Z</dcterms:modified>
</cp:coreProperties>
</file>