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77FE3" w14:textId="5A40F84F" w:rsidR="00C27F05" w:rsidRPr="0001496F" w:rsidRDefault="00C27F05" w:rsidP="0001496F">
      <w:pPr>
        <w:jc w:val="center"/>
        <w:outlineLvl w:val="0"/>
        <w:rPr>
          <w:rFonts w:ascii="Times New Roman" w:hAnsi="Times New Roman" w:cs="Times New Roman"/>
          <w:b/>
          <w:u w:val="single"/>
        </w:rPr>
      </w:pPr>
      <w:r w:rsidRPr="0001496F">
        <w:rPr>
          <w:rFonts w:ascii="Times New Roman" w:hAnsi="Times New Roman" w:cs="Times New Roman"/>
          <w:b/>
        </w:rPr>
        <w:t>Collaborateurs de justice ou repentis en droit pénal belge</w:t>
      </w:r>
    </w:p>
    <w:p w14:paraId="1931F47E" w14:textId="77777777" w:rsidR="00C27F05" w:rsidRPr="0001496F" w:rsidRDefault="00C27F05" w:rsidP="0001496F">
      <w:pPr>
        <w:jc w:val="both"/>
        <w:outlineLvl w:val="0"/>
        <w:rPr>
          <w:rFonts w:ascii="Times New Roman" w:hAnsi="Times New Roman" w:cs="Times New Roman"/>
          <w:b/>
          <w:u w:val="single"/>
        </w:rPr>
      </w:pPr>
    </w:p>
    <w:p w14:paraId="2C7D5520" w14:textId="77777777" w:rsidR="00C27F05" w:rsidRPr="0001496F" w:rsidRDefault="00C27F05" w:rsidP="0001496F">
      <w:pPr>
        <w:jc w:val="both"/>
        <w:outlineLvl w:val="0"/>
        <w:rPr>
          <w:rFonts w:ascii="Times New Roman" w:hAnsi="Times New Roman" w:cs="Times New Roman"/>
          <w:b/>
          <w:u w:val="single"/>
        </w:rPr>
      </w:pPr>
      <w:r w:rsidRPr="0001496F">
        <w:rPr>
          <w:rFonts w:ascii="Times New Roman" w:hAnsi="Times New Roman" w:cs="Times New Roman"/>
          <w:b/>
          <w:u w:val="single"/>
        </w:rPr>
        <w:t>Introduction générale</w:t>
      </w:r>
    </w:p>
    <w:p w14:paraId="5F376DD0" w14:textId="77777777" w:rsidR="00C27F05" w:rsidRPr="0001496F" w:rsidRDefault="00C27F05" w:rsidP="0001496F">
      <w:pPr>
        <w:jc w:val="both"/>
        <w:rPr>
          <w:rFonts w:ascii="Times New Roman" w:hAnsi="Times New Roman" w:cs="Times New Roman"/>
          <w:b/>
          <w:u w:val="single"/>
        </w:rPr>
      </w:pPr>
    </w:p>
    <w:p w14:paraId="03FDE549" w14:textId="6D8DFA74"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Lorsqu’on évoque la figure du « repenti » en Belgique, on vise en général l’auteur d’une infraction pénale qui, en échange d’une collaboration avec les autorités judiciaires, bénéficie d’une récompense de nature pénale, notamment sous la forme d’une réduction ou d’une exemption de peine. </w:t>
      </w:r>
      <w:r w:rsidR="00CC5EBC" w:rsidRPr="0001496F">
        <w:rPr>
          <w:rFonts w:ascii="Times New Roman" w:hAnsi="Times New Roman" w:cs="Times New Roman"/>
        </w:rPr>
        <w:t>L</w:t>
      </w:r>
      <w:r w:rsidRPr="0001496F">
        <w:rPr>
          <w:rFonts w:ascii="Times New Roman" w:hAnsi="Times New Roman" w:cs="Times New Roman"/>
        </w:rPr>
        <w:t>e « deal » conclu dans le souci d’améliorer l’efficacité de la justice pénale dans la découverte, la poursuite et la punition des infractions et de leurs auteurs, fait du suspect, du prévenu ou du condamné concerné un « collaborateur de justice ».</w:t>
      </w:r>
    </w:p>
    <w:p w14:paraId="3E51C137" w14:textId="77777777" w:rsidR="00C27F05" w:rsidRPr="0001496F" w:rsidRDefault="00C27F05" w:rsidP="0001496F">
      <w:pPr>
        <w:jc w:val="both"/>
        <w:rPr>
          <w:rFonts w:ascii="Times New Roman" w:hAnsi="Times New Roman" w:cs="Times New Roman"/>
        </w:rPr>
      </w:pPr>
    </w:p>
    <w:p w14:paraId="616E2E73" w14:textId="2A982763"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Ce dernier terme peut toutefois prêter à confusion. Si le repenti est bien un « collaborateur de justice », il n’épuise pas la notion. Au niveau policier, on trouve ainsi d’autres « collaborateurs de justice », comme les « indicateurs » ou « informateurs » qui peuvent également bénéficier de certains avantages personnels en échange de services rendus à la police. Mais même si des recoupements peuvent exister entre ces deux modes de collaboration parfois assez proches, des différences importantes les séparent : le statut pénal de la personne concernée n’est pas nécessairement le même, la négociation ne se déroule pas entre les mêmes acteurs, elle n’a pas toujours le même objectif et le jeu des récompenses ne se déploie pas de la même manière. </w:t>
      </w:r>
    </w:p>
    <w:p w14:paraId="5AF8D8F4" w14:textId="77777777" w:rsidR="00C27F05" w:rsidRPr="0001496F" w:rsidRDefault="00C27F05" w:rsidP="0001496F">
      <w:pPr>
        <w:jc w:val="both"/>
        <w:rPr>
          <w:rFonts w:ascii="Times New Roman" w:hAnsi="Times New Roman" w:cs="Times New Roman"/>
        </w:rPr>
      </w:pPr>
    </w:p>
    <w:p w14:paraId="17A7E70E" w14:textId="011900E5"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L’objet de la présente contribution porte donc bien sur ce type particulier de collaborateur de </w:t>
      </w:r>
      <w:proofErr w:type="gramStart"/>
      <w:r w:rsidRPr="0001496F">
        <w:rPr>
          <w:rFonts w:ascii="Times New Roman" w:hAnsi="Times New Roman" w:cs="Times New Roman"/>
        </w:rPr>
        <w:t>justice</w:t>
      </w:r>
      <w:proofErr w:type="gramEnd"/>
      <w:r w:rsidRPr="0001496F">
        <w:rPr>
          <w:rFonts w:ascii="Times New Roman" w:hAnsi="Times New Roman" w:cs="Times New Roman"/>
        </w:rPr>
        <w:t xml:space="preserve"> qu’est le repenti. Si cette figure particulière fait l’objet depuis longtemps d’un intérêt certain aux </w:t>
      </w:r>
      <w:r w:rsidR="00403177" w:rsidRPr="0001496F">
        <w:rPr>
          <w:rFonts w:ascii="Times New Roman" w:hAnsi="Times New Roman" w:cs="Times New Roman"/>
        </w:rPr>
        <w:t>É</w:t>
      </w:r>
      <w:r w:rsidRPr="0001496F">
        <w:rPr>
          <w:rFonts w:ascii="Times New Roman" w:hAnsi="Times New Roman" w:cs="Times New Roman"/>
        </w:rPr>
        <w:t>tats-Unis, pays marqué par une conception traditionnellement utilitariste de la justice pénale et dès lors plus ouverte à des formes de marchandage, elle n’a fait que plus tardivement l’objet d’une régulation juridique en Europe.</w:t>
      </w:r>
    </w:p>
    <w:p w14:paraId="1F57B278" w14:textId="77777777" w:rsidR="00C27F05" w:rsidRPr="0001496F" w:rsidRDefault="00C27F05" w:rsidP="0001496F">
      <w:pPr>
        <w:jc w:val="both"/>
        <w:rPr>
          <w:rFonts w:ascii="Times New Roman" w:hAnsi="Times New Roman" w:cs="Times New Roman"/>
        </w:rPr>
      </w:pPr>
    </w:p>
    <w:p w14:paraId="026669C8" w14:textId="0303CF5D" w:rsidR="00B244F2" w:rsidRPr="0001496F" w:rsidRDefault="00C27F05" w:rsidP="0001496F">
      <w:pPr>
        <w:jc w:val="both"/>
        <w:rPr>
          <w:rFonts w:ascii="Times New Roman" w:hAnsi="Times New Roman" w:cs="Times New Roman"/>
        </w:rPr>
      </w:pPr>
      <w:r w:rsidRPr="0001496F">
        <w:rPr>
          <w:rFonts w:ascii="Times New Roman" w:hAnsi="Times New Roman" w:cs="Times New Roman"/>
        </w:rPr>
        <w:t>En Belgique, un « droit des repentis » n’est réellement envisagé qu’à</w:t>
      </w:r>
      <w:r w:rsidR="00B073BA" w:rsidRPr="0001496F">
        <w:rPr>
          <w:rFonts w:ascii="Times New Roman" w:hAnsi="Times New Roman" w:cs="Times New Roman"/>
        </w:rPr>
        <w:t xml:space="preserve"> </w:t>
      </w:r>
      <w:r w:rsidRPr="0001496F">
        <w:rPr>
          <w:rFonts w:ascii="Times New Roman" w:hAnsi="Times New Roman" w:cs="Times New Roman"/>
        </w:rPr>
        <w:t>la fin des années 1990, sous l’effet d’une prise d</w:t>
      </w:r>
      <w:bookmarkStart w:id="0" w:name="_GoBack"/>
      <w:bookmarkEnd w:id="0"/>
      <w:r w:rsidRPr="0001496F">
        <w:rPr>
          <w:rFonts w:ascii="Times New Roman" w:hAnsi="Times New Roman" w:cs="Times New Roman"/>
        </w:rPr>
        <w:t xml:space="preserve">e conscience de son utilité dans la lutte contre le grand banditisme et le terrorisme. Il faudra néanmoins attendre une loi du 22 juillet 2018 sur les </w:t>
      </w:r>
      <w:r w:rsidR="00B244F2" w:rsidRPr="0001496F">
        <w:rPr>
          <w:rFonts w:ascii="Times New Roman" w:hAnsi="Times New Roman" w:cs="Times New Roman"/>
        </w:rPr>
        <w:t>collaborateurs de justice ou « </w:t>
      </w:r>
      <w:r w:rsidRPr="0001496F">
        <w:rPr>
          <w:rFonts w:ascii="Times New Roman" w:hAnsi="Times New Roman" w:cs="Times New Roman"/>
        </w:rPr>
        <w:t>repentis</w:t>
      </w:r>
      <w:r w:rsidR="00B244F2" w:rsidRPr="0001496F">
        <w:rPr>
          <w:rFonts w:ascii="Times New Roman" w:hAnsi="Times New Roman" w:cs="Times New Roman"/>
        </w:rPr>
        <w:t> »</w:t>
      </w:r>
      <w:r w:rsidRPr="0001496F">
        <w:rPr>
          <w:rFonts w:ascii="Times New Roman" w:hAnsi="Times New Roman" w:cs="Times New Roman"/>
        </w:rPr>
        <w:t xml:space="preserve"> pour qu’émerge un dispositif légal consacrant et entourant des pratiques de négociation, dont il reste difficile de savoir si elles existaient de manière informelle derrière d’autres dispositifs (classement sans suite, transaction pénale, suspension du prononcé de la peine…) avant la loi. </w:t>
      </w:r>
    </w:p>
    <w:p w14:paraId="2DF4DC5F" w14:textId="77777777" w:rsidR="00B244F2" w:rsidRPr="0001496F" w:rsidRDefault="00B244F2" w:rsidP="0001496F">
      <w:pPr>
        <w:jc w:val="both"/>
        <w:rPr>
          <w:rFonts w:ascii="Times New Roman" w:hAnsi="Times New Roman" w:cs="Times New Roman"/>
        </w:rPr>
      </w:pPr>
    </w:p>
    <w:p w14:paraId="25B703A1" w14:textId="5037123C"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Nous proposons de revenir </w:t>
      </w:r>
      <w:r w:rsidR="00B244F2" w:rsidRPr="0001496F">
        <w:rPr>
          <w:rFonts w:ascii="Times New Roman" w:hAnsi="Times New Roman" w:cs="Times New Roman"/>
        </w:rPr>
        <w:t xml:space="preserve">ici </w:t>
      </w:r>
      <w:r w:rsidRPr="0001496F">
        <w:rPr>
          <w:rFonts w:ascii="Times New Roman" w:hAnsi="Times New Roman" w:cs="Times New Roman"/>
        </w:rPr>
        <w:t>sur les différentes étapes sociohistoriques ayant conduit à l’élaboration de ce « droit des repentis » (1), avant d’analyser la loi</w:t>
      </w:r>
      <w:r w:rsidR="00B073BA" w:rsidRPr="0001496F">
        <w:rPr>
          <w:rFonts w:ascii="Times New Roman" w:hAnsi="Times New Roman" w:cs="Times New Roman"/>
        </w:rPr>
        <w:t xml:space="preserve"> </w:t>
      </w:r>
      <w:r w:rsidRPr="0001496F">
        <w:rPr>
          <w:rFonts w:ascii="Times New Roman" w:hAnsi="Times New Roman" w:cs="Times New Roman"/>
        </w:rPr>
        <w:t xml:space="preserve">du </w:t>
      </w:r>
      <w:r w:rsidR="00A961BE" w:rsidRPr="0001496F">
        <w:rPr>
          <w:rFonts w:ascii="Times New Roman" w:hAnsi="Times New Roman" w:cs="Times New Roman"/>
        </w:rPr>
        <w:t>22 juillet</w:t>
      </w:r>
      <w:r w:rsidRPr="0001496F">
        <w:rPr>
          <w:rFonts w:ascii="Times New Roman" w:hAnsi="Times New Roman" w:cs="Times New Roman"/>
        </w:rPr>
        <w:t xml:space="preserve"> 2018 qui le consacre (2), d’envisager les quelques cas d’application jurisprudentielle auxquelles la loi a pu donner lieu (3) et d’examiner la conformité de la loi belge à l’article 16 de la Directive 541/2017/EU</w:t>
      </w:r>
      <w:r w:rsidR="00CC5EBC" w:rsidRPr="0001496F">
        <w:rPr>
          <w:rFonts w:ascii="Times New Roman" w:hAnsi="Times New Roman" w:cs="Times New Roman"/>
        </w:rPr>
        <w:t xml:space="preserve"> (4)</w:t>
      </w:r>
      <w:r w:rsidRPr="0001496F">
        <w:rPr>
          <w:rFonts w:ascii="Times New Roman" w:hAnsi="Times New Roman" w:cs="Times New Roman"/>
        </w:rPr>
        <w:t xml:space="preserve">. </w:t>
      </w:r>
    </w:p>
    <w:p w14:paraId="7912FD2B" w14:textId="77777777" w:rsidR="00C27F05" w:rsidRPr="0001496F" w:rsidRDefault="00C27F05" w:rsidP="0001496F">
      <w:pPr>
        <w:jc w:val="both"/>
        <w:rPr>
          <w:rFonts w:ascii="Times New Roman" w:hAnsi="Times New Roman" w:cs="Times New Roman"/>
          <w:b/>
          <w:u w:val="single"/>
        </w:rPr>
      </w:pPr>
    </w:p>
    <w:p w14:paraId="688757F9" w14:textId="77777777" w:rsidR="00C27F05" w:rsidRPr="0001496F" w:rsidRDefault="00C27F05" w:rsidP="0001496F">
      <w:pPr>
        <w:jc w:val="both"/>
        <w:outlineLvl w:val="0"/>
        <w:rPr>
          <w:rFonts w:ascii="Times New Roman" w:hAnsi="Times New Roman" w:cs="Times New Roman"/>
          <w:b/>
          <w:u w:val="single"/>
        </w:rPr>
      </w:pPr>
      <w:r w:rsidRPr="0001496F">
        <w:rPr>
          <w:rFonts w:ascii="Times New Roman" w:hAnsi="Times New Roman" w:cs="Times New Roman"/>
          <w:b/>
          <w:u w:val="single"/>
        </w:rPr>
        <w:t>1. Historique : l’émergence d’un droit des collaborateurs de justice ou « repentis » en Belgique</w:t>
      </w:r>
    </w:p>
    <w:p w14:paraId="2B46E751" w14:textId="77777777" w:rsidR="00C27F05" w:rsidRPr="0001496F" w:rsidRDefault="00C27F05" w:rsidP="0001496F">
      <w:pPr>
        <w:jc w:val="both"/>
        <w:rPr>
          <w:rFonts w:ascii="Times New Roman" w:hAnsi="Times New Roman" w:cs="Times New Roman"/>
          <w:b/>
          <w:u w:val="single"/>
        </w:rPr>
      </w:pPr>
    </w:p>
    <w:p w14:paraId="5A24CB91" w14:textId="77777777" w:rsidR="00C27F05" w:rsidRPr="0001496F" w:rsidRDefault="00C27F05" w:rsidP="0001496F">
      <w:pPr>
        <w:jc w:val="both"/>
        <w:rPr>
          <w:rFonts w:ascii="Times New Roman" w:hAnsi="Times New Roman" w:cs="Times New Roman"/>
        </w:rPr>
      </w:pPr>
      <w:r w:rsidRPr="0001496F">
        <w:rPr>
          <w:rFonts w:ascii="Times New Roman" w:hAnsi="Times New Roman" w:cs="Times New Roman"/>
        </w:rPr>
        <w:t>1.1. L’évolution législative et son contexte historique</w:t>
      </w:r>
    </w:p>
    <w:p w14:paraId="50A25BE8" w14:textId="77777777" w:rsidR="00C27F05" w:rsidRPr="0001496F" w:rsidRDefault="00C27F05" w:rsidP="0001496F">
      <w:pPr>
        <w:jc w:val="both"/>
        <w:rPr>
          <w:rFonts w:ascii="Times New Roman" w:hAnsi="Times New Roman" w:cs="Times New Roman"/>
        </w:rPr>
      </w:pPr>
    </w:p>
    <w:p w14:paraId="7FACB223" w14:textId="77777777" w:rsidR="00C27F05" w:rsidRPr="0001496F" w:rsidRDefault="00C27F05" w:rsidP="0001496F">
      <w:pPr>
        <w:jc w:val="both"/>
        <w:rPr>
          <w:rFonts w:ascii="Times New Roman" w:hAnsi="Times New Roman" w:cs="Times New Roman"/>
        </w:rPr>
      </w:pPr>
      <w:r w:rsidRPr="0001496F">
        <w:rPr>
          <w:rFonts w:ascii="Times New Roman" w:hAnsi="Times New Roman" w:cs="Times New Roman"/>
        </w:rPr>
        <w:t>1.1.1. Des pratiques informelles aux premières consécrations formelles partielles</w:t>
      </w:r>
    </w:p>
    <w:p w14:paraId="1F3AE745" w14:textId="77777777" w:rsidR="00C27F05" w:rsidRPr="0001496F" w:rsidRDefault="00C27F05" w:rsidP="0001496F">
      <w:pPr>
        <w:jc w:val="both"/>
        <w:rPr>
          <w:rFonts w:ascii="Times New Roman" w:hAnsi="Times New Roman" w:cs="Times New Roman"/>
          <w:i/>
        </w:rPr>
      </w:pPr>
    </w:p>
    <w:p w14:paraId="1C9DF001" w14:textId="7615D480" w:rsidR="004A7AE3" w:rsidRPr="0001496F" w:rsidRDefault="00491B80" w:rsidP="0001496F">
      <w:pPr>
        <w:jc w:val="both"/>
        <w:rPr>
          <w:rFonts w:ascii="Times New Roman" w:hAnsi="Times New Roman" w:cs="Times New Roman"/>
        </w:rPr>
      </w:pPr>
      <w:r w:rsidRPr="0001496F">
        <w:rPr>
          <w:rFonts w:ascii="Times New Roman" w:hAnsi="Times New Roman" w:cs="Times New Roman"/>
        </w:rPr>
        <w:t>1.1.1.</w:t>
      </w:r>
      <w:r w:rsidR="004A7AE3" w:rsidRPr="0001496F">
        <w:rPr>
          <w:rFonts w:ascii="Times New Roman" w:hAnsi="Times New Roman" w:cs="Times New Roman"/>
        </w:rPr>
        <w:t xml:space="preserve">1. </w:t>
      </w:r>
      <w:r w:rsidRPr="0001496F">
        <w:rPr>
          <w:rFonts w:ascii="Times New Roman" w:hAnsi="Times New Roman" w:cs="Times New Roman"/>
        </w:rPr>
        <w:t>Le</w:t>
      </w:r>
      <w:r w:rsidR="004A7AE3" w:rsidRPr="0001496F">
        <w:rPr>
          <w:rFonts w:ascii="Times New Roman" w:hAnsi="Times New Roman" w:cs="Times New Roman"/>
        </w:rPr>
        <w:t xml:space="preserve"> pouvoir </w:t>
      </w:r>
      <w:r w:rsidRPr="0001496F">
        <w:rPr>
          <w:rFonts w:ascii="Times New Roman" w:hAnsi="Times New Roman" w:cs="Times New Roman"/>
        </w:rPr>
        <w:t>informel de négociation</w:t>
      </w:r>
      <w:r w:rsidR="00CC5EBC" w:rsidRPr="0001496F">
        <w:rPr>
          <w:rFonts w:ascii="Times New Roman" w:hAnsi="Times New Roman" w:cs="Times New Roman"/>
        </w:rPr>
        <w:t xml:space="preserve"> du m</w:t>
      </w:r>
      <w:r w:rsidR="004A7AE3" w:rsidRPr="0001496F">
        <w:rPr>
          <w:rFonts w:ascii="Times New Roman" w:hAnsi="Times New Roman" w:cs="Times New Roman"/>
        </w:rPr>
        <w:t>i</w:t>
      </w:r>
      <w:r w:rsidRPr="0001496F">
        <w:rPr>
          <w:rFonts w:ascii="Times New Roman" w:hAnsi="Times New Roman" w:cs="Times New Roman"/>
        </w:rPr>
        <w:t>nis</w:t>
      </w:r>
      <w:r w:rsidR="00CC5EBC" w:rsidRPr="0001496F">
        <w:rPr>
          <w:rFonts w:ascii="Times New Roman" w:hAnsi="Times New Roman" w:cs="Times New Roman"/>
        </w:rPr>
        <w:t>tère p</w:t>
      </w:r>
      <w:r w:rsidR="004A7AE3" w:rsidRPr="0001496F">
        <w:rPr>
          <w:rFonts w:ascii="Times New Roman" w:hAnsi="Times New Roman" w:cs="Times New Roman"/>
        </w:rPr>
        <w:t>ublic</w:t>
      </w:r>
      <w:r w:rsidRPr="0001496F">
        <w:rPr>
          <w:rFonts w:ascii="Times New Roman" w:hAnsi="Times New Roman" w:cs="Times New Roman"/>
        </w:rPr>
        <w:t xml:space="preserve"> avec l’auteur d’une infraction</w:t>
      </w:r>
      <w:r w:rsidR="004A7AE3" w:rsidRPr="0001496F">
        <w:rPr>
          <w:rFonts w:ascii="Times New Roman" w:hAnsi="Times New Roman" w:cs="Times New Roman"/>
        </w:rPr>
        <w:t xml:space="preserve"> </w:t>
      </w:r>
    </w:p>
    <w:p w14:paraId="7B2DB888" w14:textId="77777777" w:rsidR="004A7AE3" w:rsidRPr="0001496F" w:rsidRDefault="004A7AE3" w:rsidP="0001496F">
      <w:pPr>
        <w:jc w:val="both"/>
        <w:rPr>
          <w:rFonts w:ascii="Times New Roman" w:hAnsi="Times New Roman" w:cs="Times New Roman"/>
        </w:rPr>
      </w:pPr>
    </w:p>
    <w:p w14:paraId="31C713F7" w14:textId="429AD7C0" w:rsidR="00C27F05" w:rsidRPr="0001496F" w:rsidRDefault="00C27F05" w:rsidP="0001496F">
      <w:pPr>
        <w:jc w:val="both"/>
        <w:rPr>
          <w:rFonts w:ascii="Times New Roman" w:hAnsi="Times New Roman" w:cs="Times New Roman"/>
        </w:rPr>
      </w:pPr>
      <w:r w:rsidRPr="0001496F">
        <w:rPr>
          <w:rFonts w:ascii="Times New Roman" w:hAnsi="Times New Roman" w:cs="Times New Roman"/>
        </w:rPr>
        <w:lastRenderedPageBreak/>
        <w:t>En droit pénal</w:t>
      </w:r>
      <w:r w:rsidR="00F71771" w:rsidRPr="0001496F">
        <w:rPr>
          <w:rFonts w:ascii="Times New Roman" w:hAnsi="Times New Roman" w:cs="Times New Roman"/>
        </w:rPr>
        <w:t xml:space="preserve"> belge, le ministère public</w:t>
      </w:r>
      <w:r w:rsidRPr="0001496F">
        <w:rPr>
          <w:rFonts w:ascii="Times New Roman" w:hAnsi="Times New Roman" w:cs="Times New Roman"/>
        </w:rPr>
        <w:t xml:space="preserve"> bénéficie « compte tenu des directives de politique criminelle », du pouvoir d’opportunité des poursuites (</w:t>
      </w:r>
      <w:r w:rsidR="00CC5EBC" w:rsidRPr="0001496F">
        <w:rPr>
          <w:rFonts w:ascii="Times New Roman" w:hAnsi="Times New Roman" w:cs="Times New Roman"/>
        </w:rPr>
        <w:t xml:space="preserve">C. pén., </w:t>
      </w:r>
      <w:r w:rsidRPr="0001496F">
        <w:rPr>
          <w:rFonts w:ascii="Times New Roman" w:hAnsi="Times New Roman" w:cs="Times New Roman"/>
        </w:rPr>
        <w:t>art. 28</w:t>
      </w:r>
      <w:r w:rsidRPr="0001496F">
        <w:rPr>
          <w:rFonts w:ascii="Times New Roman" w:hAnsi="Times New Roman" w:cs="Times New Roman"/>
          <w:i/>
        </w:rPr>
        <w:t>quater</w:t>
      </w:r>
      <w:r w:rsidRPr="0001496F">
        <w:rPr>
          <w:rFonts w:ascii="Times New Roman" w:hAnsi="Times New Roman" w:cs="Times New Roman"/>
        </w:rPr>
        <w:t>, al.1</w:t>
      </w:r>
      <w:r w:rsidRPr="0001496F">
        <w:rPr>
          <w:rFonts w:ascii="Times New Roman" w:hAnsi="Times New Roman" w:cs="Times New Roman"/>
          <w:vertAlign w:val="superscript"/>
        </w:rPr>
        <w:t>er</w:t>
      </w:r>
      <w:r w:rsidRPr="0001496F">
        <w:rPr>
          <w:rFonts w:ascii="Times New Roman" w:hAnsi="Times New Roman" w:cs="Times New Roman"/>
        </w:rPr>
        <w:t xml:space="preserve">). En vertu de ce pouvoir, le </w:t>
      </w:r>
      <w:r w:rsidR="00F71771" w:rsidRPr="0001496F">
        <w:rPr>
          <w:rFonts w:ascii="Times New Roman" w:hAnsi="Times New Roman" w:cs="Times New Roman"/>
        </w:rPr>
        <w:t>ministère public</w:t>
      </w:r>
      <w:r w:rsidRPr="0001496F">
        <w:rPr>
          <w:rFonts w:ascii="Times New Roman" w:hAnsi="Times New Roman" w:cs="Times New Roman"/>
        </w:rPr>
        <w:t xml:space="preserve"> peut décider de classer sans suite un dossier pénal pour des motifs techniques ou d’opportunité, en motivant ce choix. Rien n’empêche ici </w:t>
      </w:r>
      <w:r w:rsidRPr="0001496F">
        <w:rPr>
          <w:rFonts w:ascii="Times New Roman" w:hAnsi="Times New Roman" w:cs="Times New Roman"/>
          <w:i/>
        </w:rPr>
        <w:t>a priori</w:t>
      </w:r>
      <w:r w:rsidRPr="0001496F">
        <w:rPr>
          <w:rFonts w:ascii="Times New Roman" w:hAnsi="Times New Roman" w:cs="Times New Roman"/>
        </w:rPr>
        <w:t xml:space="preserve"> de penser que le </w:t>
      </w:r>
      <w:r w:rsidR="001315B9" w:rsidRPr="0001496F">
        <w:rPr>
          <w:rFonts w:ascii="Times New Roman" w:hAnsi="Times New Roman" w:cs="Times New Roman"/>
        </w:rPr>
        <w:t>ministère public</w:t>
      </w:r>
      <w:r w:rsidRPr="0001496F">
        <w:rPr>
          <w:rFonts w:ascii="Times New Roman" w:hAnsi="Times New Roman" w:cs="Times New Roman"/>
        </w:rPr>
        <w:t xml:space="preserve"> ne procède à un classement sans suite d’opportunité en « récompense » d’informations données par l’auteur présumé d’une infractio</w:t>
      </w:r>
      <w:r w:rsidR="0019666E" w:rsidRPr="0001496F">
        <w:rPr>
          <w:rFonts w:ascii="Times New Roman" w:hAnsi="Times New Roman" w:cs="Times New Roman"/>
        </w:rPr>
        <w:t>n</w:t>
      </w:r>
      <w:r w:rsidRPr="0001496F">
        <w:rPr>
          <w:rStyle w:val="Appelnotedebasdep"/>
          <w:rFonts w:ascii="Times New Roman" w:hAnsi="Times New Roman" w:cs="Times New Roman"/>
        </w:rPr>
        <w:footnoteReference w:id="1"/>
      </w:r>
      <w:r w:rsidRPr="0001496F">
        <w:rPr>
          <w:rFonts w:ascii="Times New Roman" w:hAnsi="Times New Roman" w:cs="Times New Roman"/>
        </w:rPr>
        <w:t xml:space="preserve">. Néanmoins, aucune directive de politique criminelle publiée </w:t>
      </w:r>
      <w:r w:rsidR="007D2D4F" w:rsidRPr="0001496F">
        <w:rPr>
          <w:rFonts w:ascii="Times New Roman" w:hAnsi="Times New Roman" w:cs="Times New Roman"/>
        </w:rPr>
        <w:t xml:space="preserve">n’a consacré une telle pratique prétorienne, laquelle </w:t>
      </w:r>
      <w:r w:rsidRPr="0001496F">
        <w:rPr>
          <w:rFonts w:ascii="Times New Roman" w:hAnsi="Times New Roman" w:cs="Times New Roman"/>
        </w:rPr>
        <w:t>resterait hasardeuse pour le « collaborateur », soumis tant au caractère provisoire du classement sans suite qu’à la possibilité</w:t>
      </w:r>
      <w:r w:rsidR="00B073BA" w:rsidRPr="0001496F">
        <w:rPr>
          <w:rFonts w:ascii="Times New Roman" w:hAnsi="Times New Roman" w:cs="Times New Roman"/>
        </w:rPr>
        <w:t xml:space="preserve"> </w:t>
      </w:r>
      <w:r w:rsidRPr="0001496F">
        <w:rPr>
          <w:rFonts w:ascii="Times New Roman" w:hAnsi="Times New Roman" w:cs="Times New Roman"/>
        </w:rPr>
        <w:t xml:space="preserve">de voir l’action publique mise en mouvement par d’autres acteurs que le </w:t>
      </w:r>
      <w:r w:rsidR="001315B9" w:rsidRPr="0001496F">
        <w:rPr>
          <w:rFonts w:ascii="Times New Roman" w:hAnsi="Times New Roman" w:cs="Times New Roman"/>
        </w:rPr>
        <w:t>ministère public</w:t>
      </w:r>
      <w:r w:rsidRPr="0001496F">
        <w:rPr>
          <w:rStyle w:val="Appelnotedebasdep"/>
          <w:rFonts w:ascii="Times New Roman" w:hAnsi="Times New Roman" w:cs="Times New Roman"/>
        </w:rPr>
        <w:footnoteReference w:id="2"/>
      </w:r>
      <w:r w:rsidRPr="0001496F">
        <w:rPr>
          <w:rFonts w:ascii="Times New Roman" w:hAnsi="Times New Roman" w:cs="Times New Roman"/>
        </w:rPr>
        <w:t xml:space="preserve">. </w:t>
      </w:r>
    </w:p>
    <w:p w14:paraId="3D55B2AA" w14:textId="77777777" w:rsidR="00C27F05" w:rsidRPr="0001496F" w:rsidRDefault="00C27F05" w:rsidP="0001496F">
      <w:pPr>
        <w:jc w:val="both"/>
        <w:rPr>
          <w:rFonts w:ascii="Times New Roman" w:hAnsi="Times New Roman" w:cs="Times New Roman"/>
        </w:rPr>
      </w:pPr>
    </w:p>
    <w:p w14:paraId="1BB3E59F" w14:textId="2D1F64A5" w:rsidR="00C27F05" w:rsidRPr="0001496F" w:rsidRDefault="005610A8" w:rsidP="0001496F">
      <w:pPr>
        <w:jc w:val="both"/>
        <w:rPr>
          <w:rFonts w:ascii="Times New Roman" w:hAnsi="Times New Roman" w:cs="Times New Roman"/>
        </w:rPr>
      </w:pPr>
      <w:r w:rsidRPr="0001496F">
        <w:rPr>
          <w:rFonts w:ascii="Times New Roman" w:hAnsi="Times New Roman" w:cs="Times New Roman"/>
        </w:rPr>
        <w:t>Par ailleurs, l</w:t>
      </w:r>
      <w:r w:rsidR="00C27F05" w:rsidRPr="0001496F">
        <w:rPr>
          <w:rFonts w:ascii="Times New Roman" w:hAnsi="Times New Roman" w:cs="Times New Roman"/>
        </w:rPr>
        <w:t xml:space="preserve">e </w:t>
      </w:r>
      <w:r w:rsidR="001315B9" w:rsidRPr="0001496F">
        <w:rPr>
          <w:rFonts w:ascii="Times New Roman" w:hAnsi="Times New Roman" w:cs="Times New Roman"/>
        </w:rPr>
        <w:t>ministère public</w:t>
      </w:r>
      <w:r w:rsidR="00C27F05" w:rsidRPr="0001496F">
        <w:rPr>
          <w:rFonts w:ascii="Times New Roman" w:hAnsi="Times New Roman" w:cs="Times New Roman"/>
        </w:rPr>
        <w:t xml:space="preserve"> a également la possibilité d’éteindre l’action publique en recourant à la procédure de transaction pénale ou de médiation. Dans le cas de la transaction </w:t>
      </w:r>
      <w:r w:rsidR="007D2D4F" w:rsidRPr="0001496F">
        <w:rPr>
          <w:rFonts w:ascii="Times New Roman" w:hAnsi="Times New Roman" w:cs="Times New Roman"/>
        </w:rPr>
        <w:t>(</w:t>
      </w:r>
      <w:r w:rsidR="00DC173B" w:rsidRPr="0001496F">
        <w:rPr>
          <w:rFonts w:ascii="Times New Roman" w:hAnsi="Times New Roman" w:cs="Times New Roman"/>
        </w:rPr>
        <w:t xml:space="preserve">C. i. cr., art. </w:t>
      </w:r>
      <w:r w:rsidR="00C27F05" w:rsidRPr="0001496F">
        <w:rPr>
          <w:rFonts w:ascii="Times New Roman" w:hAnsi="Times New Roman" w:cs="Times New Roman"/>
        </w:rPr>
        <w:t>216</w:t>
      </w:r>
      <w:r w:rsidR="00C27F05" w:rsidRPr="0001496F">
        <w:rPr>
          <w:rFonts w:ascii="Times New Roman" w:hAnsi="Times New Roman" w:cs="Times New Roman"/>
          <w:i/>
        </w:rPr>
        <w:t>bis</w:t>
      </w:r>
      <w:r w:rsidR="007D2D4F" w:rsidRPr="0001496F">
        <w:rPr>
          <w:rFonts w:ascii="Times New Roman" w:hAnsi="Times New Roman" w:cs="Times New Roman"/>
        </w:rPr>
        <w:t>)</w:t>
      </w:r>
      <w:r w:rsidR="00C27F05" w:rsidRPr="0001496F">
        <w:rPr>
          <w:rFonts w:ascii="Times New Roman" w:hAnsi="Times New Roman" w:cs="Times New Roman"/>
        </w:rPr>
        <w:t>,</w:t>
      </w:r>
      <w:r w:rsidR="00B073BA" w:rsidRPr="0001496F">
        <w:rPr>
          <w:rFonts w:ascii="Times New Roman" w:hAnsi="Times New Roman" w:cs="Times New Roman"/>
        </w:rPr>
        <w:t xml:space="preserve"> </w:t>
      </w:r>
      <w:r w:rsidR="00C27F05" w:rsidRPr="0001496F">
        <w:rPr>
          <w:rFonts w:ascii="Times New Roman" w:hAnsi="Times New Roman" w:cs="Times New Roman"/>
        </w:rPr>
        <w:t xml:space="preserve">le </w:t>
      </w:r>
      <w:r w:rsidR="001315B9" w:rsidRPr="0001496F">
        <w:rPr>
          <w:rFonts w:ascii="Times New Roman" w:hAnsi="Times New Roman" w:cs="Times New Roman"/>
        </w:rPr>
        <w:t>ministère public</w:t>
      </w:r>
      <w:r w:rsidR="00C27F05" w:rsidRPr="0001496F">
        <w:rPr>
          <w:rFonts w:ascii="Times New Roman" w:hAnsi="Times New Roman" w:cs="Times New Roman"/>
        </w:rPr>
        <w:t xml:space="preserve"> propose, dans certains cas et à certaines conditions, à l’auteur présumé d’une infraction d’éteindre l’action publique moyennant le paiement d’une somme d’arg</w:t>
      </w:r>
      <w:r w:rsidR="007206E8" w:rsidRPr="0001496F">
        <w:rPr>
          <w:rFonts w:ascii="Times New Roman" w:hAnsi="Times New Roman" w:cs="Times New Roman"/>
        </w:rPr>
        <w:t>ent. Rien n’empêche</w:t>
      </w:r>
      <w:r w:rsidR="00C27F05" w:rsidRPr="0001496F">
        <w:rPr>
          <w:rFonts w:ascii="Times New Roman" w:hAnsi="Times New Roman" w:cs="Times New Roman"/>
        </w:rPr>
        <w:t xml:space="preserve"> d’envisager que la proposition de transaction ne soit accompagnée d’une demande informelle d’informations</w:t>
      </w:r>
      <w:r w:rsidR="007D2D4F" w:rsidRPr="0001496F">
        <w:rPr>
          <w:rFonts w:ascii="Times New Roman" w:hAnsi="Times New Roman" w:cs="Times New Roman"/>
        </w:rPr>
        <w:t xml:space="preserve"> et d’une négociation avec l’auteur</w:t>
      </w:r>
      <w:r w:rsidR="0019666E" w:rsidRPr="0001496F">
        <w:rPr>
          <w:rFonts w:ascii="Times New Roman" w:hAnsi="Times New Roman" w:cs="Times New Roman"/>
        </w:rPr>
        <w:t>. La procédure de</w:t>
      </w:r>
      <w:r w:rsidR="00864D5F" w:rsidRPr="0001496F">
        <w:rPr>
          <w:rFonts w:ascii="Times New Roman" w:hAnsi="Times New Roman" w:cs="Times New Roman"/>
        </w:rPr>
        <w:t> médiation permet quant à elle</w:t>
      </w:r>
      <w:r w:rsidR="00C27F05" w:rsidRPr="0001496F">
        <w:rPr>
          <w:rFonts w:ascii="Times New Roman" w:hAnsi="Times New Roman" w:cs="Times New Roman"/>
        </w:rPr>
        <w:t xml:space="preserve"> au </w:t>
      </w:r>
      <w:r w:rsidR="001315B9" w:rsidRPr="0001496F">
        <w:rPr>
          <w:rFonts w:ascii="Times New Roman" w:hAnsi="Times New Roman" w:cs="Times New Roman"/>
        </w:rPr>
        <w:t>ministère public</w:t>
      </w:r>
      <w:r w:rsidR="00C27F05" w:rsidRPr="0001496F">
        <w:rPr>
          <w:rFonts w:ascii="Times New Roman" w:hAnsi="Times New Roman" w:cs="Times New Roman"/>
        </w:rPr>
        <w:t>, de proposer, dans certains cas et à certaines conditions</w:t>
      </w:r>
      <w:r w:rsidR="00C27F05" w:rsidRPr="0001496F">
        <w:rPr>
          <w:rStyle w:val="Appelnotedebasdep"/>
          <w:rFonts w:ascii="Times New Roman" w:hAnsi="Times New Roman" w:cs="Times New Roman"/>
        </w:rPr>
        <w:footnoteReference w:id="3"/>
      </w:r>
      <w:r w:rsidR="00C27F05" w:rsidRPr="0001496F">
        <w:rPr>
          <w:rFonts w:ascii="Times New Roman" w:hAnsi="Times New Roman" w:cs="Times New Roman"/>
        </w:rPr>
        <w:t>, à l’auteur présumé d’une infraction de ne pas le poursuivre ou d’arrêter les poursuites entamées moyennant l’accomplissement par ce dernier</w:t>
      </w:r>
      <w:r w:rsidR="00B073BA" w:rsidRPr="0001496F">
        <w:rPr>
          <w:rFonts w:ascii="Times New Roman" w:hAnsi="Times New Roman" w:cs="Times New Roman"/>
        </w:rPr>
        <w:t xml:space="preserve"> </w:t>
      </w:r>
      <w:r w:rsidR="00C27F05" w:rsidRPr="0001496F">
        <w:rPr>
          <w:rFonts w:ascii="Times New Roman" w:hAnsi="Times New Roman" w:cs="Times New Roman"/>
        </w:rPr>
        <w:t>de certaines mesures, alternatives à une peine (</w:t>
      </w:r>
      <w:r w:rsidR="00DC173B" w:rsidRPr="0001496F">
        <w:rPr>
          <w:rFonts w:ascii="Times New Roman" w:hAnsi="Times New Roman" w:cs="Times New Roman"/>
        </w:rPr>
        <w:t xml:space="preserve">C. i. r., </w:t>
      </w:r>
      <w:r w:rsidR="00C27F05" w:rsidRPr="0001496F">
        <w:rPr>
          <w:rFonts w:ascii="Times New Roman" w:hAnsi="Times New Roman" w:cs="Times New Roman"/>
        </w:rPr>
        <w:t>art. 216</w:t>
      </w:r>
      <w:r w:rsidR="00C27F05" w:rsidRPr="0001496F">
        <w:rPr>
          <w:rFonts w:ascii="Times New Roman" w:hAnsi="Times New Roman" w:cs="Times New Roman"/>
          <w:i/>
        </w:rPr>
        <w:t>ter</w:t>
      </w:r>
      <w:r w:rsidR="00864D5F" w:rsidRPr="0001496F">
        <w:rPr>
          <w:rFonts w:ascii="Times New Roman" w:hAnsi="Times New Roman" w:cs="Times New Roman"/>
        </w:rPr>
        <w:t>). M</w:t>
      </w:r>
      <w:r w:rsidR="00C27F05" w:rsidRPr="0001496F">
        <w:rPr>
          <w:rFonts w:ascii="Times New Roman" w:hAnsi="Times New Roman" w:cs="Times New Roman"/>
        </w:rPr>
        <w:t xml:space="preserve">ême si rien de tel n’est prévu par le texte légal, rien n’empêche le </w:t>
      </w:r>
      <w:r w:rsidR="001315B9" w:rsidRPr="0001496F">
        <w:rPr>
          <w:rFonts w:ascii="Times New Roman" w:hAnsi="Times New Roman" w:cs="Times New Roman"/>
        </w:rPr>
        <w:t>ministère public</w:t>
      </w:r>
      <w:r w:rsidR="00C27F05" w:rsidRPr="0001496F">
        <w:rPr>
          <w:rFonts w:ascii="Times New Roman" w:hAnsi="Times New Roman" w:cs="Times New Roman"/>
        </w:rPr>
        <w:t xml:space="preserve"> de conditionner de manière informelle la proposition de médiation à l’octroi d’informations, faisant alors de la médiation une « récompense » pour collaboration avec la justice. Rien dans la pratique ne permet cependant de soutenir que le parquet recourt à ce type de marchandage dans le cadre d’une proposition de transaction ou de médiation</w:t>
      </w:r>
      <w:r w:rsidR="00C27F05" w:rsidRPr="0001496F">
        <w:rPr>
          <w:rStyle w:val="Appelnotedebasdep"/>
          <w:rFonts w:ascii="Times New Roman" w:hAnsi="Times New Roman" w:cs="Times New Roman"/>
        </w:rPr>
        <w:footnoteReference w:id="4"/>
      </w:r>
      <w:r w:rsidR="00C27F05" w:rsidRPr="0001496F">
        <w:rPr>
          <w:rFonts w:ascii="Times New Roman" w:hAnsi="Times New Roman" w:cs="Times New Roman"/>
        </w:rPr>
        <w:t>. Dans son rapport final déposé en décembre 1998, la Commission parlementaire chargée d’enquêter sur la criminalité organisée en Belgique souligne en tous cas que les parquets nient recourir à de telles pratiques, à l’exception du parquet de Liège reconnaissant « avoir parfois fait l’impasse sur certaines petites infractions »</w:t>
      </w:r>
      <w:r w:rsidR="00C27F05" w:rsidRPr="0001496F">
        <w:rPr>
          <w:rStyle w:val="Appelnotedebasdep"/>
          <w:rFonts w:ascii="Times New Roman" w:hAnsi="Times New Roman" w:cs="Times New Roman"/>
        </w:rPr>
        <w:footnoteReference w:id="5"/>
      </w:r>
      <w:r w:rsidR="00C27F05" w:rsidRPr="0001496F">
        <w:rPr>
          <w:rFonts w:ascii="Times New Roman" w:hAnsi="Times New Roman" w:cs="Times New Roman"/>
        </w:rPr>
        <w:t>.</w:t>
      </w:r>
    </w:p>
    <w:p w14:paraId="5F7CD1A3" w14:textId="77777777" w:rsidR="00C27F05" w:rsidRPr="0001496F" w:rsidRDefault="00C27F05" w:rsidP="0001496F">
      <w:pPr>
        <w:jc w:val="both"/>
        <w:rPr>
          <w:rFonts w:ascii="Times New Roman" w:hAnsi="Times New Roman" w:cs="Times New Roman"/>
        </w:rPr>
      </w:pPr>
    </w:p>
    <w:p w14:paraId="4A8F0F8D" w14:textId="116245AC" w:rsidR="00E83CA2" w:rsidRPr="0001496F" w:rsidRDefault="00E83CA2" w:rsidP="0001496F">
      <w:pPr>
        <w:jc w:val="both"/>
        <w:rPr>
          <w:rFonts w:ascii="Times New Roman" w:hAnsi="Times New Roman" w:cs="Times New Roman"/>
        </w:rPr>
      </w:pPr>
      <w:r w:rsidRPr="0001496F">
        <w:rPr>
          <w:rFonts w:ascii="Times New Roman" w:hAnsi="Times New Roman" w:cs="Times New Roman"/>
        </w:rPr>
        <w:t>1.1.1.2 La cause d’excuse, première forme de récompense en droit pénal belge</w:t>
      </w:r>
    </w:p>
    <w:p w14:paraId="5D0916B9" w14:textId="77777777" w:rsidR="00E83CA2" w:rsidRPr="0001496F" w:rsidRDefault="00E83CA2" w:rsidP="0001496F">
      <w:pPr>
        <w:jc w:val="both"/>
        <w:rPr>
          <w:rFonts w:ascii="Times New Roman" w:hAnsi="Times New Roman" w:cs="Times New Roman"/>
        </w:rPr>
      </w:pPr>
    </w:p>
    <w:p w14:paraId="528341FD" w14:textId="78E48483" w:rsidR="00C27F05" w:rsidRPr="0001496F" w:rsidRDefault="00C27F05" w:rsidP="0001496F">
      <w:pPr>
        <w:jc w:val="both"/>
        <w:rPr>
          <w:rFonts w:ascii="Times New Roman" w:hAnsi="Times New Roman" w:cs="Times New Roman"/>
        </w:rPr>
      </w:pPr>
      <w:r w:rsidRPr="0001496F">
        <w:rPr>
          <w:rFonts w:ascii="Times New Roman" w:hAnsi="Times New Roman" w:cs="Times New Roman"/>
        </w:rPr>
        <w:t>La première consécration formelle d’une récompense pénale pour collaboration avec la justice est introduite en droit pénal belge par le mécanisme de la cause d’excuse. Une cause d’excuse est une circonstance qui, tout en laissant subsister l’infraction, permet au juge</w:t>
      </w:r>
      <w:r w:rsidR="00B073BA" w:rsidRPr="0001496F">
        <w:rPr>
          <w:rFonts w:ascii="Times New Roman" w:hAnsi="Times New Roman" w:cs="Times New Roman"/>
        </w:rPr>
        <w:t xml:space="preserve"> </w:t>
      </w:r>
      <w:r w:rsidRPr="0001496F">
        <w:rPr>
          <w:rFonts w:ascii="Times New Roman" w:hAnsi="Times New Roman" w:cs="Times New Roman"/>
        </w:rPr>
        <w:t xml:space="preserve">de diminuer la peine (cause d’excuse atténuante) ou de </w:t>
      </w:r>
      <w:r w:rsidR="00864D5F" w:rsidRPr="0001496F">
        <w:rPr>
          <w:rFonts w:ascii="Times New Roman" w:hAnsi="Times New Roman" w:cs="Times New Roman"/>
        </w:rPr>
        <w:t>la supprimer</w:t>
      </w:r>
      <w:r w:rsidRPr="0001496F">
        <w:rPr>
          <w:rFonts w:ascii="Times New Roman" w:hAnsi="Times New Roman" w:cs="Times New Roman"/>
        </w:rPr>
        <w:t xml:space="preserve"> (cause d’excuse absolutoire). En droit pénal belge, les causes d’excuses sont légales (c’est</w:t>
      </w:r>
      <w:r w:rsidR="002D7587" w:rsidRPr="0001496F">
        <w:rPr>
          <w:rFonts w:ascii="Times New Roman" w:hAnsi="Times New Roman" w:cs="Times New Roman"/>
        </w:rPr>
        <w:t>-à-dire, prévues par la loi). C</w:t>
      </w:r>
      <w:r w:rsidRPr="0001496F">
        <w:rPr>
          <w:rFonts w:ascii="Times New Roman" w:hAnsi="Times New Roman" w:cs="Times New Roman"/>
        </w:rPr>
        <w:t xml:space="preserve">ertaines d’entre elles accordent à l’auteur d’une infraction une exemption </w:t>
      </w:r>
      <w:r w:rsidR="00B52840" w:rsidRPr="0001496F">
        <w:rPr>
          <w:rFonts w:ascii="Times New Roman" w:hAnsi="Times New Roman" w:cs="Times New Roman"/>
        </w:rPr>
        <w:t xml:space="preserve">ou une réduction </w:t>
      </w:r>
      <w:r w:rsidRPr="0001496F">
        <w:rPr>
          <w:rFonts w:ascii="Times New Roman" w:hAnsi="Times New Roman" w:cs="Times New Roman"/>
        </w:rPr>
        <w:t xml:space="preserve">de peine en échange d’informations destinées tantôt à mieux punir l’ensemble des auteurs et complices d’une </w:t>
      </w:r>
      <w:r w:rsidRPr="0001496F">
        <w:rPr>
          <w:rFonts w:ascii="Times New Roman" w:hAnsi="Times New Roman" w:cs="Times New Roman"/>
        </w:rPr>
        <w:lastRenderedPageBreak/>
        <w:t>infraction commise, tantôt à mieux prévenir la commission d’infractions futures. Appliquée à des infractions impliquant potentiellement une pluralité d’auteurs, la cause d’excuse comme récompense de la collaboration avec la justice est envisagée aux articles 136 du C</w:t>
      </w:r>
      <w:r w:rsidR="00FC24F0" w:rsidRPr="0001496F">
        <w:rPr>
          <w:rFonts w:ascii="Times New Roman" w:hAnsi="Times New Roman" w:cs="Times New Roman"/>
        </w:rPr>
        <w:t>. pén.</w:t>
      </w:r>
      <w:r w:rsidRPr="0001496F">
        <w:rPr>
          <w:rFonts w:ascii="Times New Roman" w:hAnsi="Times New Roman" w:cs="Times New Roman"/>
        </w:rPr>
        <w:t xml:space="preserve"> (infractions contre la sûreté de l’</w:t>
      </w:r>
      <w:r w:rsidR="005B6A01" w:rsidRPr="0001496F">
        <w:rPr>
          <w:rFonts w:ascii="Times New Roman" w:hAnsi="Times New Roman" w:cs="Times New Roman"/>
        </w:rPr>
        <w:t>É</w:t>
      </w:r>
      <w:r w:rsidRPr="0001496F">
        <w:rPr>
          <w:rFonts w:ascii="Times New Roman" w:hAnsi="Times New Roman" w:cs="Times New Roman"/>
        </w:rPr>
        <w:t xml:space="preserve">tat), 192 </w:t>
      </w:r>
      <w:r w:rsidR="0041418C" w:rsidRPr="0001496F">
        <w:rPr>
          <w:rFonts w:ascii="Times New Roman" w:hAnsi="Times New Roman" w:cs="Times New Roman"/>
        </w:rPr>
        <w:t>du C. pén.</w:t>
      </w:r>
      <w:r w:rsidRPr="0001496F">
        <w:rPr>
          <w:rFonts w:ascii="Times New Roman" w:hAnsi="Times New Roman" w:cs="Times New Roman"/>
        </w:rPr>
        <w:t xml:space="preserve"> (infractions contre la foi publique)</w:t>
      </w:r>
      <w:r w:rsidR="003918FE" w:rsidRPr="0001496F">
        <w:rPr>
          <w:rFonts w:ascii="Times New Roman" w:hAnsi="Times New Roman" w:cs="Times New Roman"/>
        </w:rPr>
        <w:t>, 300 du C. pén. (publication et distribution d’écrits sans indication du nom et du domicile de l’auteur ou de l’imprimeur),</w:t>
      </w:r>
      <w:r w:rsidRPr="0001496F">
        <w:rPr>
          <w:rFonts w:ascii="Times New Roman" w:hAnsi="Times New Roman" w:cs="Times New Roman"/>
        </w:rPr>
        <w:t xml:space="preserve"> 304 </w:t>
      </w:r>
      <w:r w:rsidR="0041418C" w:rsidRPr="0001496F">
        <w:rPr>
          <w:rFonts w:ascii="Times New Roman" w:hAnsi="Times New Roman" w:cs="Times New Roman"/>
        </w:rPr>
        <w:t>du C. pén.</w:t>
      </w:r>
      <w:r w:rsidRPr="0001496F">
        <w:rPr>
          <w:rFonts w:ascii="Times New Roman" w:hAnsi="Times New Roman" w:cs="Times New Roman"/>
        </w:rPr>
        <w:t xml:space="preserve"> (infractions aux lois et règlements sur les loteries, les maisons de jeux et </w:t>
      </w:r>
      <w:r w:rsidR="0050273D" w:rsidRPr="0001496F">
        <w:rPr>
          <w:rFonts w:ascii="Times New Roman" w:hAnsi="Times New Roman" w:cs="Times New Roman"/>
        </w:rPr>
        <w:t>les maisons de prêt sur gage) et</w:t>
      </w:r>
      <w:r w:rsidRPr="0001496F">
        <w:rPr>
          <w:rFonts w:ascii="Times New Roman" w:hAnsi="Times New Roman" w:cs="Times New Roman"/>
        </w:rPr>
        <w:t xml:space="preserve"> 326 </w:t>
      </w:r>
      <w:r w:rsidR="0041418C" w:rsidRPr="0001496F">
        <w:rPr>
          <w:rFonts w:ascii="Times New Roman" w:hAnsi="Times New Roman" w:cs="Times New Roman"/>
        </w:rPr>
        <w:t>du C. pén.</w:t>
      </w:r>
      <w:r w:rsidRPr="0001496F">
        <w:rPr>
          <w:rFonts w:ascii="Times New Roman" w:hAnsi="Times New Roman" w:cs="Times New Roman"/>
        </w:rPr>
        <w:t xml:space="preserve"> (infractions liées à une organisation criminelle ou à des associations de malfaiteurs formées dans le but d’attenter aux personnes et aux propriétés). Par ailleurs, l’article 6 de la loi du 24 février 1921 relative au trafic des stupéfiants, tel que modifié par la loi du 9 juillet 1975</w:t>
      </w:r>
      <w:r w:rsidR="00C50899" w:rsidRPr="0001496F">
        <w:rPr>
          <w:rFonts w:ascii="Times New Roman" w:hAnsi="Times New Roman" w:cs="Times New Roman"/>
        </w:rPr>
        <w:t>,</w:t>
      </w:r>
      <w:r w:rsidRPr="0001496F">
        <w:rPr>
          <w:rFonts w:ascii="Times New Roman" w:hAnsi="Times New Roman" w:cs="Times New Roman"/>
        </w:rPr>
        <w:t xml:space="preserve"> fait de la dénonciation (avant ou après l’entame des poursuites) une cause d’excuse absolutoire ou atténuante selon la gravité de l’infraction commise par le dénonciateur (crime ou délit)</w:t>
      </w:r>
      <w:r w:rsidRPr="0001496F">
        <w:rPr>
          <w:rStyle w:val="Appelnotedebasdep"/>
          <w:rFonts w:ascii="Times New Roman" w:hAnsi="Times New Roman" w:cs="Times New Roman"/>
        </w:rPr>
        <w:footnoteReference w:id="6"/>
      </w:r>
      <w:r w:rsidRPr="0001496F">
        <w:rPr>
          <w:rFonts w:ascii="Times New Roman" w:hAnsi="Times New Roman" w:cs="Times New Roman"/>
        </w:rPr>
        <w:t>. En outre, la loi du 11 juillet 1994 modifiant la loi du 15 juillet 1985 relative à l’utilisation de substances à effet hormonal ou à effet</w:t>
      </w:r>
      <w:r w:rsidRPr="0001496F">
        <w:rPr>
          <w:rFonts w:ascii="Times New Roman" w:hAnsi="Times New Roman" w:cs="Times New Roman"/>
          <w:color w:val="FF0000"/>
        </w:rPr>
        <w:t xml:space="preserve"> </w:t>
      </w:r>
      <w:r w:rsidRPr="0001496F">
        <w:rPr>
          <w:rFonts w:ascii="Times New Roman" w:hAnsi="Times New Roman" w:cs="Times New Roman"/>
        </w:rPr>
        <w:t xml:space="preserve">antihormonal chez les animaux a également introduit un régime de cause d’excuse, absolutoire ou atténuante, de même que l’article 5 de la loi du 12 </w:t>
      </w:r>
      <w:r w:rsidRPr="0001496F">
        <w:rPr>
          <w:rFonts w:ascii="Times New Roman" w:hAnsi="Times New Roman" w:cs="Times New Roman"/>
          <w:color w:val="000000" w:themeColor="text1"/>
        </w:rPr>
        <w:t>mars 1</w:t>
      </w:r>
      <w:r w:rsidR="0050273D" w:rsidRPr="0001496F">
        <w:rPr>
          <w:rFonts w:ascii="Times New Roman" w:hAnsi="Times New Roman" w:cs="Times New Roman"/>
          <w:color w:val="000000" w:themeColor="text1"/>
        </w:rPr>
        <w:t>8</w:t>
      </w:r>
      <w:r w:rsidRPr="0001496F">
        <w:rPr>
          <w:rFonts w:ascii="Times New Roman" w:hAnsi="Times New Roman" w:cs="Times New Roman"/>
          <w:color w:val="000000" w:themeColor="text1"/>
        </w:rPr>
        <w:t xml:space="preserve">58 </w:t>
      </w:r>
      <w:r w:rsidRPr="0001496F">
        <w:rPr>
          <w:rFonts w:ascii="Times New Roman" w:hAnsi="Times New Roman" w:cs="Times New Roman"/>
        </w:rPr>
        <w:t>relative aux crimes et délits qui portent préjudice aux institutions internationales. Dans ces divers cas, la transmission d’informations à la justice ou « dénonciation » est susceptible, pour autant que certaines conditions soient rencontrées, d’être récompensée par une exemption de peine</w:t>
      </w:r>
      <w:r w:rsidRPr="0001496F">
        <w:rPr>
          <w:rStyle w:val="Appelnotedebasdep"/>
          <w:rFonts w:ascii="Times New Roman" w:hAnsi="Times New Roman" w:cs="Times New Roman"/>
        </w:rPr>
        <w:footnoteReference w:id="7"/>
      </w:r>
      <w:r w:rsidRPr="0001496F">
        <w:rPr>
          <w:rFonts w:ascii="Times New Roman" w:hAnsi="Times New Roman" w:cs="Times New Roman"/>
        </w:rPr>
        <w:t xml:space="preserve">. </w:t>
      </w:r>
    </w:p>
    <w:p w14:paraId="108776B5" w14:textId="77777777" w:rsidR="00C27F05" w:rsidRPr="0001496F" w:rsidRDefault="00C27F05" w:rsidP="0001496F">
      <w:pPr>
        <w:jc w:val="both"/>
        <w:rPr>
          <w:rFonts w:ascii="Times New Roman" w:hAnsi="Times New Roman" w:cs="Times New Roman"/>
        </w:rPr>
      </w:pPr>
    </w:p>
    <w:p w14:paraId="37E1B188" w14:textId="6F7F5588" w:rsidR="00C27F05" w:rsidRPr="0001496F" w:rsidRDefault="00C27F05" w:rsidP="0001496F">
      <w:pPr>
        <w:jc w:val="both"/>
        <w:rPr>
          <w:rFonts w:ascii="Times New Roman" w:hAnsi="Times New Roman" w:cs="Times New Roman"/>
        </w:rPr>
      </w:pPr>
      <w:r w:rsidRPr="0001496F">
        <w:rPr>
          <w:rFonts w:ascii="Times New Roman" w:hAnsi="Times New Roman" w:cs="Times New Roman"/>
        </w:rPr>
        <w:t>C’est donc à travers ces différentes causes d’excuse que se sont introduites en droit pénal belge les premières manifestations, encore partielles et limitées, d’un « droit des repentis »</w:t>
      </w:r>
      <w:r w:rsidRPr="0001496F">
        <w:rPr>
          <w:rStyle w:val="Appelnotedebasdep"/>
          <w:rFonts w:ascii="Times New Roman" w:hAnsi="Times New Roman" w:cs="Times New Roman"/>
        </w:rPr>
        <w:footnoteReference w:id="8"/>
      </w:r>
      <w:r w:rsidRPr="0001496F">
        <w:rPr>
          <w:rFonts w:ascii="Times New Roman" w:hAnsi="Times New Roman" w:cs="Times New Roman"/>
        </w:rPr>
        <w:t>. Si le mécanisme est discutable d’un point de vue moral, la « délation »</w:t>
      </w:r>
      <w:r w:rsidRPr="0001496F">
        <w:rPr>
          <w:rStyle w:val="Appelnotedebasdep"/>
          <w:rFonts w:ascii="Times New Roman" w:hAnsi="Times New Roman" w:cs="Times New Roman"/>
        </w:rPr>
        <w:footnoteReference w:id="9"/>
      </w:r>
      <w:r w:rsidRPr="0001496F">
        <w:rPr>
          <w:rFonts w:ascii="Times New Roman" w:hAnsi="Times New Roman" w:cs="Times New Roman"/>
        </w:rPr>
        <w:t xml:space="preserve"> ou « prime à l’impunité »</w:t>
      </w:r>
      <w:r w:rsidRPr="0001496F">
        <w:rPr>
          <w:rStyle w:val="Appelnotedebasdep"/>
          <w:rFonts w:ascii="Times New Roman" w:hAnsi="Times New Roman" w:cs="Times New Roman"/>
        </w:rPr>
        <w:footnoteReference w:id="10"/>
      </w:r>
      <w:r w:rsidRPr="0001496F">
        <w:rPr>
          <w:rFonts w:ascii="Times New Roman" w:hAnsi="Times New Roman" w:cs="Times New Roman"/>
        </w:rPr>
        <w:t xml:space="preserve"> est </w:t>
      </w:r>
      <w:r w:rsidR="00D7075B" w:rsidRPr="0001496F">
        <w:rPr>
          <w:rFonts w:ascii="Times New Roman" w:hAnsi="Times New Roman" w:cs="Times New Roman"/>
        </w:rPr>
        <w:t>dans ces divers cas</w:t>
      </w:r>
      <w:r w:rsidRPr="0001496F">
        <w:rPr>
          <w:rFonts w:ascii="Times New Roman" w:hAnsi="Times New Roman" w:cs="Times New Roman"/>
        </w:rPr>
        <w:t xml:space="preserve"> encouragée par un impératif d’efficacité dans la répression d’infractions considérées comme particulièrement graves pour l’ordre social, la découverte de to</w:t>
      </w:r>
      <w:r w:rsidR="00D7075B" w:rsidRPr="0001496F">
        <w:rPr>
          <w:rFonts w:ascii="Times New Roman" w:hAnsi="Times New Roman" w:cs="Times New Roman"/>
        </w:rPr>
        <w:t>us leurs auteurs et complices,</w:t>
      </w:r>
      <w:r w:rsidRPr="0001496F">
        <w:rPr>
          <w:rFonts w:ascii="Times New Roman" w:hAnsi="Times New Roman" w:cs="Times New Roman"/>
        </w:rPr>
        <w:t xml:space="preserve"> l</w:t>
      </w:r>
      <w:r w:rsidR="00D7075B" w:rsidRPr="0001496F">
        <w:rPr>
          <w:rFonts w:ascii="Times New Roman" w:hAnsi="Times New Roman" w:cs="Times New Roman"/>
        </w:rPr>
        <w:t>a</w:t>
      </w:r>
      <w:r w:rsidRPr="0001496F">
        <w:rPr>
          <w:rFonts w:ascii="Times New Roman" w:hAnsi="Times New Roman" w:cs="Times New Roman"/>
        </w:rPr>
        <w:t xml:space="preserve"> prévention </w:t>
      </w:r>
      <w:r w:rsidR="00D7075B" w:rsidRPr="0001496F">
        <w:rPr>
          <w:rFonts w:ascii="Times New Roman" w:hAnsi="Times New Roman" w:cs="Times New Roman"/>
        </w:rPr>
        <w:t xml:space="preserve">de ces infractions </w:t>
      </w:r>
      <w:r w:rsidRPr="0001496F">
        <w:rPr>
          <w:rFonts w:ascii="Times New Roman" w:hAnsi="Times New Roman" w:cs="Times New Roman"/>
        </w:rPr>
        <w:t>pour le futur</w:t>
      </w:r>
      <w:r w:rsidR="00D7075B" w:rsidRPr="0001496F">
        <w:rPr>
          <w:rFonts w:ascii="Times New Roman" w:hAnsi="Times New Roman" w:cs="Times New Roman"/>
        </w:rPr>
        <w:t>.</w:t>
      </w:r>
      <w:r w:rsidRPr="0001496F">
        <w:rPr>
          <w:rFonts w:ascii="Times New Roman" w:hAnsi="Times New Roman" w:cs="Times New Roman"/>
        </w:rPr>
        <w:t xml:space="preserve"> </w:t>
      </w:r>
    </w:p>
    <w:p w14:paraId="68647596" w14:textId="77777777" w:rsidR="00C27F05" w:rsidRPr="0001496F" w:rsidRDefault="00C27F05" w:rsidP="0001496F">
      <w:pPr>
        <w:jc w:val="both"/>
        <w:rPr>
          <w:rFonts w:ascii="Times New Roman" w:hAnsi="Times New Roman" w:cs="Times New Roman"/>
        </w:rPr>
      </w:pPr>
    </w:p>
    <w:p w14:paraId="70FFEAC2" w14:textId="5A856C04"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1.1.2. L’émergence d’un véritable « droit des repentis » : </w:t>
      </w:r>
      <w:r w:rsidR="00E83CA2" w:rsidRPr="0001496F">
        <w:rPr>
          <w:rFonts w:ascii="Times New Roman" w:hAnsi="Times New Roman" w:cs="Times New Roman"/>
        </w:rPr>
        <w:t>l</w:t>
      </w:r>
      <w:r w:rsidRPr="0001496F">
        <w:rPr>
          <w:rFonts w:ascii="Times New Roman" w:hAnsi="Times New Roman" w:cs="Times New Roman"/>
        </w:rPr>
        <w:t>es « tueries du Brabant wallon », facteur d’accélération</w:t>
      </w:r>
    </w:p>
    <w:p w14:paraId="24DE0A91" w14:textId="77777777" w:rsidR="00C27F05" w:rsidRPr="0001496F" w:rsidRDefault="00C27F05" w:rsidP="0001496F">
      <w:pPr>
        <w:jc w:val="both"/>
        <w:rPr>
          <w:rFonts w:ascii="Times New Roman" w:hAnsi="Times New Roman" w:cs="Times New Roman"/>
          <w:i/>
        </w:rPr>
      </w:pPr>
    </w:p>
    <w:p w14:paraId="75481A57" w14:textId="095C585F" w:rsidR="00C27F05" w:rsidRPr="0001496F" w:rsidRDefault="00C27F05" w:rsidP="0001496F">
      <w:pPr>
        <w:jc w:val="both"/>
        <w:rPr>
          <w:rFonts w:ascii="Times New Roman" w:hAnsi="Times New Roman" w:cs="Times New Roman"/>
        </w:rPr>
      </w:pPr>
      <w:r w:rsidRPr="0001496F">
        <w:rPr>
          <w:rFonts w:ascii="Times New Roman" w:hAnsi="Times New Roman" w:cs="Times New Roman"/>
        </w:rPr>
        <w:t>De 1982 à 1985, la Belgique est secouée par une vague de crimes ou d’attentats aveugles et meurtriers, dont on ignore toujours aujourd’hui s’il s’agit de criminalité organisée ou de terrorisme</w:t>
      </w:r>
      <w:r w:rsidRPr="0001496F">
        <w:rPr>
          <w:rStyle w:val="Appelnotedebasdep"/>
          <w:rFonts w:ascii="Times New Roman" w:hAnsi="Times New Roman" w:cs="Times New Roman"/>
        </w:rPr>
        <w:footnoteReference w:id="11"/>
      </w:r>
      <w:r w:rsidRPr="0001496F">
        <w:rPr>
          <w:rFonts w:ascii="Times New Roman" w:hAnsi="Times New Roman" w:cs="Times New Roman"/>
        </w:rPr>
        <w:t xml:space="preserve">. </w:t>
      </w:r>
      <w:r w:rsidR="00A05F67" w:rsidRPr="0001496F">
        <w:rPr>
          <w:rFonts w:ascii="Times New Roman" w:hAnsi="Times New Roman" w:cs="Times New Roman"/>
        </w:rPr>
        <w:t>À</w:t>
      </w:r>
      <w:r w:rsidRPr="0001496F">
        <w:rPr>
          <w:rFonts w:ascii="Times New Roman" w:hAnsi="Times New Roman" w:cs="Times New Roman"/>
        </w:rPr>
        <w:t xml:space="preserve"> la même période, divers attentats sont attribués à un mouvement d’extrême-gauche, les CCC (Cellules Communistes Combattantes). Le climat est lourd et la lutte contre la grande criminalité et le terrorisme </w:t>
      </w:r>
      <w:r w:rsidR="004F0974" w:rsidRPr="0001496F">
        <w:rPr>
          <w:rFonts w:ascii="Times New Roman" w:hAnsi="Times New Roman" w:cs="Times New Roman"/>
        </w:rPr>
        <w:t>s’impose</w:t>
      </w:r>
      <w:r w:rsidRPr="0001496F">
        <w:rPr>
          <w:rFonts w:ascii="Times New Roman" w:hAnsi="Times New Roman" w:cs="Times New Roman"/>
        </w:rPr>
        <w:t xml:space="preserve"> à l’agenda politique. Dans ce cadre, la question d’un « droit des repentis » émerge progressivement à partir des années 1990.</w:t>
      </w:r>
    </w:p>
    <w:p w14:paraId="6A276840" w14:textId="77777777" w:rsidR="00C27F05" w:rsidRPr="0001496F" w:rsidRDefault="00C27F05" w:rsidP="0001496F">
      <w:pPr>
        <w:jc w:val="both"/>
        <w:rPr>
          <w:rFonts w:ascii="Times New Roman" w:hAnsi="Times New Roman" w:cs="Times New Roman"/>
        </w:rPr>
      </w:pPr>
    </w:p>
    <w:p w14:paraId="04D747C7" w14:textId="3CFE70DB"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En juin 1995, </w:t>
      </w:r>
      <w:r w:rsidR="006A7E92" w:rsidRPr="0001496F">
        <w:rPr>
          <w:rFonts w:ascii="Times New Roman" w:hAnsi="Times New Roman" w:cs="Times New Roman"/>
        </w:rPr>
        <w:t>l</w:t>
      </w:r>
      <w:r w:rsidRPr="0001496F">
        <w:rPr>
          <w:rFonts w:ascii="Times New Roman" w:hAnsi="Times New Roman" w:cs="Times New Roman"/>
        </w:rPr>
        <w:t xml:space="preserve">e </w:t>
      </w:r>
      <w:r w:rsidR="006A7E92" w:rsidRPr="0001496F">
        <w:rPr>
          <w:rFonts w:ascii="Times New Roman" w:hAnsi="Times New Roman" w:cs="Times New Roman"/>
        </w:rPr>
        <w:t xml:space="preserve">programme politique du </w:t>
      </w:r>
      <w:r w:rsidRPr="0001496F">
        <w:rPr>
          <w:rFonts w:ascii="Times New Roman" w:hAnsi="Times New Roman" w:cs="Times New Roman"/>
        </w:rPr>
        <w:t>gouvernement Dehaene II propose d’élaborer une législation « en vue de prévoir la faculté de réduction de peine ou</w:t>
      </w:r>
      <w:r w:rsidR="00B073BA" w:rsidRPr="0001496F">
        <w:rPr>
          <w:rFonts w:ascii="Times New Roman" w:hAnsi="Times New Roman" w:cs="Times New Roman"/>
        </w:rPr>
        <w:t xml:space="preserve"> </w:t>
      </w:r>
      <w:r w:rsidRPr="0001496F">
        <w:rPr>
          <w:rFonts w:ascii="Times New Roman" w:hAnsi="Times New Roman" w:cs="Times New Roman"/>
        </w:rPr>
        <w:t xml:space="preserve">de négociation en échange </w:t>
      </w:r>
      <w:r w:rsidRPr="0001496F">
        <w:rPr>
          <w:rFonts w:ascii="Times New Roman" w:hAnsi="Times New Roman" w:cs="Times New Roman"/>
        </w:rPr>
        <w:lastRenderedPageBreak/>
        <w:t>d’informations valables » dans le cadre de</w:t>
      </w:r>
      <w:r w:rsidR="00B073BA" w:rsidRPr="0001496F">
        <w:rPr>
          <w:rFonts w:ascii="Times New Roman" w:hAnsi="Times New Roman" w:cs="Times New Roman"/>
        </w:rPr>
        <w:t xml:space="preserve"> </w:t>
      </w:r>
      <w:r w:rsidRPr="0001496F">
        <w:rPr>
          <w:rFonts w:ascii="Times New Roman" w:hAnsi="Times New Roman" w:cs="Times New Roman"/>
        </w:rPr>
        <w:t>la lutte contre le crime organisé</w:t>
      </w:r>
      <w:r w:rsidRPr="0001496F">
        <w:rPr>
          <w:rStyle w:val="Appelnotedebasdep"/>
          <w:rFonts w:ascii="Times New Roman" w:hAnsi="Times New Roman" w:cs="Times New Roman"/>
        </w:rPr>
        <w:footnoteReference w:id="12"/>
      </w:r>
      <w:r w:rsidRPr="0001496F">
        <w:rPr>
          <w:rFonts w:ascii="Times New Roman" w:hAnsi="Times New Roman" w:cs="Times New Roman"/>
        </w:rPr>
        <w:t xml:space="preserve">. Dans </w:t>
      </w:r>
      <w:r w:rsidR="006A7E92" w:rsidRPr="0001496F">
        <w:rPr>
          <w:rFonts w:ascii="Times New Roman" w:hAnsi="Times New Roman" w:cs="Times New Roman"/>
        </w:rPr>
        <w:t>u</w:t>
      </w:r>
      <w:r w:rsidRPr="0001496F">
        <w:rPr>
          <w:rFonts w:ascii="Times New Roman" w:hAnsi="Times New Roman" w:cs="Times New Roman"/>
        </w:rPr>
        <w:t xml:space="preserve">n « plan d’action contre le crime organisé » déposé quelques mois plus tard, le gouvernement précise sa volonté d’envisager un régime </w:t>
      </w:r>
      <w:r w:rsidR="006F661C" w:rsidRPr="0001496F">
        <w:rPr>
          <w:rFonts w:ascii="Times New Roman" w:hAnsi="Times New Roman" w:cs="Times New Roman"/>
        </w:rPr>
        <w:t>d</w:t>
      </w:r>
      <w:proofErr w:type="gramStart"/>
      <w:r w:rsidR="006F661C" w:rsidRPr="0001496F">
        <w:rPr>
          <w:rFonts w:ascii="Times New Roman" w:hAnsi="Times New Roman" w:cs="Times New Roman"/>
        </w:rPr>
        <w:t>’«</w:t>
      </w:r>
      <w:proofErr w:type="gramEnd"/>
      <w:r w:rsidRPr="0001496F">
        <w:rPr>
          <w:rFonts w:ascii="Times New Roman" w:hAnsi="Times New Roman" w:cs="Times New Roman"/>
        </w:rPr>
        <w:t> exemption de poursuites » ou de « motifs d’excuse devant un tribunal » pour des criminels repentis</w:t>
      </w:r>
      <w:r w:rsidR="00150BEF" w:rsidRPr="0001496F">
        <w:rPr>
          <w:rFonts w:ascii="Times New Roman" w:hAnsi="Times New Roman" w:cs="Times New Roman"/>
        </w:rPr>
        <w:t>. Le plan d’action</w:t>
      </w:r>
      <w:r w:rsidRPr="0001496F">
        <w:rPr>
          <w:rFonts w:ascii="Times New Roman" w:hAnsi="Times New Roman" w:cs="Times New Roman"/>
        </w:rPr>
        <w:t xml:space="preserve"> </w:t>
      </w:r>
      <w:r w:rsidR="00150BEF" w:rsidRPr="0001496F">
        <w:rPr>
          <w:rFonts w:ascii="Times New Roman" w:hAnsi="Times New Roman" w:cs="Times New Roman"/>
        </w:rPr>
        <w:t>prévoit aussi</w:t>
      </w:r>
      <w:r w:rsidRPr="0001496F">
        <w:rPr>
          <w:rFonts w:ascii="Times New Roman" w:hAnsi="Times New Roman" w:cs="Times New Roman"/>
        </w:rPr>
        <w:t xml:space="preserve"> « des programmes de protection des témoins</w:t>
      </w:r>
      <w:r w:rsidR="00150BEF" w:rsidRPr="0001496F">
        <w:rPr>
          <w:rFonts w:ascii="Times New Roman" w:hAnsi="Times New Roman" w:cs="Times New Roman"/>
        </w:rPr>
        <w:t> »</w:t>
      </w:r>
      <w:r w:rsidRPr="0001496F">
        <w:rPr>
          <w:rFonts w:ascii="Times New Roman" w:hAnsi="Times New Roman" w:cs="Times New Roman"/>
        </w:rPr>
        <w:t xml:space="preserve"> à l’intention des repentis, ainsi que </w:t>
      </w:r>
      <w:r w:rsidR="00150BEF" w:rsidRPr="0001496F">
        <w:rPr>
          <w:rFonts w:ascii="Times New Roman" w:hAnsi="Times New Roman" w:cs="Times New Roman"/>
        </w:rPr>
        <w:t>« </w:t>
      </w:r>
      <w:r w:rsidRPr="0001496F">
        <w:rPr>
          <w:rFonts w:ascii="Times New Roman" w:hAnsi="Times New Roman" w:cs="Times New Roman"/>
        </w:rPr>
        <w:t>des mesures qui ont pour effet de rendre leur identification plus difficile »</w:t>
      </w:r>
      <w:r w:rsidRPr="0001496F">
        <w:rPr>
          <w:rStyle w:val="Appelnotedebasdep"/>
          <w:rFonts w:ascii="Times New Roman" w:hAnsi="Times New Roman" w:cs="Times New Roman"/>
        </w:rPr>
        <w:footnoteReference w:id="13"/>
      </w:r>
      <w:r w:rsidRPr="0001496F">
        <w:rPr>
          <w:rFonts w:ascii="Times New Roman" w:hAnsi="Times New Roman" w:cs="Times New Roman"/>
        </w:rPr>
        <w:t xml:space="preserve">. </w:t>
      </w:r>
      <w:r w:rsidR="00150BEF" w:rsidRPr="0001496F">
        <w:rPr>
          <w:rFonts w:ascii="Times New Roman" w:hAnsi="Times New Roman" w:cs="Times New Roman"/>
        </w:rPr>
        <w:t>Enfin</w:t>
      </w:r>
      <w:r w:rsidRPr="0001496F">
        <w:rPr>
          <w:rFonts w:ascii="Times New Roman" w:hAnsi="Times New Roman" w:cs="Times New Roman"/>
        </w:rPr>
        <w:t xml:space="preserve">, dans le cadre de ce « plan d’action », le ministre de la </w:t>
      </w:r>
      <w:r w:rsidR="00006F83" w:rsidRPr="0001496F">
        <w:rPr>
          <w:rFonts w:ascii="Times New Roman" w:hAnsi="Times New Roman" w:cs="Times New Roman"/>
        </w:rPr>
        <w:t>J</w:t>
      </w:r>
      <w:r w:rsidRPr="0001496F">
        <w:rPr>
          <w:rFonts w:ascii="Times New Roman" w:hAnsi="Times New Roman" w:cs="Times New Roman"/>
        </w:rPr>
        <w:t>ustice confie en septembre 1996 à l’Université de Gand une recherche portant notamment su</w:t>
      </w:r>
      <w:r w:rsidR="000333B7" w:rsidRPr="0001496F">
        <w:rPr>
          <w:rFonts w:ascii="Times New Roman" w:hAnsi="Times New Roman" w:cs="Times New Roman"/>
        </w:rPr>
        <w:t xml:space="preserve">r la problématique des repentis </w:t>
      </w:r>
      <w:r w:rsidR="00DA0D2F" w:rsidRPr="0001496F">
        <w:rPr>
          <w:rFonts w:ascii="Times New Roman" w:hAnsi="Times New Roman" w:cs="Times New Roman"/>
        </w:rPr>
        <w:t>(</w:t>
      </w:r>
      <w:r w:rsidR="00DA0D2F" w:rsidRPr="0001496F">
        <w:rPr>
          <w:rFonts w:ascii="Times New Roman" w:hAnsi="Times New Roman" w:cs="Times New Roman"/>
          <w:i/>
        </w:rPr>
        <w:t>cf. infra</w:t>
      </w:r>
      <w:r w:rsidR="00DA0D2F" w:rsidRPr="0001496F">
        <w:rPr>
          <w:rFonts w:ascii="Times New Roman" w:hAnsi="Times New Roman" w:cs="Times New Roman"/>
        </w:rPr>
        <w:t>)</w:t>
      </w:r>
      <w:r w:rsidRPr="0001496F">
        <w:rPr>
          <w:rFonts w:ascii="Times New Roman" w:hAnsi="Times New Roman" w:cs="Times New Roman"/>
        </w:rPr>
        <w:t xml:space="preserve">. </w:t>
      </w:r>
    </w:p>
    <w:p w14:paraId="51E95FAE" w14:textId="77777777" w:rsidR="00C27F05" w:rsidRPr="0001496F" w:rsidRDefault="00C27F05" w:rsidP="0001496F">
      <w:pPr>
        <w:jc w:val="both"/>
        <w:rPr>
          <w:rFonts w:ascii="Times New Roman" w:hAnsi="Times New Roman" w:cs="Times New Roman"/>
        </w:rPr>
      </w:pPr>
    </w:p>
    <w:p w14:paraId="01086D82" w14:textId="7A0F978C"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De son côté, le Parlement se mobilise également. </w:t>
      </w:r>
      <w:r w:rsidR="00150BEF" w:rsidRPr="0001496F">
        <w:rPr>
          <w:rFonts w:ascii="Times New Roman" w:hAnsi="Times New Roman" w:cs="Times New Roman"/>
        </w:rPr>
        <w:t>Après qu’une</w:t>
      </w:r>
      <w:r w:rsidRPr="0001496F">
        <w:rPr>
          <w:rFonts w:ascii="Times New Roman" w:hAnsi="Times New Roman" w:cs="Times New Roman"/>
        </w:rPr>
        <w:t xml:space="preserve"> </w:t>
      </w:r>
      <w:r w:rsidR="00150BEF" w:rsidRPr="0001496F">
        <w:rPr>
          <w:rFonts w:ascii="Times New Roman" w:hAnsi="Times New Roman" w:cs="Times New Roman"/>
        </w:rPr>
        <w:t xml:space="preserve">première </w:t>
      </w:r>
      <w:r w:rsidRPr="0001496F">
        <w:rPr>
          <w:rFonts w:ascii="Times New Roman" w:hAnsi="Times New Roman" w:cs="Times New Roman"/>
        </w:rPr>
        <w:t>Commission d’enquête parlementaire sur « la manière dont la lutte contre le banditisme et le terrorisme est organisée »</w:t>
      </w:r>
      <w:r w:rsidR="00150BEF" w:rsidRPr="0001496F">
        <w:rPr>
          <w:rFonts w:ascii="Times New Roman" w:hAnsi="Times New Roman" w:cs="Times New Roman"/>
        </w:rPr>
        <w:t>, en lien avec les « tueries du Brabant Wallon »</w:t>
      </w:r>
      <w:r w:rsidR="00014331" w:rsidRPr="0001496F">
        <w:rPr>
          <w:rFonts w:ascii="Times New Roman" w:hAnsi="Times New Roman" w:cs="Times New Roman"/>
        </w:rPr>
        <w:t>,</w:t>
      </w:r>
      <w:r w:rsidR="00150BEF" w:rsidRPr="0001496F">
        <w:rPr>
          <w:rFonts w:ascii="Times New Roman" w:hAnsi="Times New Roman" w:cs="Times New Roman"/>
        </w:rPr>
        <w:t xml:space="preserve"> ait rendu son </w:t>
      </w:r>
      <w:r w:rsidRPr="0001496F">
        <w:rPr>
          <w:rFonts w:ascii="Times New Roman" w:hAnsi="Times New Roman" w:cs="Times New Roman"/>
        </w:rPr>
        <w:t>rapport en avril 1990</w:t>
      </w:r>
      <w:r w:rsidRPr="0001496F">
        <w:rPr>
          <w:rStyle w:val="Appelnotedebasdep"/>
          <w:rFonts w:ascii="Times New Roman" w:hAnsi="Times New Roman" w:cs="Times New Roman"/>
        </w:rPr>
        <w:footnoteReference w:id="14"/>
      </w:r>
      <w:r w:rsidRPr="0001496F">
        <w:rPr>
          <w:rFonts w:ascii="Times New Roman" w:hAnsi="Times New Roman" w:cs="Times New Roman"/>
        </w:rPr>
        <w:t>, une nouvelle Commission d’enquête parlementaire est créée en juin 1996, pour enquêter « sur les adaptations nécessaires en matière d’organisation et de fonctionnement de l’appareil policier et judiciaire, en fonction des difficultés surgies lors de l’enquête sur les « tueu</w:t>
      </w:r>
      <w:r w:rsidR="00150BEF" w:rsidRPr="0001496F">
        <w:rPr>
          <w:rFonts w:ascii="Times New Roman" w:hAnsi="Times New Roman" w:cs="Times New Roman"/>
        </w:rPr>
        <w:t>rs du Brabant ». Le rapport de cette</w:t>
      </w:r>
      <w:r w:rsidR="00014331" w:rsidRPr="0001496F">
        <w:rPr>
          <w:rFonts w:ascii="Times New Roman" w:hAnsi="Times New Roman" w:cs="Times New Roman"/>
        </w:rPr>
        <w:t xml:space="preserve"> C</w:t>
      </w:r>
      <w:r w:rsidRPr="0001496F">
        <w:rPr>
          <w:rFonts w:ascii="Times New Roman" w:hAnsi="Times New Roman" w:cs="Times New Roman"/>
        </w:rPr>
        <w:t>ommission propose de légaliser le recours aux repentis</w:t>
      </w:r>
      <w:r w:rsidR="00DA0D2F" w:rsidRPr="0001496F">
        <w:rPr>
          <w:rFonts w:ascii="Times New Roman" w:hAnsi="Times New Roman" w:cs="Times New Roman"/>
        </w:rPr>
        <w:t xml:space="preserve"> (</w:t>
      </w:r>
      <w:r w:rsidR="00DA0D2F" w:rsidRPr="0001496F">
        <w:rPr>
          <w:rFonts w:ascii="Times New Roman" w:hAnsi="Times New Roman" w:cs="Times New Roman"/>
          <w:i/>
        </w:rPr>
        <w:t>cf. infra</w:t>
      </w:r>
      <w:r w:rsidR="00DA0D2F" w:rsidRPr="0001496F">
        <w:rPr>
          <w:rFonts w:ascii="Times New Roman" w:hAnsi="Times New Roman" w:cs="Times New Roman"/>
        </w:rPr>
        <w:t>)</w:t>
      </w:r>
      <w:r w:rsidRPr="0001496F">
        <w:rPr>
          <w:rFonts w:ascii="Times New Roman" w:hAnsi="Times New Roman" w:cs="Times New Roman"/>
        </w:rPr>
        <w:t xml:space="preserve">. </w:t>
      </w:r>
      <w:r w:rsidR="00150BEF" w:rsidRPr="0001496F">
        <w:rPr>
          <w:rFonts w:ascii="Times New Roman" w:hAnsi="Times New Roman" w:cs="Times New Roman"/>
        </w:rPr>
        <w:t>E</w:t>
      </w:r>
      <w:r w:rsidR="00014331" w:rsidRPr="0001496F">
        <w:rPr>
          <w:rFonts w:ascii="Times New Roman" w:hAnsi="Times New Roman" w:cs="Times New Roman"/>
        </w:rPr>
        <w:t>n juillet 1996, une autre C</w:t>
      </w:r>
      <w:r w:rsidRPr="0001496F">
        <w:rPr>
          <w:rFonts w:ascii="Times New Roman" w:hAnsi="Times New Roman" w:cs="Times New Roman"/>
        </w:rPr>
        <w:t>ommission parlementaire chargée d’enquêter sur la criminalité organisée est créée au Séna</w:t>
      </w:r>
      <w:r w:rsidR="00014331" w:rsidRPr="0001496F">
        <w:rPr>
          <w:rFonts w:ascii="Times New Roman" w:hAnsi="Times New Roman" w:cs="Times New Roman"/>
        </w:rPr>
        <w:t>t. Au cours de ces travaux, la C</w:t>
      </w:r>
      <w:r w:rsidRPr="0001496F">
        <w:rPr>
          <w:rFonts w:ascii="Times New Roman" w:hAnsi="Times New Roman" w:cs="Times New Roman"/>
        </w:rPr>
        <w:t>ommission se penche également sur la question des repentis pour aboutir à la con</w:t>
      </w:r>
      <w:r w:rsidR="00006F83" w:rsidRPr="0001496F">
        <w:rPr>
          <w:rFonts w:ascii="Times New Roman" w:hAnsi="Times New Roman" w:cs="Times New Roman"/>
        </w:rPr>
        <w:t>clusion que l’instauration d’un</w:t>
      </w:r>
      <w:r w:rsidRPr="0001496F">
        <w:rPr>
          <w:rFonts w:ascii="Times New Roman" w:hAnsi="Times New Roman" w:cs="Times New Roman"/>
        </w:rPr>
        <w:t xml:space="preserve"> régime de réduction de peines pour les repentis peut s’avérer utile dans</w:t>
      </w:r>
      <w:r w:rsidR="00B073BA" w:rsidRPr="0001496F">
        <w:rPr>
          <w:rFonts w:ascii="Times New Roman" w:hAnsi="Times New Roman" w:cs="Times New Roman"/>
        </w:rPr>
        <w:t xml:space="preserve"> </w:t>
      </w:r>
      <w:r w:rsidRPr="0001496F">
        <w:rPr>
          <w:rFonts w:ascii="Times New Roman" w:hAnsi="Times New Roman" w:cs="Times New Roman"/>
        </w:rPr>
        <w:t>la lutte contre le crime organisé</w:t>
      </w:r>
      <w:r w:rsidRPr="0001496F">
        <w:rPr>
          <w:rStyle w:val="Appelnotedebasdep"/>
          <w:rFonts w:ascii="Times New Roman" w:hAnsi="Times New Roman" w:cs="Times New Roman"/>
        </w:rPr>
        <w:footnoteReference w:id="15"/>
      </w:r>
      <w:r w:rsidRPr="0001496F">
        <w:rPr>
          <w:rFonts w:ascii="Times New Roman" w:hAnsi="Times New Roman" w:cs="Times New Roman"/>
        </w:rPr>
        <w:t xml:space="preserve">. </w:t>
      </w:r>
    </w:p>
    <w:p w14:paraId="3B5DB8CB" w14:textId="77777777" w:rsidR="00C27F05" w:rsidRPr="0001496F" w:rsidRDefault="00C27F05" w:rsidP="0001496F">
      <w:pPr>
        <w:jc w:val="both"/>
        <w:rPr>
          <w:rFonts w:ascii="Times New Roman" w:hAnsi="Times New Roman" w:cs="Times New Roman"/>
        </w:rPr>
      </w:pPr>
    </w:p>
    <w:p w14:paraId="15870FCD" w14:textId="7F921B5D" w:rsidR="00C27F05" w:rsidRPr="0001496F" w:rsidRDefault="00EB2323" w:rsidP="0001496F">
      <w:pPr>
        <w:jc w:val="both"/>
        <w:rPr>
          <w:rFonts w:ascii="Times New Roman" w:hAnsi="Times New Roman" w:cs="Times New Roman"/>
        </w:rPr>
      </w:pPr>
      <w:r w:rsidRPr="0001496F">
        <w:rPr>
          <w:rFonts w:ascii="Times New Roman" w:hAnsi="Times New Roman" w:cs="Times New Roman"/>
        </w:rPr>
        <w:t>À</w:t>
      </w:r>
      <w:r w:rsidR="00C27F05" w:rsidRPr="0001496F">
        <w:rPr>
          <w:rFonts w:ascii="Times New Roman" w:hAnsi="Times New Roman" w:cs="Times New Roman"/>
        </w:rPr>
        <w:t xml:space="preserve"> partir de ce moment, rapports scientifiques ou officiels et</w:t>
      </w:r>
      <w:r w:rsidR="00B073BA" w:rsidRPr="0001496F">
        <w:rPr>
          <w:rFonts w:ascii="Times New Roman" w:hAnsi="Times New Roman" w:cs="Times New Roman"/>
        </w:rPr>
        <w:t xml:space="preserve"> </w:t>
      </w:r>
      <w:r w:rsidR="00C27F05" w:rsidRPr="0001496F">
        <w:rPr>
          <w:rFonts w:ascii="Times New Roman" w:hAnsi="Times New Roman" w:cs="Times New Roman"/>
        </w:rPr>
        <w:t>propositions législatives vont se croiser dans un processus cumulatif</w:t>
      </w:r>
      <w:r w:rsidR="00B073BA" w:rsidRPr="0001496F">
        <w:rPr>
          <w:rFonts w:ascii="Times New Roman" w:hAnsi="Times New Roman" w:cs="Times New Roman"/>
        </w:rPr>
        <w:t xml:space="preserve"> </w:t>
      </w:r>
      <w:r w:rsidR="00C27F05" w:rsidRPr="0001496F">
        <w:rPr>
          <w:rFonts w:ascii="Times New Roman" w:hAnsi="Times New Roman" w:cs="Times New Roman"/>
        </w:rPr>
        <w:t xml:space="preserve">jusqu’au début des années 2000. Le 5 août 1996, une première proposition de loi est déposée par le sénateur </w:t>
      </w:r>
      <w:r w:rsidR="006A0B61" w:rsidRPr="0001496F">
        <w:rPr>
          <w:rFonts w:ascii="Times New Roman" w:hAnsi="Times New Roman" w:cs="Times New Roman"/>
        </w:rPr>
        <w:t xml:space="preserve">E. </w:t>
      </w:r>
      <w:r w:rsidR="00C27F05" w:rsidRPr="0001496F">
        <w:rPr>
          <w:rFonts w:ascii="Times New Roman" w:hAnsi="Times New Roman" w:cs="Times New Roman"/>
        </w:rPr>
        <w:t>Boutmans</w:t>
      </w:r>
      <w:r w:rsidR="00C27F05" w:rsidRPr="0001496F">
        <w:rPr>
          <w:rFonts w:ascii="Times New Roman" w:hAnsi="Times New Roman" w:cs="Times New Roman"/>
          <w:smallCaps/>
        </w:rPr>
        <w:t>,</w:t>
      </w:r>
      <w:r w:rsidR="00B073BA" w:rsidRPr="0001496F">
        <w:rPr>
          <w:rFonts w:ascii="Times New Roman" w:hAnsi="Times New Roman" w:cs="Times New Roman"/>
          <w:smallCaps/>
        </w:rPr>
        <w:t xml:space="preserve"> </w:t>
      </w:r>
      <w:r w:rsidR="00C27F05" w:rsidRPr="0001496F">
        <w:rPr>
          <w:rFonts w:ascii="Times New Roman" w:hAnsi="Times New Roman" w:cs="Times New Roman"/>
        </w:rPr>
        <w:t>laquelle vise à « accorder aux repentis une exemption temporaire et exceptionnelle de peine »</w:t>
      </w:r>
      <w:r w:rsidR="00C27F05" w:rsidRPr="0001496F">
        <w:rPr>
          <w:rStyle w:val="Appelnotedebasdep"/>
          <w:rFonts w:ascii="Times New Roman" w:hAnsi="Times New Roman" w:cs="Times New Roman"/>
        </w:rPr>
        <w:footnoteReference w:id="16"/>
      </w:r>
      <w:r w:rsidR="00C27F05" w:rsidRPr="0001496F">
        <w:rPr>
          <w:rFonts w:ascii="Times New Roman" w:hAnsi="Times New Roman" w:cs="Times New Roman"/>
        </w:rPr>
        <w:t>. Cette proposition de loi vis</w:t>
      </w:r>
      <w:r w:rsidR="00150BEF" w:rsidRPr="0001496F">
        <w:rPr>
          <w:rFonts w:ascii="Times New Roman" w:hAnsi="Times New Roman" w:cs="Times New Roman"/>
        </w:rPr>
        <w:t>e</w:t>
      </w:r>
      <w:r w:rsidR="00C27F05" w:rsidRPr="0001496F">
        <w:rPr>
          <w:rFonts w:ascii="Times New Roman" w:hAnsi="Times New Roman" w:cs="Times New Roman"/>
        </w:rPr>
        <w:t xml:space="preserve"> à insérer dans le Code pénal une cause d’excuse atténuante </w:t>
      </w:r>
      <w:r w:rsidR="00150BEF" w:rsidRPr="0001496F">
        <w:rPr>
          <w:rFonts w:ascii="Times New Roman" w:hAnsi="Times New Roman" w:cs="Times New Roman"/>
        </w:rPr>
        <w:t>pour</w:t>
      </w:r>
      <w:r w:rsidR="00C27F05" w:rsidRPr="0001496F">
        <w:rPr>
          <w:rFonts w:ascii="Times New Roman" w:hAnsi="Times New Roman" w:cs="Times New Roman"/>
        </w:rPr>
        <w:t xml:space="preserve"> l’auteur d’un fait pénal qui « aurait révélé à l’autorité l’identité des auteurs, coauteurs, complices et receleurs » ou qui, à défaut, aurait fourni aux autorités « les renseignements dont ils disposaient, pour permettre l’identification et la recherche desdites personnes » (</w:t>
      </w:r>
      <w:r w:rsidR="005D489B" w:rsidRPr="0001496F">
        <w:rPr>
          <w:rFonts w:ascii="Times New Roman" w:hAnsi="Times New Roman" w:cs="Times New Roman"/>
        </w:rPr>
        <w:t>art. 2).</w:t>
      </w:r>
      <w:r w:rsidR="00B073BA" w:rsidRPr="0001496F">
        <w:rPr>
          <w:rFonts w:ascii="Times New Roman" w:hAnsi="Times New Roman" w:cs="Times New Roman"/>
        </w:rPr>
        <w:t xml:space="preserve"> </w:t>
      </w:r>
      <w:r w:rsidR="005D489B" w:rsidRPr="0001496F">
        <w:rPr>
          <w:rFonts w:ascii="Times New Roman" w:hAnsi="Times New Roman" w:cs="Times New Roman"/>
        </w:rPr>
        <w:t>La cause d’excuse devient</w:t>
      </w:r>
      <w:r w:rsidR="00C27F05" w:rsidRPr="0001496F">
        <w:rPr>
          <w:rFonts w:ascii="Times New Roman" w:hAnsi="Times New Roman" w:cs="Times New Roman"/>
        </w:rPr>
        <w:t xml:space="preserve"> absolutoire lorsque la révélation concern</w:t>
      </w:r>
      <w:r w:rsidR="005D489B" w:rsidRPr="0001496F">
        <w:rPr>
          <w:rFonts w:ascii="Times New Roman" w:hAnsi="Times New Roman" w:cs="Times New Roman"/>
        </w:rPr>
        <w:t>e</w:t>
      </w:r>
      <w:r w:rsidR="00C27F05" w:rsidRPr="0001496F">
        <w:rPr>
          <w:rFonts w:ascii="Times New Roman" w:hAnsi="Times New Roman" w:cs="Times New Roman"/>
        </w:rPr>
        <w:t xml:space="preserve"> « les commanditaires des crimes ou ceux</w:t>
      </w:r>
      <w:r w:rsidR="00D23D34" w:rsidRPr="0001496F">
        <w:rPr>
          <w:rFonts w:ascii="Times New Roman" w:hAnsi="Times New Roman" w:cs="Times New Roman"/>
        </w:rPr>
        <w:t xml:space="preserve"> qui avaient la direction de l’</w:t>
      </w:r>
      <w:r w:rsidR="00C27F05" w:rsidRPr="0001496F">
        <w:rPr>
          <w:rFonts w:ascii="Times New Roman" w:hAnsi="Times New Roman" w:cs="Times New Roman"/>
        </w:rPr>
        <w:t>association de malfaiteurs ayant commandi</w:t>
      </w:r>
      <w:r w:rsidR="00425346" w:rsidRPr="0001496F">
        <w:rPr>
          <w:rFonts w:ascii="Times New Roman" w:hAnsi="Times New Roman" w:cs="Times New Roman"/>
        </w:rPr>
        <w:t xml:space="preserve">té les crimes » et qu’elle émane </w:t>
      </w:r>
      <w:r w:rsidR="00C27F05" w:rsidRPr="0001496F">
        <w:rPr>
          <w:rFonts w:ascii="Times New Roman" w:hAnsi="Times New Roman" w:cs="Times New Roman"/>
        </w:rPr>
        <w:t xml:space="preserve">d’auteurs qui </w:t>
      </w:r>
      <w:r w:rsidR="00425346" w:rsidRPr="0001496F">
        <w:rPr>
          <w:rFonts w:ascii="Times New Roman" w:hAnsi="Times New Roman" w:cs="Times New Roman"/>
        </w:rPr>
        <w:t>ne sont « </w:t>
      </w:r>
      <w:r w:rsidR="00C27F05" w:rsidRPr="0001496F">
        <w:rPr>
          <w:rFonts w:ascii="Times New Roman" w:hAnsi="Times New Roman" w:cs="Times New Roman"/>
        </w:rPr>
        <w:t xml:space="preserve">pas eux-mêmes les commanditaires ou directeurs » (art. 3). Les conditions d’application </w:t>
      </w:r>
      <w:r w:rsidR="00425346" w:rsidRPr="0001496F">
        <w:rPr>
          <w:rFonts w:ascii="Times New Roman" w:hAnsi="Times New Roman" w:cs="Times New Roman"/>
        </w:rPr>
        <w:t xml:space="preserve">prévues font que </w:t>
      </w:r>
      <w:r w:rsidR="00C27F05" w:rsidRPr="0001496F">
        <w:rPr>
          <w:rFonts w:ascii="Times New Roman" w:hAnsi="Times New Roman" w:cs="Times New Roman"/>
        </w:rPr>
        <w:t>ces deux causes d’excuse</w:t>
      </w:r>
      <w:r w:rsidR="00425346" w:rsidRPr="0001496F">
        <w:rPr>
          <w:rFonts w:ascii="Times New Roman" w:hAnsi="Times New Roman" w:cs="Times New Roman"/>
        </w:rPr>
        <w:t xml:space="preserve"> sont </w:t>
      </w:r>
      <w:r w:rsidR="00C27F05" w:rsidRPr="0001496F">
        <w:rPr>
          <w:rFonts w:ascii="Times New Roman" w:hAnsi="Times New Roman" w:cs="Times New Roman"/>
        </w:rPr>
        <w:t xml:space="preserve">en fait </w:t>
      </w:r>
      <w:r w:rsidR="00425346" w:rsidRPr="0001496F">
        <w:rPr>
          <w:rFonts w:ascii="Times New Roman" w:hAnsi="Times New Roman" w:cs="Times New Roman"/>
        </w:rPr>
        <w:t xml:space="preserve">réservées </w:t>
      </w:r>
      <w:r w:rsidR="00C27F05" w:rsidRPr="0001496F">
        <w:rPr>
          <w:rFonts w:ascii="Times New Roman" w:hAnsi="Times New Roman" w:cs="Times New Roman"/>
        </w:rPr>
        <w:t xml:space="preserve">aux « repentis » potentiels auteurs de crimes commis </w:t>
      </w:r>
      <w:r w:rsidR="0036286C" w:rsidRPr="0001496F">
        <w:rPr>
          <w:rFonts w:ascii="Times New Roman" w:hAnsi="Times New Roman" w:cs="Times New Roman"/>
        </w:rPr>
        <w:t>dix</w:t>
      </w:r>
      <w:r w:rsidR="00C27F05" w:rsidRPr="0001496F">
        <w:rPr>
          <w:rFonts w:ascii="Times New Roman" w:hAnsi="Times New Roman" w:cs="Times New Roman"/>
        </w:rPr>
        <w:t xml:space="preserve"> ans plus tôt dans le cadre des « tueries du Brabant Wallon »</w:t>
      </w:r>
      <w:r w:rsidR="00C27F05" w:rsidRPr="0001496F">
        <w:rPr>
          <w:rStyle w:val="Appelnotedebasdep"/>
          <w:rFonts w:ascii="Times New Roman" w:hAnsi="Times New Roman" w:cs="Times New Roman"/>
        </w:rPr>
        <w:footnoteReference w:id="17"/>
      </w:r>
      <w:r w:rsidR="00C27F05" w:rsidRPr="0001496F">
        <w:rPr>
          <w:rFonts w:ascii="Times New Roman" w:hAnsi="Times New Roman" w:cs="Times New Roman"/>
        </w:rPr>
        <w:t xml:space="preserve">. Comme en Italie ou en Allemagne, ce sont donc des actes associés à la criminalité organisée ou au terrorisme qui ont mis le droit des repentis ou collaborateurs de justice à l’agenda politique. </w:t>
      </w:r>
    </w:p>
    <w:p w14:paraId="7975F86C" w14:textId="77777777" w:rsidR="00C27F05" w:rsidRPr="0001496F" w:rsidRDefault="00C27F05" w:rsidP="0001496F">
      <w:pPr>
        <w:jc w:val="both"/>
        <w:rPr>
          <w:rFonts w:ascii="Times New Roman" w:hAnsi="Times New Roman" w:cs="Times New Roman"/>
        </w:rPr>
      </w:pPr>
    </w:p>
    <w:p w14:paraId="3DC835FB" w14:textId="103048C4" w:rsidR="00C27F05" w:rsidRPr="0001496F" w:rsidRDefault="00C27F05" w:rsidP="0001496F">
      <w:pPr>
        <w:jc w:val="both"/>
        <w:rPr>
          <w:rFonts w:ascii="Times New Roman" w:hAnsi="Times New Roman" w:cs="Times New Roman"/>
        </w:rPr>
      </w:pPr>
      <w:r w:rsidRPr="0001496F">
        <w:rPr>
          <w:rFonts w:ascii="Times New Roman" w:hAnsi="Times New Roman" w:cs="Times New Roman"/>
        </w:rPr>
        <w:t>Quelques mois plus</w:t>
      </w:r>
      <w:r w:rsidR="0036286C" w:rsidRPr="0001496F">
        <w:rPr>
          <w:rFonts w:ascii="Times New Roman" w:hAnsi="Times New Roman" w:cs="Times New Roman"/>
        </w:rPr>
        <w:t xml:space="preserve"> tard</w:t>
      </w:r>
      <w:r w:rsidRPr="0001496F">
        <w:rPr>
          <w:rFonts w:ascii="Times New Roman" w:hAnsi="Times New Roman" w:cs="Times New Roman"/>
        </w:rPr>
        <w:t>, en janvier 1997 une proposition de loi « visant</w:t>
      </w:r>
      <w:r w:rsidR="00B073BA" w:rsidRPr="0001496F">
        <w:rPr>
          <w:rFonts w:ascii="Times New Roman" w:hAnsi="Times New Roman" w:cs="Times New Roman"/>
        </w:rPr>
        <w:t xml:space="preserve"> </w:t>
      </w:r>
      <w:r w:rsidRPr="0001496F">
        <w:rPr>
          <w:rFonts w:ascii="Times New Roman" w:hAnsi="Times New Roman" w:cs="Times New Roman"/>
        </w:rPr>
        <w:t>à améliorer la lutte contre le crime organisé, le grand banditisme et le terrorisme »</w:t>
      </w:r>
      <w:r w:rsidRPr="0001496F">
        <w:rPr>
          <w:rStyle w:val="Appelnotedebasdep"/>
          <w:rFonts w:ascii="Times New Roman" w:hAnsi="Times New Roman" w:cs="Times New Roman"/>
        </w:rPr>
        <w:footnoteReference w:id="18"/>
      </w:r>
      <w:r w:rsidRPr="0001496F">
        <w:rPr>
          <w:rFonts w:ascii="Times New Roman" w:hAnsi="Times New Roman" w:cs="Times New Roman"/>
        </w:rPr>
        <w:t xml:space="preserve"> est déposée à la Chambre. Selon l’auteur de la proposition, le député </w:t>
      </w:r>
      <w:r w:rsidR="002965AD" w:rsidRPr="0001496F">
        <w:rPr>
          <w:rFonts w:ascii="Times New Roman" w:hAnsi="Times New Roman" w:cs="Times New Roman"/>
        </w:rPr>
        <w:t xml:space="preserve">J.-P. </w:t>
      </w:r>
      <w:r w:rsidRPr="0001496F">
        <w:rPr>
          <w:rFonts w:ascii="Times New Roman" w:hAnsi="Times New Roman" w:cs="Times New Roman"/>
        </w:rPr>
        <w:t xml:space="preserve">Moerman, l’actualité judiciaire (dont les tueries </w:t>
      </w:r>
      <w:r w:rsidRPr="0001496F">
        <w:rPr>
          <w:rFonts w:ascii="Times New Roman" w:hAnsi="Times New Roman" w:cs="Times New Roman"/>
        </w:rPr>
        <w:lastRenderedPageBreak/>
        <w:t xml:space="preserve">du Brabant </w:t>
      </w:r>
      <w:r w:rsidR="00425346" w:rsidRPr="0001496F">
        <w:rPr>
          <w:rFonts w:ascii="Times New Roman" w:hAnsi="Times New Roman" w:cs="Times New Roman"/>
        </w:rPr>
        <w:t>W</w:t>
      </w:r>
      <w:r w:rsidRPr="0001496F">
        <w:rPr>
          <w:rFonts w:ascii="Times New Roman" w:hAnsi="Times New Roman" w:cs="Times New Roman"/>
        </w:rPr>
        <w:t>allon) souligne la menace croissante que représente la criminalité organisée, au même titre que l’émergence de groupements terroristes. Le député estime dès lors qu’un « état de nécessité » justifie l’adoption d’une « loi d’exception » dans la lutte contre le crime organisé, le grand banditisme et le terrorisme. Cette</w:t>
      </w:r>
      <w:r w:rsidR="00B073BA" w:rsidRPr="0001496F">
        <w:rPr>
          <w:rFonts w:ascii="Times New Roman" w:hAnsi="Times New Roman" w:cs="Times New Roman"/>
        </w:rPr>
        <w:t xml:space="preserve"> </w:t>
      </w:r>
      <w:r w:rsidRPr="0001496F">
        <w:rPr>
          <w:rFonts w:ascii="Times New Roman" w:hAnsi="Times New Roman" w:cs="Times New Roman"/>
        </w:rPr>
        <w:t>loi doit encourager la collaboration avec la justice dans les domaines visés, accordant</w:t>
      </w:r>
      <w:r w:rsidR="00B073BA" w:rsidRPr="0001496F">
        <w:rPr>
          <w:rFonts w:ascii="Times New Roman" w:hAnsi="Times New Roman" w:cs="Times New Roman"/>
        </w:rPr>
        <w:t xml:space="preserve"> </w:t>
      </w:r>
      <w:r w:rsidRPr="0001496F">
        <w:rPr>
          <w:rFonts w:ascii="Times New Roman" w:hAnsi="Times New Roman" w:cs="Times New Roman"/>
        </w:rPr>
        <w:t>aux collaborateurs, repentis ou non, un système de protection mais aussi l’impunité « quelle que soit leur participation aux fai</w:t>
      </w:r>
      <w:r w:rsidR="00E92AB5" w:rsidRPr="0001496F">
        <w:rPr>
          <w:rFonts w:ascii="Times New Roman" w:hAnsi="Times New Roman" w:cs="Times New Roman"/>
        </w:rPr>
        <w:t>ts</w:t>
      </w:r>
      <w:r w:rsidRPr="0001496F">
        <w:rPr>
          <w:rFonts w:ascii="Times New Roman" w:hAnsi="Times New Roman" w:cs="Times New Roman"/>
        </w:rPr>
        <w:t xml:space="preserve"> infractionnels qu’ils dénoncent</w:t>
      </w:r>
      <w:r w:rsidR="00014331" w:rsidRPr="0001496F">
        <w:rPr>
          <w:rFonts w:ascii="Times New Roman" w:hAnsi="Times New Roman" w:cs="Times New Roman"/>
        </w:rPr>
        <w:t> »</w:t>
      </w:r>
      <w:r w:rsidRPr="0001496F">
        <w:rPr>
          <w:rFonts w:ascii="Times New Roman" w:hAnsi="Times New Roman" w:cs="Times New Roman"/>
        </w:rPr>
        <w:t xml:space="preserve"> (art. 3), pour autant qu’ils apportent des informations déterminantes sans lesquelles des affaires criminelles liées à la grande criminalité, au crime organisé ou au terrorisme n’auraient pu être élucidées (art. 2 et 3) ou susceptibles d’épargner des vies humaines (art. 10).</w:t>
      </w:r>
    </w:p>
    <w:p w14:paraId="44CBA3A4" w14:textId="77777777" w:rsidR="00C27F05" w:rsidRPr="0001496F" w:rsidRDefault="00C27F05" w:rsidP="0001496F">
      <w:pPr>
        <w:jc w:val="both"/>
        <w:rPr>
          <w:rFonts w:ascii="Times New Roman" w:hAnsi="Times New Roman" w:cs="Times New Roman"/>
        </w:rPr>
      </w:pPr>
    </w:p>
    <w:p w14:paraId="5351B307" w14:textId="74AD2FB9"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En octobre 1997, </w:t>
      </w:r>
      <w:r w:rsidR="00320835" w:rsidRPr="0001496F">
        <w:rPr>
          <w:rFonts w:ascii="Times New Roman" w:hAnsi="Times New Roman" w:cs="Times New Roman"/>
        </w:rPr>
        <w:t>une</w:t>
      </w:r>
      <w:r w:rsidR="00014331" w:rsidRPr="0001496F">
        <w:rPr>
          <w:rFonts w:ascii="Times New Roman" w:hAnsi="Times New Roman" w:cs="Times New Roman"/>
        </w:rPr>
        <w:t xml:space="preserve"> C</w:t>
      </w:r>
      <w:r w:rsidRPr="0001496F">
        <w:rPr>
          <w:rFonts w:ascii="Times New Roman" w:hAnsi="Times New Roman" w:cs="Times New Roman"/>
        </w:rPr>
        <w:t xml:space="preserve">ommission </w:t>
      </w:r>
      <w:r w:rsidR="006F661C" w:rsidRPr="0001496F">
        <w:rPr>
          <w:rFonts w:ascii="Times New Roman" w:hAnsi="Times New Roman" w:cs="Times New Roman"/>
        </w:rPr>
        <w:t>d</w:t>
      </w:r>
      <w:proofErr w:type="gramStart"/>
      <w:r w:rsidR="006F661C" w:rsidRPr="0001496F">
        <w:rPr>
          <w:rFonts w:ascii="Times New Roman" w:hAnsi="Times New Roman" w:cs="Times New Roman"/>
        </w:rPr>
        <w:t>’«</w:t>
      </w:r>
      <w:proofErr w:type="gramEnd"/>
      <w:r w:rsidRPr="0001496F">
        <w:rPr>
          <w:rFonts w:ascii="Times New Roman" w:hAnsi="Times New Roman" w:cs="Times New Roman"/>
        </w:rPr>
        <w:t> enquête parlementaire sur les adaptations nécessaires en matière d’organisation et de fonctionnement de l’appareil policier et judiciaire, en fonction des difficultés surgies lors de l’enquête sur les ‘tueurs du Brabant’ » dépose son rapport. La Commission propose « qu’une loi définitive de portée générale règle la réduction de peine » qui serait accord</w:t>
      </w:r>
      <w:r w:rsidR="00320835" w:rsidRPr="0001496F">
        <w:rPr>
          <w:rFonts w:ascii="Times New Roman" w:hAnsi="Times New Roman" w:cs="Times New Roman"/>
        </w:rPr>
        <w:t>é</w:t>
      </w:r>
      <w:r w:rsidRPr="0001496F">
        <w:rPr>
          <w:rFonts w:ascii="Times New Roman" w:hAnsi="Times New Roman" w:cs="Times New Roman"/>
        </w:rPr>
        <w:t xml:space="preserve">e aux repentis en échange </w:t>
      </w:r>
      <w:r w:rsidR="006F661C" w:rsidRPr="0001496F">
        <w:rPr>
          <w:rFonts w:ascii="Times New Roman" w:hAnsi="Times New Roman" w:cs="Times New Roman"/>
        </w:rPr>
        <w:t>d</w:t>
      </w:r>
      <w:proofErr w:type="gramStart"/>
      <w:r w:rsidR="006F661C" w:rsidRPr="0001496F">
        <w:rPr>
          <w:rFonts w:ascii="Times New Roman" w:hAnsi="Times New Roman" w:cs="Times New Roman"/>
        </w:rPr>
        <w:t>’«</w:t>
      </w:r>
      <w:proofErr w:type="gramEnd"/>
      <w:r w:rsidRPr="0001496F">
        <w:rPr>
          <w:rFonts w:ascii="Times New Roman" w:hAnsi="Times New Roman" w:cs="Times New Roman"/>
        </w:rPr>
        <w:t> informations complètes et utiles »</w:t>
      </w:r>
      <w:r w:rsidRPr="0001496F">
        <w:rPr>
          <w:rStyle w:val="Appelnotedebasdep"/>
          <w:rFonts w:ascii="Times New Roman" w:hAnsi="Times New Roman" w:cs="Times New Roman"/>
        </w:rPr>
        <w:footnoteReference w:id="19"/>
      </w:r>
      <w:r w:rsidRPr="0001496F">
        <w:rPr>
          <w:rFonts w:ascii="Times New Roman" w:hAnsi="Times New Roman" w:cs="Times New Roman"/>
        </w:rPr>
        <w:t xml:space="preserve">. Le rapport pose les premières balises d’un droit des repentis autour des principes suivants : un principe de </w:t>
      </w:r>
      <w:r w:rsidRPr="0001496F">
        <w:rPr>
          <w:rFonts w:ascii="Times New Roman" w:hAnsi="Times New Roman" w:cs="Times New Roman"/>
          <w:i/>
        </w:rPr>
        <w:t>subsidiarité</w:t>
      </w:r>
      <w:r w:rsidRPr="0001496F">
        <w:rPr>
          <w:rFonts w:ascii="Times New Roman" w:hAnsi="Times New Roman" w:cs="Times New Roman"/>
        </w:rPr>
        <w:t xml:space="preserve">, le recours au repenti ne se justifiant qu’à défaut d’obtenir des résultats par d’autres moyens ; un rapport de </w:t>
      </w:r>
      <w:r w:rsidRPr="0001496F">
        <w:rPr>
          <w:rFonts w:ascii="Times New Roman" w:hAnsi="Times New Roman" w:cs="Times New Roman"/>
          <w:i/>
        </w:rPr>
        <w:t>proportionnalité</w:t>
      </w:r>
      <w:r w:rsidRPr="0001496F">
        <w:rPr>
          <w:rFonts w:ascii="Times New Roman" w:hAnsi="Times New Roman" w:cs="Times New Roman"/>
        </w:rPr>
        <w:t xml:space="preserve"> entre la gravité l’infraction commise par le repenti et la gravité de celle qu’il dénonce, d’une part, et entre les avantages octroyés au repenti et les informations qu’il fournit</w:t>
      </w:r>
      <w:r w:rsidR="00014331" w:rsidRPr="0001496F">
        <w:rPr>
          <w:rFonts w:ascii="Times New Roman" w:hAnsi="Times New Roman" w:cs="Times New Roman"/>
        </w:rPr>
        <w:t>,</w:t>
      </w:r>
      <w:r w:rsidRPr="0001496F">
        <w:rPr>
          <w:rFonts w:ascii="Times New Roman" w:hAnsi="Times New Roman" w:cs="Times New Roman"/>
        </w:rPr>
        <w:t xml:space="preserve"> d’autre part. Le rapport met également l’accent sur l’i</w:t>
      </w:r>
      <w:r w:rsidR="00014331" w:rsidRPr="0001496F">
        <w:rPr>
          <w:rFonts w:ascii="Times New Roman" w:hAnsi="Times New Roman" w:cs="Times New Roman"/>
        </w:rPr>
        <w:t>mportance d’envisager un volet</w:t>
      </w:r>
      <w:r w:rsidRPr="0001496F">
        <w:rPr>
          <w:rFonts w:ascii="Times New Roman" w:hAnsi="Times New Roman" w:cs="Times New Roman"/>
        </w:rPr>
        <w:t> </w:t>
      </w:r>
      <w:r w:rsidRPr="0001496F">
        <w:rPr>
          <w:rFonts w:ascii="Times New Roman" w:hAnsi="Times New Roman" w:cs="Times New Roman"/>
          <w:i/>
        </w:rPr>
        <w:t>protection du repenti et de sa famille</w:t>
      </w:r>
      <w:r w:rsidRPr="0001496F">
        <w:rPr>
          <w:rFonts w:ascii="Times New Roman" w:hAnsi="Times New Roman" w:cs="Times New Roman"/>
        </w:rPr>
        <w:t xml:space="preserve"> ainsi que d’assurer les </w:t>
      </w:r>
      <w:r w:rsidRPr="0001496F">
        <w:rPr>
          <w:rFonts w:ascii="Times New Roman" w:hAnsi="Times New Roman" w:cs="Times New Roman"/>
          <w:i/>
        </w:rPr>
        <w:t>droits de la défense</w:t>
      </w:r>
      <w:r w:rsidRPr="0001496F">
        <w:rPr>
          <w:rFonts w:ascii="Times New Roman" w:hAnsi="Times New Roman" w:cs="Times New Roman"/>
        </w:rPr>
        <w:t xml:space="preserve"> des personnes mises en cause par le dénonciateur repenti, ce qui suppose d’accorder une importance particulière à la question de la crédibilité de ce dernier</w:t>
      </w:r>
      <w:r w:rsidR="00320835" w:rsidRPr="0001496F">
        <w:rPr>
          <w:rFonts w:ascii="Times New Roman" w:hAnsi="Times New Roman" w:cs="Times New Roman"/>
        </w:rPr>
        <w:t xml:space="preserve"> et de ses déclarations. Enfin,</w:t>
      </w:r>
      <w:r w:rsidR="00014331" w:rsidRPr="0001496F">
        <w:rPr>
          <w:rFonts w:ascii="Times New Roman" w:hAnsi="Times New Roman" w:cs="Times New Roman"/>
        </w:rPr>
        <w:t xml:space="preserve"> la C</w:t>
      </w:r>
      <w:r w:rsidRPr="0001496F">
        <w:rPr>
          <w:rFonts w:ascii="Times New Roman" w:hAnsi="Times New Roman" w:cs="Times New Roman"/>
        </w:rPr>
        <w:t>ommission estime que la négociation avec le repenti doit pouvoir s’envisager au</w:t>
      </w:r>
      <w:r w:rsidR="002C6CCC" w:rsidRPr="0001496F">
        <w:rPr>
          <w:rFonts w:ascii="Times New Roman" w:hAnsi="Times New Roman" w:cs="Times New Roman"/>
        </w:rPr>
        <w:t xml:space="preserve"> niveau</w:t>
      </w:r>
      <w:r w:rsidR="00CB1422" w:rsidRPr="0001496F">
        <w:rPr>
          <w:rFonts w:ascii="Times New Roman" w:hAnsi="Times New Roman" w:cs="Times New Roman"/>
        </w:rPr>
        <w:t xml:space="preserve"> de </w:t>
      </w:r>
      <w:r w:rsidR="00014331" w:rsidRPr="0001496F">
        <w:rPr>
          <w:rFonts w:ascii="Times New Roman" w:hAnsi="Times New Roman" w:cs="Times New Roman"/>
        </w:rPr>
        <w:t>l’action criminelle, de la</w:t>
      </w:r>
      <w:r w:rsidR="00CB1422" w:rsidRPr="0001496F">
        <w:rPr>
          <w:rFonts w:ascii="Times New Roman" w:hAnsi="Times New Roman" w:cs="Times New Roman"/>
        </w:rPr>
        <w:t> </w:t>
      </w:r>
      <w:r w:rsidR="00014331" w:rsidRPr="0001496F">
        <w:rPr>
          <w:rFonts w:ascii="Times New Roman" w:hAnsi="Times New Roman" w:cs="Times New Roman"/>
        </w:rPr>
        <w:t>fixation de la peine</w:t>
      </w:r>
      <w:r w:rsidR="001502CA" w:rsidRPr="0001496F">
        <w:rPr>
          <w:rFonts w:ascii="Times New Roman" w:hAnsi="Times New Roman" w:cs="Times New Roman"/>
        </w:rPr>
        <w:t xml:space="preserve"> et de l’</w:t>
      </w:r>
      <w:r w:rsidR="00CB1422" w:rsidRPr="0001496F">
        <w:rPr>
          <w:rFonts w:ascii="Times New Roman" w:hAnsi="Times New Roman" w:cs="Times New Roman"/>
        </w:rPr>
        <w:t>exécution de la peine</w:t>
      </w:r>
      <w:r w:rsidRPr="0001496F">
        <w:rPr>
          <w:rStyle w:val="Appelnotedebasdep"/>
          <w:rFonts w:ascii="Times New Roman" w:hAnsi="Times New Roman" w:cs="Times New Roman"/>
        </w:rPr>
        <w:footnoteReference w:id="20"/>
      </w:r>
      <w:r w:rsidRPr="0001496F">
        <w:rPr>
          <w:rFonts w:ascii="Times New Roman" w:hAnsi="Times New Roman" w:cs="Times New Roman"/>
        </w:rPr>
        <w:t>.</w:t>
      </w:r>
    </w:p>
    <w:p w14:paraId="004DF554" w14:textId="77777777" w:rsidR="00C27F05" w:rsidRPr="0001496F" w:rsidRDefault="00C27F05" w:rsidP="0001496F">
      <w:pPr>
        <w:jc w:val="both"/>
        <w:rPr>
          <w:rFonts w:ascii="Times New Roman" w:hAnsi="Times New Roman" w:cs="Times New Roman"/>
        </w:rPr>
      </w:pPr>
    </w:p>
    <w:p w14:paraId="49C94C91" w14:textId="116ED3F4" w:rsidR="00C27F05" w:rsidRPr="0001496F" w:rsidRDefault="00A05F67" w:rsidP="0001496F">
      <w:pPr>
        <w:jc w:val="both"/>
        <w:rPr>
          <w:rFonts w:ascii="Times New Roman" w:hAnsi="Times New Roman" w:cs="Times New Roman"/>
        </w:rPr>
      </w:pPr>
      <w:r w:rsidRPr="0001496F">
        <w:rPr>
          <w:rFonts w:ascii="Times New Roman" w:hAnsi="Times New Roman" w:cs="Times New Roman"/>
        </w:rPr>
        <w:t>À</w:t>
      </w:r>
      <w:r w:rsidR="00C27F05" w:rsidRPr="0001496F">
        <w:rPr>
          <w:rFonts w:ascii="Times New Roman" w:hAnsi="Times New Roman" w:cs="Times New Roman"/>
        </w:rPr>
        <w:t xml:space="preserve"> la même période, fin 1997, le rapport de la recherche sur les repentis confiée à l’Université de Gand un an plus tôt est transmis au ministre de la </w:t>
      </w:r>
      <w:r w:rsidR="00006F83" w:rsidRPr="0001496F">
        <w:rPr>
          <w:rFonts w:ascii="Times New Roman" w:hAnsi="Times New Roman" w:cs="Times New Roman"/>
        </w:rPr>
        <w:t>J</w:t>
      </w:r>
      <w:r w:rsidR="00C27F05" w:rsidRPr="0001496F">
        <w:rPr>
          <w:rFonts w:ascii="Times New Roman" w:hAnsi="Times New Roman" w:cs="Times New Roman"/>
        </w:rPr>
        <w:t>ustice</w:t>
      </w:r>
      <w:r w:rsidR="00C27F05" w:rsidRPr="0001496F">
        <w:rPr>
          <w:rStyle w:val="Appelnotedebasdep"/>
          <w:rFonts w:ascii="Times New Roman" w:hAnsi="Times New Roman" w:cs="Times New Roman"/>
        </w:rPr>
        <w:footnoteReference w:id="21"/>
      </w:r>
      <w:r w:rsidR="00C27F05" w:rsidRPr="0001496F">
        <w:rPr>
          <w:rFonts w:ascii="Times New Roman" w:hAnsi="Times New Roman" w:cs="Times New Roman"/>
        </w:rPr>
        <w:t>. Présenté et</w:t>
      </w:r>
      <w:r w:rsidR="003B01B3" w:rsidRPr="0001496F">
        <w:rPr>
          <w:rFonts w:ascii="Times New Roman" w:hAnsi="Times New Roman" w:cs="Times New Roman"/>
        </w:rPr>
        <w:t xml:space="preserve"> débattu lors d’un colloque au S</w:t>
      </w:r>
      <w:r w:rsidR="00C27F05" w:rsidRPr="0001496F">
        <w:rPr>
          <w:rFonts w:ascii="Times New Roman" w:hAnsi="Times New Roman" w:cs="Times New Roman"/>
        </w:rPr>
        <w:t>énat les 8 et 9 octobre 19</w:t>
      </w:r>
      <w:r w:rsidR="003B01B3" w:rsidRPr="0001496F">
        <w:rPr>
          <w:rFonts w:ascii="Times New Roman" w:hAnsi="Times New Roman" w:cs="Times New Roman"/>
        </w:rPr>
        <w:t>98, le rapport propose</w:t>
      </w:r>
      <w:r w:rsidR="00C27F05" w:rsidRPr="0001496F">
        <w:rPr>
          <w:rFonts w:ascii="Times New Roman" w:hAnsi="Times New Roman" w:cs="Times New Roman"/>
        </w:rPr>
        <w:t xml:space="preserve"> d’adopter un régime légal pour les repentis, en prévoyant un régime exceptionnel articulé autour de principes très pr</w:t>
      </w:r>
      <w:r w:rsidR="00014331" w:rsidRPr="0001496F">
        <w:rPr>
          <w:rFonts w:ascii="Times New Roman" w:hAnsi="Times New Roman" w:cs="Times New Roman"/>
        </w:rPr>
        <w:t>oches de ceux envisagés par la C</w:t>
      </w:r>
      <w:r w:rsidR="00C27F05" w:rsidRPr="0001496F">
        <w:rPr>
          <w:rFonts w:ascii="Times New Roman" w:hAnsi="Times New Roman" w:cs="Times New Roman"/>
        </w:rPr>
        <w:t xml:space="preserve">ommission parlementaire évoquée ci-dessus : un principe de </w:t>
      </w:r>
      <w:r w:rsidR="00C27F05" w:rsidRPr="0001496F">
        <w:rPr>
          <w:rFonts w:ascii="Times New Roman" w:hAnsi="Times New Roman" w:cs="Times New Roman"/>
          <w:i/>
        </w:rPr>
        <w:t>subsidiarité</w:t>
      </w:r>
      <w:r w:rsidR="00C27F05" w:rsidRPr="0001496F">
        <w:rPr>
          <w:rFonts w:ascii="Times New Roman" w:hAnsi="Times New Roman" w:cs="Times New Roman"/>
        </w:rPr>
        <w:t xml:space="preserve">, impliquant que le recours aux repentis ne devrait s’envisager que lorsque les méthodes de recherche et de poursuites classiques sont insuffisantes ; un principe de </w:t>
      </w:r>
      <w:r w:rsidR="00C27F05" w:rsidRPr="0001496F">
        <w:rPr>
          <w:rFonts w:ascii="Times New Roman" w:hAnsi="Times New Roman" w:cs="Times New Roman"/>
          <w:i/>
        </w:rPr>
        <w:t>proportionnalité</w:t>
      </w:r>
      <w:r w:rsidR="00C27F05" w:rsidRPr="0001496F">
        <w:rPr>
          <w:rFonts w:ascii="Times New Roman" w:hAnsi="Times New Roman" w:cs="Times New Roman"/>
        </w:rPr>
        <w:t xml:space="preserve"> entre la gravité de l’infraction commise par le repenti et l’infraction qu’il dénonce</w:t>
      </w:r>
      <w:r w:rsidR="00C27F05" w:rsidRPr="0001496F">
        <w:rPr>
          <w:rStyle w:val="Appelnotedebasdep"/>
          <w:rFonts w:ascii="Times New Roman" w:hAnsi="Times New Roman" w:cs="Times New Roman"/>
        </w:rPr>
        <w:footnoteReference w:id="22"/>
      </w:r>
      <w:r w:rsidR="00C27F05" w:rsidRPr="0001496F">
        <w:rPr>
          <w:rFonts w:ascii="Times New Roman" w:hAnsi="Times New Roman" w:cs="Times New Roman"/>
        </w:rPr>
        <w:t xml:space="preserve"> et entre l’infraction commise par le repenti et les avantages qu’il obtient</w:t>
      </w:r>
      <w:r w:rsidR="00C27F05" w:rsidRPr="0001496F">
        <w:rPr>
          <w:rStyle w:val="Appelnotedebasdep"/>
          <w:rFonts w:ascii="Times New Roman" w:hAnsi="Times New Roman" w:cs="Times New Roman"/>
        </w:rPr>
        <w:footnoteReference w:id="23"/>
      </w:r>
      <w:r w:rsidR="00C27F05" w:rsidRPr="0001496F">
        <w:rPr>
          <w:rFonts w:ascii="Times New Roman" w:hAnsi="Times New Roman" w:cs="Times New Roman"/>
        </w:rPr>
        <w:t xml:space="preserve"> ; un </w:t>
      </w:r>
      <w:r w:rsidR="00C27F05" w:rsidRPr="0001496F">
        <w:rPr>
          <w:rFonts w:ascii="Times New Roman" w:hAnsi="Times New Roman" w:cs="Times New Roman"/>
          <w:i/>
        </w:rPr>
        <w:t>contrôle</w:t>
      </w:r>
      <w:r w:rsidR="00C27F05" w:rsidRPr="0001496F">
        <w:rPr>
          <w:rFonts w:ascii="Times New Roman" w:hAnsi="Times New Roman" w:cs="Times New Roman"/>
        </w:rPr>
        <w:t>, autant que possible exercé par les autorités judiciaires, tant sur le respect des conditions légales prévues pour octroyer la récompense au repenti que sur la fiabilité des déclarations de ce dernier</w:t>
      </w:r>
      <w:r w:rsidR="00C27F05" w:rsidRPr="0001496F">
        <w:rPr>
          <w:rStyle w:val="Appelnotedebasdep"/>
          <w:rFonts w:ascii="Times New Roman" w:hAnsi="Times New Roman" w:cs="Times New Roman"/>
        </w:rPr>
        <w:footnoteReference w:id="24"/>
      </w:r>
      <w:r w:rsidR="00C27F05" w:rsidRPr="0001496F">
        <w:rPr>
          <w:rFonts w:ascii="Times New Roman" w:hAnsi="Times New Roman" w:cs="Times New Roman"/>
        </w:rPr>
        <w:t xml:space="preserve"> ; et </w:t>
      </w:r>
      <w:r w:rsidR="00C27F05" w:rsidRPr="0001496F">
        <w:rPr>
          <w:rFonts w:ascii="Times New Roman" w:hAnsi="Times New Roman" w:cs="Times New Roman"/>
        </w:rPr>
        <w:lastRenderedPageBreak/>
        <w:t xml:space="preserve">enfin, une loi sur les repentis suffisamment claire et précise que pour respecter les exigences du </w:t>
      </w:r>
      <w:r w:rsidR="00C27F05" w:rsidRPr="0001496F">
        <w:rPr>
          <w:rFonts w:ascii="Times New Roman" w:hAnsi="Times New Roman" w:cs="Times New Roman"/>
          <w:i/>
        </w:rPr>
        <w:t>principe de légalité au sens substantiel</w:t>
      </w:r>
      <w:r w:rsidR="00C27F05" w:rsidRPr="0001496F">
        <w:rPr>
          <w:rStyle w:val="Appelnotedebasdep"/>
          <w:rFonts w:ascii="Times New Roman" w:hAnsi="Times New Roman" w:cs="Times New Roman"/>
          <w:i/>
        </w:rPr>
        <w:footnoteReference w:id="25"/>
      </w:r>
      <w:r w:rsidR="00C27F05" w:rsidRPr="0001496F">
        <w:rPr>
          <w:rFonts w:ascii="Times New Roman" w:hAnsi="Times New Roman" w:cs="Times New Roman"/>
        </w:rPr>
        <w:t xml:space="preserve">. </w:t>
      </w:r>
    </w:p>
    <w:p w14:paraId="4A8B213B" w14:textId="77777777" w:rsidR="00C27F05" w:rsidRPr="0001496F" w:rsidRDefault="00C27F05" w:rsidP="0001496F">
      <w:pPr>
        <w:jc w:val="both"/>
        <w:rPr>
          <w:rFonts w:ascii="Times New Roman" w:hAnsi="Times New Roman" w:cs="Times New Roman"/>
        </w:rPr>
      </w:pPr>
    </w:p>
    <w:p w14:paraId="5686B265" w14:textId="3E9CA43F" w:rsidR="00C27F05" w:rsidRPr="0001496F" w:rsidRDefault="00C27F05" w:rsidP="0001496F">
      <w:pPr>
        <w:jc w:val="both"/>
        <w:rPr>
          <w:rFonts w:ascii="Times New Roman" w:hAnsi="Times New Roman" w:cs="Times New Roman"/>
        </w:rPr>
      </w:pPr>
      <w:r w:rsidRPr="0001496F">
        <w:rPr>
          <w:rFonts w:ascii="Times New Roman" w:hAnsi="Times New Roman" w:cs="Times New Roman"/>
        </w:rPr>
        <w:t>Sur un plan plus concret</w:t>
      </w:r>
      <w:r w:rsidR="00014331" w:rsidRPr="0001496F">
        <w:rPr>
          <w:rFonts w:ascii="Times New Roman" w:hAnsi="Times New Roman" w:cs="Times New Roman"/>
        </w:rPr>
        <w:t>, le rapport propose, comme la C</w:t>
      </w:r>
      <w:r w:rsidRPr="0001496F">
        <w:rPr>
          <w:rFonts w:ascii="Times New Roman" w:hAnsi="Times New Roman" w:cs="Times New Roman"/>
        </w:rPr>
        <w:t>ommission parlementaire,</w:t>
      </w:r>
      <w:r w:rsidR="00B073BA" w:rsidRPr="0001496F">
        <w:rPr>
          <w:rFonts w:ascii="Times New Roman" w:hAnsi="Times New Roman" w:cs="Times New Roman"/>
        </w:rPr>
        <w:t xml:space="preserve"> </w:t>
      </w:r>
      <w:r w:rsidRPr="0001496F">
        <w:rPr>
          <w:rFonts w:ascii="Times New Roman" w:hAnsi="Times New Roman" w:cs="Times New Roman"/>
        </w:rPr>
        <w:t>d’introduire un mécanisme de négociation avec le futur repenti</w:t>
      </w:r>
      <w:r w:rsidR="009B04E7" w:rsidRPr="0001496F">
        <w:rPr>
          <w:rFonts w:ascii="Times New Roman" w:hAnsi="Times New Roman" w:cs="Times New Roman"/>
        </w:rPr>
        <w:t>. Celui-ci pouvant bénéficier d’un classement sans suite</w:t>
      </w:r>
      <w:r w:rsidRPr="0001496F">
        <w:rPr>
          <w:rStyle w:val="Appelnotedebasdep"/>
          <w:rFonts w:ascii="Times New Roman" w:hAnsi="Times New Roman" w:cs="Times New Roman"/>
        </w:rPr>
        <w:footnoteReference w:id="26"/>
      </w:r>
      <w:r w:rsidR="009B04E7" w:rsidRPr="0001496F">
        <w:rPr>
          <w:rFonts w:ascii="Times New Roman" w:hAnsi="Times New Roman" w:cs="Times New Roman"/>
        </w:rPr>
        <w:t>, d’une réduction de peine via une nouvelle cause d’excuse de dénonciation</w:t>
      </w:r>
      <w:r w:rsidRPr="0001496F">
        <w:rPr>
          <w:rStyle w:val="Appelnotedebasdep"/>
          <w:rFonts w:ascii="Times New Roman" w:hAnsi="Times New Roman" w:cs="Times New Roman"/>
        </w:rPr>
        <w:footnoteReference w:id="27"/>
      </w:r>
      <w:r w:rsidRPr="0001496F">
        <w:rPr>
          <w:rFonts w:ascii="Times New Roman" w:hAnsi="Times New Roman" w:cs="Times New Roman"/>
        </w:rPr>
        <w:t> </w:t>
      </w:r>
      <w:r w:rsidR="009B04E7" w:rsidRPr="0001496F">
        <w:rPr>
          <w:rFonts w:ascii="Times New Roman" w:hAnsi="Times New Roman" w:cs="Times New Roman"/>
        </w:rPr>
        <w:t xml:space="preserve">ou d’un </w:t>
      </w:r>
      <w:r w:rsidRPr="0001496F">
        <w:rPr>
          <w:rFonts w:ascii="Times New Roman" w:hAnsi="Times New Roman" w:cs="Times New Roman"/>
        </w:rPr>
        <w:t>régime de faveur dans l’exécution de la peine (allant éventuellement jusqu’à la non</w:t>
      </w:r>
      <w:r w:rsidR="00390EFE" w:rsidRPr="0001496F">
        <w:rPr>
          <w:rFonts w:ascii="Times New Roman" w:hAnsi="Times New Roman" w:cs="Times New Roman"/>
        </w:rPr>
        <w:t>-</w:t>
      </w:r>
      <w:r w:rsidRPr="0001496F">
        <w:rPr>
          <w:rFonts w:ascii="Times New Roman" w:hAnsi="Times New Roman" w:cs="Times New Roman"/>
        </w:rPr>
        <w:t>exécution de celle-ci) en échange de révélations complètes et sincères</w:t>
      </w:r>
      <w:r w:rsidRPr="0001496F">
        <w:rPr>
          <w:rStyle w:val="Appelnotedebasdep"/>
          <w:rFonts w:ascii="Times New Roman" w:hAnsi="Times New Roman" w:cs="Times New Roman"/>
        </w:rPr>
        <w:footnoteReference w:id="28"/>
      </w:r>
      <w:r w:rsidR="003B01B3" w:rsidRPr="0001496F">
        <w:rPr>
          <w:rFonts w:ascii="Times New Roman" w:hAnsi="Times New Roman" w:cs="Times New Roman"/>
        </w:rPr>
        <w:t>. Le rapport insiste</w:t>
      </w:r>
      <w:r w:rsidRPr="0001496F">
        <w:rPr>
          <w:rFonts w:ascii="Times New Roman" w:hAnsi="Times New Roman" w:cs="Times New Roman"/>
        </w:rPr>
        <w:t>, sans plus de détails, sur l’importance de mesures de protection des repentis et de leurs proches pour assurer l’efficacité du système</w:t>
      </w:r>
      <w:r w:rsidRPr="0001496F">
        <w:rPr>
          <w:rStyle w:val="Appelnotedebasdep"/>
          <w:rFonts w:ascii="Times New Roman" w:hAnsi="Times New Roman" w:cs="Times New Roman"/>
        </w:rPr>
        <w:footnoteReference w:id="29"/>
      </w:r>
      <w:r w:rsidR="00320835" w:rsidRPr="0001496F">
        <w:rPr>
          <w:rFonts w:ascii="Times New Roman" w:hAnsi="Times New Roman" w:cs="Times New Roman"/>
        </w:rPr>
        <w:t xml:space="preserve"> et sur</w:t>
      </w:r>
      <w:r w:rsidRPr="0001496F">
        <w:rPr>
          <w:rFonts w:ascii="Times New Roman" w:hAnsi="Times New Roman" w:cs="Times New Roman"/>
        </w:rPr>
        <w:t xml:space="preserve"> les droits de la défense en évitant que le juge pénal ne puisse condamner un accusé sur la seule base du témoignage du repenti</w:t>
      </w:r>
      <w:r w:rsidRPr="0001496F">
        <w:rPr>
          <w:rStyle w:val="Appelnotedebasdep"/>
          <w:rFonts w:ascii="Times New Roman" w:hAnsi="Times New Roman" w:cs="Times New Roman"/>
        </w:rPr>
        <w:footnoteReference w:id="30"/>
      </w:r>
      <w:r w:rsidRPr="0001496F">
        <w:rPr>
          <w:rFonts w:ascii="Times New Roman" w:hAnsi="Times New Roman" w:cs="Times New Roman"/>
        </w:rPr>
        <w:t>.</w:t>
      </w:r>
    </w:p>
    <w:p w14:paraId="08769DFE" w14:textId="77777777" w:rsidR="00C27F05" w:rsidRPr="0001496F" w:rsidRDefault="00C27F05" w:rsidP="0001496F">
      <w:pPr>
        <w:jc w:val="both"/>
        <w:rPr>
          <w:rFonts w:ascii="Times New Roman" w:hAnsi="Times New Roman" w:cs="Times New Roman"/>
        </w:rPr>
      </w:pPr>
    </w:p>
    <w:p w14:paraId="4997CFD2" w14:textId="6FBF1F49"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En novembre 1998, c’est au tour des députés </w:t>
      </w:r>
      <w:r w:rsidR="00570DBC" w:rsidRPr="0001496F">
        <w:rPr>
          <w:rFonts w:ascii="Times New Roman" w:hAnsi="Times New Roman" w:cs="Times New Roman"/>
        </w:rPr>
        <w:t xml:space="preserve">A. </w:t>
      </w:r>
      <w:r w:rsidRPr="0001496F">
        <w:rPr>
          <w:rFonts w:ascii="Times New Roman" w:hAnsi="Times New Roman" w:cs="Times New Roman"/>
        </w:rPr>
        <w:t xml:space="preserve">Dusquennes et </w:t>
      </w:r>
      <w:r w:rsidR="00570DBC" w:rsidRPr="0001496F">
        <w:rPr>
          <w:rFonts w:ascii="Times New Roman" w:hAnsi="Times New Roman" w:cs="Times New Roman"/>
        </w:rPr>
        <w:t xml:space="preserve">J.-P. </w:t>
      </w:r>
      <w:r w:rsidRPr="0001496F">
        <w:rPr>
          <w:rFonts w:ascii="Times New Roman" w:hAnsi="Times New Roman" w:cs="Times New Roman"/>
        </w:rPr>
        <w:t xml:space="preserve">Moerman de déposer une proposition </w:t>
      </w:r>
      <w:r w:rsidR="00320835" w:rsidRPr="0001496F">
        <w:rPr>
          <w:rFonts w:ascii="Times New Roman" w:hAnsi="Times New Roman" w:cs="Times New Roman"/>
        </w:rPr>
        <w:t xml:space="preserve">de loi </w:t>
      </w:r>
      <w:r w:rsidRPr="0001496F">
        <w:rPr>
          <w:rFonts w:ascii="Times New Roman" w:hAnsi="Times New Roman" w:cs="Times New Roman"/>
        </w:rPr>
        <w:t>visant à « accorder aux repentis une immunité pénale dans le cadre de la lutte contre le crime organisé »</w:t>
      </w:r>
      <w:r w:rsidRPr="0001496F">
        <w:rPr>
          <w:rStyle w:val="Appelnotedebasdep"/>
          <w:rFonts w:ascii="Times New Roman" w:hAnsi="Times New Roman" w:cs="Times New Roman"/>
        </w:rPr>
        <w:footnoteReference w:id="31"/>
      </w:r>
      <w:r w:rsidRPr="0001496F">
        <w:rPr>
          <w:rFonts w:ascii="Times New Roman" w:hAnsi="Times New Roman" w:cs="Times New Roman"/>
        </w:rPr>
        <w:t>. Actant l’échec des méthodes traditionnelles de recherche dans la lutte contre la criminalité organisée, le grand banditisme et le terrorisme</w:t>
      </w:r>
      <w:r w:rsidRPr="0001496F">
        <w:rPr>
          <w:rStyle w:val="Appelnotedebasdep"/>
          <w:rFonts w:ascii="Times New Roman" w:hAnsi="Times New Roman" w:cs="Times New Roman"/>
        </w:rPr>
        <w:footnoteReference w:id="32"/>
      </w:r>
      <w:r w:rsidRPr="0001496F">
        <w:rPr>
          <w:rFonts w:ascii="Times New Roman" w:hAnsi="Times New Roman" w:cs="Times New Roman"/>
        </w:rPr>
        <w:t>, la proposition de loi propose d’introduire un régime de repentis dans la lutte contre le crime organisé, en accordant une immunité pénale aux auteurs d’infractions graves en échange d’informations utiles et en fonction de leur importance. La proposition envisage un double dispositif : si les révélations du repenti interviennent avant son renvoi devant la juridiction de jugement, celui-ci pourrait bénéficier d’une extinction de l’action publique portant, selon l’importance des révélations faites, sur</w:t>
      </w:r>
      <w:r w:rsidR="00B073BA" w:rsidRPr="0001496F">
        <w:rPr>
          <w:rFonts w:ascii="Times New Roman" w:hAnsi="Times New Roman" w:cs="Times New Roman"/>
        </w:rPr>
        <w:t xml:space="preserve"> </w:t>
      </w:r>
      <w:r w:rsidRPr="0001496F">
        <w:rPr>
          <w:rFonts w:ascii="Times New Roman" w:hAnsi="Times New Roman" w:cs="Times New Roman"/>
        </w:rPr>
        <w:t>tout ou partie des infractions qu’il a commises. Si le transfert des informations a lieu après le renvoi du repenti devant le juge fond, ce dernier pourrait bénéficier d’avantages au stade de l’exécution de la peine</w:t>
      </w:r>
      <w:r w:rsidRPr="0001496F">
        <w:rPr>
          <w:rStyle w:val="Appelnotedebasdep"/>
          <w:rFonts w:ascii="Times New Roman" w:hAnsi="Times New Roman" w:cs="Times New Roman"/>
        </w:rPr>
        <w:footnoteReference w:id="33"/>
      </w:r>
      <w:r w:rsidRPr="0001496F">
        <w:rPr>
          <w:rFonts w:ascii="Times New Roman" w:hAnsi="Times New Roman" w:cs="Times New Roman"/>
        </w:rPr>
        <w:t>. Le texte prévoit également comme condition le respect du principe de proportionnalité entre les infractions commises et dénoncées par le repenti</w:t>
      </w:r>
      <w:r w:rsidRPr="0001496F">
        <w:rPr>
          <w:rStyle w:val="Appelnotedebasdep"/>
          <w:rFonts w:ascii="Times New Roman" w:hAnsi="Times New Roman" w:cs="Times New Roman"/>
        </w:rPr>
        <w:footnoteReference w:id="34"/>
      </w:r>
      <w:r w:rsidRPr="0001496F">
        <w:rPr>
          <w:rFonts w:ascii="Times New Roman" w:hAnsi="Times New Roman" w:cs="Times New Roman"/>
        </w:rPr>
        <w:t>, tout comme il prévoit diverses mesures destinées à garantir les droits de la défense des prévenus mis en cause (notamment le refus de tout anonymat d</w:t>
      </w:r>
      <w:r w:rsidR="000D78D1" w:rsidRPr="0001496F">
        <w:rPr>
          <w:rFonts w:ascii="Times New Roman" w:hAnsi="Times New Roman" w:cs="Times New Roman"/>
        </w:rPr>
        <w:t>ans le chef du repenti</w:t>
      </w:r>
      <w:r w:rsidRPr="0001496F">
        <w:rPr>
          <w:rFonts w:ascii="Times New Roman" w:hAnsi="Times New Roman" w:cs="Times New Roman"/>
        </w:rPr>
        <w:t xml:space="preserve"> ou le fait qu’une condamnation ne pourrait être prononcée sur la base de la seule déclaration du re</w:t>
      </w:r>
      <w:r w:rsidR="000D78D1" w:rsidRPr="0001496F">
        <w:rPr>
          <w:rFonts w:ascii="Times New Roman" w:hAnsi="Times New Roman" w:cs="Times New Roman"/>
        </w:rPr>
        <w:t>penti</w:t>
      </w:r>
      <w:r w:rsidRPr="0001496F">
        <w:rPr>
          <w:rFonts w:ascii="Times New Roman" w:hAnsi="Times New Roman" w:cs="Times New Roman"/>
        </w:rPr>
        <w:t xml:space="preserve">). Si la proposition reste classique sur ces points, </w:t>
      </w:r>
      <w:r w:rsidR="00D23DEF" w:rsidRPr="0001496F">
        <w:rPr>
          <w:rFonts w:ascii="Times New Roman" w:hAnsi="Times New Roman" w:cs="Times New Roman"/>
        </w:rPr>
        <w:t>en revanche</w:t>
      </w:r>
      <w:r w:rsidRPr="0001496F">
        <w:rPr>
          <w:rFonts w:ascii="Times New Roman" w:hAnsi="Times New Roman" w:cs="Times New Roman"/>
        </w:rPr>
        <w:t xml:space="preserve"> elle prévoit un volet plus novateur en matière de protection des témoins repentis, prévoyant une liste non limitative de mesures non pénales de protection (nouvelle identité, aide financière, etc.) et suggérant de créer « un mécanisme de protection des repentis au niveau européen, l’exiguïté de notre territoire rendant difficile le reclassement (des repentis) »</w:t>
      </w:r>
      <w:r w:rsidRPr="0001496F">
        <w:rPr>
          <w:rStyle w:val="Appelnotedebasdep"/>
          <w:rFonts w:ascii="Times New Roman" w:hAnsi="Times New Roman" w:cs="Times New Roman"/>
        </w:rPr>
        <w:footnoteReference w:id="35"/>
      </w:r>
      <w:r w:rsidRPr="0001496F">
        <w:rPr>
          <w:rFonts w:ascii="Times New Roman" w:hAnsi="Times New Roman" w:cs="Times New Roman"/>
        </w:rPr>
        <w:t xml:space="preserve"> .</w:t>
      </w:r>
    </w:p>
    <w:p w14:paraId="600C8E1E" w14:textId="77777777" w:rsidR="00C27F05" w:rsidRPr="0001496F" w:rsidRDefault="00C27F05" w:rsidP="0001496F">
      <w:pPr>
        <w:jc w:val="both"/>
        <w:rPr>
          <w:rFonts w:ascii="Times New Roman" w:hAnsi="Times New Roman" w:cs="Times New Roman"/>
        </w:rPr>
      </w:pPr>
    </w:p>
    <w:p w14:paraId="5CB50524" w14:textId="1A55DECE" w:rsidR="00C27F05" w:rsidRPr="0001496F" w:rsidRDefault="00C27F05" w:rsidP="0001496F">
      <w:pPr>
        <w:jc w:val="both"/>
        <w:rPr>
          <w:rFonts w:ascii="Times New Roman" w:hAnsi="Times New Roman" w:cs="Times New Roman"/>
        </w:rPr>
      </w:pPr>
      <w:r w:rsidRPr="0001496F">
        <w:rPr>
          <w:rFonts w:ascii="Times New Roman" w:hAnsi="Times New Roman" w:cs="Times New Roman"/>
        </w:rPr>
        <w:t>Le 8 décembre 1998, c’est au tour de la Commission</w:t>
      </w:r>
      <w:r w:rsidR="00B073BA" w:rsidRPr="0001496F">
        <w:rPr>
          <w:rFonts w:ascii="Times New Roman" w:hAnsi="Times New Roman" w:cs="Times New Roman"/>
        </w:rPr>
        <w:t xml:space="preserve"> </w:t>
      </w:r>
      <w:r w:rsidRPr="0001496F">
        <w:rPr>
          <w:rFonts w:ascii="Times New Roman" w:hAnsi="Times New Roman" w:cs="Times New Roman"/>
        </w:rPr>
        <w:t>parlementaire « chargée d’enquêter sur la criminalité organisée » de remettre son rapport</w:t>
      </w:r>
      <w:r w:rsidRPr="0001496F">
        <w:rPr>
          <w:rStyle w:val="Appelnotedebasdep"/>
          <w:rFonts w:ascii="Times New Roman" w:hAnsi="Times New Roman" w:cs="Times New Roman"/>
        </w:rPr>
        <w:footnoteReference w:id="36"/>
      </w:r>
      <w:r w:rsidRPr="0001496F">
        <w:rPr>
          <w:rFonts w:ascii="Times New Roman" w:hAnsi="Times New Roman" w:cs="Times New Roman"/>
        </w:rPr>
        <w:t xml:space="preserve">. Examinant la question des repentis, la Commission constate qu’en l’état actuel des choses, rien n’empêche le procureur du Roi de procéder à des accords avec un repenti en échange de divers types d’avantages, allant du </w:t>
      </w:r>
      <w:r w:rsidRPr="0001496F">
        <w:rPr>
          <w:rFonts w:ascii="Times New Roman" w:hAnsi="Times New Roman" w:cs="Times New Roman"/>
        </w:rPr>
        <w:lastRenderedPageBreak/>
        <w:t>classement sans suite à un réquisitoire plus soft devant le juge de fond</w:t>
      </w:r>
      <w:r w:rsidRPr="0001496F">
        <w:rPr>
          <w:rStyle w:val="Appelnotedebasdep"/>
          <w:rFonts w:ascii="Times New Roman" w:hAnsi="Times New Roman" w:cs="Times New Roman"/>
        </w:rPr>
        <w:footnoteReference w:id="37"/>
      </w:r>
      <w:r w:rsidRPr="0001496F">
        <w:rPr>
          <w:rFonts w:ascii="Times New Roman" w:hAnsi="Times New Roman" w:cs="Times New Roman"/>
        </w:rPr>
        <w:t>. Critique à l’égard de l’utilisation de techniques spéciales d’enquête en dehors de tout cadre légal spécifique</w:t>
      </w:r>
      <w:r w:rsidRPr="0001496F">
        <w:rPr>
          <w:rStyle w:val="Appelnotedebasdep"/>
          <w:rFonts w:ascii="Times New Roman" w:hAnsi="Times New Roman" w:cs="Times New Roman"/>
        </w:rPr>
        <w:footnoteReference w:id="38"/>
      </w:r>
      <w:r w:rsidRPr="0001496F">
        <w:rPr>
          <w:rFonts w:ascii="Times New Roman" w:hAnsi="Times New Roman" w:cs="Times New Roman"/>
        </w:rPr>
        <w:t>, la Commission estime que de tels accords conclus de manière prétorienne dans le cadre de l’</w:t>
      </w:r>
      <w:r w:rsidR="00320835" w:rsidRPr="0001496F">
        <w:rPr>
          <w:rFonts w:ascii="Times New Roman" w:hAnsi="Times New Roman" w:cs="Times New Roman"/>
        </w:rPr>
        <w:t xml:space="preserve">exercice de l’action publique </w:t>
      </w:r>
      <w:r w:rsidRPr="0001496F">
        <w:rPr>
          <w:rFonts w:ascii="Times New Roman" w:hAnsi="Times New Roman" w:cs="Times New Roman"/>
        </w:rPr>
        <w:t>nuisent</w:t>
      </w:r>
      <w:r w:rsidR="00B073BA" w:rsidRPr="0001496F">
        <w:rPr>
          <w:rFonts w:ascii="Times New Roman" w:hAnsi="Times New Roman" w:cs="Times New Roman"/>
        </w:rPr>
        <w:t xml:space="preserve"> </w:t>
      </w:r>
      <w:r w:rsidRPr="0001496F">
        <w:rPr>
          <w:rFonts w:ascii="Times New Roman" w:hAnsi="Times New Roman" w:cs="Times New Roman"/>
        </w:rPr>
        <w:t>à la transparence de la politique (pénale)</w:t>
      </w:r>
      <w:r w:rsidR="00320835" w:rsidRPr="0001496F">
        <w:rPr>
          <w:rStyle w:val="Appelnotedebasdep"/>
          <w:rFonts w:ascii="Times New Roman" w:hAnsi="Times New Roman" w:cs="Times New Roman"/>
        </w:rPr>
        <w:t xml:space="preserve"> </w:t>
      </w:r>
      <w:r w:rsidR="00320835" w:rsidRPr="0001496F">
        <w:rPr>
          <w:rStyle w:val="Appelnotedebasdep"/>
          <w:rFonts w:ascii="Times New Roman" w:hAnsi="Times New Roman" w:cs="Times New Roman"/>
        </w:rPr>
        <w:footnoteReference w:id="39"/>
      </w:r>
      <w:r w:rsidR="00320835" w:rsidRPr="0001496F">
        <w:rPr>
          <w:rFonts w:ascii="Times New Roman" w:hAnsi="Times New Roman" w:cs="Times New Roman"/>
        </w:rPr>
        <w:t xml:space="preserve"> et, i</w:t>
      </w:r>
      <w:r w:rsidRPr="0001496F">
        <w:rPr>
          <w:rFonts w:ascii="Times New Roman" w:hAnsi="Times New Roman" w:cs="Times New Roman"/>
        </w:rPr>
        <w:t xml:space="preserve">nvoquant les précédents en matière de trafic de drogues et d’hormones, </w:t>
      </w:r>
      <w:r w:rsidR="00320835" w:rsidRPr="0001496F">
        <w:rPr>
          <w:rFonts w:ascii="Times New Roman" w:hAnsi="Times New Roman" w:cs="Times New Roman"/>
        </w:rPr>
        <w:t>considère</w:t>
      </w:r>
      <w:r w:rsidRPr="0001496F">
        <w:rPr>
          <w:rFonts w:ascii="Times New Roman" w:hAnsi="Times New Roman" w:cs="Times New Roman"/>
        </w:rPr>
        <w:t xml:space="preserve"> préférable de privilégier pour lutter contre la criminalité organisée le recours à un régime légal de cause d’excuse appliqué « ouvertement, sous le contrôle du pouvoir judiciaire »</w:t>
      </w:r>
      <w:r w:rsidRPr="0001496F">
        <w:rPr>
          <w:rStyle w:val="Appelnotedebasdep"/>
          <w:rFonts w:ascii="Times New Roman" w:hAnsi="Times New Roman" w:cs="Times New Roman"/>
        </w:rPr>
        <w:footnoteReference w:id="40"/>
      </w:r>
      <w:r w:rsidRPr="0001496F">
        <w:rPr>
          <w:rFonts w:ascii="Times New Roman" w:hAnsi="Times New Roman" w:cs="Times New Roman"/>
        </w:rPr>
        <w:t>.</w:t>
      </w:r>
    </w:p>
    <w:p w14:paraId="279313AA" w14:textId="77777777" w:rsidR="00C27F05" w:rsidRPr="0001496F" w:rsidRDefault="00C27F05" w:rsidP="0001496F">
      <w:pPr>
        <w:jc w:val="both"/>
        <w:rPr>
          <w:rFonts w:ascii="Times New Roman" w:hAnsi="Times New Roman" w:cs="Times New Roman"/>
        </w:rPr>
      </w:pPr>
    </w:p>
    <w:p w14:paraId="0A312541" w14:textId="2D90042D" w:rsidR="007C7C97" w:rsidRPr="0001496F" w:rsidRDefault="00C27F05" w:rsidP="0001496F">
      <w:pPr>
        <w:jc w:val="both"/>
        <w:rPr>
          <w:rFonts w:ascii="Times New Roman" w:hAnsi="Times New Roman" w:cs="Times New Roman"/>
        </w:rPr>
      </w:pPr>
      <w:r w:rsidRPr="0001496F">
        <w:rPr>
          <w:rFonts w:ascii="Times New Roman" w:hAnsi="Times New Roman" w:cs="Times New Roman"/>
        </w:rPr>
        <w:t>1.</w:t>
      </w:r>
      <w:r w:rsidR="002C5FEC" w:rsidRPr="0001496F">
        <w:rPr>
          <w:rFonts w:ascii="Times New Roman" w:hAnsi="Times New Roman" w:cs="Times New Roman"/>
        </w:rPr>
        <w:t>1.3. L’avant-projet</w:t>
      </w:r>
      <w:r w:rsidRPr="0001496F">
        <w:rPr>
          <w:rFonts w:ascii="Times New Roman" w:hAnsi="Times New Roman" w:cs="Times New Roman"/>
        </w:rPr>
        <w:t xml:space="preserve"> de loi « instaurant un régime pour les collaborateurs de justice » (2001) </w:t>
      </w:r>
      <w:r w:rsidR="00A51547" w:rsidRPr="0001496F">
        <w:rPr>
          <w:rFonts w:ascii="Times New Roman" w:hAnsi="Times New Roman" w:cs="Times New Roman"/>
        </w:rPr>
        <w:t>ou</w:t>
      </w:r>
      <w:r w:rsidRPr="0001496F">
        <w:rPr>
          <w:rFonts w:ascii="Times New Roman" w:hAnsi="Times New Roman" w:cs="Times New Roman"/>
        </w:rPr>
        <w:t xml:space="preserve"> les fondements du régime à venir</w:t>
      </w:r>
      <w:r w:rsidR="00A51547" w:rsidRPr="0001496F">
        <w:rPr>
          <w:rFonts w:ascii="Times New Roman" w:hAnsi="Times New Roman" w:cs="Times New Roman"/>
        </w:rPr>
        <w:t> </w:t>
      </w:r>
    </w:p>
    <w:p w14:paraId="2C34AEE6" w14:textId="77777777" w:rsidR="007C7C97" w:rsidRPr="0001496F" w:rsidRDefault="007C7C97" w:rsidP="0001496F">
      <w:pPr>
        <w:jc w:val="both"/>
        <w:rPr>
          <w:rFonts w:ascii="Times New Roman" w:hAnsi="Times New Roman" w:cs="Times New Roman"/>
        </w:rPr>
      </w:pPr>
    </w:p>
    <w:p w14:paraId="50663593" w14:textId="25BC28CE" w:rsidR="00C27F05" w:rsidRPr="0001496F" w:rsidRDefault="007C7C97" w:rsidP="0001496F">
      <w:pPr>
        <w:jc w:val="both"/>
        <w:rPr>
          <w:rFonts w:ascii="Times New Roman" w:hAnsi="Times New Roman" w:cs="Times New Roman"/>
        </w:rPr>
      </w:pPr>
      <w:r w:rsidRPr="0001496F">
        <w:rPr>
          <w:rFonts w:ascii="Times New Roman" w:hAnsi="Times New Roman" w:cs="Times New Roman"/>
        </w:rPr>
        <w:t>1.1.3.1. Les principes de base :</w:t>
      </w:r>
      <w:r w:rsidR="00A51547" w:rsidRPr="0001496F">
        <w:rPr>
          <w:rFonts w:ascii="Times New Roman" w:hAnsi="Times New Roman" w:cs="Times New Roman"/>
        </w:rPr>
        <w:t xml:space="preserve"> légalité,</w:t>
      </w:r>
      <w:r w:rsidR="003B01B3" w:rsidRPr="0001496F">
        <w:rPr>
          <w:rFonts w:ascii="Times New Roman" w:hAnsi="Times New Roman" w:cs="Times New Roman"/>
        </w:rPr>
        <w:t xml:space="preserve"> subsidiarité, proportionnalité et</w:t>
      </w:r>
      <w:r w:rsidR="00A51547" w:rsidRPr="0001496F">
        <w:rPr>
          <w:rFonts w:ascii="Times New Roman" w:hAnsi="Times New Roman" w:cs="Times New Roman"/>
        </w:rPr>
        <w:t xml:space="preserve"> contrôle</w:t>
      </w:r>
    </w:p>
    <w:p w14:paraId="7C2239EA" w14:textId="77777777" w:rsidR="00C27F05" w:rsidRPr="0001496F" w:rsidRDefault="00C27F05" w:rsidP="0001496F">
      <w:pPr>
        <w:jc w:val="both"/>
        <w:rPr>
          <w:rFonts w:ascii="Times New Roman" w:hAnsi="Times New Roman" w:cs="Times New Roman"/>
        </w:rPr>
      </w:pPr>
    </w:p>
    <w:p w14:paraId="4814CD54" w14:textId="75135802" w:rsidR="00C27F05" w:rsidRPr="0001496F" w:rsidRDefault="00F60667" w:rsidP="0001496F">
      <w:pPr>
        <w:jc w:val="both"/>
        <w:rPr>
          <w:rFonts w:ascii="Times New Roman" w:hAnsi="Times New Roman" w:cs="Times New Roman"/>
        </w:rPr>
      </w:pPr>
      <w:r w:rsidRPr="0001496F">
        <w:rPr>
          <w:rFonts w:ascii="Times New Roman" w:hAnsi="Times New Roman" w:cs="Times New Roman"/>
        </w:rPr>
        <w:t>En 1999, s</w:t>
      </w:r>
      <w:r w:rsidR="00C27F05" w:rsidRPr="0001496F">
        <w:rPr>
          <w:rFonts w:ascii="Times New Roman" w:hAnsi="Times New Roman" w:cs="Times New Roman"/>
        </w:rPr>
        <w:t xml:space="preserve">ous la houlette du ministre </w:t>
      </w:r>
      <w:r w:rsidRPr="0001496F">
        <w:rPr>
          <w:rFonts w:ascii="Times New Roman" w:hAnsi="Times New Roman" w:cs="Times New Roman"/>
        </w:rPr>
        <w:t xml:space="preserve">libéral </w:t>
      </w:r>
      <w:r w:rsidR="00C27F05" w:rsidRPr="0001496F">
        <w:rPr>
          <w:rFonts w:ascii="Times New Roman" w:hAnsi="Times New Roman" w:cs="Times New Roman"/>
        </w:rPr>
        <w:t xml:space="preserve">de la Justice </w:t>
      </w:r>
      <w:r w:rsidRPr="0001496F">
        <w:rPr>
          <w:rFonts w:ascii="Times New Roman" w:hAnsi="Times New Roman" w:cs="Times New Roman"/>
        </w:rPr>
        <w:t xml:space="preserve">M. </w:t>
      </w:r>
      <w:r w:rsidR="00C27F05" w:rsidRPr="0001496F">
        <w:rPr>
          <w:rFonts w:ascii="Times New Roman" w:hAnsi="Times New Roman" w:cs="Times New Roman"/>
        </w:rPr>
        <w:t xml:space="preserve">Verwilghen, </w:t>
      </w:r>
      <w:r w:rsidRPr="0001496F">
        <w:rPr>
          <w:rFonts w:ascii="Times New Roman" w:hAnsi="Times New Roman" w:cs="Times New Roman"/>
        </w:rPr>
        <w:t>un</w:t>
      </w:r>
      <w:r w:rsidR="00C27F05" w:rsidRPr="0001496F">
        <w:rPr>
          <w:rFonts w:ascii="Times New Roman" w:hAnsi="Times New Roman" w:cs="Times New Roman"/>
        </w:rPr>
        <w:t xml:space="preserve"> « Plan fédéral de sécurité et de politique pénitentiaire (31 mai 1999) contient un projet 34 « Etude de l’instauration d’un régime des repentis- la protection des témoins - le témoin anonyme », établi dans le cadre de la lutte contre la criminalité organisée. Largement inspiré de la recherche menée à l’Université de Gand</w:t>
      </w:r>
      <w:r w:rsidR="00E276EB" w:rsidRPr="0001496F">
        <w:rPr>
          <w:rFonts w:ascii="Times New Roman" w:hAnsi="Times New Roman" w:cs="Times New Roman"/>
        </w:rPr>
        <w:t>,</w:t>
      </w:r>
      <w:r w:rsidR="00790993" w:rsidRPr="0001496F">
        <w:rPr>
          <w:rFonts w:ascii="Times New Roman" w:hAnsi="Times New Roman" w:cs="Times New Roman"/>
        </w:rPr>
        <w:t xml:space="preserve"> mais aussi</w:t>
      </w:r>
      <w:r w:rsidR="00C27F05" w:rsidRPr="0001496F">
        <w:rPr>
          <w:rFonts w:ascii="Times New Roman" w:hAnsi="Times New Roman" w:cs="Times New Roman"/>
        </w:rPr>
        <w:t xml:space="preserve"> des travaux d’un Groupe de travail sur la criminalité organisée constitué au sein du ministère de la Justice, un avant-projet de loi « instaurant un régime pour les collaborateurs de justice » est alors rédigé. Ce texte ne fait </w:t>
      </w:r>
      <w:r w:rsidR="008C2C7C" w:rsidRPr="0001496F">
        <w:rPr>
          <w:rFonts w:ascii="Times New Roman" w:hAnsi="Times New Roman" w:cs="Times New Roman"/>
        </w:rPr>
        <w:t>toutefois</w:t>
      </w:r>
      <w:r w:rsidR="00C27F05" w:rsidRPr="0001496F">
        <w:rPr>
          <w:rFonts w:ascii="Times New Roman" w:hAnsi="Times New Roman" w:cs="Times New Roman"/>
        </w:rPr>
        <w:t xml:space="preserve"> pas consensus au sein de la majorité gouvernementale et soulève une salve d’interpellations sur les bancs de l’opposition</w:t>
      </w:r>
      <w:r w:rsidR="00C27F05" w:rsidRPr="0001496F">
        <w:rPr>
          <w:rStyle w:val="Appelnotedebasdep"/>
          <w:rFonts w:ascii="Times New Roman" w:hAnsi="Times New Roman" w:cs="Times New Roman"/>
        </w:rPr>
        <w:footnoteReference w:id="41"/>
      </w:r>
      <w:r w:rsidR="00C27F05" w:rsidRPr="0001496F">
        <w:rPr>
          <w:rFonts w:ascii="Times New Roman" w:hAnsi="Times New Roman" w:cs="Times New Roman"/>
        </w:rPr>
        <w:t>. Parmi les craintes que soulève le projet, on trouve les risques d’abus (faux témoignages), la crainte que la promesse d’un avantage ne favorise la récidive, les coûts potentiels d’un régime pour les collaborateurs de justice et le caractère immoral d’un système de récompense reposant sur la dénonciation</w:t>
      </w:r>
      <w:r w:rsidR="00C27F05" w:rsidRPr="0001496F">
        <w:rPr>
          <w:rStyle w:val="Appelnotedebasdep"/>
          <w:rFonts w:ascii="Times New Roman" w:hAnsi="Times New Roman" w:cs="Times New Roman"/>
        </w:rPr>
        <w:footnoteReference w:id="42"/>
      </w:r>
      <w:r w:rsidR="00790993" w:rsidRPr="0001496F">
        <w:rPr>
          <w:rFonts w:ascii="Times New Roman" w:hAnsi="Times New Roman" w:cs="Times New Roman"/>
        </w:rPr>
        <w:t>.</w:t>
      </w:r>
      <w:r w:rsidR="00C27F05" w:rsidRPr="0001496F">
        <w:rPr>
          <w:rFonts w:ascii="Times New Roman" w:hAnsi="Times New Roman" w:cs="Times New Roman"/>
        </w:rPr>
        <w:t xml:space="preserve"> Le gouvernement demande alors un</w:t>
      </w:r>
      <w:r w:rsidR="007F2A5B" w:rsidRPr="0001496F">
        <w:rPr>
          <w:rFonts w:ascii="Times New Roman" w:hAnsi="Times New Roman" w:cs="Times New Roman"/>
        </w:rPr>
        <w:t xml:space="preserve">e recherche complémentaire à </w:t>
      </w:r>
      <w:r w:rsidR="00C27F05" w:rsidRPr="0001496F">
        <w:rPr>
          <w:rFonts w:ascii="Times New Roman" w:hAnsi="Times New Roman" w:cs="Times New Roman"/>
        </w:rPr>
        <w:t xml:space="preserve">l’Université de Gand </w:t>
      </w:r>
      <w:r w:rsidR="00C27F05" w:rsidRPr="0001496F">
        <w:rPr>
          <w:rStyle w:val="Appelnotedebasdep"/>
          <w:rFonts w:ascii="Times New Roman" w:hAnsi="Times New Roman" w:cs="Times New Roman"/>
        </w:rPr>
        <w:footnoteReference w:id="43"/>
      </w:r>
      <w:r w:rsidR="00C27F05" w:rsidRPr="0001496F">
        <w:rPr>
          <w:rFonts w:ascii="Times New Roman" w:hAnsi="Times New Roman" w:cs="Times New Roman"/>
        </w:rPr>
        <w:t>, suite à laquelle le texte de l’avant-projet est finalement repris et déposé le 21 février 2002 sous forme d’une proposition de loi par les députés de la majorité, H. Coveliers et J. Herzet</w:t>
      </w:r>
      <w:r w:rsidR="00C27F05" w:rsidRPr="0001496F">
        <w:rPr>
          <w:rStyle w:val="Appelnotedebasdep"/>
          <w:rFonts w:ascii="Times New Roman" w:hAnsi="Times New Roman" w:cs="Times New Roman"/>
        </w:rPr>
        <w:footnoteReference w:id="44"/>
      </w:r>
      <w:r w:rsidR="00C27F05" w:rsidRPr="0001496F">
        <w:rPr>
          <w:rFonts w:ascii="Times New Roman" w:hAnsi="Times New Roman" w:cs="Times New Roman"/>
        </w:rPr>
        <w:t xml:space="preserve">. </w:t>
      </w:r>
    </w:p>
    <w:p w14:paraId="6115EB27" w14:textId="77777777" w:rsidR="00C27F05" w:rsidRPr="0001496F" w:rsidRDefault="00C27F05" w:rsidP="0001496F">
      <w:pPr>
        <w:jc w:val="both"/>
        <w:rPr>
          <w:rFonts w:ascii="Times New Roman" w:hAnsi="Times New Roman" w:cs="Times New Roman"/>
        </w:rPr>
      </w:pPr>
    </w:p>
    <w:p w14:paraId="20EB16A1" w14:textId="44C5AC96"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Les lignes de force de cette proposition de loi traduisent une avancée conséquente dans l’élaboration d’un droit des repentis. Ces lignes de force sont les suivantes. Prenant acte des objections d’ordre éthique </w:t>
      </w:r>
      <w:r w:rsidR="0032656D" w:rsidRPr="0001496F">
        <w:rPr>
          <w:rFonts w:ascii="Times New Roman" w:hAnsi="Times New Roman" w:cs="Times New Roman"/>
        </w:rPr>
        <w:t>à</w:t>
      </w:r>
      <w:r w:rsidRPr="0001496F">
        <w:rPr>
          <w:rFonts w:ascii="Times New Roman" w:hAnsi="Times New Roman" w:cs="Times New Roman"/>
        </w:rPr>
        <w:t xml:space="preserve"> la création d’un</w:t>
      </w:r>
      <w:r w:rsidR="00B073BA" w:rsidRPr="0001496F">
        <w:rPr>
          <w:rFonts w:ascii="Times New Roman" w:hAnsi="Times New Roman" w:cs="Times New Roman"/>
        </w:rPr>
        <w:t xml:space="preserve"> </w:t>
      </w:r>
      <w:r w:rsidRPr="0001496F">
        <w:rPr>
          <w:rFonts w:ascii="Times New Roman" w:hAnsi="Times New Roman" w:cs="Times New Roman"/>
        </w:rPr>
        <w:t xml:space="preserve">régime des repentis, les auteurs de la proposition estiment </w:t>
      </w:r>
      <w:r w:rsidR="0032656D" w:rsidRPr="0001496F">
        <w:rPr>
          <w:rFonts w:ascii="Times New Roman" w:hAnsi="Times New Roman" w:cs="Times New Roman"/>
        </w:rPr>
        <w:t>« </w:t>
      </w:r>
      <w:r w:rsidRPr="0001496F">
        <w:rPr>
          <w:rFonts w:ascii="Times New Roman" w:hAnsi="Times New Roman" w:cs="Times New Roman"/>
        </w:rPr>
        <w:t>possible d’instaurer, dans certaines circonstances et sous certaines conditions strictes, un régime en faveur des personnes qui collaborent avec la justice » et ceci « à titre exceptionnel »</w:t>
      </w:r>
      <w:r w:rsidRPr="0001496F">
        <w:rPr>
          <w:rStyle w:val="Appelnotedebasdep"/>
          <w:rFonts w:ascii="Times New Roman" w:hAnsi="Times New Roman" w:cs="Times New Roman"/>
        </w:rPr>
        <w:t xml:space="preserve"> </w:t>
      </w:r>
      <w:r w:rsidRPr="0001496F">
        <w:rPr>
          <w:rStyle w:val="Appelnotedebasdep"/>
          <w:rFonts w:ascii="Times New Roman" w:hAnsi="Times New Roman" w:cs="Times New Roman"/>
        </w:rPr>
        <w:footnoteReference w:id="45"/>
      </w:r>
      <w:r w:rsidRPr="0001496F">
        <w:rPr>
          <w:rFonts w:ascii="Times New Roman" w:hAnsi="Times New Roman" w:cs="Times New Roman"/>
        </w:rPr>
        <w:t>. Ce caractère exceptionnel se traduit par la limitation du recours aux collaborateurs de justice aux seules infractions commises dans le cadre d’une organi</w:t>
      </w:r>
      <w:r w:rsidR="00E276EB" w:rsidRPr="0001496F">
        <w:rPr>
          <w:rFonts w:ascii="Times New Roman" w:hAnsi="Times New Roman" w:cs="Times New Roman"/>
        </w:rPr>
        <w:t>sation criminelle, sur base</w:t>
      </w:r>
      <w:r w:rsidRPr="0001496F">
        <w:rPr>
          <w:rFonts w:ascii="Times New Roman" w:hAnsi="Times New Roman" w:cs="Times New Roman"/>
        </w:rPr>
        <w:t xml:space="preserve"> de l’article 324</w:t>
      </w:r>
      <w:r w:rsidRPr="0001496F">
        <w:rPr>
          <w:rFonts w:ascii="Times New Roman" w:hAnsi="Times New Roman" w:cs="Times New Roman"/>
          <w:i/>
        </w:rPr>
        <w:t>bis</w:t>
      </w:r>
      <w:r w:rsidRPr="0001496F">
        <w:rPr>
          <w:rFonts w:ascii="Times New Roman" w:hAnsi="Times New Roman" w:cs="Times New Roman"/>
        </w:rPr>
        <w:t xml:space="preserve"> du Code pénal</w:t>
      </w:r>
      <w:r w:rsidR="008C2C7C" w:rsidRPr="0001496F">
        <w:rPr>
          <w:rFonts w:ascii="Times New Roman" w:hAnsi="Times New Roman" w:cs="Times New Roman"/>
        </w:rPr>
        <w:t>,</w:t>
      </w:r>
      <w:r w:rsidRPr="0001496F">
        <w:rPr>
          <w:rFonts w:ascii="Times New Roman" w:hAnsi="Times New Roman" w:cs="Times New Roman"/>
        </w:rPr>
        <w:t xml:space="preserve"> ou à des infractions de droit international humanitaire</w:t>
      </w:r>
      <w:r w:rsidRPr="0001496F">
        <w:rPr>
          <w:rStyle w:val="Appelnotedebasdep"/>
          <w:rFonts w:ascii="Times New Roman" w:hAnsi="Times New Roman" w:cs="Times New Roman"/>
        </w:rPr>
        <w:footnoteReference w:id="46"/>
      </w:r>
      <w:r w:rsidRPr="0001496F">
        <w:rPr>
          <w:rFonts w:ascii="Times New Roman" w:hAnsi="Times New Roman" w:cs="Times New Roman"/>
        </w:rPr>
        <w:t>. On retrouve ensuite quatre principes devenus classiques autour desquels organiser le régime</w:t>
      </w:r>
      <w:r w:rsidR="000C1864" w:rsidRPr="0001496F">
        <w:rPr>
          <w:rFonts w:ascii="Times New Roman" w:hAnsi="Times New Roman" w:cs="Times New Roman"/>
        </w:rPr>
        <w:t xml:space="preserve"> des collaborateurs de justice :</w:t>
      </w:r>
    </w:p>
    <w:p w14:paraId="75CFE1B2" w14:textId="77777777" w:rsidR="00C27F05" w:rsidRPr="0001496F" w:rsidRDefault="00C27F05" w:rsidP="0001496F">
      <w:pPr>
        <w:jc w:val="both"/>
        <w:rPr>
          <w:rFonts w:ascii="Times New Roman" w:hAnsi="Times New Roman" w:cs="Times New Roman"/>
        </w:rPr>
      </w:pPr>
    </w:p>
    <w:p w14:paraId="4312673E" w14:textId="5F23A140"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Le </w:t>
      </w:r>
      <w:r w:rsidRPr="0001496F">
        <w:rPr>
          <w:rFonts w:ascii="Times New Roman" w:hAnsi="Times New Roman" w:cs="Times New Roman"/>
          <w:i/>
        </w:rPr>
        <w:t xml:space="preserve">principe de légalité </w:t>
      </w:r>
      <w:r w:rsidRPr="0001496F">
        <w:rPr>
          <w:rFonts w:ascii="Times New Roman" w:hAnsi="Times New Roman" w:cs="Times New Roman"/>
        </w:rPr>
        <w:t xml:space="preserve">suppose de </w:t>
      </w:r>
      <w:r w:rsidR="000C1864" w:rsidRPr="0001496F">
        <w:rPr>
          <w:rFonts w:ascii="Times New Roman" w:hAnsi="Times New Roman" w:cs="Times New Roman"/>
        </w:rPr>
        <w:t>renoncer à des formes</w:t>
      </w:r>
      <w:r w:rsidRPr="0001496F">
        <w:rPr>
          <w:rFonts w:ascii="Times New Roman" w:hAnsi="Times New Roman" w:cs="Times New Roman"/>
        </w:rPr>
        <w:t xml:space="preserve"> d’accord prétoriennes « qui dérogent aux règles généralement applicables à la procédure pénale » et de régler de manière</w:t>
      </w:r>
      <w:r w:rsidR="00E276EB" w:rsidRPr="0001496F">
        <w:rPr>
          <w:rFonts w:ascii="Times New Roman" w:hAnsi="Times New Roman" w:cs="Times New Roman"/>
        </w:rPr>
        <w:t xml:space="preserve"> claire, précise et accessible,</w:t>
      </w:r>
      <w:r w:rsidRPr="0001496F">
        <w:rPr>
          <w:rFonts w:ascii="Times New Roman" w:hAnsi="Times New Roman" w:cs="Times New Roman"/>
        </w:rPr>
        <w:t xml:space="preserve"> dans une loi </w:t>
      </w:r>
      <w:r w:rsidRPr="0001496F">
        <w:rPr>
          <w:rFonts w:ascii="Times New Roman" w:hAnsi="Times New Roman" w:cs="Times New Roman"/>
          <w:i/>
        </w:rPr>
        <w:t>senso strictu</w:t>
      </w:r>
      <w:r w:rsidR="00E276EB" w:rsidRPr="0001496F">
        <w:rPr>
          <w:rFonts w:ascii="Times New Roman" w:hAnsi="Times New Roman" w:cs="Times New Roman"/>
        </w:rPr>
        <w:t>,</w:t>
      </w:r>
      <w:r w:rsidRPr="0001496F">
        <w:rPr>
          <w:rFonts w:ascii="Times New Roman" w:hAnsi="Times New Roman" w:cs="Times New Roman"/>
        </w:rPr>
        <w:t xml:space="preserve"> le régime des repentis. Le recours à la loi doit permettre de garantir « les droits de la défense, les droits fondamentaux de toutes les parties concernées, la dignité de la justice », tout en assurant « la crédibilité des dépositions des collaborateurs » et en se prémunissant contre les risques d’erreur judiciaire</w:t>
      </w:r>
      <w:r w:rsidRPr="0001496F">
        <w:rPr>
          <w:rStyle w:val="Appelnotedebasdep"/>
          <w:rFonts w:ascii="Times New Roman" w:hAnsi="Times New Roman" w:cs="Times New Roman"/>
        </w:rPr>
        <w:footnoteReference w:id="47"/>
      </w:r>
      <w:r w:rsidRPr="0001496F">
        <w:rPr>
          <w:rFonts w:ascii="Times New Roman" w:hAnsi="Times New Roman" w:cs="Times New Roman"/>
        </w:rPr>
        <w:t xml:space="preserve">. </w:t>
      </w:r>
    </w:p>
    <w:p w14:paraId="340F9FD9" w14:textId="77777777" w:rsidR="00C27F05" w:rsidRPr="0001496F" w:rsidRDefault="00C27F05" w:rsidP="0001496F">
      <w:pPr>
        <w:jc w:val="both"/>
        <w:rPr>
          <w:rFonts w:ascii="Times New Roman" w:hAnsi="Times New Roman" w:cs="Times New Roman"/>
        </w:rPr>
      </w:pPr>
    </w:p>
    <w:p w14:paraId="56741801" w14:textId="0C1934C2"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Le </w:t>
      </w:r>
      <w:r w:rsidRPr="0001496F">
        <w:rPr>
          <w:rFonts w:ascii="Times New Roman" w:hAnsi="Times New Roman" w:cs="Times New Roman"/>
          <w:i/>
        </w:rPr>
        <w:t>principe de subsidiarité</w:t>
      </w:r>
      <w:r w:rsidRPr="0001496F">
        <w:rPr>
          <w:rFonts w:ascii="Times New Roman" w:hAnsi="Times New Roman" w:cs="Times New Roman"/>
        </w:rPr>
        <w:t xml:space="preserve"> suppose que, dans les seuls domaines où elle est envisagée, la collaboration en</w:t>
      </w:r>
      <w:r w:rsidR="000C1864" w:rsidRPr="0001496F">
        <w:rPr>
          <w:rFonts w:ascii="Times New Roman" w:hAnsi="Times New Roman" w:cs="Times New Roman"/>
        </w:rPr>
        <w:t>tre les criminels et la justice</w:t>
      </w:r>
      <w:r w:rsidRPr="0001496F">
        <w:rPr>
          <w:rFonts w:ascii="Times New Roman" w:hAnsi="Times New Roman" w:cs="Times New Roman"/>
        </w:rPr>
        <w:t xml:space="preserve"> ne soit possible </w:t>
      </w:r>
      <w:r w:rsidR="006F661C" w:rsidRPr="0001496F">
        <w:rPr>
          <w:rFonts w:ascii="Times New Roman" w:hAnsi="Times New Roman" w:cs="Times New Roman"/>
        </w:rPr>
        <w:t>qu</w:t>
      </w:r>
      <w:proofErr w:type="gramStart"/>
      <w:r w:rsidR="006F661C" w:rsidRPr="0001496F">
        <w:rPr>
          <w:rFonts w:ascii="Times New Roman" w:hAnsi="Times New Roman" w:cs="Times New Roman"/>
        </w:rPr>
        <w:t>’«</w:t>
      </w:r>
      <w:proofErr w:type="gramEnd"/>
      <w:r w:rsidRPr="0001496F">
        <w:rPr>
          <w:rFonts w:ascii="Times New Roman" w:hAnsi="Times New Roman" w:cs="Times New Roman"/>
        </w:rPr>
        <w:t> en dernier recours, lorsque le même but ne peut être atteint d’une autre façon raisonnable », c’est-à-dire lorsque les techniques traditionnelles de recherche sont insuffisantes, ce qui sera apprécié dans chaque ca</w:t>
      </w:r>
      <w:r w:rsidR="000C1864" w:rsidRPr="0001496F">
        <w:rPr>
          <w:rFonts w:ascii="Times New Roman" w:hAnsi="Times New Roman" w:cs="Times New Roman"/>
        </w:rPr>
        <w:t>s par le magistrat du parquet. L</w:t>
      </w:r>
      <w:r w:rsidRPr="0001496F">
        <w:rPr>
          <w:rFonts w:ascii="Times New Roman" w:hAnsi="Times New Roman" w:cs="Times New Roman"/>
        </w:rPr>
        <w:t xml:space="preserve">e principe </w:t>
      </w:r>
      <w:r w:rsidR="000C1864" w:rsidRPr="0001496F">
        <w:rPr>
          <w:rFonts w:ascii="Times New Roman" w:hAnsi="Times New Roman" w:cs="Times New Roman"/>
        </w:rPr>
        <w:t xml:space="preserve">de subsidiarité </w:t>
      </w:r>
      <w:r w:rsidRPr="0001496F">
        <w:rPr>
          <w:rFonts w:ascii="Times New Roman" w:hAnsi="Times New Roman" w:cs="Times New Roman"/>
        </w:rPr>
        <w:t>suppose encore que, lorsque plusieurs faveurs peuvent être octroyées, le magistrat du parquet fasse un choix proportionné, en évitant de promettre d’entrée de jeu la mesure la plus favorable si celle-ci ne s’avère pas nécessaire</w:t>
      </w:r>
      <w:r w:rsidRPr="0001496F">
        <w:rPr>
          <w:rStyle w:val="Appelnotedebasdep"/>
          <w:rFonts w:ascii="Times New Roman" w:hAnsi="Times New Roman" w:cs="Times New Roman"/>
        </w:rPr>
        <w:footnoteReference w:id="48"/>
      </w:r>
      <w:r w:rsidRPr="0001496F">
        <w:rPr>
          <w:rFonts w:ascii="Times New Roman" w:hAnsi="Times New Roman" w:cs="Times New Roman"/>
        </w:rPr>
        <w:t xml:space="preserve">. </w:t>
      </w:r>
    </w:p>
    <w:p w14:paraId="3EC9C5D7" w14:textId="77777777" w:rsidR="00C27F05" w:rsidRPr="0001496F" w:rsidRDefault="00C27F05" w:rsidP="0001496F">
      <w:pPr>
        <w:jc w:val="both"/>
        <w:rPr>
          <w:rFonts w:ascii="Times New Roman" w:hAnsi="Times New Roman" w:cs="Times New Roman"/>
        </w:rPr>
      </w:pPr>
    </w:p>
    <w:p w14:paraId="5DB79D06" w14:textId="194B8BCC" w:rsidR="00C27F05" w:rsidRPr="0001496F" w:rsidRDefault="00C27F05" w:rsidP="0001496F">
      <w:pPr>
        <w:jc w:val="both"/>
        <w:rPr>
          <w:rFonts w:ascii="Times New Roman" w:hAnsi="Times New Roman" w:cs="Times New Roman"/>
        </w:rPr>
      </w:pPr>
      <w:r w:rsidRPr="0001496F">
        <w:rPr>
          <w:rFonts w:ascii="Times New Roman" w:hAnsi="Times New Roman" w:cs="Times New Roman"/>
        </w:rPr>
        <w:t>Le principe de</w:t>
      </w:r>
      <w:r w:rsidRPr="0001496F">
        <w:rPr>
          <w:rFonts w:ascii="Times New Roman" w:hAnsi="Times New Roman" w:cs="Times New Roman"/>
          <w:i/>
        </w:rPr>
        <w:t xml:space="preserve"> proportionnalité</w:t>
      </w:r>
      <w:r w:rsidRPr="0001496F">
        <w:rPr>
          <w:rFonts w:ascii="Times New Roman" w:hAnsi="Times New Roman" w:cs="Times New Roman"/>
        </w:rPr>
        <w:t xml:space="preserve"> traduit une </w:t>
      </w:r>
      <w:r w:rsidR="006A1F6E" w:rsidRPr="0001496F">
        <w:rPr>
          <w:rFonts w:ascii="Times New Roman" w:hAnsi="Times New Roman" w:cs="Times New Roman"/>
        </w:rPr>
        <w:t>triple</w:t>
      </w:r>
      <w:r w:rsidRPr="0001496F">
        <w:rPr>
          <w:rFonts w:ascii="Times New Roman" w:hAnsi="Times New Roman" w:cs="Times New Roman"/>
        </w:rPr>
        <w:t xml:space="preserve"> facette</w:t>
      </w:r>
      <w:r w:rsidR="003641B4" w:rsidRPr="0001496F">
        <w:rPr>
          <w:rFonts w:ascii="Times New Roman" w:hAnsi="Times New Roman" w:cs="Times New Roman"/>
        </w:rPr>
        <w:t xml:space="preserve">. </w:t>
      </w:r>
      <w:r w:rsidR="006A1F6E" w:rsidRPr="0001496F">
        <w:rPr>
          <w:rFonts w:ascii="Times New Roman" w:hAnsi="Times New Roman" w:cs="Times New Roman"/>
        </w:rPr>
        <w:t>En premier lieu</w:t>
      </w:r>
      <w:r w:rsidR="003641B4" w:rsidRPr="0001496F">
        <w:rPr>
          <w:rFonts w:ascii="Times New Roman" w:hAnsi="Times New Roman" w:cs="Times New Roman"/>
        </w:rPr>
        <w:t xml:space="preserve">, il faut </w:t>
      </w:r>
      <w:r w:rsidRPr="0001496F">
        <w:rPr>
          <w:rFonts w:ascii="Times New Roman" w:hAnsi="Times New Roman" w:cs="Times New Roman"/>
        </w:rPr>
        <w:t>une proportionnalité entre l’infraction commise par le collaborateur et</w:t>
      </w:r>
      <w:r w:rsidR="00B073BA" w:rsidRPr="0001496F">
        <w:rPr>
          <w:rFonts w:ascii="Times New Roman" w:hAnsi="Times New Roman" w:cs="Times New Roman"/>
        </w:rPr>
        <w:t xml:space="preserve"> </w:t>
      </w:r>
      <w:r w:rsidRPr="0001496F">
        <w:rPr>
          <w:rFonts w:ascii="Times New Roman" w:hAnsi="Times New Roman" w:cs="Times New Roman"/>
        </w:rPr>
        <w:t>l’infraction qu’il permettrait de découvrir. Il s’agit d’exclure le re</w:t>
      </w:r>
      <w:r w:rsidR="00F5343B" w:rsidRPr="0001496F">
        <w:rPr>
          <w:rFonts w:ascii="Times New Roman" w:hAnsi="Times New Roman" w:cs="Times New Roman"/>
        </w:rPr>
        <w:t>cours à une récompense lorsque</w:t>
      </w:r>
      <w:r w:rsidRPr="0001496F">
        <w:rPr>
          <w:rFonts w:ascii="Times New Roman" w:hAnsi="Times New Roman" w:cs="Times New Roman"/>
        </w:rPr>
        <w:t xml:space="preserve"> l’infraction commise par le collaborateur est d’une gravité égale ou supérieure à celle de l’infraction à découvrir </w:t>
      </w:r>
      <w:r w:rsidR="002E39BA" w:rsidRPr="0001496F">
        <w:rPr>
          <w:rFonts w:ascii="Times New Roman" w:hAnsi="Times New Roman" w:cs="Times New Roman"/>
        </w:rPr>
        <w:t>ou lorsque l’auteur serait coupable</w:t>
      </w:r>
      <w:r w:rsidRPr="0001496F">
        <w:rPr>
          <w:rFonts w:ascii="Times New Roman" w:hAnsi="Times New Roman" w:cs="Times New Roman"/>
        </w:rPr>
        <w:t xml:space="preserve"> </w:t>
      </w:r>
      <w:r w:rsidR="002E39BA" w:rsidRPr="0001496F">
        <w:rPr>
          <w:rFonts w:ascii="Times New Roman" w:hAnsi="Times New Roman" w:cs="Times New Roman"/>
        </w:rPr>
        <w:t>d</w:t>
      </w:r>
      <w:r w:rsidRPr="0001496F">
        <w:rPr>
          <w:rFonts w:ascii="Times New Roman" w:hAnsi="Times New Roman" w:cs="Times New Roman"/>
        </w:rPr>
        <w:t>e « certaines infractions très graves », ce par quoi seraient visés les crimes non correctionnalisables</w:t>
      </w:r>
      <w:r w:rsidR="006D791A" w:rsidRPr="0001496F">
        <w:rPr>
          <w:rFonts w:ascii="Times New Roman" w:hAnsi="Times New Roman" w:cs="Times New Roman"/>
        </w:rPr>
        <w:t xml:space="preserve"> (sur la base de l’article 2 de la loi du 4 octobre 1867 sur les circonstances atténuantes)</w:t>
      </w:r>
      <w:r w:rsidRPr="0001496F">
        <w:rPr>
          <w:rStyle w:val="Appelnotedebasdep"/>
          <w:rFonts w:ascii="Times New Roman" w:hAnsi="Times New Roman" w:cs="Times New Roman"/>
        </w:rPr>
        <w:footnoteReference w:id="49"/>
      </w:r>
      <w:r w:rsidR="003641B4" w:rsidRPr="0001496F">
        <w:rPr>
          <w:rFonts w:ascii="Times New Roman" w:hAnsi="Times New Roman" w:cs="Times New Roman"/>
        </w:rPr>
        <w:t xml:space="preserve">. </w:t>
      </w:r>
      <w:r w:rsidR="006A1F6E" w:rsidRPr="0001496F">
        <w:rPr>
          <w:rFonts w:ascii="Times New Roman" w:hAnsi="Times New Roman" w:cs="Times New Roman"/>
        </w:rPr>
        <w:t>Ensuite</w:t>
      </w:r>
      <w:r w:rsidR="003641B4" w:rsidRPr="0001496F">
        <w:rPr>
          <w:rFonts w:ascii="Times New Roman" w:hAnsi="Times New Roman" w:cs="Times New Roman"/>
        </w:rPr>
        <w:t>, il faut une</w:t>
      </w:r>
      <w:r w:rsidRPr="0001496F">
        <w:rPr>
          <w:rFonts w:ascii="Times New Roman" w:hAnsi="Times New Roman" w:cs="Times New Roman"/>
        </w:rPr>
        <w:t xml:space="preserve"> proportionnalité</w:t>
      </w:r>
      <w:r w:rsidRPr="0001496F">
        <w:rPr>
          <w:rFonts w:ascii="Times New Roman" w:hAnsi="Times New Roman" w:cs="Times New Roman"/>
          <w:color w:val="0000FF"/>
        </w:rPr>
        <w:t xml:space="preserve"> </w:t>
      </w:r>
      <w:r w:rsidRPr="0001496F">
        <w:rPr>
          <w:rFonts w:ascii="Times New Roman" w:hAnsi="Times New Roman" w:cs="Times New Roman"/>
        </w:rPr>
        <w:t>entre l’avantage concédé au collaborateur et la gravité de l’infraction à propos de laquelle il donne des informations</w:t>
      </w:r>
      <w:r w:rsidR="006A1F6E" w:rsidRPr="0001496F">
        <w:rPr>
          <w:rFonts w:ascii="Times New Roman" w:hAnsi="Times New Roman" w:cs="Times New Roman"/>
        </w:rPr>
        <w:t xml:space="preserve"> (il s’agit ici d’éviter de récompenser grassement l’auteur d’une infraction grave pour des informations portant sur des faits mineurs). Enfin, il faut une proportionnalité </w:t>
      </w:r>
      <w:r w:rsidR="0035756E" w:rsidRPr="0001496F">
        <w:rPr>
          <w:rFonts w:ascii="Times New Roman" w:hAnsi="Times New Roman" w:cs="Times New Roman"/>
        </w:rPr>
        <w:t xml:space="preserve">entre l’infraction </w:t>
      </w:r>
      <w:r w:rsidRPr="0001496F">
        <w:rPr>
          <w:rFonts w:ascii="Times New Roman" w:hAnsi="Times New Roman" w:cs="Times New Roman"/>
        </w:rPr>
        <w:t>commise</w:t>
      </w:r>
      <w:r w:rsidR="0035756E" w:rsidRPr="0001496F">
        <w:rPr>
          <w:rFonts w:ascii="Times New Roman" w:hAnsi="Times New Roman" w:cs="Times New Roman"/>
        </w:rPr>
        <w:t xml:space="preserve"> par le collaborateur</w:t>
      </w:r>
      <w:r w:rsidRPr="0001496F">
        <w:rPr>
          <w:rFonts w:ascii="Times New Roman" w:hAnsi="Times New Roman" w:cs="Times New Roman"/>
        </w:rPr>
        <w:t xml:space="preserve"> et les avantages qui lui sont concédés</w:t>
      </w:r>
      <w:r w:rsidRPr="0001496F">
        <w:rPr>
          <w:rStyle w:val="Appelnotedebasdep"/>
          <w:rFonts w:ascii="Times New Roman" w:hAnsi="Times New Roman" w:cs="Times New Roman"/>
        </w:rPr>
        <w:footnoteReference w:id="50"/>
      </w:r>
      <w:r w:rsidRPr="0001496F">
        <w:rPr>
          <w:rFonts w:ascii="Times New Roman" w:hAnsi="Times New Roman" w:cs="Times New Roman"/>
        </w:rPr>
        <w:t xml:space="preserve">. </w:t>
      </w:r>
    </w:p>
    <w:p w14:paraId="680FD9CD" w14:textId="77777777" w:rsidR="00C27F05" w:rsidRPr="0001496F" w:rsidRDefault="00C27F05" w:rsidP="0001496F">
      <w:pPr>
        <w:jc w:val="both"/>
        <w:rPr>
          <w:rFonts w:ascii="Times New Roman" w:hAnsi="Times New Roman" w:cs="Times New Roman"/>
        </w:rPr>
      </w:pPr>
    </w:p>
    <w:p w14:paraId="43237985" w14:textId="230653D4"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Enfin, un principe de </w:t>
      </w:r>
      <w:r w:rsidRPr="0001496F">
        <w:rPr>
          <w:rFonts w:ascii="Times New Roman" w:hAnsi="Times New Roman" w:cs="Times New Roman"/>
          <w:i/>
        </w:rPr>
        <w:t>contrôle</w:t>
      </w:r>
      <w:r w:rsidRPr="0001496F">
        <w:rPr>
          <w:rFonts w:ascii="Times New Roman" w:hAnsi="Times New Roman" w:cs="Times New Roman"/>
        </w:rPr>
        <w:t xml:space="preserve"> suppose que, pour éviter « le risque d’abus et d’erreurs judiciaires », un contrôle de légitimité soit confié au pouvoir judiciaire, afin de vérifier que l’on est bien face à un crime envisagé par la loi et que les déclarations du collaborateur de justice sont assez « fiables » pour justifier l’octroi d’une récompense</w:t>
      </w:r>
      <w:r w:rsidRPr="0001496F">
        <w:rPr>
          <w:rStyle w:val="Appelnotedebasdep"/>
          <w:rFonts w:ascii="Times New Roman" w:hAnsi="Times New Roman" w:cs="Times New Roman"/>
        </w:rPr>
        <w:footnoteReference w:id="51"/>
      </w:r>
      <w:r w:rsidRPr="0001496F">
        <w:rPr>
          <w:rFonts w:ascii="Times New Roman" w:hAnsi="Times New Roman" w:cs="Times New Roman"/>
        </w:rPr>
        <w:t xml:space="preserve">. </w:t>
      </w:r>
    </w:p>
    <w:p w14:paraId="42F9BA4F" w14:textId="77777777" w:rsidR="00C27F05" w:rsidRPr="0001496F" w:rsidRDefault="00C27F05" w:rsidP="0001496F">
      <w:pPr>
        <w:jc w:val="both"/>
        <w:rPr>
          <w:rFonts w:ascii="Times New Roman" w:hAnsi="Times New Roman" w:cs="Times New Roman"/>
        </w:rPr>
      </w:pPr>
    </w:p>
    <w:p w14:paraId="289F3A9B" w14:textId="1AC44986" w:rsidR="007C7C97" w:rsidRPr="0001496F" w:rsidRDefault="00E83231" w:rsidP="0001496F">
      <w:pPr>
        <w:jc w:val="both"/>
        <w:rPr>
          <w:rFonts w:ascii="Times New Roman" w:hAnsi="Times New Roman" w:cs="Times New Roman"/>
        </w:rPr>
      </w:pPr>
      <w:r w:rsidRPr="0001496F">
        <w:rPr>
          <w:rFonts w:ascii="Times New Roman" w:hAnsi="Times New Roman" w:cs="Times New Roman"/>
        </w:rPr>
        <w:t>1.1.3.2 Les a</w:t>
      </w:r>
      <w:r w:rsidR="007C7C97" w:rsidRPr="0001496F">
        <w:rPr>
          <w:rFonts w:ascii="Times New Roman" w:hAnsi="Times New Roman" w:cs="Times New Roman"/>
        </w:rPr>
        <w:t>spects pratiques et « dispositions diverses »</w:t>
      </w:r>
    </w:p>
    <w:p w14:paraId="08EE4926" w14:textId="77777777" w:rsidR="007C7C97" w:rsidRPr="0001496F" w:rsidRDefault="007C7C97" w:rsidP="0001496F">
      <w:pPr>
        <w:jc w:val="both"/>
        <w:rPr>
          <w:rFonts w:ascii="Times New Roman" w:hAnsi="Times New Roman" w:cs="Times New Roman"/>
        </w:rPr>
      </w:pPr>
    </w:p>
    <w:p w14:paraId="016D3E1F" w14:textId="27C19DC6"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Sur un plan pratique, la proposition envisage sans surprise </w:t>
      </w:r>
      <w:r w:rsidR="000C00D4" w:rsidRPr="0001496F">
        <w:rPr>
          <w:rFonts w:ascii="Times New Roman" w:hAnsi="Times New Roman" w:cs="Times New Roman"/>
        </w:rPr>
        <w:t>trois bénéfices différents pour les collaborateurs. L’</w:t>
      </w:r>
      <w:r w:rsidRPr="0001496F">
        <w:rPr>
          <w:rFonts w:ascii="Times New Roman" w:hAnsi="Times New Roman" w:cs="Times New Roman"/>
        </w:rPr>
        <w:t>accord passé dans les règles avec le procureur du Roi ou le procureur fédéral doit permettre d’</w:t>
      </w:r>
      <w:r w:rsidRPr="0001496F">
        <w:rPr>
          <w:rFonts w:ascii="Times New Roman" w:hAnsi="Times New Roman" w:cs="Times New Roman"/>
          <w:i/>
        </w:rPr>
        <w:t>éteindre l’action publique</w:t>
      </w:r>
      <w:r w:rsidRPr="0001496F">
        <w:rPr>
          <w:rFonts w:ascii="Times New Roman" w:hAnsi="Times New Roman" w:cs="Times New Roman"/>
        </w:rPr>
        <w:t>, pour autant que le repenti respecte ses engagements, ce qui sera contrôlé par les juridictions d’instruction ou de jugement. Le procureur du Roi doit par ailleurs demander l’avis du procureur fédéral avant de s’engager vis</w:t>
      </w:r>
      <w:r w:rsidR="007A58AE" w:rsidRPr="0001496F">
        <w:rPr>
          <w:rFonts w:ascii="Times New Roman" w:hAnsi="Times New Roman" w:cs="Times New Roman"/>
        </w:rPr>
        <w:t>-à-</w:t>
      </w:r>
      <w:r w:rsidRPr="0001496F">
        <w:rPr>
          <w:rFonts w:ascii="Times New Roman" w:hAnsi="Times New Roman" w:cs="Times New Roman"/>
        </w:rPr>
        <w:t>vis du repenti, l’acc</w:t>
      </w:r>
      <w:r w:rsidR="00CA2F8E" w:rsidRPr="0001496F">
        <w:rPr>
          <w:rFonts w:ascii="Times New Roman" w:hAnsi="Times New Roman" w:cs="Times New Roman"/>
        </w:rPr>
        <w:t>ord</w:t>
      </w:r>
      <w:r w:rsidRPr="0001496F">
        <w:rPr>
          <w:rFonts w:ascii="Times New Roman" w:hAnsi="Times New Roman" w:cs="Times New Roman"/>
        </w:rPr>
        <w:t xml:space="preserve"> devant d’ailleurs être signé par ce dernier (art. 5, §2). Le procureur fédéral se voit confi</w:t>
      </w:r>
      <w:r w:rsidR="00AB3468" w:rsidRPr="0001496F">
        <w:rPr>
          <w:rFonts w:ascii="Times New Roman" w:hAnsi="Times New Roman" w:cs="Times New Roman"/>
        </w:rPr>
        <w:t>er</w:t>
      </w:r>
      <w:r w:rsidRPr="0001496F">
        <w:rPr>
          <w:rFonts w:ascii="Times New Roman" w:hAnsi="Times New Roman" w:cs="Times New Roman"/>
        </w:rPr>
        <w:t xml:space="preserve"> un rôle de coordination : il tient un registre des divers </w:t>
      </w:r>
      <w:r w:rsidR="000C00D4" w:rsidRPr="0001496F">
        <w:rPr>
          <w:rFonts w:ascii="Times New Roman" w:hAnsi="Times New Roman" w:cs="Times New Roman"/>
        </w:rPr>
        <w:t>mé</w:t>
      </w:r>
      <w:r w:rsidRPr="0001496F">
        <w:rPr>
          <w:rFonts w:ascii="Times New Roman" w:hAnsi="Times New Roman" w:cs="Times New Roman"/>
        </w:rPr>
        <w:t>morandum</w:t>
      </w:r>
      <w:r w:rsidR="0059400F" w:rsidRPr="0001496F">
        <w:rPr>
          <w:rFonts w:ascii="Times New Roman" w:hAnsi="Times New Roman" w:cs="Times New Roman"/>
        </w:rPr>
        <w:t xml:space="preserve">s </w:t>
      </w:r>
      <w:r w:rsidRPr="0001496F">
        <w:rPr>
          <w:rFonts w:ascii="Times New Roman" w:hAnsi="Times New Roman" w:cs="Times New Roman"/>
        </w:rPr>
        <w:t>d’accords conclus (art. 17</w:t>
      </w:r>
      <w:r w:rsidR="00EF1B18" w:rsidRPr="0001496F">
        <w:rPr>
          <w:rFonts w:ascii="Times New Roman" w:hAnsi="Times New Roman" w:cs="Times New Roman"/>
        </w:rPr>
        <w:t xml:space="preserve">, </w:t>
      </w:r>
      <w:r w:rsidRPr="0001496F">
        <w:rPr>
          <w:rFonts w:ascii="Times New Roman" w:hAnsi="Times New Roman" w:cs="Times New Roman"/>
        </w:rPr>
        <w:t xml:space="preserve">§3), pour éviter la concurrence de décisions divergentes ou l’octroi de plusieurs promesses dans des arrondissements judiciaires distincts pour une même affaire et </w:t>
      </w:r>
      <w:r w:rsidRPr="0001496F">
        <w:rPr>
          <w:rFonts w:ascii="Times New Roman" w:hAnsi="Times New Roman" w:cs="Times New Roman"/>
        </w:rPr>
        <w:lastRenderedPageBreak/>
        <w:t>assurer une certaine uniformité quant aux critères et conditions d’octroi d’une promesse</w:t>
      </w:r>
      <w:r w:rsidRPr="0001496F">
        <w:rPr>
          <w:rStyle w:val="Appelnotedebasdep"/>
          <w:rFonts w:ascii="Times New Roman" w:hAnsi="Times New Roman" w:cs="Times New Roman"/>
        </w:rPr>
        <w:footnoteReference w:id="52"/>
      </w:r>
      <w:r w:rsidRPr="0001496F">
        <w:rPr>
          <w:rFonts w:ascii="Times New Roman" w:hAnsi="Times New Roman" w:cs="Times New Roman"/>
        </w:rPr>
        <w:t xml:space="preserve">. Les juridictions de fond, saisies d’une affaire dans laquelle un accord a été conclu, se livrent à un contrôle de légalité mais non d’opportunité : si le juge de fond constate que les conditions requises pour une promesse d’extinction de l’action publique sont réunies, que le mémorandum a été établi valablement et que l’accord qui y figure a été respecté, il doit éteindre l’action publique (art. 9). </w:t>
      </w:r>
      <w:r w:rsidR="000C00D4" w:rsidRPr="0001496F">
        <w:rPr>
          <w:rFonts w:ascii="Times New Roman" w:hAnsi="Times New Roman" w:cs="Times New Roman"/>
        </w:rPr>
        <w:t>L</w:t>
      </w:r>
      <w:r w:rsidRPr="0001496F">
        <w:rPr>
          <w:rFonts w:ascii="Times New Roman" w:hAnsi="Times New Roman" w:cs="Times New Roman"/>
        </w:rPr>
        <w:t xml:space="preserve">a collaboration avec la justice devient une </w:t>
      </w:r>
      <w:r w:rsidRPr="0001496F">
        <w:rPr>
          <w:rFonts w:ascii="Times New Roman" w:hAnsi="Times New Roman" w:cs="Times New Roman"/>
          <w:i/>
        </w:rPr>
        <w:t>cause d’excuse légale absolutoire ou atténuante</w:t>
      </w:r>
      <w:r w:rsidRPr="0001496F">
        <w:rPr>
          <w:rFonts w:ascii="Times New Roman" w:hAnsi="Times New Roman" w:cs="Times New Roman"/>
        </w:rPr>
        <w:t xml:space="preserve">, compte tenu du principe de proportionnalité et de ses diverses implications. Dès lors, pour autant que les dépositions soient « révélatrices, « sincères et complètes », peu importe qu’elles aient lieu avant ou après l’entame des poursuites, qu’elles débouchent ou non sur des résultats positifs, le procureur s’engagera par un </w:t>
      </w:r>
      <w:r w:rsidR="000C00D4" w:rsidRPr="0001496F">
        <w:rPr>
          <w:rFonts w:ascii="Times New Roman" w:hAnsi="Times New Roman" w:cs="Times New Roman"/>
        </w:rPr>
        <w:t>mé</w:t>
      </w:r>
      <w:r w:rsidRPr="0001496F">
        <w:rPr>
          <w:rFonts w:ascii="Times New Roman" w:hAnsi="Times New Roman" w:cs="Times New Roman"/>
        </w:rPr>
        <w:t>morandum écrit à requérir l’application de la cause d’excuse</w:t>
      </w:r>
      <w:r w:rsidRPr="0001496F">
        <w:rPr>
          <w:rStyle w:val="Appelnotedebasdep"/>
          <w:rFonts w:ascii="Times New Roman" w:hAnsi="Times New Roman" w:cs="Times New Roman"/>
        </w:rPr>
        <w:footnoteReference w:id="53"/>
      </w:r>
      <w:r w:rsidRPr="0001496F">
        <w:rPr>
          <w:rFonts w:ascii="Times New Roman" w:hAnsi="Times New Roman" w:cs="Times New Roman"/>
        </w:rPr>
        <w:t xml:space="preserve">. Ici encore, le rôle du </w:t>
      </w:r>
      <w:r w:rsidR="001315B9" w:rsidRPr="0001496F">
        <w:rPr>
          <w:rFonts w:ascii="Times New Roman" w:hAnsi="Times New Roman" w:cs="Times New Roman"/>
        </w:rPr>
        <w:t>ministère public</w:t>
      </w:r>
      <w:r w:rsidRPr="0001496F">
        <w:rPr>
          <w:rFonts w:ascii="Times New Roman" w:hAnsi="Times New Roman" w:cs="Times New Roman"/>
        </w:rPr>
        <w:t xml:space="preserve"> est particulièrement important : s’il ne peut pas garantir que la cause d’excuse qu’il s’engage à requérir sera accordée, l’accord qu’il signe avec le collaborateur lie néanmoins les juridictions de jugement qui ne peuvent</w:t>
      </w:r>
      <w:r w:rsidR="00EB1959" w:rsidRPr="0001496F">
        <w:rPr>
          <w:rFonts w:ascii="Times New Roman" w:hAnsi="Times New Roman" w:cs="Times New Roman"/>
        </w:rPr>
        <w:t xml:space="preserve"> </w:t>
      </w:r>
      <w:r w:rsidRPr="0001496F">
        <w:rPr>
          <w:rFonts w:ascii="Times New Roman" w:hAnsi="Times New Roman" w:cs="Times New Roman"/>
        </w:rPr>
        <w:t>exercer qu’un contrôle de légalité, soit vérifier « s’il est répondu aux conditions légales d’exemption ou de réduction de peine »</w:t>
      </w:r>
      <w:r w:rsidRPr="0001496F">
        <w:rPr>
          <w:rStyle w:val="Appelnotedebasdep"/>
          <w:rFonts w:ascii="Times New Roman" w:hAnsi="Times New Roman" w:cs="Times New Roman"/>
        </w:rPr>
        <w:footnoteReference w:id="54"/>
      </w:r>
      <w:r w:rsidRPr="0001496F">
        <w:rPr>
          <w:rFonts w:ascii="Times New Roman" w:hAnsi="Times New Roman" w:cs="Times New Roman"/>
        </w:rPr>
        <w:t xml:space="preserve">. </w:t>
      </w:r>
      <w:r w:rsidR="000C00D4" w:rsidRPr="0001496F">
        <w:rPr>
          <w:rFonts w:ascii="Times New Roman" w:hAnsi="Times New Roman" w:cs="Times New Roman"/>
        </w:rPr>
        <w:t>E</w:t>
      </w:r>
      <w:r w:rsidRPr="0001496F">
        <w:rPr>
          <w:rFonts w:ascii="Times New Roman" w:hAnsi="Times New Roman" w:cs="Times New Roman"/>
        </w:rPr>
        <w:t>nfin, la proposition prévoit que le procureur du Roi ou le procureur fédéral pourra également promettre un</w:t>
      </w:r>
      <w:r w:rsidR="005B0560" w:rsidRPr="0001496F">
        <w:rPr>
          <w:rFonts w:ascii="Times New Roman" w:hAnsi="Times New Roman" w:cs="Times New Roman"/>
        </w:rPr>
        <w:t xml:space="preserve">e </w:t>
      </w:r>
      <w:r w:rsidR="005B0560" w:rsidRPr="0001496F">
        <w:rPr>
          <w:rFonts w:ascii="Times New Roman" w:hAnsi="Times New Roman" w:cs="Times New Roman"/>
          <w:i/>
        </w:rPr>
        <w:t>faveur dans le cadre de l’exécution de la peine</w:t>
      </w:r>
      <w:r w:rsidRPr="0001496F">
        <w:rPr>
          <w:rStyle w:val="Appelnotedebasdep"/>
          <w:rFonts w:ascii="Times New Roman" w:hAnsi="Times New Roman" w:cs="Times New Roman"/>
        </w:rPr>
        <w:footnoteReference w:id="55"/>
      </w:r>
      <w:r w:rsidRPr="0001496F">
        <w:rPr>
          <w:rFonts w:ascii="Times New Roman" w:hAnsi="Times New Roman" w:cs="Times New Roman"/>
        </w:rPr>
        <w:t>.</w:t>
      </w:r>
    </w:p>
    <w:p w14:paraId="56F4E16F" w14:textId="77777777" w:rsidR="00C27F05" w:rsidRPr="0001496F" w:rsidRDefault="00C27F05" w:rsidP="0001496F">
      <w:pPr>
        <w:jc w:val="both"/>
        <w:rPr>
          <w:rFonts w:ascii="Times New Roman" w:hAnsi="Times New Roman" w:cs="Times New Roman"/>
        </w:rPr>
      </w:pPr>
    </w:p>
    <w:p w14:paraId="0B7945AE" w14:textId="772840A4" w:rsidR="00C27F05" w:rsidRPr="0001496F" w:rsidRDefault="00C27F05" w:rsidP="0001496F">
      <w:pPr>
        <w:jc w:val="both"/>
        <w:rPr>
          <w:rFonts w:ascii="Times New Roman" w:hAnsi="Times New Roman" w:cs="Times New Roman"/>
        </w:rPr>
      </w:pPr>
      <w:r w:rsidRPr="0001496F">
        <w:rPr>
          <w:rFonts w:ascii="Times New Roman" w:hAnsi="Times New Roman" w:cs="Times New Roman"/>
        </w:rPr>
        <w:t>Enfin, dans les « dispositions diverses » qui clôturent le texte sont abordées trois questions importantes qui concernent, de manière directe ou indirecte, les droits de la défense.</w:t>
      </w:r>
      <w:r w:rsidR="00B073BA" w:rsidRPr="0001496F">
        <w:rPr>
          <w:rFonts w:ascii="Times New Roman" w:hAnsi="Times New Roman" w:cs="Times New Roman"/>
        </w:rPr>
        <w:t xml:space="preserve"> </w:t>
      </w:r>
      <w:r w:rsidRPr="0001496F">
        <w:rPr>
          <w:rFonts w:ascii="Times New Roman" w:hAnsi="Times New Roman" w:cs="Times New Roman"/>
        </w:rPr>
        <w:t>L’article 20 prévoit d’abord que le témoignage d’un collaborateur de justice, s’il peut servir à déclencher des poursuites du chef d’autres infractions</w:t>
      </w:r>
      <w:r w:rsidR="00B073BA" w:rsidRPr="0001496F">
        <w:rPr>
          <w:rFonts w:ascii="Times New Roman" w:hAnsi="Times New Roman" w:cs="Times New Roman"/>
        </w:rPr>
        <w:t xml:space="preserve"> </w:t>
      </w:r>
      <w:r w:rsidRPr="0001496F">
        <w:rPr>
          <w:rFonts w:ascii="Times New Roman" w:hAnsi="Times New Roman" w:cs="Times New Roman"/>
        </w:rPr>
        <w:t>que celles qui sont visées par le projet de loi, ne peut servir de preuve dans le cadre des poursuites éventuelles menées à l’égard de ces autres infractions. L’article 21 établit quant à lui un système de « preuve minimale légale » qui exclut que les témoignages livrés par le collaborateur de justice valent comme preuve d’une</w:t>
      </w:r>
      <w:r w:rsidR="00B073BA" w:rsidRPr="0001496F">
        <w:rPr>
          <w:rFonts w:ascii="Times New Roman" w:hAnsi="Times New Roman" w:cs="Times New Roman"/>
        </w:rPr>
        <w:t xml:space="preserve"> </w:t>
      </w:r>
      <w:r w:rsidRPr="0001496F">
        <w:rPr>
          <w:rFonts w:ascii="Times New Roman" w:hAnsi="Times New Roman" w:cs="Times New Roman"/>
        </w:rPr>
        <w:t>des infractions visées s’ils ne sont pas « corroborés dans une mesure importante par d’autres moyens de preuve »</w:t>
      </w:r>
      <w:r w:rsidRPr="0001496F">
        <w:rPr>
          <w:rStyle w:val="Appelnotedebasdep"/>
          <w:rFonts w:ascii="Times New Roman" w:hAnsi="Times New Roman" w:cs="Times New Roman"/>
        </w:rPr>
        <w:footnoteReference w:id="56"/>
      </w:r>
      <w:r w:rsidRPr="0001496F">
        <w:rPr>
          <w:rFonts w:ascii="Times New Roman" w:hAnsi="Times New Roman" w:cs="Times New Roman"/>
        </w:rPr>
        <w:t xml:space="preserve">. Le témoignage d’un repenti étant jugé fragile, on veut éviter que son seul témoignage ne puisse suffire à faire la preuve d’une infraction. En outre, l’article 22 précise que l’anonymat du témoignage, partiel ou total, ne pourra être accordé au collaborateur de justice. La volonté est ici de « garantir au maximum la possibilité de contredire cette déposition (du collaborateur) », ce qui interdit « le cumul du statut de collaborateur de la justice et du statut de témoin anonyme, </w:t>
      </w:r>
      <w:r w:rsidR="00F5343B" w:rsidRPr="0001496F">
        <w:rPr>
          <w:rFonts w:ascii="Times New Roman" w:hAnsi="Times New Roman" w:cs="Times New Roman"/>
        </w:rPr>
        <w:t>(</w:t>
      </w:r>
      <w:r w:rsidRPr="0001496F">
        <w:rPr>
          <w:rFonts w:ascii="Times New Roman" w:hAnsi="Times New Roman" w:cs="Times New Roman"/>
        </w:rPr>
        <w:t>…</w:t>
      </w:r>
      <w:r w:rsidR="00F5343B" w:rsidRPr="0001496F">
        <w:rPr>
          <w:rFonts w:ascii="Times New Roman" w:hAnsi="Times New Roman" w:cs="Times New Roman"/>
        </w:rPr>
        <w:t>)</w:t>
      </w:r>
      <w:r w:rsidRPr="0001496F">
        <w:rPr>
          <w:rFonts w:ascii="Times New Roman" w:hAnsi="Times New Roman" w:cs="Times New Roman"/>
        </w:rPr>
        <w:t xml:space="preserve"> cumul considéré comme une limitation trop drastique des droits de la défense »</w:t>
      </w:r>
      <w:r w:rsidRPr="0001496F">
        <w:rPr>
          <w:rStyle w:val="Appelnotedebasdep"/>
          <w:rFonts w:ascii="Times New Roman" w:hAnsi="Times New Roman" w:cs="Times New Roman"/>
        </w:rPr>
        <w:footnoteReference w:id="57"/>
      </w:r>
      <w:r w:rsidRPr="0001496F">
        <w:rPr>
          <w:rFonts w:ascii="Times New Roman" w:hAnsi="Times New Roman" w:cs="Times New Roman"/>
        </w:rPr>
        <w:t xml:space="preserve">. </w:t>
      </w:r>
      <w:r w:rsidR="00D23DEF" w:rsidRPr="0001496F">
        <w:rPr>
          <w:rFonts w:ascii="Times New Roman" w:hAnsi="Times New Roman" w:cs="Times New Roman"/>
        </w:rPr>
        <w:t>En revanche</w:t>
      </w:r>
      <w:r w:rsidRPr="0001496F">
        <w:rPr>
          <w:rFonts w:ascii="Times New Roman" w:hAnsi="Times New Roman" w:cs="Times New Roman"/>
        </w:rPr>
        <w:t>, le collaborateur de justice pourra bénéficier des mesures de protection prévues pour les témoins avec des antécédents criminels.</w:t>
      </w:r>
    </w:p>
    <w:p w14:paraId="4672E7CC" w14:textId="77777777" w:rsidR="00C27F05" w:rsidRPr="0001496F" w:rsidRDefault="00C27F05" w:rsidP="0001496F">
      <w:pPr>
        <w:jc w:val="both"/>
        <w:rPr>
          <w:rFonts w:ascii="Times New Roman" w:hAnsi="Times New Roman" w:cs="Times New Roman"/>
        </w:rPr>
      </w:pPr>
    </w:p>
    <w:p w14:paraId="52B432EB" w14:textId="262E9C85" w:rsidR="007C7C97" w:rsidRPr="0001496F" w:rsidRDefault="007C7C97" w:rsidP="0001496F">
      <w:pPr>
        <w:jc w:val="both"/>
        <w:rPr>
          <w:rFonts w:ascii="Times New Roman" w:hAnsi="Times New Roman" w:cs="Times New Roman"/>
        </w:rPr>
      </w:pPr>
      <w:r w:rsidRPr="0001496F">
        <w:rPr>
          <w:rFonts w:ascii="Times New Roman" w:hAnsi="Times New Roman" w:cs="Times New Roman"/>
        </w:rPr>
        <w:t>1.1.3.3. Les avis du comité d’experts du Conseil de l’Europe et du Conseil des procureurs du Roi</w:t>
      </w:r>
    </w:p>
    <w:p w14:paraId="64EF12DB" w14:textId="77777777" w:rsidR="007C7C97" w:rsidRPr="0001496F" w:rsidRDefault="007C7C97" w:rsidP="0001496F">
      <w:pPr>
        <w:jc w:val="both"/>
        <w:rPr>
          <w:rFonts w:ascii="Times New Roman" w:hAnsi="Times New Roman" w:cs="Times New Roman"/>
        </w:rPr>
      </w:pPr>
    </w:p>
    <w:p w14:paraId="1A64A3F1" w14:textId="0E8F333C" w:rsidR="00E81D3B" w:rsidRPr="0001496F" w:rsidRDefault="00C27F05" w:rsidP="0001496F">
      <w:pPr>
        <w:jc w:val="both"/>
        <w:rPr>
          <w:rFonts w:ascii="Times New Roman" w:hAnsi="Times New Roman" w:cs="Times New Roman"/>
        </w:rPr>
      </w:pPr>
      <w:r w:rsidRPr="0001496F">
        <w:rPr>
          <w:rFonts w:ascii="Times New Roman" w:hAnsi="Times New Roman" w:cs="Times New Roman"/>
        </w:rPr>
        <w:t>On signalera encore que le texte de l’avant-projet de loi du gouvernement</w:t>
      </w:r>
      <w:r w:rsidR="00E81D3B" w:rsidRPr="0001496F">
        <w:rPr>
          <w:rFonts w:ascii="Times New Roman" w:hAnsi="Times New Roman" w:cs="Times New Roman"/>
        </w:rPr>
        <w:t xml:space="preserve"> de 2001</w:t>
      </w:r>
      <w:r w:rsidRPr="0001496F">
        <w:rPr>
          <w:rFonts w:ascii="Times New Roman" w:hAnsi="Times New Roman" w:cs="Times New Roman"/>
        </w:rPr>
        <w:t xml:space="preserve">, identique à celui que l’on vient de commenter, avait été soumis par le ministre de la Justice </w:t>
      </w:r>
      <w:r w:rsidR="001B2570" w:rsidRPr="0001496F">
        <w:rPr>
          <w:rFonts w:ascii="Times New Roman" w:hAnsi="Times New Roman" w:cs="Times New Roman"/>
        </w:rPr>
        <w:t xml:space="preserve">M. </w:t>
      </w:r>
      <w:r w:rsidRPr="0001496F">
        <w:rPr>
          <w:rFonts w:ascii="Times New Roman" w:hAnsi="Times New Roman" w:cs="Times New Roman"/>
        </w:rPr>
        <w:t>Verwilghen à l’avis d’un comité d’experts indépendants du Conseil de l’Europe. Dans leur rapport rendu en janvier 2002</w:t>
      </w:r>
      <w:r w:rsidR="00E81D3B" w:rsidRPr="0001496F">
        <w:rPr>
          <w:rStyle w:val="Appelnotedebasdep"/>
          <w:rFonts w:ascii="Times New Roman" w:hAnsi="Times New Roman" w:cs="Times New Roman"/>
        </w:rPr>
        <w:footnoteReference w:id="58"/>
      </w:r>
      <w:r w:rsidRPr="0001496F">
        <w:rPr>
          <w:rFonts w:ascii="Times New Roman" w:hAnsi="Times New Roman" w:cs="Times New Roman"/>
        </w:rPr>
        <w:t xml:space="preserve">, les experts approuvent globalement les orientations du projet. Ils se demandent toutefois, au lendemain des événements du 11 septembre 2001, si les crimes liés au terrorisme </w:t>
      </w:r>
      <w:r w:rsidRPr="0001496F">
        <w:rPr>
          <w:rFonts w:ascii="Times New Roman" w:hAnsi="Times New Roman" w:cs="Times New Roman"/>
        </w:rPr>
        <w:lastRenderedPageBreak/>
        <w:t>entrent bien dans le champ des infractions visées par le projet. Ils recommandent que le collaborateur puisse se faire assister d’un avocat lors de la discussion du m</w:t>
      </w:r>
      <w:r w:rsidR="00E079A8" w:rsidRPr="0001496F">
        <w:rPr>
          <w:rFonts w:ascii="Times New Roman" w:hAnsi="Times New Roman" w:cs="Times New Roman"/>
        </w:rPr>
        <w:t>é</w:t>
      </w:r>
      <w:r w:rsidRPr="0001496F">
        <w:rPr>
          <w:rFonts w:ascii="Times New Roman" w:hAnsi="Times New Roman" w:cs="Times New Roman"/>
        </w:rPr>
        <w:t xml:space="preserve">morandum. Pour le reste, les experts approuvent fortement la « transparence » de l’accord intervenu, au nom des droits de la défense et du principe du contradictoire. </w:t>
      </w:r>
      <w:r w:rsidR="00D23DEF" w:rsidRPr="0001496F">
        <w:rPr>
          <w:rFonts w:ascii="Times New Roman" w:hAnsi="Times New Roman" w:cs="Times New Roman"/>
        </w:rPr>
        <w:t>En revanche</w:t>
      </w:r>
      <w:r w:rsidRPr="0001496F">
        <w:rPr>
          <w:rFonts w:ascii="Times New Roman" w:hAnsi="Times New Roman" w:cs="Times New Roman"/>
        </w:rPr>
        <w:t>, ces experts questionnent l’exclusion du recours à la collaboration en cas d’infractions graves commises par le collaborateur si ses révélations, sincères et complètes</w:t>
      </w:r>
      <w:r w:rsidR="00E81D3B" w:rsidRPr="0001496F">
        <w:rPr>
          <w:rFonts w:ascii="Times New Roman" w:hAnsi="Times New Roman" w:cs="Times New Roman"/>
        </w:rPr>
        <w:t>,</w:t>
      </w:r>
      <w:r w:rsidRPr="0001496F">
        <w:rPr>
          <w:rFonts w:ascii="Times New Roman" w:hAnsi="Times New Roman" w:cs="Times New Roman"/>
        </w:rPr>
        <w:t xml:space="preserve"> permettent de mettre à jour des infractions graves elles aussi</w:t>
      </w:r>
      <w:r w:rsidRPr="0001496F">
        <w:rPr>
          <w:rStyle w:val="Appelnotedebasdep"/>
          <w:rFonts w:ascii="Times New Roman" w:hAnsi="Times New Roman" w:cs="Times New Roman"/>
        </w:rPr>
        <w:footnoteReference w:id="59"/>
      </w:r>
      <w:r w:rsidRPr="0001496F">
        <w:rPr>
          <w:rFonts w:ascii="Times New Roman" w:hAnsi="Times New Roman" w:cs="Times New Roman"/>
        </w:rPr>
        <w:t xml:space="preserve">. </w:t>
      </w:r>
    </w:p>
    <w:p w14:paraId="604142A6" w14:textId="77777777" w:rsidR="00E81D3B" w:rsidRPr="0001496F" w:rsidRDefault="00E81D3B" w:rsidP="0001496F">
      <w:pPr>
        <w:jc w:val="both"/>
        <w:rPr>
          <w:rFonts w:ascii="Times New Roman" w:hAnsi="Times New Roman" w:cs="Times New Roman"/>
        </w:rPr>
      </w:pPr>
    </w:p>
    <w:p w14:paraId="68AFC48D" w14:textId="74FA650D" w:rsidR="00C27F05" w:rsidRPr="0001496F" w:rsidRDefault="00A05F67" w:rsidP="0001496F">
      <w:pPr>
        <w:jc w:val="both"/>
        <w:rPr>
          <w:rFonts w:ascii="Times New Roman" w:hAnsi="Times New Roman" w:cs="Times New Roman"/>
        </w:rPr>
      </w:pPr>
      <w:r w:rsidRPr="0001496F">
        <w:rPr>
          <w:rFonts w:ascii="Times New Roman" w:hAnsi="Times New Roman" w:cs="Times New Roman"/>
        </w:rPr>
        <w:t>À</w:t>
      </w:r>
      <w:r w:rsidR="00C27F05" w:rsidRPr="0001496F">
        <w:rPr>
          <w:rFonts w:ascii="Times New Roman" w:hAnsi="Times New Roman" w:cs="Times New Roman"/>
        </w:rPr>
        <w:t xml:space="preserve"> la même période, en janvier 2002, le Conseil des procureurs du Roi remet également</w:t>
      </w:r>
      <w:r w:rsidR="00B073BA" w:rsidRPr="0001496F">
        <w:rPr>
          <w:rFonts w:ascii="Times New Roman" w:hAnsi="Times New Roman" w:cs="Times New Roman"/>
        </w:rPr>
        <w:t xml:space="preserve"> </w:t>
      </w:r>
      <w:r w:rsidR="00C27F05" w:rsidRPr="0001496F">
        <w:rPr>
          <w:rFonts w:ascii="Times New Roman" w:hAnsi="Times New Roman" w:cs="Times New Roman"/>
        </w:rPr>
        <w:t>un avis à la demande du ministre de la Justice. On en retiendra que le Conseil insiste sur la nécessaire protection du collaborateur et, qu’à la différence des experts du Conseil de l’Europe, il plaide pour la possibilité de témoigner à titre anonyme, l’anonymat étant « la protection la plus efficace pour le collaborateur »</w:t>
      </w:r>
      <w:r w:rsidR="00C27F05" w:rsidRPr="0001496F">
        <w:rPr>
          <w:rStyle w:val="Appelnotedebasdep"/>
          <w:rFonts w:ascii="Times New Roman" w:hAnsi="Times New Roman" w:cs="Times New Roman"/>
        </w:rPr>
        <w:footnoteReference w:id="60"/>
      </w:r>
      <w:r w:rsidR="00C27F05" w:rsidRPr="0001496F">
        <w:rPr>
          <w:rFonts w:ascii="Times New Roman" w:hAnsi="Times New Roman" w:cs="Times New Roman"/>
        </w:rPr>
        <w:t>.</w:t>
      </w:r>
    </w:p>
    <w:p w14:paraId="3A144DA2" w14:textId="77777777" w:rsidR="00C27F05" w:rsidRPr="0001496F" w:rsidRDefault="00C27F05" w:rsidP="0001496F">
      <w:pPr>
        <w:jc w:val="both"/>
        <w:rPr>
          <w:rFonts w:ascii="Times New Roman" w:hAnsi="Times New Roman" w:cs="Times New Roman"/>
        </w:rPr>
      </w:pPr>
    </w:p>
    <w:p w14:paraId="37F315B8" w14:textId="3C88AE04" w:rsidR="00C27F05" w:rsidRPr="0001496F" w:rsidRDefault="00C27F05" w:rsidP="0001496F">
      <w:pPr>
        <w:jc w:val="both"/>
        <w:rPr>
          <w:rFonts w:ascii="Times New Roman" w:hAnsi="Times New Roman" w:cs="Times New Roman"/>
        </w:rPr>
      </w:pPr>
      <w:r w:rsidRPr="0001496F">
        <w:rPr>
          <w:rFonts w:ascii="Times New Roman" w:hAnsi="Times New Roman" w:cs="Times New Roman"/>
        </w:rPr>
        <w:t xml:space="preserve">1.1.4. De 2001 à 2014 : </w:t>
      </w:r>
      <w:r w:rsidR="001334E2" w:rsidRPr="0001496F">
        <w:rPr>
          <w:rFonts w:ascii="Times New Roman" w:hAnsi="Times New Roman" w:cs="Times New Roman"/>
        </w:rPr>
        <w:t>variations sur un même thème</w:t>
      </w:r>
      <w:r w:rsidRPr="0001496F">
        <w:rPr>
          <w:rFonts w:ascii="Times New Roman" w:hAnsi="Times New Roman" w:cs="Times New Roman"/>
        </w:rPr>
        <w:t>…</w:t>
      </w:r>
    </w:p>
    <w:p w14:paraId="039513D5" w14:textId="77777777" w:rsidR="00C27F05" w:rsidRPr="0001496F" w:rsidRDefault="00C27F05" w:rsidP="0001496F">
      <w:pPr>
        <w:jc w:val="both"/>
        <w:rPr>
          <w:rFonts w:ascii="Times New Roman" w:hAnsi="Times New Roman" w:cs="Times New Roman"/>
        </w:rPr>
      </w:pPr>
    </w:p>
    <w:p w14:paraId="4B413E51" w14:textId="7440B32B" w:rsidR="00187254" w:rsidRPr="0001496F" w:rsidRDefault="00CC5EBC" w:rsidP="0001496F">
      <w:pPr>
        <w:jc w:val="both"/>
        <w:rPr>
          <w:rFonts w:ascii="Times New Roman" w:hAnsi="Times New Roman" w:cs="Times New Roman"/>
        </w:rPr>
      </w:pPr>
      <w:r w:rsidRPr="0001496F">
        <w:rPr>
          <w:rFonts w:ascii="Times New Roman" w:hAnsi="Times New Roman" w:cs="Times New Roman"/>
        </w:rPr>
        <w:t>1.1.4.1 L</w:t>
      </w:r>
      <w:r w:rsidR="00187254" w:rsidRPr="0001496F">
        <w:rPr>
          <w:rFonts w:ascii="Times New Roman" w:hAnsi="Times New Roman" w:cs="Times New Roman"/>
        </w:rPr>
        <w:t>e bal des propositions de loi continue</w:t>
      </w:r>
    </w:p>
    <w:p w14:paraId="2AEF626E" w14:textId="77777777" w:rsidR="00187254" w:rsidRPr="0001496F" w:rsidRDefault="00187254" w:rsidP="0001496F">
      <w:pPr>
        <w:jc w:val="both"/>
        <w:rPr>
          <w:rFonts w:ascii="Times New Roman" w:hAnsi="Times New Roman" w:cs="Times New Roman"/>
        </w:rPr>
      </w:pPr>
    </w:p>
    <w:p w14:paraId="092679A5" w14:textId="56067A85" w:rsidR="00C27F05" w:rsidRPr="0001496F" w:rsidRDefault="00E81D3B" w:rsidP="0001496F">
      <w:pPr>
        <w:jc w:val="both"/>
        <w:rPr>
          <w:rFonts w:ascii="Times New Roman" w:hAnsi="Times New Roman" w:cs="Times New Roman"/>
        </w:rPr>
      </w:pPr>
      <w:r w:rsidRPr="0001496F">
        <w:rPr>
          <w:rFonts w:ascii="Times New Roman" w:hAnsi="Times New Roman" w:cs="Times New Roman"/>
        </w:rPr>
        <w:t>Le 10</w:t>
      </w:r>
      <w:r w:rsidR="00C27F05" w:rsidRPr="0001496F">
        <w:rPr>
          <w:rFonts w:ascii="Times New Roman" w:hAnsi="Times New Roman" w:cs="Times New Roman"/>
        </w:rPr>
        <w:t xml:space="preserve"> août 2001, devant l’enlisement du projet de loi du gouvernement, </w:t>
      </w:r>
      <w:r w:rsidRPr="0001496F">
        <w:rPr>
          <w:rFonts w:ascii="Times New Roman" w:hAnsi="Times New Roman" w:cs="Times New Roman"/>
        </w:rPr>
        <w:t>u</w:t>
      </w:r>
      <w:r w:rsidR="00C27F05" w:rsidRPr="0001496F">
        <w:rPr>
          <w:rFonts w:ascii="Times New Roman" w:hAnsi="Times New Roman" w:cs="Times New Roman"/>
        </w:rPr>
        <w:t>ne proposition de loi « instaurant le régime des repent</w:t>
      </w:r>
      <w:r w:rsidR="00BB668F" w:rsidRPr="0001496F">
        <w:rPr>
          <w:rFonts w:ascii="Times New Roman" w:hAnsi="Times New Roman" w:cs="Times New Roman"/>
        </w:rPr>
        <w:t>is »</w:t>
      </w:r>
      <w:r w:rsidR="00C27F05" w:rsidRPr="0001496F">
        <w:rPr>
          <w:rFonts w:ascii="Times New Roman" w:hAnsi="Times New Roman" w:cs="Times New Roman"/>
        </w:rPr>
        <w:t xml:space="preserve"> </w:t>
      </w:r>
      <w:r w:rsidRPr="0001496F">
        <w:rPr>
          <w:rFonts w:ascii="Times New Roman" w:hAnsi="Times New Roman" w:cs="Times New Roman"/>
        </w:rPr>
        <w:t xml:space="preserve">est déposée </w:t>
      </w:r>
      <w:r w:rsidR="00C27F05" w:rsidRPr="0001496F">
        <w:rPr>
          <w:rFonts w:ascii="Times New Roman" w:hAnsi="Times New Roman" w:cs="Times New Roman"/>
        </w:rPr>
        <w:t xml:space="preserve">par </w:t>
      </w:r>
      <w:r w:rsidR="006C4565" w:rsidRPr="0001496F">
        <w:rPr>
          <w:rFonts w:ascii="Times New Roman" w:hAnsi="Times New Roman" w:cs="Times New Roman"/>
        </w:rPr>
        <w:t>T</w:t>
      </w:r>
      <w:r w:rsidR="00C27F05" w:rsidRPr="0001496F">
        <w:rPr>
          <w:rFonts w:ascii="Times New Roman" w:hAnsi="Times New Roman" w:cs="Times New Roman"/>
        </w:rPr>
        <w:t xml:space="preserve">. Van Parys, </w:t>
      </w:r>
      <w:r w:rsidR="006C4565" w:rsidRPr="0001496F">
        <w:rPr>
          <w:rFonts w:ascii="Times New Roman" w:hAnsi="Times New Roman" w:cs="Times New Roman"/>
        </w:rPr>
        <w:t xml:space="preserve">J. </w:t>
      </w:r>
      <w:r w:rsidR="00C27F05" w:rsidRPr="0001496F">
        <w:rPr>
          <w:rFonts w:ascii="Times New Roman" w:hAnsi="Times New Roman" w:cs="Times New Roman"/>
        </w:rPr>
        <w:t xml:space="preserve">Vanderzeuren, </w:t>
      </w:r>
      <w:r w:rsidR="006C4565" w:rsidRPr="0001496F">
        <w:rPr>
          <w:rFonts w:ascii="Times New Roman" w:hAnsi="Times New Roman" w:cs="Times New Roman"/>
        </w:rPr>
        <w:t xml:space="preserve">S. </w:t>
      </w:r>
      <w:r w:rsidR="00C27F05" w:rsidRPr="0001496F">
        <w:rPr>
          <w:rFonts w:ascii="Times New Roman" w:hAnsi="Times New Roman" w:cs="Times New Roman"/>
        </w:rPr>
        <w:t xml:space="preserve">Verherstraeten et </w:t>
      </w:r>
      <w:r w:rsidR="006C4565" w:rsidRPr="0001496F">
        <w:rPr>
          <w:rFonts w:ascii="Times New Roman" w:hAnsi="Times New Roman" w:cs="Times New Roman"/>
        </w:rPr>
        <w:t xml:space="preserve">G. </w:t>
      </w:r>
      <w:r w:rsidR="00C27F05" w:rsidRPr="0001496F">
        <w:rPr>
          <w:rFonts w:ascii="Times New Roman" w:hAnsi="Times New Roman" w:cs="Times New Roman"/>
        </w:rPr>
        <w:t>Bourgeois</w:t>
      </w:r>
      <w:r w:rsidR="00C27F05" w:rsidRPr="0001496F">
        <w:rPr>
          <w:rStyle w:val="Appelnotedebasdep"/>
          <w:rFonts w:ascii="Times New Roman" w:hAnsi="Times New Roman" w:cs="Times New Roman"/>
        </w:rPr>
        <w:footnoteReference w:id="61"/>
      </w:r>
      <w:r w:rsidR="00C27F05" w:rsidRPr="0001496F">
        <w:rPr>
          <w:rFonts w:ascii="Times New Roman" w:hAnsi="Times New Roman" w:cs="Times New Roman"/>
        </w:rPr>
        <w:t>. Le texte ne diffère substantiellement du texte de l’avant-projet (reproduit par la proposition Coveliers-Herzet</w:t>
      </w:r>
      <w:r w:rsidR="00C27F05" w:rsidRPr="0001496F">
        <w:rPr>
          <w:rFonts w:ascii="Times New Roman" w:hAnsi="Times New Roman" w:cs="Times New Roman"/>
          <w:smallCaps/>
        </w:rPr>
        <w:t xml:space="preserve">) </w:t>
      </w:r>
      <w:r w:rsidR="00C27F05" w:rsidRPr="0001496F">
        <w:rPr>
          <w:rFonts w:ascii="Times New Roman" w:hAnsi="Times New Roman" w:cs="Times New Roman"/>
        </w:rPr>
        <w:t>que sur deux points : d’une part, le champ d’application matériel de la loi est réservé aux infractions visées à l’article 90</w:t>
      </w:r>
      <w:r w:rsidR="00C27F05" w:rsidRPr="0001496F">
        <w:rPr>
          <w:rFonts w:ascii="Times New Roman" w:hAnsi="Times New Roman" w:cs="Times New Roman"/>
          <w:i/>
        </w:rPr>
        <w:t>ter</w:t>
      </w:r>
      <w:r w:rsidR="008C2C7C" w:rsidRPr="0001496F">
        <w:rPr>
          <w:rFonts w:ascii="Times New Roman" w:hAnsi="Times New Roman" w:cs="Times New Roman"/>
        </w:rPr>
        <w:t xml:space="preserve">, §2 à </w:t>
      </w:r>
      <w:r w:rsidR="00C27F05" w:rsidRPr="0001496F">
        <w:rPr>
          <w:rFonts w:ascii="Times New Roman" w:hAnsi="Times New Roman" w:cs="Times New Roman"/>
        </w:rPr>
        <w:t>4 du Code d’i</w:t>
      </w:r>
      <w:r w:rsidR="006B705F" w:rsidRPr="0001496F">
        <w:rPr>
          <w:rFonts w:ascii="Times New Roman" w:hAnsi="Times New Roman" w:cs="Times New Roman"/>
        </w:rPr>
        <w:t>nstruction criminelle</w:t>
      </w:r>
      <w:r w:rsidR="00C27F05" w:rsidRPr="0001496F">
        <w:rPr>
          <w:rFonts w:ascii="Times New Roman" w:hAnsi="Times New Roman" w:cs="Times New Roman"/>
        </w:rPr>
        <w:t xml:space="preserve"> et à celles commises dans le cadre d’une organisation</w:t>
      </w:r>
      <w:r w:rsidR="00B073BA" w:rsidRPr="0001496F">
        <w:rPr>
          <w:rFonts w:ascii="Times New Roman" w:hAnsi="Times New Roman" w:cs="Times New Roman"/>
        </w:rPr>
        <w:t xml:space="preserve"> </w:t>
      </w:r>
      <w:r w:rsidR="00C27F05" w:rsidRPr="0001496F">
        <w:rPr>
          <w:rFonts w:ascii="Times New Roman" w:hAnsi="Times New Roman" w:cs="Times New Roman"/>
        </w:rPr>
        <w:t>criminelle visée à l’article 324</w:t>
      </w:r>
      <w:r w:rsidR="00C27F05" w:rsidRPr="0001496F">
        <w:rPr>
          <w:rFonts w:ascii="Times New Roman" w:hAnsi="Times New Roman" w:cs="Times New Roman"/>
          <w:i/>
        </w:rPr>
        <w:t>bis</w:t>
      </w:r>
      <w:r w:rsidRPr="0001496F">
        <w:rPr>
          <w:rFonts w:ascii="Times New Roman" w:hAnsi="Times New Roman" w:cs="Times New Roman"/>
        </w:rPr>
        <w:t xml:space="preserve"> du Code pénal</w:t>
      </w:r>
      <w:r w:rsidR="00C27F05" w:rsidRPr="0001496F">
        <w:rPr>
          <w:rFonts w:ascii="Times New Roman" w:hAnsi="Times New Roman" w:cs="Times New Roman"/>
        </w:rPr>
        <w:t>; d’autre part, l’article 22 de l’avant-projet/proposition initial excluant le témoignage anonyme du repenti est supprimé. Sur ce dernier point, les auteurs de la proposition sont donc plus proches de la position du Conseil des procureurs du Roi.</w:t>
      </w:r>
    </w:p>
    <w:p w14:paraId="24156950" w14:textId="77777777" w:rsidR="00C27F05" w:rsidRPr="0001496F" w:rsidRDefault="00C27F05" w:rsidP="0001496F">
      <w:pPr>
        <w:jc w:val="both"/>
        <w:rPr>
          <w:rFonts w:ascii="Times New Roman" w:hAnsi="Times New Roman" w:cs="Times New Roman"/>
        </w:rPr>
      </w:pPr>
    </w:p>
    <w:p w14:paraId="6475E8A5" w14:textId="194A0B93" w:rsidR="00C27F05" w:rsidRPr="0001496F" w:rsidRDefault="00C27F05" w:rsidP="0001496F">
      <w:pPr>
        <w:jc w:val="both"/>
        <w:rPr>
          <w:rFonts w:ascii="Times New Roman" w:hAnsi="Times New Roman" w:cs="Times New Roman"/>
        </w:rPr>
      </w:pPr>
      <w:r w:rsidRPr="0001496F">
        <w:rPr>
          <w:rFonts w:ascii="Times New Roman" w:hAnsi="Times New Roman" w:cs="Times New Roman"/>
        </w:rPr>
        <w:t>Par la suite, un certain nombre de propositions seront déposées jusqu’en 2014. Souvent introduites par les mêmes députés, elles constituent très ré</w:t>
      </w:r>
      <w:r w:rsidR="008C2C7C" w:rsidRPr="0001496F">
        <w:rPr>
          <w:rFonts w:ascii="Times New Roman" w:hAnsi="Times New Roman" w:cs="Times New Roman"/>
        </w:rPr>
        <w:t>gulièrement un « copier-coller</w:t>
      </w:r>
      <w:r w:rsidRPr="0001496F">
        <w:rPr>
          <w:rFonts w:ascii="Times New Roman" w:hAnsi="Times New Roman" w:cs="Times New Roman"/>
        </w:rPr>
        <w:t> » littéral ou légèrement amendé de l’avant-projet. Le 29 octobre 2003, une nouvelle proposition de loi instaurant le régime</w:t>
      </w:r>
      <w:r w:rsidR="000D067D" w:rsidRPr="0001496F">
        <w:rPr>
          <w:rFonts w:ascii="Times New Roman" w:hAnsi="Times New Roman" w:cs="Times New Roman"/>
        </w:rPr>
        <w:t xml:space="preserve"> des repentis est introduite </w:t>
      </w:r>
      <w:r w:rsidR="008C2C7C" w:rsidRPr="0001496F">
        <w:rPr>
          <w:rFonts w:ascii="Times New Roman" w:hAnsi="Times New Roman" w:cs="Times New Roman"/>
        </w:rPr>
        <w:t xml:space="preserve">par </w:t>
      </w:r>
      <w:r w:rsidR="000D067D" w:rsidRPr="0001496F">
        <w:rPr>
          <w:rFonts w:ascii="Times New Roman" w:hAnsi="Times New Roman" w:cs="Times New Roman"/>
        </w:rPr>
        <w:t>T.</w:t>
      </w:r>
      <w:r w:rsidRPr="0001496F">
        <w:rPr>
          <w:rFonts w:ascii="Times New Roman" w:hAnsi="Times New Roman" w:cs="Times New Roman"/>
        </w:rPr>
        <w:t xml:space="preserve"> Van Parys</w:t>
      </w:r>
      <w:r w:rsidR="000D067D" w:rsidRPr="0001496F">
        <w:rPr>
          <w:rFonts w:ascii="Times New Roman" w:hAnsi="Times New Roman" w:cs="Times New Roman"/>
        </w:rPr>
        <w:t xml:space="preserve"> et J.</w:t>
      </w:r>
      <w:r w:rsidRPr="0001496F">
        <w:rPr>
          <w:rFonts w:ascii="Times New Roman" w:hAnsi="Times New Roman" w:cs="Times New Roman"/>
        </w:rPr>
        <w:t xml:space="preserve"> Vanderzeuren</w:t>
      </w:r>
      <w:r w:rsidRPr="0001496F">
        <w:rPr>
          <w:rFonts w:ascii="Times New Roman" w:hAnsi="Times New Roman" w:cs="Times New Roman"/>
          <w:smallCaps/>
        </w:rPr>
        <w:t xml:space="preserve">, </w:t>
      </w:r>
      <w:r w:rsidRPr="0001496F">
        <w:rPr>
          <w:rFonts w:ascii="Times New Roman" w:hAnsi="Times New Roman" w:cs="Times New Roman"/>
        </w:rPr>
        <w:t>copie conforme de celle déposée</w:t>
      </w:r>
      <w:r w:rsidRPr="0001496F">
        <w:rPr>
          <w:rFonts w:ascii="Times New Roman" w:hAnsi="Times New Roman" w:cs="Times New Roman"/>
          <w:smallCaps/>
        </w:rPr>
        <w:t xml:space="preserve"> </w:t>
      </w:r>
      <w:r w:rsidRPr="0001496F">
        <w:rPr>
          <w:rFonts w:ascii="Times New Roman" w:hAnsi="Times New Roman" w:cs="Times New Roman"/>
        </w:rPr>
        <w:t>le 10 août 2001</w:t>
      </w:r>
      <w:r w:rsidRPr="0001496F">
        <w:rPr>
          <w:rStyle w:val="Appelnotedebasdep"/>
          <w:rFonts w:ascii="Times New Roman" w:hAnsi="Times New Roman" w:cs="Times New Roman"/>
        </w:rPr>
        <w:footnoteReference w:id="62"/>
      </w:r>
      <w:r w:rsidRPr="0001496F">
        <w:rPr>
          <w:rFonts w:ascii="Times New Roman" w:hAnsi="Times New Roman" w:cs="Times New Roman"/>
        </w:rPr>
        <w:t>.</w:t>
      </w:r>
      <w:r w:rsidR="00B073BA" w:rsidRPr="0001496F">
        <w:rPr>
          <w:rFonts w:ascii="Times New Roman" w:hAnsi="Times New Roman" w:cs="Times New Roman"/>
        </w:rPr>
        <w:t xml:space="preserve"> </w:t>
      </w:r>
      <w:r w:rsidRPr="0001496F">
        <w:rPr>
          <w:rFonts w:ascii="Times New Roman" w:hAnsi="Times New Roman" w:cs="Times New Roman"/>
        </w:rPr>
        <w:t>En regard du texte de l’avant-projet</w:t>
      </w:r>
      <w:r w:rsidR="002759D7" w:rsidRPr="0001496F">
        <w:rPr>
          <w:rFonts w:ascii="Times New Roman" w:hAnsi="Times New Roman" w:cs="Times New Roman"/>
        </w:rPr>
        <w:t xml:space="preserve"> du gouvernement de 2001</w:t>
      </w:r>
      <w:r w:rsidRPr="0001496F">
        <w:rPr>
          <w:rFonts w:ascii="Times New Roman" w:hAnsi="Times New Roman" w:cs="Times New Roman"/>
        </w:rPr>
        <w:t>, on y retrouve les deux modifications évoquées ci-dessus. Quelques jours plus tard, le 6 novembre 2003, une proposition</w:t>
      </w:r>
      <w:r w:rsidR="008C2C7C" w:rsidRPr="0001496F">
        <w:rPr>
          <w:rFonts w:ascii="Times New Roman" w:hAnsi="Times New Roman" w:cs="Times New Roman"/>
        </w:rPr>
        <w:t xml:space="preserve"> de loi</w:t>
      </w:r>
      <w:r w:rsidRPr="0001496F">
        <w:rPr>
          <w:rFonts w:ascii="Times New Roman" w:hAnsi="Times New Roman" w:cs="Times New Roman"/>
        </w:rPr>
        <w:t xml:space="preserve"> « instaurant un régime pour les collaborateurs de justice » est introduit</w:t>
      </w:r>
      <w:r w:rsidR="00974574" w:rsidRPr="0001496F">
        <w:rPr>
          <w:rFonts w:ascii="Times New Roman" w:hAnsi="Times New Roman" w:cs="Times New Roman"/>
        </w:rPr>
        <w:t>e par M</w:t>
      </w:r>
      <w:r w:rsidRPr="0001496F">
        <w:rPr>
          <w:rFonts w:ascii="Times New Roman" w:hAnsi="Times New Roman" w:cs="Times New Roman"/>
        </w:rPr>
        <w:t xml:space="preserve">. Taelman, </w:t>
      </w:r>
      <w:r w:rsidR="00974574" w:rsidRPr="0001496F">
        <w:rPr>
          <w:rFonts w:ascii="Times New Roman" w:hAnsi="Times New Roman" w:cs="Times New Roman"/>
        </w:rPr>
        <w:t xml:space="preserve">F. </w:t>
      </w:r>
      <w:r w:rsidRPr="0001496F">
        <w:rPr>
          <w:rFonts w:ascii="Times New Roman" w:hAnsi="Times New Roman" w:cs="Times New Roman"/>
        </w:rPr>
        <w:t xml:space="preserve">Borginon et </w:t>
      </w:r>
      <w:r w:rsidR="00974574" w:rsidRPr="0001496F">
        <w:rPr>
          <w:rFonts w:ascii="Times New Roman" w:hAnsi="Times New Roman" w:cs="Times New Roman"/>
        </w:rPr>
        <w:t xml:space="preserve">C. </w:t>
      </w:r>
      <w:r w:rsidRPr="0001496F">
        <w:rPr>
          <w:rFonts w:ascii="Times New Roman" w:hAnsi="Times New Roman" w:cs="Times New Roman"/>
        </w:rPr>
        <w:t>Marinowe</w:t>
      </w:r>
      <w:r w:rsidRPr="0001496F">
        <w:rPr>
          <w:rStyle w:val="Appelnotedebasdep"/>
          <w:rFonts w:ascii="Times New Roman" w:hAnsi="Times New Roman" w:cs="Times New Roman"/>
          <w:smallCaps/>
        </w:rPr>
        <w:footnoteReference w:id="63"/>
      </w:r>
      <w:r w:rsidRPr="0001496F">
        <w:rPr>
          <w:rFonts w:ascii="Times New Roman" w:hAnsi="Times New Roman" w:cs="Times New Roman"/>
        </w:rPr>
        <w:t xml:space="preserve">. </w:t>
      </w:r>
      <w:r w:rsidR="00A05F67" w:rsidRPr="0001496F">
        <w:rPr>
          <w:rFonts w:ascii="Times New Roman" w:hAnsi="Times New Roman" w:cs="Times New Roman"/>
        </w:rPr>
        <w:t>À</w:t>
      </w:r>
      <w:r w:rsidRPr="0001496F">
        <w:rPr>
          <w:rFonts w:ascii="Times New Roman" w:hAnsi="Times New Roman" w:cs="Times New Roman"/>
        </w:rPr>
        <w:t xml:space="preserve"> la différence des deux propositions précédentes, le texte ramène le champ d’application matériel du régime des collaborateurs aux infractions prévues à l’article 324</w:t>
      </w:r>
      <w:r w:rsidRPr="0001496F">
        <w:rPr>
          <w:rFonts w:ascii="Times New Roman" w:hAnsi="Times New Roman" w:cs="Times New Roman"/>
          <w:i/>
        </w:rPr>
        <w:t>bis</w:t>
      </w:r>
      <w:r w:rsidRPr="0001496F">
        <w:rPr>
          <w:rFonts w:ascii="Times New Roman" w:hAnsi="Times New Roman" w:cs="Times New Roman"/>
        </w:rPr>
        <w:t xml:space="preserve"> du Code pénal et aux infractions prévues aux articles 136</w:t>
      </w:r>
      <w:r w:rsidRPr="0001496F">
        <w:rPr>
          <w:rFonts w:ascii="Times New Roman" w:hAnsi="Times New Roman" w:cs="Times New Roman"/>
          <w:i/>
        </w:rPr>
        <w:t>bis</w:t>
      </w:r>
      <w:r w:rsidRPr="0001496F">
        <w:rPr>
          <w:rFonts w:ascii="Times New Roman" w:hAnsi="Times New Roman" w:cs="Times New Roman"/>
        </w:rPr>
        <w:t>, 136</w:t>
      </w:r>
      <w:r w:rsidRPr="0001496F">
        <w:rPr>
          <w:rFonts w:ascii="Times New Roman" w:hAnsi="Times New Roman" w:cs="Times New Roman"/>
          <w:i/>
        </w:rPr>
        <w:t>ter</w:t>
      </w:r>
      <w:r w:rsidRPr="0001496F">
        <w:rPr>
          <w:rFonts w:ascii="Times New Roman" w:hAnsi="Times New Roman" w:cs="Times New Roman"/>
        </w:rPr>
        <w:t xml:space="preserve"> et 136</w:t>
      </w:r>
      <w:r w:rsidRPr="0001496F">
        <w:rPr>
          <w:rFonts w:ascii="Times New Roman" w:hAnsi="Times New Roman" w:cs="Times New Roman"/>
          <w:i/>
        </w:rPr>
        <w:t>quater</w:t>
      </w:r>
      <w:r w:rsidRPr="0001496F">
        <w:rPr>
          <w:rFonts w:ascii="Times New Roman" w:hAnsi="Times New Roman" w:cs="Times New Roman"/>
        </w:rPr>
        <w:t xml:space="preserve"> du Code pénal (crimes de droit inte</w:t>
      </w:r>
      <w:r w:rsidR="00974574" w:rsidRPr="0001496F">
        <w:rPr>
          <w:rFonts w:ascii="Times New Roman" w:hAnsi="Times New Roman" w:cs="Times New Roman"/>
        </w:rPr>
        <w:t>rnational humanitaire)</w:t>
      </w:r>
      <w:r w:rsidRPr="0001496F">
        <w:rPr>
          <w:rFonts w:ascii="Times New Roman" w:hAnsi="Times New Roman" w:cs="Times New Roman"/>
        </w:rPr>
        <w:t>. En outre, l’article 22 de l’</w:t>
      </w:r>
      <w:r w:rsidR="00272A08" w:rsidRPr="0001496F">
        <w:rPr>
          <w:rFonts w:ascii="Times New Roman" w:hAnsi="Times New Roman" w:cs="Times New Roman"/>
        </w:rPr>
        <w:t>avant-projet</w:t>
      </w:r>
      <w:r w:rsidRPr="0001496F">
        <w:rPr>
          <w:rFonts w:ascii="Times New Roman" w:hAnsi="Times New Roman" w:cs="Times New Roman"/>
        </w:rPr>
        <w:t xml:space="preserve"> initial (refus d’accorder l’anonymat aux collaborateurs de justice) est ici réintroduit.</w:t>
      </w:r>
      <w:r w:rsidR="00B073BA" w:rsidRPr="0001496F">
        <w:rPr>
          <w:rFonts w:ascii="Times New Roman" w:hAnsi="Times New Roman" w:cs="Times New Roman"/>
        </w:rPr>
        <w:t xml:space="preserve"> </w:t>
      </w:r>
    </w:p>
    <w:p w14:paraId="1A6ADFD4" w14:textId="77777777" w:rsidR="00C27F05" w:rsidRPr="0001496F" w:rsidRDefault="00C27F05" w:rsidP="0001496F">
      <w:pPr>
        <w:jc w:val="both"/>
        <w:rPr>
          <w:rFonts w:ascii="Times New Roman" w:hAnsi="Times New Roman" w:cs="Times New Roman"/>
        </w:rPr>
      </w:pPr>
    </w:p>
    <w:p w14:paraId="11199259" w14:textId="2509F2F4" w:rsidR="00C27F05" w:rsidRPr="0001496F" w:rsidRDefault="00C27F05" w:rsidP="0001496F">
      <w:pPr>
        <w:jc w:val="both"/>
        <w:rPr>
          <w:rFonts w:ascii="Times New Roman" w:hAnsi="Times New Roman" w:cs="Times New Roman"/>
        </w:rPr>
      </w:pPr>
      <w:r w:rsidRPr="0001496F">
        <w:rPr>
          <w:rFonts w:ascii="Times New Roman" w:hAnsi="Times New Roman" w:cs="Times New Roman"/>
        </w:rPr>
        <w:t>Le 16 janvier 2008, une nouvelle proposition de loi instaurant le régi</w:t>
      </w:r>
      <w:r w:rsidR="00ED3F79" w:rsidRPr="0001496F">
        <w:rPr>
          <w:rFonts w:ascii="Times New Roman" w:hAnsi="Times New Roman" w:cs="Times New Roman"/>
        </w:rPr>
        <w:t>me des repentis est déposé</w:t>
      </w:r>
      <w:r w:rsidR="00BC11B9" w:rsidRPr="0001496F">
        <w:rPr>
          <w:rFonts w:ascii="Times New Roman" w:hAnsi="Times New Roman" w:cs="Times New Roman"/>
        </w:rPr>
        <w:t xml:space="preserve">e </w:t>
      </w:r>
      <w:r w:rsidR="00ED3F79" w:rsidRPr="0001496F">
        <w:rPr>
          <w:rFonts w:ascii="Times New Roman" w:hAnsi="Times New Roman" w:cs="Times New Roman"/>
        </w:rPr>
        <w:t>par S</w:t>
      </w:r>
      <w:r w:rsidRPr="0001496F">
        <w:rPr>
          <w:rFonts w:ascii="Times New Roman" w:hAnsi="Times New Roman" w:cs="Times New Roman"/>
        </w:rPr>
        <w:t>. Verhestraeten et consorts. On y retrouve le souci de réserver le champ d’application du régime aux infractions visées à l’article 90</w:t>
      </w:r>
      <w:r w:rsidRPr="0001496F">
        <w:rPr>
          <w:rFonts w:ascii="Times New Roman" w:hAnsi="Times New Roman" w:cs="Times New Roman"/>
          <w:i/>
        </w:rPr>
        <w:t>ter</w:t>
      </w:r>
      <w:r w:rsidR="008C2C7C" w:rsidRPr="0001496F">
        <w:rPr>
          <w:rFonts w:ascii="Times New Roman" w:hAnsi="Times New Roman" w:cs="Times New Roman"/>
        </w:rPr>
        <w:t>, §2 à</w:t>
      </w:r>
      <w:r w:rsidRPr="0001496F">
        <w:rPr>
          <w:rFonts w:ascii="Times New Roman" w:hAnsi="Times New Roman" w:cs="Times New Roman"/>
        </w:rPr>
        <w:t xml:space="preserve"> 4 du Code d’i</w:t>
      </w:r>
      <w:r w:rsidR="006B705F" w:rsidRPr="0001496F">
        <w:rPr>
          <w:rFonts w:ascii="Times New Roman" w:hAnsi="Times New Roman" w:cs="Times New Roman"/>
        </w:rPr>
        <w:t>nstruction criminelle</w:t>
      </w:r>
      <w:r w:rsidRPr="0001496F">
        <w:rPr>
          <w:rFonts w:ascii="Times New Roman" w:hAnsi="Times New Roman" w:cs="Times New Roman"/>
        </w:rPr>
        <w:t xml:space="preserve"> et à </w:t>
      </w:r>
      <w:r w:rsidRPr="0001496F">
        <w:rPr>
          <w:rFonts w:ascii="Times New Roman" w:hAnsi="Times New Roman" w:cs="Times New Roman"/>
        </w:rPr>
        <w:lastRenderedPageBreak/>
        <w:t>l’article 324</w:t>
      </w:r>
      <w:r w:rsidRPr="0001496F">
        <w:rPr>
          <w:rFonts w:ascii="Times New Roman" w:hAnsi="Times New Roman" w:cs="Times New Roman"/>
          <w:i/>
        </w:rPr>
        <w:t>bis</w:t>
      </w:r>
      <w:r w:rsidR="0084114B" w:rsidRPr="0001496F">
        <w:rPr>
          <w:rFonts w:ascii="Times New Roman" w:hAnsi="Times New Roman" w:cs="Times New Roman"/>
        </w:rPr>
        <w:t xml:space="preserve"> du Code pénal. L</w:t>
      </w:r>
      <w:r w:rsidRPr="0001496F">
        <w:rPr>
          <w:rFonts w:ascii="Times New Roman" w:hAnsi="Times New Roman" w:cs="Times New Roman"/>
        </w:rPr>
        <w:t>’article 22 relatif au refus d’accorder l’anonymat aux collaborateurs de justice est également maintenu. Cette proposition de loi est redéposée le 27 juin 2011</w:t>
      </w:r>
      <w:r w:rsidRPr="0001496F">
        <w:rPr>
          <w:rStyle w:val="Appelnotedebasdep"/>
          <w:rFonts w:ascii="Times New Roman" w:hAnsi="Times New Roman" w:cs="Times New Roman"/>
        </w:rPr>
        <w:footnoteReference w:id="64"/>
      </w:r>
      <w:r w:rsidRPr="0001496F">
        <w:rPr>
          <w:rFonts w:ascii="Times New Roman" w:hAnsi="Times New Roman" w:cs="Times New Roman"/>
        </w:rPr>
        <w:t>. Enfin,</w:t>
      </w:r>
      <w:r w:rsidR="00B073BA" w:rsidRPr="0001496F">
        <w:rPr>
          <w:rFonts w:ascii="Times New Roman" w:hAnsi="Times New Roman" w:cs="Times New Roman"/>
        </w:rPr>
        <w:t xml:space="preserve"> </w:t>
      </w:r>
      <w:r w:rsidRPr="0001496F">
        <w:rPr>
          <w:rFonts w:ascii="Times New Roman" w:hAnsi="Times New Roman" w:cs="Times New Roman"/>
        </w:rPr>
        <w:t>le 17 novembre 2014, une nouvelle propo</w:t>
      </w:r>
      <w:r w:rsidR="00E176D4" w:rsidRPr="0001496F">
        <w:rPr>
          <w:rFonts w:ascii="Times New Roman" w:hAnsi="Times New Roman" w:cs="Times New Roman"/>
        </w:rPr>
        <w:t>sition de loi est déposée par S.</w:t>
      </w:r>
      <w:r w:rsidRPr="0001496F">
        <w:rPr>
          <w:rFonts w:ascii="Times New Roman" w:hAnsi="Times New Roman" w:cs="Times New Roman"/>
        </w:rPr>
        <w:t xml:space="preserve"> Becq, </w:t>
      </w:r>
      <w:r w:rsidR="00E176D4" w:rsidRPr="0001496F">
        <w:rPr>
          <w:rFonts w:ascii="Times New Roman" w:hAnsi="Times New Roman" w:cs="Times New Roman"/>
        </w:rPr>
        <w:t xml:space="preserve">S. </w:t>
      </w:r>
      <w:r w:rsidRPr="0001496F">
        <w:rPr>
          <w:rFonts w:ascii="Times New Roman" w:hAnsi="Times New Roman" w:cs="Times New Roman"/>
        </w:rPr>
        <w:t xml:space="preserve">Verherstraeten et </w:t>
      </w:r>
      <w:r w:rsidR="00E176D4" w:rsidRPr="0001496F">
        <w:rPr>
          <w:rFonts w:ascii="Times New Roman" w:hAnsi="Times New Roman" w:cs="Times New Roman"/>
        </w:rPr>
        <w:t xml:space="preserve">R. </w:t>
      </w:r>
      <w:r w:rsidRPr="0001496F">
        <w:rPr>
          <w:rFonts w:ascii="Times New Roman" w:hAnsi="Times New Roman" w:cs="Times New Roman"/>
        </w:rPr>
        <w:t>Terwingen</w:t>
      </w:r>
      <w:r w:rsidRPr="0001496F">
        <w:rPr>
          <w:rStyle w:val="Appelnotedebasdep"/>
          <w:rFonts w:ascii="Times New Roman" w:hAnsi="Times New Roman" w:cs="Times New Roman"/>
        </w:rPr>
        <w:footnoteReference w:id="65"/>
      </w:r>
      <w:r w:rsidRPr="0001496F">
        <w:rPr>
          <w:rFonts w:ascii="Times New Roman" w:hAnsi="Times New Roman" w:cs="Times New Roman"/>
        </w:rPr>
        <w:t xml:space="preserve">, avec un texte semblable à la proposition précédente. </w:t>
      </w:r>
    </w:p>
    <w:p w14:paraId="1D101B01" w14:textId="77777777" w:rsidR="00C27F05" w:rsidRPr="0001496F" w:rsidRDefault="00C27F05" w:rsidP="0001496F">
      <w:pPr>
        <w:jc w:val="both"/>
        <w:rPr>
          <w:rFonts w:ascii="Times New Roman" w:hAnsi="Times New Roman" w:cs="Times New Roman"/>
        </w:rPr>
      </w:pPr>
    </w:p>
    <w:p w14:paraId="5BDF6037" w14:textId="5C0D6DD7" w:rsidR="00AA578C" w:rsidRPr="0001496F" w:rsidRDefault="00AA578C" w:rsidP="0001496F">
      <w:pPr>
        <w:jc w:val="both"/>
        <w:rPr>
          <w:rFonts w:ascii="Times New Roman" w:hAnsi="Times New Roman" w:cs="Times New Roman"/>
        </w:rPr>
      </w:pPr>
      <w:r w:rsidRPr="0001496F">
        <w:rPr>
          <w:rFonts w:ascii="Times New Roman" w:hAnsi="Times New Roman" w:cs="Times New Roman"/>
        </w:rPr>
        <w:t xml:space="preserve">Signalons enfin, lors de la transposition de la décision-cadre </w:t>
      </w:r>
      <w:r w:rsidR="005413ED" w:rsidRPr="0001496F">
        <w:rPr>
          <w:rFonts w:ascii="Times New Roman" w:hAnsi="Times New Roman" w:cs="Times New Roman"/>
        </w:rPr>
        <w:t xml:space="preserve">2002/475/JAI </w:t>
      </w:r>
      <w:r w:rsidRPr="0001496F">
        <w:rPr>
          <w:rFonts w:ascii="Times New Roman" w:hAnsi="Times New Roman" w:cs="Times New Roman"/>
        </w:rPr>
        <w:t xml:space="preserve">du 13 </w:t>
      </w:r>
      <w:r w:rsidR="005413ED" w:rsidRPr="0001496F">
        <w:rPr>
          <w:rFonts w:ascii="Times New Roman" w:hAnsi="Times New Roman" w:cs="Times New Roman"/>
        </w:rPr>
        <w:t>juin</w:t>
      </w:r>
      <w:r w:rsidRPr="0001496F">
        <w:rPr>
          <w:rFonts w:ascii="Times New Roman" w:hAnsi="Times New Roman" w:cs="Times New Roman"/>
        </w:rPr>
        <w:t xml:space="preserve"> 2002</w:t>
      </w:r>
      <w:r w:rsidR="005413ED" w:rsidRPr="0001496F">
        <w:rPr>
          <w:rFonts w:ascii="Times New Roman" w:hAnsi="Times New Roman" w:cs="Times New Roman"/>
        </w:rPr>
        <w:t xml:space="preserve"> </w:t>
      </w:r>
      <w:r w:rsidRPr="0001496F">
        <w:rPr>
          <w:rFonts w:ascii="Times New Roman" w:hAnsi="Times New Roman" w:cs="Times New Roman"/>
        </w:rPr>
        <w:t xml:space="preserve">par la loi du </w:t>
      </w:r>
      <w:r w:rsidR="00E03267" w:rsidRPr="0001496F">
        <w:rPr>
          <w:rFonts w:ascii="Times New Roman" w:hAnsi="Times New Roman" w:cs="Times New Roman"/>
        </w:rPr>
        <w:t>1</w:t>
      </w:r>
      <w:r w:rsidRPr="0001496F">
        <w:rPr>
          <w:rFonts w:ascii="Times New Roman" w:hAnsi="Times New Roman" w:cs="Times New Roman"/>
        </w:rPr>
        <w:t>9 décembre 2003 relative aux infractions terroristes</w:t>
      </w:r>
      <w:r w:rsidR="00E03267" w:rsidRPr="0001496F">
        <w:rPr>
          <w:rStyle w:val="Appelnotedebasdep"/>
          <w:rFonts w:ascii="Times New Roman" w:hAnsi="Times New Roman" w:cs="Times New Roman"/>
        </w:rPr>
        <w:footnoteReference w:id="66"/>
      </w:r>
      <w:r w:rsidR="00C42C7B" w:rsidRPr="0001496F">
        <w:rPr>
          <w:rFonts w:ascii="Times New Roman" w:hAnsi="Times New Roman" w:cs="Times New Roman"/>
        </w:rPr>
        <w:t>, la proposition</w:t>
      </w:r>
      <w:r w:rsidR="005413ED" w:rsidRPr="0001496F">
        <w:rPr>
          <w:rFonts w:ascii="Times New Roman" w:hAnsi="Times New Roman" w:cs="Times New Roman"/>
        </w:rPr>
        <w:t xml:space="preserve"> </w:t>
      </w:r>
      <w:r w:rsidR="00E03267" w:rsidRPr="0001496F">
        <w:rPr>
          <w:rFonts w:ascii="Times New Roman" w:hAnsi="Times New Roman" w:cs="Times New Roman"/>
        </w:rPr>
        <w:t>– non concrétisé</w:t>
      </w:r>
      <w:r w:rsidR="00C42C7B" w:rsidRPr="0001496F">
        <w:rPr>
          <w:rFonts w:ascii="Times New Roman" w:hAnsi="Times New Roman" w:cs="Times New Roman"/>
        </w:rPr>
        <w:t>e</w:t>
      </w:r>
      <w:r w:rsidR="005413ED" w:rsidRPr="0001496F">
        <w:rPr>
          <w:rFonts w:ascii="Times New Roman" w:hAnsi="Times New Roman" w:cs="Times New Roman"/>
        </w:rPr>
        <w:t xml:space="preserve"> </w:t>
      </w:r>
      <w:r w:rsidR="00E03267" w:rsidRPr="0001496F">
        <w:rPr>
          <w:rFonts w:ascii="Times New Roman" w:hAnsi="Times New Roman" w:cs="Times New Roman"/>
        </w:rPr>
        <w:t xml:space="preserve">– </w:t>
      </w:r>
      <w:r w:rsidR="005413ED" w:rsidRPr="0001496F">
        <w:rPr>
          <w:rFonts w:ascii="Times New Roman" w:hAnsi="Times New Roman" w:cs="Times New Roman"/>
        </w:rPr>
        <w:t xml:space="preserve">de certains parlementaires </w:t>
      </w:r>
      <w:r w:rsidR="00E03267" w:rsidRPr="0001496F">
        <w:rPr>
          <w:rFonts w:ascii="Times New Roman" w:hAnsi="Times New Roman" w:cs="Times New Roman"/>
        </w:rPr>
        <w:t>de prévoir une circonstance atténuante de dénonciation spécifique pour les infractions terroristes</w:t>
      </w:r>
      <w:r w:rsidR="00E03267" w:rsidRPr="0001496F">
        <w:rPr>
          <w:rStyle w:val="Appelnotedebasdep"/>
          <w:rFonts w:ascii="Times New Roman" w:hAnsi="Times New Roman" w:cs="Times New Roman"/>
        </w:rPr>
        <w:footnoteReference w:id="67"/>
      </w:r>
      <w:r w:rsidR="00E03267" w:rsidRPr="0001496F">
        <w:rPr>
          <w:rFonts w:ascii="Times New Roman" w:hAnsi="Times New Roman" w:cs="Times New Roman"/>
        </w:rPr>
        <w:t>.</w:t>
      </w:r>
      <w:r w:rsidRPr="0001496F">
        <w:rPr>
          <w:rFonts w:ascii="Times New Roman" w:hAnsi="Times New Roman" w:cs="Times New Roman"/>
        </w:rPr>
        <w:t xml:space="preserve"> </w:t>
      </w:r>
    </w:p>
    <w:p w14:paraId="237AF7BF" w14:textId="77777777" w:rsidR="00AA578C" w:rsidRPr="0001496F" w:rsidRDefault="00AA578C" w:rsidP="0001496F">
      <w:pPr>
        <w:jc w:val="both"/>
        <w:rPr>
          <w:rFonts w:ascii="Times New Roman" w:hAnsi="Times New Roman" w:cs="Times New Roman"/>
        </w:rPr>
      </w:pPr>
    </w:p>
    <w:p w14:paraId="456AB357" w14:textId="78F9E09F" w:rsidR="00187254" w:rsidRPr="0001496F" w:rsidRDefault="00187254" w:rsidP="0001496F">
      <w:pPr>
        <w:jc w:val="both"/>
        <w:rPr>
          <w:rFonts w:ascii="Times New Roman" w:hAnsi="Times New Roman" w:cs="Times New Roman"/>
        </w:rPr>
      </w:pPr>
      <w:r w:rsidRPr="0001496F">
        <w:rPr>
          <w:rFonts w:ascii="Times New Roman" w:hAnsi="Times New Roman" w:cs="Times New Roman"/>
        </w:rPr>
        <w:t>1.1.4.2 Un coup de pouce des autorités judiciaires</w:t>
      </w:r>
    </w:p>
    <w:p w14:paraId="1DEB972F" w14:textId="77777777" w:rsidR="00187254" w:rsidRPr="0001496F" w:rsidRDefault="00187254" w:rsidP="0001496F">
      <w:pPr>
        <w:jc w:val="both"/>
        <w:rPr>
          <w:rFonts w:ascii="Times New Roman" w:hAnsi="Times New Roman" w:cs="Times New Roman"/>
        </w:rPr>
      </w:pPr>
    </w:p>
    <w:p w14:paraId="728BF7DF" w14:textId="77777777" w:rsidR="006B705F" w:rsidRPr="0001496F" w:rsidRDefault="00C27F05" w:rsidP="0001496F">
      <w:pPr>
        <w:jc w:val="both"/>
        <w:rPr>
          <w:rFonts w:ascii="Times New Roman" w:hAnsi="Times New Roman" w:cs="Times New Roman"/>
        </w:rPr>
      </w:pPr>
      <w:r w:rsidRPr="0001496F">
        <w:rPr>
          <w:rFonts w:ascii="Times New Roman" w:hAnsi="Times New Roman" w:cs="Times New Roman"/>
        </w:rPr>
        <w:t>La même année, dans une mercuriale prononcée à l’occasion de la rentrée solennelle de la Cour d’Appel de Liège le 1</w:t>
      </w:r>
      <w:r w:rsidRPr="0001496F">
        <w:rPr>
          <w:rFonts w:ascii="Times New Roman" w:hAnsi="Times New Roman" w:cs="Times New Roman"/>
          <w:vertAlign w:val="superscript"/>
        </w:rPr>
        <w:t>er</w:t>
      </w:r>
      <w:r w:rsidRPr="0001496F">
        <w:rPr>
          <w:rFonts w:ascii="Times New Roman" w:hAnsi="Times New Roman" w:cs="Times New Roman"/>
        </w:rPr>
        <w:t xml:space="preserve"> septe</w:t>
      </w:r>
      <w:r w:rsidR="00C838F9" w:rsidRPr="0001496F">
        <w:rPr>
          <w:rFonts w:ascii="Times New Roman" w:hAnsi="Times New Roman" w:cs="Times New Roman"/>
        </w:rPr>
        <w:t>mbre 2014, le p</w:t>
      </w:r>
      <w:r w:rsidR="00E176D4" w:rsidRPr="0001496F">
        <w:rPr>
          <w:rFonts w:ascii="Times New Roman" w:hAnsi="Times New Roman" w:cs="Times New Roman"/>
        </w:rPr>
        <w:t xml:space="preserve">rocureur général Ch. </w:t>
      </w:r>
      <w:r w:rsidRPr="0001496F">
        <w:rPr>
          <w:rFonts w:ascii="Times New Roman" w:hAnsi="Times New Roman" w:cs="Times New Roman"/>
        </w:rPr>
        <w:t>De Valkeneer</w:t>
      </w:r>
      <w:r w:rsidRPr="0001496F">
        <w:rPr>
          <w:rFonts w:ascii="Times New Roman" w:hAnsi="Times New Roman" w:cs="Times New Roman"/>
          <w:smallCaps/>
        </w:rPr>
        <w:t xml:space="preserve"> </w:t>
      </w:r>
      <w:r w:rsidRPr="0001496F">
        <w:rPr>
          <w:rFonts w:ascii="Times New Roman" w:hAnsi="Times New Roman" w:cs="Times New Roman"/>
        </w:rPr>
        <w:t>lan</w:t>
      </w:r>
      <w:r w:rsidR="003D5BC5" w:rsidRPr="0001496F">
        <w:rPr>
          <w:rFonts w:ascii="Times New Roman" w:hAnsi="Times New Roman" w:cs="Times New Roman"/>
        </w:rPr>
        <w:t>c</w:t>
      </w:r>
      <w:r w:rsidR="0084114B" w:rsidRPr="0001496F">
        <w:rPr>
          <w:rFonts w:ascii="Times New Roman" w:hAnsi="Times New Roman" w:cs="Times New Roman"/>
        </w:rPr>
        <w:t>e</w:t>
      </w:r>
      <w:r w:rsidRPr="0001496F">
        <w:rPr>
          <w:rFonts w:ascii="Times New Roman" w:hAnsi="Times New Roman" w:cs="Times New Roman"/>
        </w:rPr>
        <w:t xml:space="preserve">, </w:t>
      </w:r>
      <w:r w:rsidR="0084114B" w:rsidRPr="0001496F">
        <w:rPr>
          <w:rFonts w:ascii="Times New Roman" w:hAnsi="Times New Roman" w:cs="Times New Roman"/>
        </w:rPr>
        <w:t>comme</w:t>
      </w:r>
      <w:r w:rsidRPr="0001496F">
        <w:rPr>
          <w:rFonts w:ascii="Times New Roman" w:hAnsi="Times New Roman" w:cs="Times New Roman"/>
        </w:rPr>
        <w:t xml:space="preserve"> son collègue de Bruxelles, J. Delmulle, un plaidoyer pour l’adoption d’une loi régissant le régime des repentis ou collaborateurs de justice. </w:t>
      </w:r>
      <w:r w:rsidR="00C838F9" w:rsidRPr="0001496F">
        <w:rPr>
          <w:rFonts w:ascii="Times New Roman" w:hAnsi="Times New Roman" w:cs="Times New Roman"/>
        </w:rPr>
        <w:t>Le p</w:t>
      </w:r>
      <w:r w:rsidR="0084114B" w:rsidRPr="0001496F">
        <w:rPr>
          <w:rFonts w:ascii="Times New Roman" w:hAnsi="Times New Roman" w:cs="Times New Roman"/>
        </w:rPr>
        <w:t>rocureur général m</w:t>
      </w:r>
      <w:r w:rsidRPr="0001496F">
        <w:rPr>
          <w:rFonts w:ascii="Times New Roman" w:hAnsi="Times New Roman" w:cs="Times New Roman"/>
        </w:rPr>
        <w:t>arqu</w:t>
      </w:r>
      <w:r w:rsidR="0084114B" w:rsidRPr="0001496F">
        <w:rPr>
          <w:rFonts w:ascii="Times New Roman" w:hAnsi="Times New Roman" w:cs="Times New Roman"/>
        </w:rPr>
        <w:t>e</w:t>
      </w:r>
      <w:r w:rsidRPr="0001496F">
        <w:rPr>
          <w:rFonts w:ascii="Times New Roman" w:hAnsi="Times New Roman" w:cs="Times New Roman"/>
        </w:rPr>
        <w:t xml:space="preserve"> sa préférence pour le terme de «</w:t>
      </w:r>
      <w:r w:rsidR="00B073BA" w:rsidRPr="0001496F">
        <w:rPr>
          <w:rFonts w:ascii="Times New Roman" w:hAnsi="Times New Roman" w:cs="Times New Roman"/>
        </w:rPr>
        <w:t xml:space="preserve"> </w:t>
      </w:r>
      <w:r w:rsidRPr="0001496F">
        <w:rPr>
          <w:rFonts w:ascii="Times New Roman" w:hAnsi="Times New Roman" w:cs="Times New Roman"/>
        </w:rPr>
        <w:t xml:space="preserve">collaborateur de justice » plutôt que </w:t>
      </w:r>
      <w:r w:rsidR="0084114B" w:rsidRPr="0001496F">
        <w:rPr>
          <w:rFonts w:ascii="Times New Roman" w:hAnsi="Times New Roman" w:cs="Times New Roman"/>
        </w:rPr>
        <w:t xml:space="preserve">pour celui de « repenti », </w:t>
      </w:r>
      <w:r w:rsidRPr="0001496F">
        <w:rPr>
          <w:rFonts w:ascii="Times New Roman" w:hAnsi="Times New Roman" w:cs="Times New Roman"/>
        </w:rPr>
        <w:t>en raison de la dimension de « regret » ou de « rachat » qu’évoque le deuxième terme alors qu’il s’agit ici plus d’un échange d’avantages réciproques au terme d’une forme de transaction</w:t>
      </w:r>
      <w:r w:rsidRPr="0001496F">
        <w:rPr>
          <w:rStyle w:val="Appelnotedebasdep"/>
          <w:rFonts w:ascii="Times New Roman" w:hAnsi="Times New Roman" w:cs="Times New Roman"/>
        </w:rPr>
        <w:footnoteReference w:id="68"/>
      </w:r>
      <w:r w:rsidR="0084114B" w:rsidRPr="0001496F">
        <w:rPr>
          <w:rFonts w:ascii="Times New Roman" w:hAnsi="Times New Roman" w:cs="Times New Roman"/>
        </w:rPr>
        <w:t>.</w:t>
      </w:r>
      <w:r w:rsidRPr="0001496F">
        <w:rPr>
          <w:rFonts w:ascii="Times New Roman" w:hAnsi="Times New Roman" w:cs="Times New Roman"/>
        </w:rPr>
        <w:t xml:space="preserve"> </w:t>
      </w:r>
    </w:p>
    <w:p w14:paraId="6D13DDBA" w14:textId="77777777" w:rsidR="006B705F" w:rsidRPr="0001496F" w:rsidRDefault="006B705F" w:rsidP="0001496F">
      <w:pPr>
        <w:jc w:val="both"/>
        <w:rPr>
          <w:rFonts w:ascii="Times New Roman" w:hAnsi="Times New Roman" w:cs="Times New Roman"/>
        </w:rPr>
      </w:pPr>
    </w:p>
    <w:p w14:paraId="0DE8B176" w14:textId="28024B63" w:rsidR="00C27F05" w:rsidRPr="0001496F" w:rsidRDefault="006B705F" w:rsidP="0001496F">
      <w:pPr>
        <w:jc w:val="both"/>
        <w:rPr>
          <w:rFonts w:ascii="Times New Roman" w:hAnsi="Times New Roman" w:cs="Times New Roman"/>
        </w:rPr>
      </w:pPr>
      <w:r w:rsidRPr="0001496F">
        <w:rPr>
          <w:rFonts w:ascii="Times New Roman" w:hAnsi="Times New Roman" w:cs="Times New Roman"/>
        </w:rPr>
        <w:t>Il</w:t>
      </w:r>
      <w:r w:rsidR="00C27F05" w:rsidRPr="0001496F">
        <w:rPr>
          <w:rFonts w:ascii="Times New Roman" w:hAnsi="Times New Roman" w:cs="Times New Roman"/>
        </w:rPr>
        <w:t xml:space="preserve"> souligne que la Cour européenne des droits de l’hom</w:t>
      </w:r>
      <w:r w:rsidRPr="0001496F">
        <w:rPr>
          <w:rFonts w:ascii="Times New Roman" w:hAnsi="Times New Roman" w:cs="Times New Roman"/>
        </w:rPr>
        <w:t>m</w:t>
      </w:r>
      <w:r w:rsidR="00C27F05" w:rsidRPr="0001496F">
        <w:rPr>
          <w:rFonts w:ascii="Times New Roman" w:hAnsi="Times New Roman" w:cs="Times New Roman"/>
        </w:rPr>
        <w:t>e n’est pas opposée à l’adoption d’un tel système dans la lutte contre la criminalité grave, même si la Cour souligne le risque d’une atteinte au caractère équitable de la procédure, dès lors qu’existe une possibilité de manipulation du témoignage dans le chef d’un « repenti » intéressé surtout par les avantages qu’il peut retirer du dispositif</w:t>
      </w:r>
      <w:r w:rsidR="00B073BA" w:rsidRPr="0001496F">
        <w:rPr>
          <w:rFonts w:ascii="Times New Roman" w:hAnsi="Times New Roman" w:cs="Times New Roman"/>
        </w:rPr>
        <w:t xml:space="preserve"> </w:t>
      </w:r>
      <w:r w:rsidR="00C27F05" w:rsidRPr="0001496F">
        <w:rPr>
          <w:rFonts w:ascii="Times New Roman" w:hAnsi="Times New Roman" w:cs="Times New Roman"/>
        </w:rPr>
        <w:t>ou motivé par un esprit de revanche</w:t>
      </w:r>
      <w:r w:rsidR="00C27F05" w:rsidRPr="0001496F">
        <w:rPr>
          <w:rStyle w:val="Appelnotedebasdep"/>
          <w:rFonts w:ascii="Times New Roman" w:hAnsi="Times New Roman" w:cs="Times New Roman"/>
        </w:rPr>
        <w:footnoteReference w:id="69"/>
      </w:r>
      <w:r w:rsidR="00C27F05" w:rsidRPr="0001496F">
        <w:rPr>
          <w:rFonts w:ascii="Times New Roman" w:hAnsi="Times New Roman" w:cs="Times New Roman"/>
        </w:rPr>
        <w:t xml:space="preserve">. </w:t>
      </w:r>
      <w:r w:rsidR="0084114B" w:rsidRPr="0001496F">
        <w:rPr>
          <w:rFonts w:ascii="Times New Roman" w:hAnsi="Times New Roman" w:cs="Times New Roman"/>
        </w:rPr>
        <w:t>Mais, d</w:t>
      </w:r>
      <w:r w:rsidR="00C27F05" w:rsidRPr="0001496F">
        <w:rPr>
          <w:rFonts w:ascii="Times New Roman" w:hAnsi="Times New Roman" w:cs="Times New Roman"/>
        </w:rPr>
        <w:t>ès lors qu’une garantie de transparence est assurée et que le témoignage du collaborateur de justice est corroboré par d’autres éléments de preuve, la jurisprudence de la Cour semble accepter le système dans son principe</w:t>
      </w:r>
      <w:r w:rsidR="00C27F05" w:rsidRPr="0001496F">
        <w:rPr>
          <w:rStyle w:val="Appelnotedebasdep"/>
          <w:rFonts w:ascii="Times New Roman" w:hAnsi="Times New Roman" w:cs="Times New Roman"/>
        </w:rPr>
        <w:footnoteReference w:id="70"/>
      </w:r>
      <w:r w:rsidR="00C27F05" w:rsidRPr="0001496F">
        <w:rPr>
          <w:rFonts w:ascii="Times New Roman" w:hAnsi="Times New Roman" w:cs="Times New Roman"/>
        </w:rPr>
        <w:t>. S’il reconnaît que le recours au procédé peut po</w:t>
      </w:r>
      <w:r w:rsidR="00C838F9" w:rsidRPr="0001496F">
        <w:rPr>
          <w:rFonts w:ascii="Times New Roman" w:hAnsi="Times New Roman" w:cs="Times New Roman"/>
        </w:rPr>
        <w:t>ser des questions éthiques, le p</w:t>
      </w:r>
      <w:r w:rsidR="00C27F05" w:rsidRPr="0001496F">
        <w:rPr>
          <w:rFonts w:ascii="Times New Roman" w:hAnsi="Times New Roman" w:cs="Times New Roman"/>
        </w:rPr>
        <w:t xml:space="preserve">rocureur général estime toutefois que « la défense des fondements sociétaux » mis en danger par l’infraction justifie ici le recours à une forme « d’état de nécessité a </w:t>
      </w:r>
      <w:r w:rsidR="00C27F05" w:rsidRPr="0001496F">
        <w:rPr>
          <w:rFonts w:ascii="Times New Roman" w:hAnsi="Times New Roman" w:cs="Times New Roman"/>
          <w:i/>
        </w:rPr>
        <w:t>posteriori</w:t>
      </w:r>
      <w:r w:rsidR="00C27F05" w:rsidRPr="0001496F">
        <w:rPr>
          <w:rFonts w:ascii="Times New Roman" w:hAnsi="Times New Roman" w:cs="Times New Roman"/>
        </w:rPr>
        <w:t> », pour autant que soi</w:t>
      </w:r>
      <w:r w:rsidR="004954BE" w:rsidRPr="0001496F">
        <w:rPr>
          <w:rFonts w:ascii="Times New Roman" w:hAnsi="Times New Roman" w:cs="Times New Roman"/>
        </w:rPr>
        <w:t>ent</w:t>
      </w:r>
      <w:r w:rsidR="00C27F05" w:rsidRPr="0001496F">
        <w:rPr>
          <w:rFonts w:ascii="Times New Roman" w:hAnsi="Times New Roman" w:cs="Times New Roman"/>
        </w:rPr>
        <w:t xml:space="preserve"> respecté</w:t>
      </w:r>
      <w:r w:rsidR="004954BE" w:rsidRPr="0001496F">
        <w:rPr>
          <w:rFonts w:ascii="Times New Roman" w:hAnsi="Times New Roman" w:cs="Times New Roman"/>
        </w:rPr>
        <w:t xml:space="preserve">s </w:t>
      </w:r>
      <w:r w:rsidR="00C27F05" w:rsidRPr="0001496F">
        <w:rPr>
          <w:rFonts w:ascii="Times New Roman" w:hAnsi="Times New Roman" w:cs="Times New Roman"/>
        </w:rPr>
        <w:t>un principe de transparence et un minimum légal de preuves empêchant de fonder une décision judiciaire sur le seul témoignage du repenti</w:t>
      </w:r>
      <w:r w:rsidR="00C27F05" w:rsidRPr="0001496F">
        <w:rPr>
          <w:rStyle w:val="Appelnotedebasdep"/>
          <w:rFonts w:ascii="Times New Roman" w:hAnsi="Times New Roman" w:cs="Times New Roman"/>
        </w:rPr>
        <w:footnoteReference w:id="71"/>
      </w:r>
      <w:r w:rsidR="00C27F05" w:rsidRPr="0001496F">
        <w:rPr>
          <w:rFonts w:ascii="Times New Roman" w:hAnsi="Times New Roman" w:cs="Times New Roman"/>
        </w:rPr>
        <w:t>.</w:t>
      </w:r>
    </w:p>
    <w:p w14:paraId="244B8BE6" w14:textId="77777777" w:rsidR="000C63D9" w:rsidRPr="0001496F" w:rsidRDefault="000C63D9" w:rsidP="0001496F">
      <w:pPr>
        <w:jc w:val="both"/>
        <w:rPr>
          <w:rFonts w:ascii="Times New Roman" w:hAnsi="Times New Roman" w:cs="Times New Roman"/>
        </w:rPr>
      </w:pPr>
    </w:p>
    <w:p w14:paraId="78EB9F43"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1. 2. L’évolution de la jurisprudence avant la loi de 2018</w:t>
      </w:r>
    </w:p>
    <w:p w14:paraId="0249B3EC" w14:textId="77777777" w:rsidR="000C63D9" w:rsidRPr="0001496F" w:rsidRDefault="000C63D9" w:rsidP="0001496F">
      <w:pPr>
        <w:jc w:val="both"/>
        <w:rPr>
          <w:rFonts w:ascii="Times New Roman" w:hAnsi="Times New Roman" w:cs="Times New Roman"/>
        </w:rPr>
      </w:pPr>
    </w:p>
    <w:p w14:paraId="60881702"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1.2.1. La jurisprudence sur la dénonciation comme cause d’excuse en matière de stupéfiants</w:t>
      </w:r>
    </w:p>
    <w:p w14:paraId="5FE7A35C" w14:textId="77777777" w:rsidR="000C63D9" w:rsidRPr="0001496F" w:rsidRDefault="000C63D9" w:rsidP="0001496F">
      <w:pPr>
        <w:jc w:val="both"/>
        <w:rPr>
          <w:rFonts w:ascii="Times New Roman" w:hAnsi="Times New Roman" w:cs="Times New Roman"/>
        </w:rPr>
      </w:pPr>
    </w:p>
    <w:p w14:paraId="5472E606" w14:textId="02923A61"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C’est essentiellement en matière de lutte contre le trafic de drogues qu’une forme de collaboration avec la justice a fait l’objet de décisions de jurisprudence. La loi du 9 juillet 1975 </w:t>
      </w:r>
      <w:r w:rsidRPr="0001496F">
        <w:rPr>
          <w:rFonts w:ascii="Times New Roman" w:hAnsi="Times New Roman" w:cs="Times New Roman"/>
        </w:rPr>
        <w:lastRenderedPageBreak/>
        <w:t>modifiant la loi du 24 février 1921 sur les drogues</w:t>
      </w:r>
      <w:r w:rsidRPr="0001496F">
        <w:rPr>
          <w:rStyle w:val="Appelnotedebasdep"/>
          <w:rFonts w:ascii="Times New Roman" w:hAnsi="Times New Roman" w:cs="Times New Roman"/>
        </w:rPr>
        <w:footnoteReference w:id="72"/>
      </w:r>
      <w:r w:rsidRPr="0001496F">
        <w:rPr>
          <w:rFonts w:ascii="Times New Roman" w:hAnsi="Times New Roman" w:cs="Times New Roman"/>
        </w:rPr>
        <w:t xml:space="preserve"> instaure en effet, une cause d’excuse, inspirée des articles 300 et 304 du Code pénal, visant non pas à empêcher la réalisation d’infractions futures mais bien à arrêter les auteurs et participants coupables d’infractions déjà consommées. En introduisant une cause d’excuse de dénonciation</w:t>
      </w:r>
      <w:r w:rsidR="003E0A03" w:rsidRPr="0001496F">
        <w:rPr>
          <w:rFonts w:ascii="Times New Roman" w:hAnsi="Times New Roman" w:cs="Times New Roman"/>
        </w:rPr>
        <w:t>, l’objectif des autorités est</w:t>
      </w:r>
      <w:r w:rsidRPr="0001496F">
        <w:rPr>
          <w:rFonts w:ascii="Times New Roman" w:hAnsi="Times New Roman" w:cs="Times New Roman"/>
        </w:rPr>
        <w:t xml:space="preserve"> clair : « en ce domaine où, l’expérience le prouve, les infractions les plus graves sont commises par des participants à des associations bien organisées (…), il fallait trouver un moyen efficace pour faciliter la découverte de tous les coupables »</w:t>
      </w:r>
      <w:r w:rsidRPr="0001496F">
        <w:rPr>
          <w:rStyle w:val="Appelnotedebasdep"/>
          <w:rFonts w:ascii="Times New Roman" w:hAnsi="Times New Roman" w:cs="Times New Roman"/>
        </w:rPr>
        <w:t xml:space="preserve"> </w:t>
      </w:r>
      <w:r w:rsidRPr="0001496F">
        <w:rPr>
          <w:rStyle w:val="Appelnotedebasdep"/>
          <w:rFonts w:ascii="Times New Roman" w:hAnsi="Times New Roman" w:cs="Times New Roman"/>
        </w:rPr>
        <w:footnoteReference w:id="73"/>
      </w:r>
      <w:r w:rsidRPr="0001496F">
        <w:rPr>
          <w:rFonts w:ascii="Times New Roman" w:hAnsi="Times New Roman" w:cs="Times New Roman"/>
        </w:rPr>
        <w:t xml:space="preserve">. </w:t>
      </w:r>
    </w:p>
    <w:p w14:paraId="56EF59B5" w14:textId="77777777" w:rsidR="000C63D9" w:rsidRPr="0001496F" w:rsidRDefault="000C63D9" w:rsidP="0001496F">
      <w:pPr>
        <w:jc w:val="both"/>
        <w:rPr>
          <w:rFonts w:ascii="Times New Roman" w:hAnsi="Times New Roman" w:cs="Times New Roman"/>
        </w:rPr>
      </w:pPr>
    </w:p>
    <w:p w14:paraId="37515350" w14:textId="26DBF60C" w:rsidR="000C63D9" w:rsidRPr="0001496F" w:rsidRDefault="000C63D9" w:rsidP="0001496F">
      <w:pPr>
        <w:jc w:val="both"/>
        <w:rPr>
          <w:rFonts w:ascii="Times New Roman" w:hAnsi="Times New Roman" w:cs="Times New Roman"/>
        </w:rPr>
      </w:pPr>
      <w:r w:rsidRPr="0001496F">
        <w:rPr>
          <w:rFonts w:ascii="Times New Roman" w:hAnsi="Times New Roman" w:cs="Times New Roman"/>
        </w:rPr>
        <w:t>Pour valoir comme cause d’excuse absolutoire ou atténuante, la dénonciation est soumise à plusieurs conditions</w:t>
      </w:r>
      <w:r w:rsidR="00C838F9" w:rsidRPr="0001496F">
        <w:rPr>
          <w:rStyle w:val="Appelnotedebasdep"/>
          <w:rFonts w:ascii="Times New Roman" w:hAnsi="Times New Roman" w:cs="Times New Roman"/>
        </w:rPr>
        <w:footnoteReference w:id="74"/>
      </w:r>
      <w:r w:rsidRPr="0001496F">
        <w:rPr>
          <w:rFonts w:ascii="Times New Roman" w:hAnsi="Times New Roman" w:cs="Times New Roman"/>
        </w:rPr>
        <w:t xml:space="preserve"> : </w:t>
      </w:r>
    </w:p>
    <w:p w14:paraId="3B34366D" w14:textId="77777777" w:rsidR="00C838F9" w:rsidRPr="0001496F" w:rsidRDefault="00C838F9" w:rsidP="0001496F">
      <w:pPr>
        <w:jc w:val="both"/>
        <w:rPr>
          <w:rFonts w:ascii="Times New Roman" w:hAnsi="Times New Roman" w:cs="Times New Roman"/>
        </w:rPr>
      </w:pPr>
    </w:p>
    <w:p w14:paraId="45F606BE" w14:textId="6E422414"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1°) la révélation faite aux autorités judiciaires doit porter sur </w:t>
      </w:r>
      <w:r w:rsidRPr="0001496F">
        <w:rPr>
          <w:rFonts w:ascii="Times New Roman" w:hAnsi="Times New Roman" w:cs="Times New Roman"/>
          <w:i/>
        </w:rPr>
        <w:t>l’identité des auteurs</w:t>
      </w:r>
      <w:r w:rsidRPr="0001496F">
        <w:rPr>
          <w:rFonts w:ascii="Times New Roman" w:hAnsi="Times New Roman" w:cs="Times New Roman"/>
        </w:rPr>
        <w:t xml:space="preserve"> des infractions excusables, soit, si ceux-ci ne sont pas connus, sur </w:t>
      </w:r>
      <w:r w:rsidRPr="0001496F">
        <w:rPr>
          <w:rFonts w:ascii="Times New Roman" w:hAnsi="Times New Roman" w:cs="Times New Roman"/>
          <w:i/>
        </w:rPr>
        <w:t>l’existence de ces infractions</w:t>
      </w:r>
      <w:r w:rsidRPr="0001496F">
        <w:rPr>
          <w:rFonts w:ascii="Times New Roman" w:hAnsi="Times New Roman" w:cs="Times New Roman"/>
        </w:rPr>
        <w:t xml:space="preserve"> (</w:t>
      </w:r>
      <w:r w:rsidR="00714DB9" w:rsidRPr="0001496F">
        <w:rPr>
          <w:rFonts w:ascii="Times New Roman" w:hAnsi="Times New Roman" w:cs="Times New Roman"/>
        </w:rPr>
        <w:t xml:space="preserve">loi du 24 février 1921, </w:t>
      </w:r>
      <w:r w:rsidRPr="0001496F">
        <w:rPr>
          <w:rFonts w:ascii="Times New Roman" w:hAnsi="Times New Roman" w:cs="Times New Roman"/>
        </w:rPr>
        <w:t xml:space="preserve">art. 6, al. 2 et 3) ; </w:t>
      </w:r>
    </w:p>
    <w:p w14:paraId="0A6D8955" w14:textId="77777777" w:rsidR="000C63D9" w:rsidRPr="0001496F" w:rsidRDefault="000C63D9" w:rsidP="0001496F">
      <w:pPr>
        <w:jc w:val="both"/>
        <w:rPr>
          <w:rFonts w:ascii="Times New Roman" w:hAnsi="Times New Roman" w:cs="Times New Roman"/>
        </w:rPr>
      </w:pPr>
    </w:p>
    <w:p w14:paraId="273A4158" w14:textId="55287677" w:rsidR="000C63D9" w:rsidRPr="0001496F" w:rsidRDefault="000C63D9" w:rsidP="0001496F">
      <w:pPr>
        <w:jc w:val="both"/>
        <w:rPr>
          <w:rFonts w:ascii="Times New Roman" w:hAnsi="Times New Roman" w:cs="Times New Roman"/>
        </w:rPr>
      </w:pPr>
      <w:r w:rsidRPr="0001496F">
        <w:rPr>
          <w:rFonts w:ascii="Times New Roman" w:hAnsi="Times New Roman" w:cs="Times New Roman"/>
        </w:rPr>
        <w:t>2°)</w:t>
      </w:r>
      <w:r w:rsidR="00B073BA" w:rsidRPr="0001496F">
        <w:rPr>
          <w:rFonts w:ascii="Times New Roman" w:hAnsi="Times New Roman" w:cs="Times New Roman"/>
        </w:rPr>
        <w:t xml:space="preserve"> </w:t>
      </w:r>
      <w:r w:rsidR="00C838F9" w:rsidRPr="0001496F">
        <w:rPr>
          <w:rFonts w:ascii="Times New Roman" w:hAnsi="Times New Roman" w:cs="Times New Roman"/>
        </w:rPr>
        <w:t>la révélation doit</w:t>
      </w:r>
      <w:r w:rsidRPr="0001496F">
        <w:rPr>
          <w:rFonts w:ascii="Times New Roman" w:hAnsi="Times New Roman" w:cs="Times New Roman"/>
        </w:rPr>
        <w:t xml:space="preserve"> porter sur des </w:t>
      </w:r>
      <w:r w:rsidRPr="0001496F">
        <w:rPr>
          <w:rFonts w:ascii="Times New Roman" w:hAnsi="Times New Roman" w:cs="Times New Roman"/>
          <w:i/>
        </w:rPr>
        <w:t>éléments non connus des autorités</w:t>
      </w:r>
      <w:r w:rsidRPr="0001496F">
        <w:rPr>
          <w:rFonts w:ascii="Times New Roman" w:hAnsi="Times New Roman" w:cs="Times New Roman"/>
        </w:rPr>
        <w:t xml:space="preserve">. La jurisprudence précise ici que </w:t>
      </w:r>
      <w:r w:rsidR="0055326C" w:rsidRPr="0001496F">
        <w:rPr>
          <w:rFonts w:ascii="Times New Roman" w:hAnsi="Times New Roman" w:cs="Times New Roman"/>
        </w:rPr>
        <w:t>« </w:t>
      </w:r>
      <w:r w:rsidRPr="0001496F">
        <w:rPr>
          <w:rFonts w:ascii="Times New Roman" w:hAnsi="Times New Roman" w:cs="Times New Roman"/>
        </w:rPr>
        <w:t xml:space="preserve">l’intention </w:t>
      </w:r>
      <w:r w:rsidR="0055326C" w:rsidRPr="0001496F">
        <w:rPr>
          <w:rFonts w:ascii="Times New Roman" w:hAnsi="Times New Roman" w:cs="Times New Roman"/>
        </w:rPr>
        <w:t xml:space="preserve">du législateur </w:t>
      </w:r>
      <w:r w:rsidRPr="0001496F">
        <w:rPr>
          <w:rFonts w:ascii="Times New Roman" w:hAnsi="Times New Roman" w:cs="Times New Roman"/>
        </w:rPr>
        <w:t xml:space="preserve">est que </w:t>
      </w:r>
      <w:r w:rsidRPr="0001496F">
        <w:rPr>
          <w:rFonts w:ascii="Times New Roman" w:eastAsia="Times New Roman" w:hAnsi="Times New Roman" w:cs="Times New Roman"/>
          <w:color w:val="000000"/>
          <w:shd w:val="clear" w:color="auto" w:fill="FFFFFF"/>
          <w:lang w:val="fr-BE"/>
        </w:rPr>
        <w:t>l’accusé ‘révèle’ à la justice, c’est-à-dire qu’il fasse connaître, qu’il fasse apparaître ce que l</w:t>
      </w:r>
      <w:r w:rsidR="00714DB9" w:rsidRPr="0001496F">
        <w:rPr>
          <w:rFonts w:ascii="Times New Roman" w:eastAsia="Times New Roman" w:hAnsi="Times New Roman" w:cs="Times New Roman"/>
          <w:color w:val="000000"/>
          <w:shd w:val="clear" w:color="auto" w:fill="FFFFFF"/>
          <w:lang w:val="fr-BE"/>
        </w:rPr>
        <w:t>a justice ignorait jusqu'alors</w:t>
      </w:r>
      <w:r w:rsidR="0055326C" w:rsidRPr="0001496F">
        <w:rPr>
          <w:rFonts w:ascii="Times New Roman" w:eastAsia="Times New Roman" w:hAnsi="Times New Roman" w:cs="Times New Roman"/>
          <w:color w:val="000000"/>
          <w:shd w:val="clear" w:color="auto" w:fill="FFFFFF"/>
          <w:lang w:val="fr-BE"/>
        </w:rPr>
        <w:t> »</w:t>
      </w:r>
      <w:r w:rsidRPr="0001496F">
        <w:rPr>
          <w:rStyle w:val="Appelnotedebasdep"/>
          <w:rFonts w:ascii="Times New Roman" w:eastAsia="Times New Roman" w:hAnsi="Times New Roman" w:cs="Times New Roman"/>
          <w:color w:val="000000"/>
          <w:shd w:val="clear" w:color="auto" w:fill="FFFFFF"/>
          <w:lang w:val="fr-BE"/>
        </w:rPr>
        <w:footnoteReference w:id="75"/>
      </w:r>
      <w:r w:rsidRPr="0001496F">
        <w:rPr>
          <w:rFonts w:ascii="Times New Roman" w:eastAsia="Times New Roman" w:hAnsi="Times New Roman" w:cs="Times New Roman"/>
          <w:color w:val="000000"/>
          <w:shd w:val="clear" w:color="auto" w:fill="FFFFFF"/>
          <w:lang w:val="fr-BE"/>
        </w:rPr>
        <w:t>.</w:t>
      </w:r>
      <w:r w:rsidRPr="0001496F">
        <w:rPr>
          <w:rFonts w:ascii="Times New Roman" w:hAnsi="Times New Roman" w:cs="Times New Roman"/>
        </w:rPr>
        <w:t xml:space="preserve"> Aussi considère-t-on qu’il n’y </w:t>
      </w:r>
      <w:proofErr w:type="gramStart"/>
      <w:r w:rsidRPr="0001496F">
        <w:rPr>
          <w:rFonts w:ascii="Times New Roman" w:hAnsi="Times New Roman" w:cs="Times New Roman"/>
        </w:rPr>
        <w:t>a</w:t>
      </w:r>
      <w:proofErr w:type="gramEnd"/>
      <w:r w:rsidRPr="0001496F">
        <w:rPr>
          <w:rFonts w:ascii="Times New Roman" w:hAnsi="Times New Roman" w:cs="Times New Roman"/>
        </w:rPr>
        <w:t xml:space="preserve"> pas « révélation » lorsque les renseignements fournis étaient déjà connus des autorités, notamment à la suite d’enquêtes effectuées par celles-ci ou de dénonciations faites par d’autres personnes</w:t>
      </w:r>
      <w:r w:rsidRPr="0001496F">
        <w:rPr>
          <w:rStyle w:val="Appelnotedebasdep"/>
          <w:rFonts w:ascii="Times New Roman" w:hAnsi="Times New Roman" w:cs="Times New Roman"/>
        </w:rPr>
        <w:footnoteReference w:id="76"/>
      </w:r>
      <w:r w:rsidRPr="0001496F">
        <w:rPr>
          <w:rFonts w:ascii="Times New Roman" w:hAnsi="Times New Roman" w:cs="Times New Roman"/>
        </w:rPr>
        <w:t xml:space="preserve"> et que le</w:t>
      </w:r>
      <w:r w:rsidRPr="0001496F">
        <w:rPr>
          <w:rFonts w:ascii="Times New Roman" w:eastAsia="Times New Roman" w:hAnsi="Times New Roman" w:cs="Times New Roman"/>
          <w:color w:val="000000"/>
          <w:shd w:val="clear" w:color="auto" w:fill="FFFFFF"/>
          <w:lang w:val="fr-BE"/>
        </w:rPr>
        <w:t xml:space="preserve"> prévenu</w:t>
      </w:r>
      <w:r w:rsidRPr="0001496F">
        <w:rPr>
          <w:rFonts w:ascii="Times New Roman" w:hAnsi="Times New Roman" w:cs="Times New Roman"/>
        </w:rPr>
        <w:t xml:space="preserve"> ne peut alors invoquer le bénéfice de l</w:t>
      </w:r>
      <w:r w:rsidR="0055326C" w:rsidRPr="0001496F">
        <w:rPr>
          <w:rFonts w:ascii="Times New Roman" w:hAnsi="Times New Roman" w:cs="Times New Roman"/>
        </w:rPr>
        <w:t>a cause d’excuse</w:t>
      </w:r>
      <w:r w:rsidRPr="0001496F">
        <w:rPr>
          <w:rStyle w:val="Appelnotedebasdep"/>
          <w:rFonts w:ascii="Times New Roman" w:hAnsi="Times New Roman" w:cs="Times New Roman"/>
        </w:rPr>
        <w:footnoteReference w:id="77"/>
      </w:r>
      <w:r w:rsidR="009B730A" w:rsidRPr="0001496F">
        <w:rPr>
          <w:rFonts w:ascii="Times New Roman" w:hAnsi="Times New Roman" w:cs="Times New Roman"/>
        </w:rPr>
        <w:t>. Soulignons qu’il</w:t>
      </w:r>
      <w:r w:rsidRPr="0001496F">
        <w:rPr>
          <w:rFonts w:ascii="Times New Roman" w:hAnsi="Times New Roman" w:cs="Times New Roman"/>
        </w:rPr>
        <w:t xml:space="preserve"> est particulièrement hasardeux pour le prévenu, qui s’expose à des éventuelles représailles de la part des personnes qu’ils dénoncent,</w:t>
      </w:r>
      <w:r w:rsidR="00B073BA" w:rsidRPr="0001496F">
        <w:rPr>
          <w:rFonts w:ascii="Times New Roman" w:hAnsi="Times New Roman" w:cs="Times New Roman"/>
        </w:rPr>
        <w:t xml:space="preserve"> </w:t>
      </w:r>
      <w:r w:rsidRPr="0001496F">
        <w:rPr>
          <w:rFonts w:ascii="Times New Roman" w:hAnsi="Times New Roman" w:cs="Times New Roman"/>
        </w:rPr>
        <w:t xml:space="preserve">de vérifier si la teneur de sa révélation était déjà connue des autorités ; </w:t>
      </w:r>
    </w:p>
    <w:p w14:paraId="00E9A10B" w14:textId="77777777" w:rsidR="000C63D9" w:rsidRPr="0001496F" w:rsidRDefault="000C63D9" w:rsidP="0001496F">
      <w:pPr>
        <w:jc w:val="both"/>
        <w:rPr>
          <w:rFonts w:ascii="Times New Roman" w:hAnsi="Times New Roman" w:cs="Times New Roman"/>
        </w:rPr>
      </w:pPr>
    </w:p>
    <w:p w14:paraId="1DD3CED5" w14:textId="28008AA0"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3°) même si ce n’est pas prévu par la loi, la jurisprudence considère que la révélation doit enfin être </w:t>
      </w:r>
      <w:r w:rsidRPr="0001496F">
        <w:rPr>
          <w:rFonts w:ascii="Times New Roman" w:hAnsi="Times New Roman" w:cs="Times New Roman"/>
          <w:i/>
        </w:rPr>
        <w:t>sincère et complète</w:t>
      </w:r>
      <w:r w:rsidRPr="0001496F">
        <w:rPr>
          <w:rFonts w:ascii="Times New Roman" w:hAnsi="Times New Roman" w:cs="Times New Roman"/>
        </w:rPr>
        <w:t>, c’est-à-dire à la mesure des connaissances qu’en a l’auteur de la révélation</w:t>
      </w:r>
      <w:r w:rsidRPr="0001496F">
        <w:rPr>
          <w:rStyle w:val="Appelnotedebasdep"/>
          <w:rFonts w:ascii="Times New Roman" w:hAnsi="Times New Roman" w:cs="Times New Roman"/>
        </w:rPr>
        <w:footnoteReference w:id="78"/>
      </w:r>
      <w:r w:rsidRPr="0001496F">
        <w:rPr>
          <w:rFonts w:ascii="Times New Roman" w:hAnsi="Times New Roman" w:cs="Times New Roman"/>
        </w:rPr>
        <w:t>. La jurisprudence est sévère quant à l’appréciation de ces critères, les juges exigeant que « le dénonciateur révèle non seulement sa propre participation, mais également l’intégralité́ des informations qu’il détient sur les circonstances et les auteurs de l’infraction »</w:t>
      </w:r>
      <w:r w:rsidRPr="0001496F">
        <w:rPr>
          <w:rStyle w:val="Appelnotedebasdep"/>
          <w:rFonts w:ascii="Times New Roman" w:hAnsi="Times New Roman" w:cs="Times New Roman"/>
        </w:rPr>
        <w:footnoteReference w:id="79"/>
      </w:r>
      <w:r w:rsidRPr="0001496F">
        <w:rPr>
          <w:rFonts w:ascii="Times New Roman" w:hAnsi="Times New Roman" w:cs="Times New Roman"/>
        </w:rPr>
        <w:t>. Ainsi, la révélation ne sera pas considérée comme sincère et complète lorsque</w:t>
      </w:r>
      <w:r w:rsidR="00B073BA" w:rsidRPr="0001496F">
        <w:rPr>
          <w:rFonts w:ascii="Times New Roman" w:hAnsi="Times New Roman" w:cs="Times New Roman"/>
        </w:rPr>
        <w:t xml:space="preserve"> </w:t>
      </w:r>
      <w:r w:rsidRPr="0001496F">
        <w:rPr>
          <w:rFonts w:ascii="Times New Roman" w:hAnsi="Times New Roman" w:cs="Times New Roman"/>
        </w:rPr>
        <w:t>les déclarations sont vagues et générales, qu’elles ne permettent pas l’identification ou la poursuite des auteurs</w:t>
      </w:r>
      <w:r w:rsidRPr="0001496F">
        <w:rPr>
          <w:rStyle w:val="Appelnotedebasdep"/>
          <w:rFonts w:ascii="Times New Roman" w:hAnsi="Times New Roman" w:cs="Times New Roman"/>
        </w:rPr>
        <w:footnoteReference w:id="80"/>
      </w:r>
      <w:r w:rsidRPr="0001496F">
        <w:rPr>
          <w:rFonts w:ascii="Times New Roman" w:hAnsi="Times New Roman" w:cs="Times New Roman"/>
        </w:rPr>
        <w:t>, qu’elles sont peu fiables</w:t>
      </w:r>
      <w:r w:rsidRPr="0001496F">
        <w:rPr>
          <w:rStyle w:val="Appelnotedebasdep"/>
          <w:rFonts w:ascii="Times New Roman" w:hAnsi="Times New Roman" w:cs="Times New Roman"/>
        </w:rPr>
        <w:footnoteReference w:id="81"/>
      </w:r>
      <w:r w:rsidRPr="0001496F">
        <w:rPr>
          <w:rFonts w:ascii="Times New Roman" w:hAnsi="Times New Roman" w:cs="Times New Roman"/>
        </w:rPr>
        <w:t xml:space="preserve"> ou encore, sélectives de sorte qu’elles induisent la police en erreur</w:t>
      </w:r>
      <w:r w:rsidRPr="0001496F">
        <w:rPr>
          <w:rStyle w:val="Appelnotedebasdep"/>
          <w:rFonts w:ascii="Times New Roman" w:hAnsi="Times New Roman" w:cs="Times New Roman"/>
        </w:rPr>
        <w:footnoteReference w:id="82"/>
      </w:r>
      <w:r w:rsidRPr="0001496F">
        <w:rPr>
          <w:rFonts w:ascii="Times New Roman" w:hAnsi="Times New Roman" w:cs="Times New Roman"/>
        </w:rPr>
        <w:t xml:space="preserve">. Il en ira de même lorsque le prévenu n’a pas fourni l’identité de toutes les personnes avec qui </w:t>
      </w:r>
      <w:r w:rsidRPr="0001496F">
        <w:rPr>
          <w:rFonts w:ascii="Times New Roman" w:hAnsi="Times New Roman" w:cs="Times New Roman"/>
        </w:rPr>
        <w:lastRenderedPageBreak/>
        <w:t>il est entré en contact</w:t>
      </w:r>
      <w:r w:rsidRPr="0001496F">
        <w:rPr>
          <w:rStyle w:val="Appelnotedebasdep"/>
          <w:rFonts w:ascii="Times New Roman" w:hAnsi="Times New Roman" w:cs="Times New Roman"/>
        </w:rPr>
        <w:footnoteReference w:id="83"/>
      </w:r>
      <w:r w:rsidRPr="0001496F">
        <w:rPr>
          <w:rFonts w:ascii="Times New Roman" w:hAnsi="Times New Roman" w:cs="Times New Roman"/>
        </w:rPr>
        <w:t>, lorsqu’il tait son propre rôle dans les infractions relatives à la drogue</w:t>
      </w:r>
      <w:r w:rsidRPr="0001496F">
        <w:rPr>
          <w:rStyle w:val="Appelnotedebasdep"/>
          <w:rFonts w:ascii="Times New Roman" w:hAnsi="Times New Roman" w:cs="Times New Roman"/>
        </w:rPr>
        <w:footnoteReference w:id="84"/>
      </w:r>
      <w:r w:rsidRPr="0001496F">
        <w:rPr>
          <w:rStyle w:val="Appelnotedebasdep"/>
          <w:rFonts w:ascii="Times New Roman" w:hAnsi="Times New Roman" w:cs="Times New Roman"/>
        </w:rPr>
        <w:t xml:space="preserve"> </w:t>
      </w:r>
      <w:r w:rsidRPr="0001496F">
        <w:rPr>
          <w:rFonts w:ascii="Times New Roman" w:hAnsi="Times New Roman" w:cs="Times New Roman"/>
        </w:rPr>
        <w:t>ou lorsqu’il s’est gardé de dire où il avait caché la drogue qui lui avait été confiée</w:t>
      </w:r>
      <w:r w:rsidRPr="0001496F">
        <w:rPr>
          <w:rStyle w:val="Appelnotedebasdep"/>
          <w:rFonts w:ascii="Times New Roman" w:hAnsi="Times New Roman" w:cs="Times New Roman"/>
        </w:rPr>
        <w:footnoteReference w:id="85"/>
      </w:r>
      <w:r w:rsidRPr="0001496F">
        <w:rPr>
          <w:rFonts w:ascii="Times New Roman" w:hAnsi="Times New Roman" w:cs="Times New Roman"/>
        </w:rPr>
        <w:t xml:space="preserve">. Si l’exigence d’une déclaration sincère et complète peut se comprendre dans la perspective d’une « récompense » octroyée au dénonciateur, elle peut cependant parfois paraître démesurée. </w:t>
      </w:r>
      <w:r w:rsidR="00824021" w:rsidRPr="0001496F">
        <w:rPr>
          <w:rFonts w:ascii="Times New Roman" w:hAnsi="Times New Roman" w:cs="Times New Roman"/>
        </w:rPr>
        <w:t>Ainsi, le</w:t>
      </w:r>
      <w:r w:rsidRPr="0001496F">
        <w:rPr>
          <w:rFonts w:ascii="Times New Roman" w:hAnsi="Times New Roman" w:cs="Times New Roman"/>
        </w:rPr>
        <w:t xml:space="preserve"> tribunal correctionnel </w:t>
      </w:r>
      <w:r w:rsidR="00824021" w:rsidRPr="0001496F">
        <w:rPr>
          <w:rFonts w:ascii="Times New Roman" w:hAnsi="Times New Roman" w:cs="Times New Roman"/>
        </w:rPr>
        <w:t>n’a pas hésité</w:t>
      </w:r>
      <w:r w:rsidRPr="0001496F">
        <w:rPr>
          <w:rFonts w:ascii="Times New Roman" w:hAnsi="Times New Roman" w:cs="Times New Roman"/>
        </w:rPr>
        <w:t xml:space="preserve"> </w:t>
      </w:r>
      <w:r w:rsidR="00824021" w:rsidRPr="0001496F">
        <w:rPr>
          <w:rFonts w:ascii="Times New Roman" w:hAnsi="Times New Roman" w:cs="Times New Roman"/>
        </w:rPr>
        <w:t xml:space="preserve">à accorder </w:t>
      </w:r>
      <w:r w:rsidRPr="0001496F">
        <w:rPr>
          <w:rFonts w:ascii="Times New Roman" w:hAnsi="Times New Roman" w:cs="Times New Roman"/>
        </w:rPr>
        <w:t>l</w:t>
      </w:r>
      <w:r w:rsidRPr="0001496F">
        <w:rPr>
          <w:rFonts w:ascii="Times New Roman" w:eastAsia="Times New Roman" w:hAnsi="Times New Roman" w:cs="Times New Roman"/>
          <w:color w:val="000000"/>
          <w:shd w:val="clear" w:color="auto" w:fill="FFFFFF"/>
          <w:lang w:val="fr-BE"/>
        </w:rPr>
        <w:t xml:space="preserve">a réduction de peine </w:t>
      </w:r>
      <w:r w:rsidR="00824021" w:rsidRPr="0001496F">
        <w:rPr>
          <w:rFonts w:ascii="Times New Roman" w:eastAsia="Times New Roman" w:hAnsi="Times New Roman" w:cs="Times New Roman"/>
          <w:color w:val="000000"/>
          <w:shd w:val="clear" w:color="auto" w:fill="FFFFFF"/>
          <w:lang w:val="fr-BE"/>
        </w:rPr>
        <w:t>à un</w:t>
      </w:r>
      <w:r w:rsidRPr="0001496F">
        <w:rPr>
          <w:rFonts w:ascii="Times New Roman" w:eastAsia="Times New Roman" w:hAnsi="Times New Roman" w:cs="Times New Roman"/>
          <w:color w:val="000000"/>
          <w:shd w:val="clear" w:color="auto" w:fill="FFFFFF"/>
          <w:lang w:val="fr-BE"/>
        </w:rPr>
        <w:t xml:space="preserve"> prévenu </w:t>
      </w:r>
      <w:r w:rsidR="00824021" w:rsidRPr="0001496F">
        <w:rPr>
          <w:rFonts w:ascii="Times New Roman" w:eastAsia="Times New Roman" w:hAnsi="Times New Roman" w:cs="Times New Roman"/>
          <w:color w:val="000000"/>
          <w:shd w:val="clear" w:color="auto" w:fill="FFFFFF"/>
          <w:lang w:val="fr-BE"/>
        </w:rPr>
        <w:t xml:space="preserve">qui </w:t>
      </w:r>
      <w:r w:rsidRPr="0001496F">
        <w:rPr>
          <w:rFonts w:ascii="Times New Roman" w:eastAsia="Times New Roman" w:hAnsi="Times New Roman" w:cs="Times New Roman"/>
          <w:color w:val="000000"/>
          <w:shd w:val="clear" w:color="auto" w:fill="FFFFFF"/>
          <w:lang w:val="fr-BE"/>
        </w:rPr>
        <w:t>n’a reconnu qu’à l’audience qu’il faisait de la contrebande de drogues, alors qu’il affirmait le contraire jusque là</w:t>
      </w:r>
      <w:r w:rsidRPr="0001496F">
        <w:rPr>
          <w:rStyle w:val="Appelnotedebasdep"/>
          <w:rFonts w:ascii="Times New Roman" w:eastAsia="Times New Roman" w:hAnsi="Times New Roman" w:cs="Times New Roman"/>
          <w:color w:val="000000"/>
          <w:shd w:val="clear" w:color="auto" w:fill="FFFFFF"/>
          <w:lang w:val="fr-BE"/>
        </w:rPr>
        <w:footnoteReference w:id="86"/>
      </w:r>
      <w:r w:rsidRPr="0001496F">
        <w:rPr>
          <w:rFonts w:ascii="Times New Roman" w:eastAsia="Times New Roman" w:hAnsi="Times New Roman" w:cs="Times New Roman"/>
          <w:color w:val="000000"/>
          <w:shd w:val="clear" w:color="auto" w:fill="FFFFFF"/>
          <w:lang w:val="fr-BE"/>
        </w:rPr>
        <w:t xml:space="preserve">. De même, </w:t>
      </w:r>
      <w:r w:rsidR="0055326C" w:rsidRPr="0001496F">
        <w:rPr>
          <w:rFonts w:ascii="Times New Roman" w:eastAsia="Times New Roman" w:hAnsi="Times New Roman" w:cs="Times New Roman"/>
          <w:color w:val="000000"/>
          <w:shd w:val="clear" w:color="auto" w:fill="FFFFFF"/>
          <w:lang w:val="fr-BE"/>
        </w:rPr>
        <w:t xml:space="preserve">des </w:t>
      </w:r>
      <w:r w:rsidRPr="0001496F">
        <w:rPr>
          <w:rFonts w:ascii="Times New Roman" w:eastAsia="Times New Roman" w:hAnsi="Times New Roman" w:cs="Times New Roman"/>
          <w:color w:val="000000"/>
          <w:shd w:val="clear" w:color="auto" w:fill="FFFFFF"/>
          <w:lang w:val="fr-BE"/>
        </w:rPr>
        <w:t xml:space="preserve">avocats de la défense ont-ils fait valoir tantôt que </w:t>
      </w:r>
      <w:r w:rsidRPr="0001496F">
        <w:rPr>
          <w:rFonts w:ascii="Times New Roman" w:hAnsi="Times New Roman" w:cs="Times New Roman"/>
        </w:rPr>
        <w:t>« l’article 6 précité ne dispose pas que le coupable qui révèle les faits ne peut à ce moment oublier rien ni personne, ce qui, comme en l’espèce, peut se produire facilement lorsque les faits révélés ont une certaine étendue dans le temps et dans l’espace »</w:t>
      </w:r>
      <w:r w:rsidRPr="0001496F">
        <w:rPr>
          <w:rStyle w:val="Appelnotedebasdep"/>
          <w:rFonts w:ascii="Times New Roman" w:hAnsi="Times New Roman" w:cs="Times New Roman"/>
        </w:rPr>
        <w:footnoteReference w:id="87"/>
      </w:r>
      <w:r w:rsidRPr="0001496F">
        <w:rPr>
          <w:rFonts w:ascii="Times New Roman" w:hAnsi="Times New Roman" w:cs="Times New Roman"/>
        </w:rPr>
        <w:t>, tantôt que « l’on ne peut jamais vérifier si quelqu’un a révélé l’identité de tous les auteurs restés inconnus »</w:t>
      </w:r>
      <w:r w:rsidRPr="0001496F">
        <w:rPr>
          <w:rStyle w:val="Appelnotedebasdep"/>
          <w:rFonts w:ascii="Times New Roman" w:hAnsi="Times New Roman" w:cs="Times New Roman"/>
        </w:rPr>
        <w:footnoteReference w:id="88"/>
      </w:r>
      <w:r w:rsidRPr="0001496F">
        <w:rPr>
          <w:rFonts w:ascii="Times New Roman" w:hAnsi="Times New Roman" w:cs="Times New Roman"/>
        </w:rPr>
        <w:t>.</w:t>
      </w:r>
    </w:p>
    <w:p w14:paraId="61B27ED2" w14:textId="77777777" w:rsidR="000C63D9" w:rsidRPr="0001496F" w:rsidRDefault="000C63D9" w:rsidP="0001496F">
      <w:pPr>
        <w:jc w:val="both"/>
        <w:rPr>
          <w:rFonts w:ascii="Times New Roman" w:hAnsi="Times New Roman" w:cs="Times New Roman"/>
        </w:rPr>
      </w:pPr>
    </w:p>
    <w:p w14:paraId="17B82189" w14:textId="24342C8E" w:rsidR="000C63D9" w:rsidRPr="0001496F" w:rsidRDefault="000C63D9" w:rsidP="0001496F">
      <w:pPr>
        <w:jc w:val="both"/>
        <w:rPr>
          <w:rFonts w:ascii="Times New Roman" w:hAnsi="Times New Roman" w:cs="Times New Roman"/>
        </w:rPr>
      </w:pPr>
      <w:r w:rsidRPr="0001496F">
        <w:rPr>
          <w:rFonts w:ascii="Times New Roman" w:hAnsi="Times New Roman" w:cs="Times New Roman"/>
        </w:rPr>
        <w:t>En doctrine, plusieurs auteurs mettent en doute la pertinence et l’efficacité du dispositif. Trois éléments de critique sont mis en avant : 1°) le dispositif manquerait sa cible : la dénonciation porterait généralement sur de simples consommateurs et jamais sur des trafiquants importants</w:t>
      </w:r>
      <w:r w:rsidRPr="0001496F">
        <w:rPr>
          <w:rStyle w:val="Appelnotedebasdep"/>
          <w:rFonts w:ascii="Times New Roman" w:hAnsi="Times New Roman" w:cs="Times New Roman"/>
        </w:rPr>
        <w:footnoteReference w:id="89"/>
      </w:r>
      <w:r w:rsidRPr="0001496F">
        <w:rPr>
          <w:rFonts w:ascii="Times New Roman" w:hAnsi="Times New Roman" w:cs="Times New Roman"/>
        </w:rPr>
        <w:t>. Dans les faits, l’article 6 n’aurait dès lors « pas permis d’endiguer, si peu que ce soit, le développement du trafic et de la consommation de drogues »</w:t>
      </w:r>
      <w:r w:rsidRPr="0001496F">
        <w:rPr>
          <w:rStyle w:val="Appelnotedebasdep"/>
          <w:rFonts w:ascii="Times New Roman" w:hAnsi="Times New Roman" w:cs="Times New Roman"/>
        </w:rPr>
        <w:footnoteReference w:id="90"/>
      </w:r>
      <w:r w:rsidRPr="0001496F">
        <w:rPr>
          <w:rFonts w:ascii="Times New Roman" w:hAnsi="Times New Roman" w:cs="Times New Roman"/>
        </w:rPr>
        <w:t> ; 2°) l’application de l’article 6 de la loi, disposition spécifique parmi un éventail de dispositions prévoyant des peines fort sévères pour un vaste ensemble de comportements, a sans doute induit des comportements policiers toujours plus arbitraires »</w:t>
      </w:r>
      <w:r w:rsidRPr="0001496F">
        <w:rPr>
          <w:rStyle w:val="Appelnotedebasdep"/>
          <w:rFonts w:ascii="Times New Roman" w:hAnsi="Times New Roman" w:cs="Times New Roman"/>
        </w:rPr>
        <w:footnoteReference w:id="91"/>
      </w:r>
      <w:r w:rsidR="0055326C" w:rsidRPr="0001496F">
        <w:rPr>
          <w:rFonts w:ascii="Times New Roman" w:hAnsi="Times New Roman" w:cs="Times New Roman"/>
        </w:rPr>
        <w:t> ;</w:t>
      </w:r>
      <w:r w:rsidRPr="0001496F">
        <w:rPr>
          <w:rFonts w:ascii="Times New Roman" w:hAnsi="Times New Roman" w:cs="Times New Roman"/>
        </w:rPr>
        <w:t xml:space="preserve"> 3°) en pratique, le recours à la dénonciation semble extrêmement rare, « soit que les juges répugnent à récompenser la délation ou à excuser des infractions qu’ils estiment trop graves soit que les délinquants eux-mêmes répugnent à recourir au système de la délation pour améliorer leur sort »</w:t>
      </w:r>
      <w:r w:rsidRPr="0001496F">
        <w:rPr>
          <w:rStyle w:val="Appelnotedebasdep"/>
          <w:rFonts w:ascii="Times New Roman" w:hAnsi="Times New Roman" w:cs="Times New Roman"/>
        </w:rPr>
        <w:t xml:space="preserve"> </w:t>
      </w:r>
      <w:r w:rsidRPr="0001496F">
        <w:rPr>
          <w:rStyle w:val="Appelnotedebasdep"/>
          <w:rFonts w:ascii="Times New Roman" w:hAnsi="Times New Roman" w:cs="Times New Roman"/>
        </w:rPr>
        <w:footnoteReference w:id="92"/>
      </w:r>
      <w:r w:rsidRPr="0001496F">
        <w:rPr>
          <w:rFonts w:ascii="Times New Roman" w:hAnsi="Times New Roman" w:cs="Times New Roman"/>
        </w:rPr>
        <w:t>.</w:t>
      </w:r>
    </w:p>
    <w:p w14:paraId="0DEB3B78" w14:textId="77777777" w:rsidR="000C63D9" w:rsidRPr="0001496F" w:rsidRDefault="000C63D9" w:rsidP="0001496F">
      <w:pPr>
        <w:jc w:val="both"/>
        <w:rPr>
          <w:rFonts w:ascii="Times New Roman" w:hAnsi="Times New Roman" w:cs="Times New Roman"/>
        </w:rPr>
      </w:pPr>
    </w:p>
    <w:p w14:paraId="14553500" w14:textId="47992A79" w:rsidR="000C63D9" w:rsidRPr="0001496F" w:rsidRDefault="000C63D9" w:rsidP="0001496F">
      <w:pPr>
        <w:jc w:val="both"/>
        <w:rPr>
          <w:rFonts w:ascii="Times New Roman" w:hAnsi="Times New Roman" w:cs="Times New Roman"/>
        </w:rPr>
      </w:pPr>
      <w:r w:rsidRPr="0001496F">
        <w:rPr>
          <w:rFonts w:ascii="Times New Roman" w:hAnsi="Times New Roman" w:cs="Times New Roman"/>
        </w:rPr>
        <w:t>1.2.2.</w:t>
      </w:r>
      <w:r w:rsidR="00B073BA" w:rsidRPr="0001496F">
        <w:rPr>
          <w:rFonts w:ascii="Times New Roman" w:hAnsi="Times New Roman" w:cs="Times New Roman"/>
        </w:rPr>
        <w:t xml:space="preserve"> </w:t>
      </w:r>
      <w:r w:rsidRPr="0001496F">
        <w:rPr>
          <w:rFonts w:ascii="Times New Roman" w:hAnsi="Times New Roman" w:cs="Times New Roman"/>
        </w:rPr>
        <w:t>L’affaire « Habran » ou la validité des preuves fournies recueillies de manière anonyme ou non soumises au principe du contradictoire</w:t>
      </w:r>
    </w:p>
    <w:p w14:paraId="23DF02A4" w14:textId="77777777" w:rsidR="000C63D9" w:rsidRPr="0001496F" w:rsidRDefault="000C63D9" w:rsidP="0001496F">
      <w:pPr>
        <w:jc w:val="both"/>
        <w:rPr>
          <w:rFonts w:ascii="Times New Roman" w:hAnsi="Times New Roman" w:cs="Times New Roman"/>
        </w:rPr>
      </w:pPr>
    </w:p>
    <w:p w14:paraId="3D75058D"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1.2.2.1. Quelques principes du droit de la preuve en droit de la procédure pénale belge</w:t>
      </w:r>
    </w:p>
    <w:p w14:paraId="4D62BFFF" w14:textId="77777777" w:rsidR="000C63D9" w:rsidRPr="0001496F" w:rsidRDefault="000C63D9" w:rsidP="0001496F">
      <w:pPr>
        <w:jc w:val="both"/>
        <w:rPr>
          <w:rFonts w:ascii="Times New Roman" w:hAnsi="Times New Roman" w:cs="Times New Roman"/>
        </w:rPr>
      </w:pPr>
    </w:p>
    <w:p w14:paraId="606C884E" w14:textId="31319E6D" w:rsidR="000C63D9" w:rsidRPr="0001496F" w:rsidRDefault="000C63D9" w:rsidP="0001496F">
      <w:pPr>
        <w:jc w:val="both"/>
        <w:rPr>
          <w:rFonts w:ascii="Times New Roman" w:hAnsi="Times New Roman" w:cs="Times New Roman"/>
        </w:rPr>
      </w:pPr>
      <w:r w:rsidRPr="0001496F">
        <w:rPr>
          <w:rFonts w:ascii="Times New Roman" w:hAnsi="Times New Roman" w:cs="Times New Roman"/>
        </w:rPr>
        <w:t>Une autre question importante que suscite la négociation en justice avec un collaborateur ou « repenti » est la recevabilité et l’admissibilité comme preuve des éléments qu’il peut révéler.</w:t>
      </w:r>
      <w:r w:rsidR="00B073BA" w:rsidRPr="0001496F">
        <w:rPr>
          <w:rFonts w:ascii="Times New Roman" w:hAnsi="Times New Roman" w:cs="Times New Roman"/>
        </w:rPr>
        <w:t xml:space="preserve"> </w:t>
      </w:r>
      <w:r w:rsidRPr="0001496F">
        <w:rPr>
          <w:rFonts w:ascii="Times New Roman" w:hAnsi="Times New Roman" w:cs="Times New Roman"/>
        </w:rPr>
        <w:t xml:space="preserve">Pour examiner cette question, qui a sans doute pesé sur la réglementation du « témoignage » </w:t>
      </w:r>
      <w:r w:rsidRPr="0001496F">
        <w:rPr>
          <w:rFonts w:ascii="Times New Roman" w:hAnsi="Times New Roman" w:cs="Times New Roman"/>
        </w:rPr>
        <w:lastRenderedPageBreak/>
        <w:t xml:space="preserve">prévue par la loi du 22 juillet 2018, il faut revenir sur quelques principes qui régissent le droit de la preuve en droit de la procédure pénale belge. </w:t>
      </w:r>
    </w:p>
    <w:p w14:paraId="3EB5FD0A" w14:textId="77777777" w:rsidR="000C63D9" w:rsidRPr="0001496F" w:rsidRDefault="000C63D9" w:rsidP="0001496F">
      <w:pPr>
        <w:jc w:val="both"/>
        <w:rPr>
          <w:rFonts w:ascii="Times New Roman" w:hAnsi="Times New Roman" w:cs="Times New Roman"/>
        </w:rPr>
      </w:pPr>
    </w:p>
    <w:p w14:paraId="66B94744" w14:textId="1E7C1AD9" w:rsidR="000C63D9" w:rsidRPr="0001496F" w:rsidRDefault="000C63D9" w:rsidP="0001496F">
      <w:pPr>
        <w:jc w:val="both"/>
        <w:rPr>
          <w:rFonts w:ascii="Times New Roman" w:hAnsi="Times New Roman" w:cs="Times New Roman"/>
        </w:rPr>
      </w:pPr>
      <w:r w:rsidRPr="0001496F">
        <w:rPr>
          <w:rFonts w:ascii="Times New Roman" w:hAnsi="Times New Roman" w:cs="Times New Roman"/>
        </w:rPr>
        <w:t>En droit belge, la charge de la preuve incombe à la partie poursuivante (soit le plus souvent le ministère public), sous le contrôle du juge. Le prévenu n’a pas l’obligation de collaborer à l’administration de la preuve ; il bénéficie du droit au silence et peut adopter une attitude strictement passive s’il le souhaite</w:t>
      </w:r>
      <w:r w:rsidRPr="0001496F">
        <w:rPr>
          <w:rStyle w:val="Appelnotedebasdep"/>
          <w:rFonts w:ascii="Times New Roman" w:hAnsi="Times New Roman" w:cs="Times New Roman"/>
        </w:rPr>
        <w:footnoteReference w:id="93"/>
      </w:r>
      <w:r w:rsidRPr="0001496F">
        <w:rPr>
          <w:rFonts w:ascii="Times New Roman" w:hAnsi="Times New Roman" w:cs="Times New Roman"/>
        </w:rPr>
        <w:t>. Le droit belge consacre également le principe de la liberté de la preuve et l’absence de hiérarchie entre les différents modes de preuve</w:t>
      </w:r>
      <w:r w:rsidRPr="0001496F">
        <w:rPr>
          <w:rStyle w:val="Appelnotedebasdep"/>
          <w:rFonts w:ascii="Times New Roman" w:hAnsi="Times New Roman" w:cs="Times New Roman"/>
        </w:rPr>
        <w:footnoteReference w:id="94"/>
      </w:r>
      <w:r w:rsidRPr="0001496F">
        <w:rPr>
          <w:rFonts w:ascii="Times New Roman" w:hAnsi="Times New Roman" w:cs="Times New Roman"/>
        </w:rPr>
        <w:t>, ce qui implique que tout élément de preuve est, en principe, admissible</w:t>
      </w:r>
      <w:r w:rsidRPr="0001496F">
        <w:rPr>
          <w:rStyle w:val="Appelnotedebasdep"/>
          <w:rFonts w:ascii="Times New Roman" w:hAnsi="Times New Roman" w:cs="Times New Roman"/>
        </w:rPr>
        <w:footnoteReference w:id="95"/>
      </w:r>
      <w:r w:rsidRPr="0001496F">
        <w:rPr>
          <w:rFonts w:ascii="Times New Roman" w:hAnsi="Times New Roman" w:cs="Times New Roman"/>
        </w:rPr>
        <w:t>. Toutefois, ce dernier principe n’est pas absolu et deux tempé</w:t>
      </w:r>
      <w:r w:rsidR="00847F5C" w:rsidRPr="0001496F">
        <w:rPr>
          <w:rFonts w:ascii="Times New Roman" w:hAnsi="Times New Roman" w:cs="Times New Roman"/>
        </w:rPr>
        <w:t>raments doivent être soulignés.</w:t>
      </w:r>
      <w:r w:rsidRPr="0001496F">
        <w:rPr>
          <w:rFonts w:ascii="Times New Roman" w:hAnsi="Times New Roman" w:cs="Times New Roman"/>
        </w:rPr>
        <w:t xml:space="preserve"> </w:t>
      </w:r>
    </w:p>
    <w:p w14:paraId="6CEFE559" w14:textId="77777777" w:rsidR="000C63D9" w:rsidRPr="0001496F" w:rsidRDefault="000C63D9" w:rsidP="0001496F">
      <w:pPr>
        <w:jc w:val="both"/>
        <w:rPr>
          <w:rFonts w:ascii="Times New Roman" w:hAnsi="Times New Roman" w:cs="Times New Roman"/>
        </w:rPr>
      </w:pPr>
    </w:p>
    <w:p w14:paraId="4A3E8BE1" w14:textId="411F4733"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Premièrement, le témoignage recueilli par le juge d’instruction sous couvert </w:t>
      </w:r>
      <w:r w:rsidRPr="0001496F">
        <w:rPr>
          <w:rFonts w:ascii="Times New Roman" w:hAnsi="Times New Roman" w:cs="Times New Roman"/>
          <w:i/>
        </w:rPr>
        <w:t>d’anonymat</w:t>
      </w:r>
      <w:r w:rsidRPr="0001496F">
        <w:rPr>
          <w:rFonts w:ascii="Times New Roman" w:hAnsi="Times New Roman" w:cs="Times New Roman"/>
        </w:rPr>
        <w:t xml:space="preserve"> </w:t>
      </w:r>
      <w:r w:rsidRPr="0001496F">
        <w:rPr>
          <w:rFonts w:ascii="Times New Roman" w:hAnsi="Times New Roman" w:cs="Times New Roman"/>
          <w:i/>
        </w:rPr>
        <w:t>complet</w:t>
      </w:r>
      <w:r w:rsidRPr="0001496F">
        <w:rPr>
          <w:rFonts w:ascii="Times New Roman" w:hAnsi="Times New Roman" w:cs="Times New Roman"/>
        </w:rPr>
        <w:t xml:space="preserve"> ne peut être pris en considération que comme preuve des infractions pour lesquelles il a été autorisé (à savoir les infractions reprises à l’article 90</w:t>
      </w:r>
      <w:r w:rsidRPr="0001496F">
        <w:rPr>
          <w:rFonts w:ascii="Times New Roman" w:hAnsi="Times New Roman" w:cs="Times New Roman"/>
          <w:i/>
        </w:rPr>
        <w:t>ter</w:t>
      </w:r>
      <w:r w:rsidRPr="0001496F">
        <w:rPr>
          <w:rFonts w:ascii="Times New Roman" w:hAnsi="Times New Roman" w:cs="Times New Roman"/>
        </w:rPr>
        <w:t xml:space="preserve"> du </w:t>
      </w:r>
      <w:r w:rsidR="00847F5C" w:rsidRPr="0001496F">
        <w:rPr>
          <w:rFonts w:ascii="Times New Roman" w:hAnsi="Times New Roman" w:cs="Times New Roman"/>
        </w:rPr>
        <w:t>C. i.</w:t>
      </w:r>
      <w:r w:rsidR="0055326C" w:rsidRPr="0001496F">
        <w:rPr>
          <w:rFonts w:ascii="Times New Roman" w:hAnsi="Times New Roman" w:cs="Times New Roman"/>
        </w:rPr>
        <w:t xml:space="preserve"> </w:t>
      </w:r>
      <w:r w:rsidR="00847F5C" w:rsidRPr="0001496F">
        <w:rPr>
          <w:rFonts w:ascii="Times New Roman" w:hAnsi="Times New Roman" w:cs="Times New Roman"/>
        </w:rPr>
        <w:t>cr.</w:t>
      </w:r>
      <w:r w:rsidRPr="0001496F">
        <w:rPr>
          <w:rFonts w:ascii="Times New Roman" w:hAnsi="Times New Roman" w:cs="Times New Roman"/>
        </w:rPr>
        <w:t xml:space="preserve"> </w:t>
      </w:r>
      <w:proofErr w:type="gramStart"/>
      <w:r w:rsidRPr="0001496F">
        <w:rPr>
          <w:rFonts w:ascii="Times New Roman" w:hAnsi="Times New Roman" w:cs="Times New Roman"/>
        </w:rPr>
        <w:t>ou</w:t>
      </w:r>
      <w:proofErr w:type="gramEnd"/>
      <w:r w:rsidRPr="0001496F">
        <w:rPr>
          <w:rFonts w:ascii="Times New Roman" w:hAnsi="Times New Roman" w:cs="Times New Roman"/>
        </w:rPr>
        <w:t xml:space="preserve"> celles commises dans le cadre d’une organisation criminelle visée à l’article 324</w:t>
      </w:r>
      <w:r w:rsidRPr="0001496F">
        <w:rPr>
          <w:rFonts w:ascii="Times New Roman" w:hAnsi="Times New Roman" w:cs="Times New Roman"/>
          <w:i/>
        </w:rPr>
        <w:t>bis</w:t>
      </w:r>
      <w:r w:rsidRPr="0001496F">
        <w:rPr>
          <w:rFonts w:ascii="Times New Roman" w:hAnsi="Times New Roman" w:cs="Times New Roman"/>
        </w:rPr>
        <w:t xml:space="preserve"> du C</w:t>
      </w:r>
      <w:r w:rsidR="00847F5C" w:rsidRPr="0001496F">
        <w:rPr>
          <w:rFonts w:ascii="Times New Roman" w:hAnsi="Times New Roman" w:cs="Times New Roman"/>
        </w:rPr>
        <w:t>. pén.</w:t>
      </w:r>
      <w:r w:rsidRPr="0001496F">
        <w:rPr>
          <w:rFonts w:ascii="Times New Roman" w:hAnsi="Times New Roman" w:cs="Times New Roman"/>
        </w:rPr>
        <w:t>)</w:t>
      </w:r>
      <w:r w:rsidRPr="0001496F">
        <w:rPr>
          <w:rStyle w:val="Appelnotedebasdep"/>
          <w:rFonts w:ascii="Times New Roman" w:hAnsi="Times New Roman" w:cs="Times New Roman"/>
        </w:rPr>
        <w:footnoteReference w:id="96"/>
      </w:r>
      <w:r w:rsidRPr="0001496F">
        <w:rPr>
          <w:rFonts w:ascii="Times New Roman" w:hAnsi="Times New Roman" w:cs="Times New Roman"/>
        </w:rPr>
        <w:t>. Par ailleurs, en vertu de l’article 189</w:t>
      </w:r>
      <w:r w:rsidRPr="0001496F">
        <w:rPr>
          <w:rFonts w:ascii="Times New Roman" w:hAnsi="Times New Roman" w:cs="Times New Roman"/>
          <w:i/>
        </w:rPr>
        <w:t>bis</w:t>
      </w:r>
      <w:r w:rsidR="0055326C" w:rsidRPr="0001496F">
        <w:rPr>
          <w:rFonts w:ascii="Times New Roman" w:hAnsi="Times New Roman" w:cs="Times New Roman"/>
        </w:rPr>
        <w:t>, al. 3</w:t>
      </w:r>
      <w:r w:rsidRPr="0001496F">
        <w:rPr>
          <w:rFonts w:ascii="Times New Roman" w:hAnsi="Times New Roman" w:cs="Times New Roman"/>
        </w:rPr>
        <w:t xml:space="preserve"> du C</w:t>
      </w:r>
      <w:r w:rsidR="00847F5C" w:rsidRPr="0001496F">
        <w:rPr>
          <w:rFonts w:ascii="Times New Roman" w:hAnsi="Times New Roman" w:cs="Times New Roman"/>
        </w:rPr>
        <w:t>. i. cr.</w:t>
      </w:r>
      <w:r w:rsidRPr="0001496F">
        <w:rPr>
          <w:rFonts w:ascii="Times New Roman" w:hAnsi="Times New Roman" w:cs="Times New Roman"/>
        </w:rPr>
        <w:t xml:space="preserve">, la condamnation d’une personne ne peut jamais être fondée de manière exclusive, ni dans une mesure déterminante, sur des témoignages recueillis sous couvert d’anonymat complet. Ces témoignages doivent nécessairement être </w:t>
      </w:r>
      <w:r w:rsidRPr="0001496F">
        <w:rPr>
          <w:rFonts w:ascii="Times New Roman" w:hAnsi="Times New Roman" w:cs="Times New Roman"/>
          <w:i/>
        </w:rPr>
        <w:t>corroborés dans une mesure déterminante</w:t>
      </w:r>
      <w:r w:rsidRPr="0001496F">
        <w:rPr>
          <w:rFonts w:ascii="Times New Roman" w:hAnsi="Times New Roman" w:cs="Times New Roman"/>
        </w:rPr>
        <w:t xml:space="preserve"> par des éléments recueillis par d’autres modes de preuve.</w:t>
      </w:r>
    </w:p>
    <w:p w14:paraId="5C891D04" w14:textId="77777777" w:rsidR="000C63D9" w:rsidRPr="0001496F" w:rsidRDefault="000C63D9" w:rsidP="0001496F">
      <w:pPr>
        <w:jc w:val="both"/>
        <w:rPr>
          <w:rFonts w:ascii="Times New Roman" w:hAnsi="Times New Roman" w:cs="Times New Roman"/>
        </w:rPr>
      </w:pPr>
    </w:p>
    <w:p w14:paraId="132AF9F9" w14:textId="27CF874B"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Deuxièmement, les juges ne peuvent fonder leur conviction que sur des éléments qui ont pu faire l’objet d’un </w:t>
      </w:r>
      <w:r w:rsidRPr="0001496F">
        <w:rPr>
          <w:rFonts w:ascii="Times New Roman" w:hAnsi="Times New Roman" w:cs="Times New Roman"/>
          <w:i/>
        </w:rPr>
        <w:t>débat contradictoire</w:t>
      </w:r>
      <w:r w:rsidRPr="0001496F">
        <w:rPr>
          <w:rFonts w:ascii="Times New Roman" w:hAnsi="Times New Roman" w:cs="Times New Roman"/>
        </w:rPr>
        <w:t xml:space="preserve"> entre les parties. Cette règle a pour conséquence que les éléments de preuve que les parties au procès n’ont pas la possibilité de contredire librement doivent être exclus</w:t>
      </w:r>
      <w:r w:rsidRPr="0001496F">
        <w:rPr>
          <w:rStyle w:val="Appelnotedebasdep"/>
          <w:rFonts w:ascii="Times New Roman" w:hAnsi="Times New Roman" w:cs="Times New Roman"/>
        </w:rPr>
        <w:footnoteReference w:id="97"/>
      </w:r>
      <w:r w:rsidRPr="0001496F">
        <w:rPr>
          <w:rFonts w:ascii="Times New Roman" w:hAnsi="Times New Roman" w:cs="Times New Roman"/>
        </w:rPr>
        <w:t>.</w:t>
      </w:r>
    </w:p>
    <w:p w14:paraId="72C47EED" w14:textId="77777777" w:rsidR="000C63D9" w:rsidRPr="0001496F" w:rsidRDefault="000C63D9" w:rsidP="0001496F">
      <w:pPr>
        <w:jc w:val="both"/>
        <w:rPr>
          <w:rFonts w:ascii="Times New Roman" w:hAnsi="Times New Roman" w:cs="Times New Roman"/>
        </w:rPr>
      </w:pPr>
    </w:p>
    <w:p w14:paraId="77463026" w14:textId="0CB581C3" w:rsidR="000C63D9" w:rsidRPr="0001496F" w:rsidRDefault="000C63D9" w:rsidP="0001496F">
      <w:pPr>
        <w:jc w:val="both"/>
        <w:rPr>
          <w:rFonts w:ascii="Times New Roman" w:hAnsi="Times New Roman" w:cs="Times New Roman"/>
        </w:rPr>
      </w:pPr>
      <w:r w:rsidRPr="0001496F">
        <w:rPr>
          <w:rFonts w:ascii="Times New Roman" w:hAnsi="Times New Roman" w:cs="Times New Roman"/>
        </w:rPr>
        <w:t>1.2.2.2. L’affaire « Habran »</w:t>
      </w:r>
    </w:p>
    <w:p w14:paraId="5AB20AEE" w14:textId="77777777" w:rsidR="000C63D9" w:rsidRPr="0001496F" w:rsidRDefault="000C63D9" w:rsidP="0001496F">
      <w:pPr>
        <w:jc w:val="both"/>
        <w:rPr>
          <w:rFonts w:ascii="Times New Roman" w:hAnsi="Times New Roman" w:cs="Times New Roman"/>
        </w:rPr>
      </w:pPr>
    </w:p>
    <w:p w14:paraId="7B5A204D"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Ces différents principes ont connu une consécration importante dans la jurisprudence belge et européenne à propos de l’affaire « Habran », du nom d’un des prévenus impliqués dans des affaires de grand banditisme (braquage mortel d’un fourgon blindé). Cette affaire a fait l’objet de plusieurs procès d’assises et de plusieurs arrêts de la Cour de cassation</w:t>
      </w:r>
      <w:r w:rsidRPr="0001496F">
        <w:rPr>
          <w:rStyle w:val="Appelnotedebasdep"/>
          <w:rFonts w:ascii="Times New Roman" w:hAnsi="Times New Roman" w:cs="Times New Roman"/>
        </w:rPr>
        <w:footnoteReference w:id="98"/>
      </w:r>
      <w:r w:rsidRPr="0001496F">
        <w:rPr>
          <w:rFonts w:ascii="Times New Roman" w:hAnsi="Times New Roman" w:cs="Times New Roman"/>
        </w:rPr>
        <w:t xml:space="preserve">. </w:t>
      </w:r>
    </w:p>
    <w:p w14:paraId="4B9633FD" w14:textId="77777777" w:rsidR="000C63D9" w:rsidRPr="0001496F" w:rsidRDefault="000C63D9" w:rsidP="0001496F">
      <w:pPr>
        <w:jc w:val="both"/>
        <w:rPr>
          <w:rFonts w:ascii="Times New Roman" w:hAnsi="Times New Roman" w:cs="Times New Roman"/>
        </w:rPr>
      </w:pPr>
    </w:p>
    <w:p w14:paraId="5C55613A" w14:textId="006442C1" w:rsidR="000C63D9" w:rsidRPr="0001496F" w:rsidRDefault="000C63D9" w:rsidP="0001496F">
      <w:pPr>
        <w:jc w:val="both"/>
        <w:rPr>
          <w:rFonts w:ascii="Times New Roman" w:hAnsi="Times New Roman" w:cs="Times New Roman"/>
          <w:lang w:eastAsia="ja-JP"/>
        </w:rPr>
      </w:pPr>
      <w:r w:rsidRPr="0001496F">
        <w:rPr>
          <w:rFonts w:ascii="Times New Roman" w:hAnsi="Times New Roman" w:cs="Times New Roman"/>
          <w:lang w:eastAsia="ja-JP"/>
        </w:rPr>
        <w:t>Au cours d’un des procès d’assises, les jurés avaient condamné Mr</w:t>
      </w:r>
      <w:r w:rsidR="002D6BD8" w:rsidRPr="0001496F">
        <w:rPr>
          <w:rFonts w:ascii="Times New Roman" w:hAnsi="Times New Roman" w:cs="Times New Roman"/>
          <w:lang w:eastAsia="ja-JP"/>
        </w:rPr>
        <w:t>.</w:t>
      </w:r>
      <w:r w:rsidRPr="0001496F">
        <w:rPr>
          <w:rFonts w:ascii="Times New Roman" w:hAnsi="Times New Roman" w:cs="Times New Roman"/>
          <w:lang w:eastAsia="ja-JP"/>
        </w:rPr>
        <w:t xml:space="preserve"> Habran et d’autres accusés, sur la base d’accusations portées contre lui par un témoin, membre de l’organisation criminelle que Mr</w:t>
      </w:r>
      <w:r w:rsidR="00740397" w:rsidRPr="0001496F">
        <w:rPr>
          <w:rFonts w:ascii="Times New Roman" w:hAnsi="Times New Roman" w:cs="Times New Roman"/>
          <w:lang w:eastAsia="ja-JP"/>
        </w:rPr>
        <w:t>.</w:t>
      </w:r>
      <w:r w:rsidRPr="0001496F">
        <w:rPr>
          <w:rFonts w:ascii="Times New Roman" w:hAnsi="Times New Roman" w:cs="Times New Roman"/>
          <w:lang w:eastAsia="ja-JP"/>
        </w:rPr>
        <w:t xml:space="preserve"> Habran avait dirigée. Ce témoin avait d’abord revêtu la qualité d’indicateur – pour laquelle il s’était vu octroyer des primes </w:t>
      </w:r>
      <w:r w:rsidR="00FA2CF2" w:rsidRPr="0001496F">
        <w:rPr>
          <w:rFonts w:ascii="Times New Roman" w:hAnsi="Times New Roman" w:cs="Times New Roman"/>
          <w:lang w:eastAsia="ja-JP"/>
        </w:rPr>
        <w:t>–</w:t>
      </w:r>
      <w:r w:rsidRPr="0001496F">
        <w:rPr>
          <w:rFonts w:ascii="Times New Roman" w:hAnsi="Times New Roman" w:cs="Times New Roman"/>
          <w:lang w:eastAsia="ja-JP"/>
        </w:rPr>
        <w:t xml:space="preserve"> avant d’end</w:t>
      </w:r>
      <w:r w:rsidR="00FA2CF2" w:rsidRPr="0001496F">
        <w:rPr>
          <w:rFonts w:ascii="Times New Roman" w:hAnsi="Times New Roman" w:cs="Times New Roman"/>
          <w:lang w:eastAsia="ja-JP"/>
        </w:rPr>
        <w:t>osser celle de témoin –</w:t>
      </w:r>
      <w:r w:rsidRPr="0001496F">
        <w:rPr>
          <w:rFonts w:ascii="Times New Roman" w:hAnsi="Times New Roman" w:cs="Times New Roman"/>
          <w:lang w:eastAsia="ja-JP"/>
        </w:rPr>
        <w:t xml:space="preserve"> pour laquelle il avait reçu une</w:t>
      </w:r>
      <w:r w:rsidR="00B073BA" w:rsidRPr="0001496F">
        <w:rPr>
          <w:rFonts w:ascii="Times New Roman" w:hAnsi="Times New Roman" w:cs="Times New Roman"/>
          <w:lang w:eastAsia="ja-JP"/>
        </w:rPr>
        <w:t xml:space="preserve"> </w:t>
      </w:r>
      <w:r w:rsidRPr="0001496F">
        <w:rPr>
          <w:rFonts w:ascii="Times New Roman" w:hAnsi="Times New Roman" w:cs="Times New Roman"/>
          <w:lang w:eastAsia="ja-JP"/>
        </w:rPr>
        <w:t>aide financière dans le cadre d</w:t>
      </w:r>
      <w:r w:rsidR="001A61E8" w:rsidRPr="0001496F">
        <w:rPr>
          <w:rFonts w:ascii="Times New Roman" w:hAnsi="Times New Roman" w:cs="Times New Roman"/>
          <w:lang w:eastAsia="ja-JP"/>
        </w:rPr>
        <w:t xml:space="preserve">es mesures de protection </w:t>
      </w:r>
      <w:r w:rsidRPr="0001496F">
        <w:rPr>
          <w:rFonts w:ascii="Times New Roman" w:hAnsi="Times New Roman" w:cs="Times New Roman"/>
          <w:lang w:eastAsia="ja-JP"/>
        </w:rPr>
        <w:t>des témoins menacés</w:t>
      </w:r>
      <w:r w:rsidR="001A61E8" w:rsidRPr="0001496F">
        <w:rPr>
          <w:rFonts w:ascii="Times New Roman" w:hAnsi="Times New Roman" w:cs="Times New Roman"/>
          <w:lang w:eastAsia="ja-JP"/>
        </w:rPr>
        <w:t xml:space="preserve"> (C. i. cr., art. 102 à 111)</w:t>
      </w:r>
      <w:r w:rsidRPr="0001496F">
        <w:rPr>
          <w:rFonts w:ascii="Times New Roman" w:hAnsi="Times New Roman" w:cs="Times New Roman"/>
          <w:lang w:eastAsia="ja-JP"/>
        </w:rPr>
        <w:t>.</w:t>
      </w:r>
    </w:p>
    <w:p w14:paraId="527FD2A0" w14:textId="77777777" w:rsidR="000C63D9" w:rsidRPr="0001496F" w:rsidRDefault="000C63D9" w:rsidP="0001496F">
      <w:pPr>
        <w:jc w:val="both"/>
        <w:rPr>
          <w:rFonts w:ascii="Times New Roman" w:hAnsi="Times New Roman" w:cs="Times New Roman"/>
          <w:lang w:eastAsia="ja-JP"/>
        </w:rPr>
      </w:pPr>
    </w:p>
    <w:p w14:paraId="0CC014D4" w14:textId="012B39C9" w:rsidR="000C63D9" w:rsidRPr="0001496F" w:rsidRDefault="000C63D9" w:rsidP="0001496F">
      <w:pPr>
        <w:jc w:val="both"/>
        <w:rPr>
          <w:rFonts w:ascii="Times New Roman" w:hAnsi="Times New Roman" w:cs="Times New Roman"/>
          <w:lang w:eastAsia="ja-JP"/>
        </w:rPr>
      </w:pPr>
      <w:r w:rsidRPr="0001496F">
        <w:rPr>
          <w:rFonts w:ascii="Times New Roman" w:hAnsi="Times New Roman" w:cs="Times New Roman"/>
          <w:lang w:eastAsia="ja-JP"/>
        </w:rPr>
        <w:lastRenderedPageBreak/>
        <w:t>Devant la Cour de cassation, Mr</w:t>
      </w:r>
      <w:r w:rsidR="00740397" w:rsidRPr="0001496F">
        <w:rPr>
          <w:rFonts w:ascii="Times New Roman" w:hAnsi="Times New Roman" w:cs="Times New Roman"/>
          <w:lang w:eastAsia="ja-JP"/>
        </w:rPr>
        <w:t>.</w:t>
      </w:r>
      <w:r w:rsidRPr="0001496F">
        <w:rPr>
          <w:rFonts w:ascii="Times New Roman" w:hAnsi="Times New Roman" w:cs="Times New Roman"/>
          <w:lang w:eastAsia="ja-JP"/>
        </w:rPr>
        <w:t xml:space="preserve"> Habran et d’autres prévenus ont mis en cause la validité du témoignage sous l’angle du droit à un procès équitable</w:t>
      </w:r>
      <w:r w:rsidRPr="0001496F">
        <w:rPr>
          <w:rStyle w:val="Appelnotedebasdep"/>
          <w:rFonts w:ascii="Times New Roman" w:hAnsi="Times New Roman" w:cs="Times New Roman"/>
          <w:lang w:eastAsia="ja-JP"/>
        </w:rPr>
        <w:footnoteReference w:id="99"/>
      </w:r>
      <w:r w:rsidRPr="0001496F">
        <w:rPr>
          <w:rFonts w:ascii="Times New Roman" w:hAnsi="Times New Roman" w:cs="Times New Roman"/>
          <w:lang w:eastAsia="ja-JP"/>
        </w:rPr>
        <w:t>. La Cour de cassation a examiné le recours sous l’angle de trois moyens</w:t>
      </w:r>
      <w:r w:rsidRPr="0001496F">
        <w:rPr>
          <w:rStyle w:val="Appelnotedebasdep"/>
          <w:rFonts w:ascii="Times New Roman" w:hAnsi="Times New Roman" w:cs="Times New Roman"/>
          <w:lang w:eastAsia="ja-JP"/>
        </w:rPr>
        <w:footnoteReference w:id="100"/>
      </w:r>
      <w:r w:rsidRPr="0001496F">
        <w:rPr>
          <w:rFonts w:ascii="Times New Roman" w:hAnsi="Times New Roman" w:cs="Times New Roman"/>
          <w:lang w:eastAsia="ja-JP"/>
        </w:rPr>
        <w:t>.</w:t>
      </w:r>
    </w:p>
    <w:p w14:paraId="3FEBAE2E" w14:textId="77777777" w:rsidR="000C63D9" w:rsidRPr="0001496F" w:rsidRDefault="000C63D9" w:rsidP="0001496F">
      <w:pPr>
        <w:jc w:val="both"/>
        <w:rPr>
          <w:rFonts w:ascii="Times New Roman" w:hAnsi="Times New Roman" w:cs="Times New Roman"/>
          <w:lang w:eastAsia="ja-JP"/>
        </w:rPr>
      </w:pPr>
    </w:p>
    <w:p w14:paraId="4F85F825" w14:textId="5914B338" w:rsidR="000C63D9" w:rsidRPr="0001496F" w:rsidRDefault="000C63D9" w:rsidP="0001496F">
      <w:pPr>
        <w:jc w:val="both"/>
        <w:rPr>
          <w:rFonts w:ascii="Times New Roman" w:hAnsi="Times New Roman" w:cs="Times New Roman"/>
          <w:lang w:eastAsia="ja-JP"/>
        </w:rPr>
      </w:pPr>
      <w:r w:rsidRPr="0001496F">
        <w:rPr>
          <w:rFonts w:ascii="Times New Roman" w:hAnsi="Times New Roman" w:cs="Times New Roman"/>
          <w:lang w:eastAsia="ja-JP"/>
        </w:rPr>
        <w:t>Sous l’angle du procès équitable, la Cour estime qu</w:t>
      </w:r>
      <w:proofErr w:type="gramStart"/>
      <w:r w:rsidRPr="0001496F">
        <w:rPr>
          <w:rFonts w:ascii="Times New Roman" w:hAnsi="Times New Roman" w:cs="Times New Roman"/>
          <w:lang w:eastAsia="ja-JP"/>
        </w:rPr>
        <w:t>’«</w:t>
      </w:r>
      <w:proofErr w:type="gramEnd"/>
      <w:r w:rsidRPr="0001496F">
        <w:rPr>
          <w:rFonts w:ascii="Times New Roman" w:hAnsi="Times New Roman" w:cs="Times New Roman"/>
          <w:lang w:eastAsia="ja-JP"/>
        </w:rPr>
        <w:t xml:space="preserve"> il appartient au juge du fond de mesurer l’incidence, sur la valeur probante d’un témoignage, de la vénalité prêtée au mobile qui l’inspire </w:t>
      </w:r>
      <w:r w:rsidR="00FA2CF2" w:rsidRPr="0001496F">
        <w:rPr>
          <w:rFonts w:ascii="Times New Roman" w:hAnsi="Times New Roman" w:cs="Times New Roman"/>
          <w:lang w:eastAsia="ja-JP"/>
        </w:rPr>
        <w:t>[car]</w:t>
      </w:r>
      <w:r w:rsidRPr="0001496F">
        <w:rPr>
          <w:rFonts w:ascii="Times New Roman" w:hAnsi="Times New Roman" w:cs="Times New Roman"/>
          <w:lang w:eastAsia="ja-JP"/>
        </w:rPr>
        <w:t> les motifs qui poussent un témoin à déposer peuvent faire douter de sa crédibilité sans, pour autant, rendre impossible la tenue d’un procès équitable »</w:t>
      </w:r>
      <w:r w:rsidR="00FA2CF2" w:rsidRPr="0001496F">
        <w:rPr>
          <w:rStyle w:val="Appelnotedebasdep"/>
          <w:rFonts w:ascii="Times New Roman" w:hAnsi="Times New Roman" w:cs="Times New Roman"/>
          <w:lang w:eastAsia="ja-JP"/>
        </w:rPr>
        <w:footnoteReference w:id="101"/>
      </w:r>
      <w:r w:rsidRPr="0001496F">
        <w:rPr>
          <w:rFonts w:ascii="Times New Roman" w:hAnsi="Times New Roman" w:cs="Times New Roman"/>
          <w:lang w:eastAsia="ja-JP"/>
        </w:rPr>
        <w:t>. Elle ajoute que l’article 6 de la C</w:t>
      </w:r>
      <w:r w:rsidR="00FA2CF2" w:rsidRPr="0001496F">
        <w:rPr>
          <w:rFonts w:ascii="Times New Roman" w:hAnsi="Times New Roman" w:cs="Times New Roman"/>
          <w:lang w:eastAsia="ja-JP"/>
        </w:rPr>
        <w:t>onvention européenne des droits de l’homme</w:t>
      </w:r>
      <w:r w:rsidRPr="0001496F">
        <w:rPr>
          <w:rFonts w:ascii="Times New Roman" w:hAnsi="Times New Roman" w:cs="Times New Roman"/>
          <w:lang w:eastAsia="ja-JP"/>
        </w:rPr>
        <w:t xml:space="preserve"> « n’interdit pas (…) au juge de puiser des preuves dans la déclaration d’un témoin protégé (…), et ce même si ce témoin est un indicateur ayant décidé, après avoir fourni des renseignements sous ce statut, de déposer ensuite officiellement en justice »</w:t>
      </w:r>
      <w:r w:rsidR="00D3445A" w:rsidRPr="0001496F">
        <w:rPr>
          <w:rStyle w:val="Appelnotedebasdep"/>
          <w:rFonts w:ascii="Times New Roman" w:hAnsi="Times New Roman" w:cs="Times New Roman"/>
          <w:lang w:eastAsia="ja-JP"/>
        </w:rPr>
        <w:footnoteReference w:id="102"/>
      </w:r>
      <w:r w:rsidRPr="0001496F">
        <w:rPr>
          <w:rFonts w:ascii="Times New Roman" w:hAnsi="Times New Roman" w:cs="Times New Roman"/>
          <w:lang w:eastAsia="ja-JP"/>
        </w:rPr>
        <w:t>.</w:t>
      </w:r>
    </w:p>
    <w:p w14:paraId="618D90AF" w14:textId="77777777" w:rsidR="000C63D9" w:rsidRPr="0001496F" w:rsidRDefault="000C63D9" w:rsidP="0001496F">
      <w:pPr>
        <w:jc w:val="both"/>
        <w:rPr>
          <w:rFonts w:ascii="Times New Roman" w:hAnsi="Times New Roman" w:cs="Times New Roman"/>
        </w:rPr>
      </w:pPr>
    </w:p>
    <w:p w14:paraId="0EF48356" w14:textId="2B1F2503" w:rsidR="000C63D9" w:rsidRPr="0001496F" w:rsidRDefault="000C63D9" w:rsidP="0001496F">
      <w:pPr>
        <w:jc w:val="both"/>
        <w:rPr>
          <w:rFonts w:ascii="Times New Roman" w:hAnsi="Times New Roman" w:cs="Times New Roman"/>
          <w:lang w:eastAsia="ja-JP"/>
        </w:rPr>
      </w:pPr>
      <w:r w:rsidRPr="0001496F">
        <w:rPr>
          <w:rFonts w:ascii="Times New Roman" w:hAnsi="Times New Roman" w:cs="Times New Roman"/>
          <w:lang w:eastAsia="ja-JP"/>
        </w:rPr>
        <w:t>Sous l’angle des droits de la défense, la Cour considère que « la déposition officielle d’une personne ayant précédemment fourni des renseignements sous le statut d’indicateur ne viole pas le principe général du droit relatif au respect des droits de la défense, dès lors qu’elle a pour effet de soumettre le témoignage à la contradiction des parties et à la publicité des débats »</w:t>
      </w:r>
      <w:r w:rsidR="00D3445A" w:rsidRPr="0001496F">
        <w:rPr>
          <w:rStyle w:val="Appelnotedebasdep"/>
          <w:rFonts w:ascii="Times New Roman" w:hAnsi="Times New Roman" w:cs="Times New Roman"/>
          <w:lang w:eastAsia="ja-JP"/>
        </w:rPr>
        <w:footnoteReference w:id="103"/>
      </w:r>
      <w:r w:rsidRPr="0001496F">
        <w:rPr>
          <w:rFonts w:ascii="Times New Roman" w:hAnsi="Times New Roman" w:cs="Times New Roman"/>
          <w:lang w:eastAsia="ja-JP"/>
        </w:rPr>
        <w:t>.</w:t>
      </w:r>
    </w:p>
    <w:p w14:paraId="555F3416" w14:textId="77777777" w:rsidR="000C63D9" w:rsidRPr="0001496F" w:rsidRDefault="000C63D9" w:rsidP="0001496F">
      <w:pPr>
        <w:jc w:val="both"/>
        <w:rPr>
          <w:rFonts w:ascii="Times New Roman" w:hAnsi="Times New Roman" w:cs="Times New Roman"/>
          <w:lang w:eastAsia="ja-JP"/>
        </w:rPr>
      </w:pPr>
    </w:p>
    <w:p w14:paraId="405E1286" w14:textId="226652A7" w:rsidR="000C63D9" w:rsidRPr="0001496F" w:rsidRDefault="000C63D9" w:rsidP="0001496F">
      <w:pPr>
        <w:jc w:val="both"/>
        <w:rPr>
          <w:rFonts w:ascii="Times New Roman" w:hAnsi="Times New Roman" w:cs="Times New Roman"/>
          <w:lang w:eastAsia="ja-JP"/>
        </w:rPr>
      </w:pPr>
      <w:r w:rsidRPr="0001496F">
        <w:rPr>
          <w:rFonts w:ascii="Times New Roman" w:hAnsi="Times New Roman" w:cs="Times New Roman"/>
          <w:lang w:eastAsia="ja-JP"/>
        </w:rPr>
        <w:t>Enfin, concernant la loyauté dans l’administration de la preuve, la Cour précise que « la prise en considération du témoignage d’un ancien indicateur ne porte pas atteinte, en soi, au principe général du droit relatif à la loyauté de la preuve en matière répressive », ceci même si « cette personne, mise en danger à la suite des déclarations faites ou à faire, a bénéficié pour ce motif des mesures de protection et d’aide financière prévues par la loi »</w:t>
      </w:r>
      <w:r w:rsidR="00D3445A" w:rsidRPr="0001496F">
        <w:rPr>
          <w:rStyle w:val="Appelnotedebasdep"/>
          <w:rFonts w:ascii="Times New Roman" w:hAnsi="Times New Roman" w:cs="Times New Roman"/>
          <w:lang w:eastAsia="ja-JP"/>
        </w:rPr>
        <w:footnoteReference w:id="104"/>
      </w:r>
      <w:r w:rsidRPr="0001496F">
        <w:rPr>
          <w:rFonts w:ascii="Times New Roman" w:hAnsi="Times New Roman" w:cs="Times New Roman"/>
          <w:lang w:eastAsia="ja-JP"/>
        </w:rPr>
        <w:t>.</w:t>
      </w:r>
    </w:p>
    <w:p w14:paraId="73F9730C" w14:textId="77777777" w:rsidR="000C63D9" w:rsidRPr="0001496F" w:rsidRDefault="000C63D9" w:rsidP="0001496F">
      <w:pPr>
        <w:jc w:val="both"/>
        <w:rPr>
          <w:rFonts w:ascii="Times New Roman" w:hAnsi="Times New Roman" w:cs="Times New Roman"/>
          <w:lang w:eastAsia="ja-JP"/>
        </w:rPr>
      </w:pPr>
    </w:p>
    <w:p w14:paraId="43BF816E" w14:textId="53F8C3EB" w:rsidR="000C63D9" w:rsidRPr="0001496F" w:rsidRDefault="000C63D9" w:rsidP="0001496F">
      <w:pPr>
        <w:jc w:val="both"/>
        <w:rPr>
          <w:rFonts w:ascii="Times New Roman" w:hAnsi="Times New Roman" w:cs="Times New Roman"/>
        </w:rPr>
      </w:pPr>
      <w:r w:rsidRPr="0001496F">
        <w:rPr>
          <w:rFonts w:ascii="Times New Roman" w:hAnsi="Times New Roman" w:cs="Times New Roman"/>
          <w:lang w:eastAsia="ja-JP"/>
        </w:rPr>
        <w:t>L’affaire a été portée devant la Cour européenne des droits de l’homme</w:t>
      </w:r>
      <w:r w:rsidRPr="0001496F">
        <w:rPr>
          <w:rStyle w:val="Appelnotedebasdep"/>
          <w:rFonts w:ascii="Times New Roman" w:hAnsi="Times New Roman" w:cs="Times New Roman"/>
          <w:lang w:eastAsia="ja-JP"/>
        </w:rPr>
        <w:footnoteReference w:id="105"/>
      </w:r>
      <w:r w:rsidRPr="0001496F">
        <w:rPr>
          <w:rFonts w:ascii="Times New Roman" w:hAnsi="Times New Roman" w:cs="Times New Roman"/>
          <w:lang w:eastAsia="ja-JP"/>
        </w:rPr>
        <w:t>. Mr</w:t>
      </w:r>
      <w:r w:rsidR="00706D32" w:rsidRPr="0001496F">
        <w:rPr>
          <w:rFonts w:ascii="Times New Roman" w:hAnsi="Times New Roman" w:cs="Times New Roman"/>
          <w:lang w:eastAsia="ja-JP"/>
        </w:rPr>
        <w:t>.</w:t>
      </w:r>
      <w:r w:rsidR="000C4723" w:rsidRPr="0001496F">
        <w:rPr>
          <w:rFonts w:ascii="Times New Roman" w:hAnsi="Times New Roman" w:cs="Times New Roman"/>
          <w:lang w:eastAsia="ja-JP"/>
        </w:rPr>
        <w:t xml:space="preserve"> Habran</w:t>
      </w:r>
      <w:r w:rsidR="00F34293" w:rsidRPr="0001496F">
        <w:rPr>
          <w:rFonts w:ascii="Times New Roman" w:hAnsi="Times New Roman" w:cs="Times New Roman"/>
          <w:lang w:eastAsia="ja-JP"/>
        </w:rPr>
        <w:t>, entre autres,</w:t>
      </w:r>
      <w:r w:rsidRPr="0001496F">
        <w:rPr>
          <w:rFonts w:ascii="Times New Roman" w:hAnsi="Times New Roman" w:cs="Times New Roman"/>
          <w:lang w:eastAsia="ja-JP"/>
        </w:rPr>
        <w:t xml:space="preserve"> </w:t>
      </w:r>
      <w:r w:rsidR="000C4723" w:rsidRPr="0001496F">
        <w:rPr>
          <w:rFonts w:ascii="Times New Roman" w:hAnsi="Times New Roman" w:cs="Times New Roman"/>
        </w:rPr>
        <w:t>soutenait</w:t>
      </w:r>
      <w:r w:rsidRPr="0001496F">
        <w:rPr>
          <w:rFonts w:ascii="Times New Roman" w:hAnsi="Times New Roman" w:cs="Times New Roman"/>
        </w:rPr>
        <w:t xml:space="preserve"> que les témoignages litigieux, n’avaient aucune valeur probante, parce qu’obtenus en dehors de tout cadre légal, émanant d’indicateurs « repentis » dont la collaboration avec la justice avait été négociée confidentiellement en échange d’avantages par les autorités de poursuite. Pour </w:t>
      </w:r>
      <w:r w:rsidR="00F34293" w:rsidRPr="0001496F">
        <w:rPr>
          <w:rFonts w:ascii="Times New Roman" w:hAnsi="Times New Roman" w:cs="Times New Roman"/>
        </w:rPr>
        <w:t>les requérants</w:t>
      </w:r>
      <w:r w:rsidRPr="0001496F">
        <w:rPr>
          <w:rFonts w:ascii="Times New Roman" w:hAnsi="Times New Roman" w:cs="Times New Roman"/>
        </w:rPr>
        <w:t>, la non-divulgation des échanges entre les autorités de poursuite et d’enquête et les témoins litigieux avant qu’ils ne témoignent officiellement a empêché la Cour d’assises de vérifier la crédibilité et la fiabilité des éléments de preuve retenus contre eux. Elle a en outre empêché de constater que ces éléments avaient été négociés par lesdites autorités en échange d’avantages pénaux</w:t>
      </w:r>
      <w:r w:rsidRPr="0001496F">
        <w:rPr>
          <w:rStyle w:val="Appelnotedebasdep"/>
          <w:rFonts w:ascii="Times New Roman" w:hAnsi="Times New Roman" w:cs="Times New Roman"/>
        </w:rPr>
        <w:footnoteReference w:id="106"/>
      </w:r>
      <w:r w:rsidRPr="0001496F">
        <w:rPr>
          <w:rFonts w:ascii="Times New Roman" w:hAnsi="Times New Roman" w:cs="Times New Roman"/>
        </w:rPr>
        <w:t>. Les demandeurs estimaient donc qu’il y avait eu violation de l’article 6 de la Convention (droit à un procès équitable).</w:t>
      </w:r>
    </w:p>
    <w:p w14:paraId="24D52C5C" w14:textId="77777777" w:rsidR="000C63D9" w:rsidRPr="0001496F" w:rsidRDefault="000C63D9" w:rsidP="0001496F">
      <w:pPr>
        <w:jc w:val="both"/>
        <w:rPr>
          <w:rFonts w:ascii="Times New Roman" w:hAnsi="Times New Roman" w:cs="Times New Roman"/>
        </w:rPr>
      </w:pPr>
    </w:p>
    <w:p w14:paraId="21137F45" w14:textId="67E56DCD"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Cour européenne des droits de l’homme c</w:t>
      </w:r>
      <w:r w:rsidR="007029D6" w:rsidRPr="0001496F">
        <w:rPr>
          <w:rFonts w:ascii="Times New Roman" w:hAnsi="Times New Roman" w:cs="Times New Roman"/>
        </w:rPr>
        <w:t>ommence</w:t>
      </w:r>
      <w:r w:rsidRPr="0001496F">
        <w:rPr>
          <w:rFonts w:ascii="Times New Roman" w:hAnsi="Times New Roman" w:cs="Times New Roman"/>
        </w:rPr>
        <w:t xml:space="preserve"> par rappeler que « l’utilisation de déclarations faites par des témoins en échange d’une immunité ou d’autres avantages peut compromettre l’équité de la procédure », en raison des risques de manipulation que soulèvent des déclarations susceptibles d’être faites « uniquement en vue d’obtenir des avantages en échange ou à ti</w:t>
      </w:r>
      <w:r w:rsidR="00D73F11" w:rsidRPr="0001496F">
        <w:rPr>
          <w:rFonts w:ascii="Times New Roman" w:hAnsi="Times New Roman" w:cs="Times New Roman"/>
        </w:rPr>
        <w:t>t</w:t>
      </w:r>
      <w:r w:rsidRPr="0001496F">
        <w:rPr>
          <w:rFonts w:ascii="Times New Roman" w:hAnsi="Times New Roman" w:cs="Times New Roman"/>
        </w:rPr>
        <w:t>re de vengeance personnelle »</w:t>
      </w:r>
      <w:r w:rsidRPr="0001496F">
        <w:rPr>
          <w:rStyle w:val="Appelnotedebasdep"/>
          <w:rFonts w:ascii="Times New Roman" w:hAnsi="Times New Roman" w:cs="Times New Roman"/>
        </w:rPr>
        <w:t xml:space="preserve"> </w:t>
      </w:r>
      <w:r w:rsidRPr="0001496F">
        <w:rPr>
          <w:rStyle w:val="Appelnotedebasdep"/>
          <w:rFonts w:ascii="Times New Roman" w:hAnsi="Times New Roman" w:cs="Times New Roman"/>
        </w:rPr>
        <w:footnoteReference w:id="107"/>
      </w:r>
      <w:r w:rsidRPr="0001496F">
        <w:rPr>
          <w:rFonts w:ascii="Times New Roman" w:hAnsi="Times New Roman" w:cs="Times New Roman"/>
        </w:rPr>
        <w:t xml:space="preserve">. Et la Cour de poursuivre en estimant que « les </w:t>
      </w:r>
      <w:r w:rsidRPr="0001496F">
        <w:rPr>
          <w:rFonts w:ascii="Times New Roman" w:hAnsi="Times New Roman" w:cs="Times New Roman"/>
        </w:rPr>
        <w:lastRenderedPageBreak/>
        <w:t>requérants ont pu légitimement se demander si leur accusation et leur condamnation ne reposaient pas sur des allégations qui n’avaient pas été pleinement vérifiées »</w:t>
      </w:r>
      <w:r w:rsidRPr="0001496F">
        <w:rPr>
          <w:rStyle w:val="Appelnotedebasdep"/>
          <w:rFonts w:ascii="Times New Roman" w:hAnsi="Times New Roman" w:cs="Times New Roman"/>
        </w:rPr>
        <w:footnoteReference w:id="108"/>
      </w:r>
      <w:r w:rsidRPr="0001496F">
        <w:rPr>
          <w:rFonts w:ascii="Times New Roman" w:hAnsi="Times New Roman" w:cs="Times New Roman"/>
        </w:rPr>
        <w:t>.</w:t>
      </w:r>
    </w:p>
    <w:p w14:paraId="0406363D" w14:textId="77777777" w:rsidR="000C63D9" w:rsidRPr="0001496F" w:rsidRDefault="000C63D9" w:rsidP="0001496F">
      <w:pPr>
        <w:jc w:val="both"/>
        <w:rPr>
          <w:rFonts w:ascii="Times New Roman" w:hAnsi="Times New Roman" w:cs="Times New Roman"/>
        </w:rPr>
      </w:pPr>
    </w:p>
    <w:p w14:paraId="7D5B702A" w14:textId="3C78E81A" w:rsidR="000C63D9" w:rsidRPr="0001496F" w:rsidRDefault="000C63D9" w:rsidP="0001496F">
      <w:pPr>
        <w:jc w:val="both"/>
        <w:rPr>
          <w:rFonts w:ascii="Times New Roman" w:hAnsi="Times New Roman" w:cs="Times New Roman"/>
        </w:rPr>
      </w:pPr>
      <w:r w:rsidRPr="0001496F">
        <w:rPr>
          <w:rFonts w:ascii="Times New Roman" w:hAnsi="Times New Roman" w:cs="Times New Roman"/>
        </w:rPr>
        <w:t>Toutefois, la Cour rappelle aussi que «</w:t>
      </w:r>
      <w:r w:rsidR="00B073BA" w:rsidRPr="0001496F">
        <w:rPr>
          <w:rFonts w:ascii="Times New Roman" w:hAnsi="Times New Roman" w:cs="Times New Roman"/>
        </w:rPr>
        <w:t xml:space="preserve"> </w:t>
      </w:r>
      <w:r w:rsidRPr="0001496F">
        <w:rPr>
          <w:rFonts w:ascii="Times New Roman" w:hAnsi="Times New Roman" w:cs="Times New Roman"/>
        </w:rPr>
        <w:t>la Convention n’empêche pas de s’appuyer au stade de l’enquête préliminaire, et lorsque la nature de l’infraction peut le justifier, sur des sources telles que des indicateurs anonymes », mais que l’emploi ultérieur de telles sources par le juge du fond pour fonder une condamnation « n’est acceptable que s’il est entouré de garanties adéquates et suffisantes contre les abus et notamment d’une procédure claire et prévisible pour autoriser, exécuter et contrôler les mesures d’investigation dont il s’agit »</w:t>
      </w:r>
      <w:r w:rsidRPr="0001496F">
        <w:rPr>
          <w:rStyle w:val="Appelnotedebasdep"/>
          <w:rFonts w:ascii="Times New Roman" w:hAnsi="Times New Roman" w:cs="Times New Roman"/>
        </w:rPr>
        <w:footnoteReference w:id="109"/>
      </w:r>
      <w:r w:rsidR="007029D6" w:rsidRPr="0001496F">
        <w:rPr>
          <w:rFonts w:ascii="Times New Roman" w:hAnsi="Times New Roman" w:cs="Times New Roman"/>
        </w:rPr>
        <w:t>. En l’espèce, la Cour relève</w:t>
      </w:r>
      <w:r w:rsidRPr="0001496F">
        <w:rPr>
          <w:rFonts w:ascii="Times New Roman" w:hAnsi="Times New Roman" w:cs="Times New Roman"/>
        </w:rPr>
        <w:t xml:space="preserve"> que les témoins en cause n’ont pas bénéficié de l’anonymat, que leur identité était connue des requérants et que leurs dépositions officielles figuraient parmi les pièces du dossier répressif, accessible à la défense (§ 104) ; qu’au cours des débats devant la cour d’assises, un des témoins, était présent, a fait l’objet d’une audition et a pu faire l’objet d’un contre-interrogatoire par la défense (§ 107) ; que si l’autre témoin, étant décédé, n’a pas pu être interrogé, ses dépositions ont été lues aux jurés par le président (§ 108) ; que les déclarations de ces deux témoins étaient concordantes, alors que leurs sources étaient différentes (§ 110) et que les requérants n’ont pas été empêchés de contester la fiabilité des témoins ni le contenu et la crédibilité de leurs dépositions, et ce tout au long de la procédure (§ 113).</w:t>
      </w:r>
      <w:r w:rsidR="00B073BA" w:rsidRPr="0001496F">
        <w:rPr>
          <w:rFonts w:ascii="Times New Roman" w:hAnsi="Times New Roman" w:cs="Times New Roman"/>
        </w:rPr>
        <w:t xml:space="preserve"> </w:t>
      </w:r>
      <w:r w:rsidRPr="0001496F">
        <w:rPr>
          <w:rFonts w:ascii="Times New Roman" w:hAnsi="Times New Roman" w:cs="Times New Roman"/>
        </w:rPr>
        <w:t xml:space="preserve">Elle note enfin que d’autres éléments, tels la balistique ou d’autres témoignages « non-suspects », concordants avec ceux des témoins ont été pris en considération pour condamner les requérants (§ 105). </w:t>
      </w:r>
    </w:p>
    <w:p w14:paraId="37EAE954" w14:textId="77777777" w:rsidR="000C63D9" w:rsidRPr="0001496F" w:rsidRDefault="000C63D9" w:rsidP="0001496F">
      <w:pPr>
        <w:jc w:val="both"/>
        <w:rPr>
          <w:rFonts w:ascii="Times New Roman" w:hAnsi="Times New Roman" w:cs="Times New Roman"/>
        </w:rPr>
      </w:pPr>
    </w:p>
    <w:p w14:paraId="4A060EE9" w14:textId="37D2EB53"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La Cour en conclut que la procédure dans son ensemble a été entourée de garanties suffisamment solides et n’a pas porté atteinte au droit à un procès équitable. </w:t>
      </w:r>
    </w:p>
    <w:p w14:paraId="6576E0DA" w14:textId="77777777" w:rsidR="000C63D9" w:rsidRPr="0001496F" w:rsidRDefault="000C63D9" w:rsidP="0001496F">
      <w:pPr>
        <w:jc w:val="both"/>
        <w:rPr>
          <w:rFonts w:ascii="Times New Roman" w:hAnsi="Times New Roman" w:cs="Times New Roman"/>
        </w:rPr>
      </w:pPr>
    </w:p>
    <w:p w14:paraId="292C144C" w14:textId="7C7BDD00" w:rsidR="000C63D9" w:rsidRPr="0001496F" w:rsidRDefault="009438E6" w:rsidP="0001496F">
      <w:pPr>
        <w:jc w:val="both"/>
        <w:rPr>
          <w:rFonts w:ascii="Times New Roman" w:hAnsi="Times New Roman" w:cs="Times New Roman"/>
        </w:rPr>
      </w:pPr>
      <w:r w:rsidRPr="0001496F">
        <w:rPr>
          <w:rFonts w:ascii="Times New Roman" w:hAnsi="Times New Roman" w:cs="Times New Roman"/>
        </w:rPr>
        <w:t xml:space="preserve">1.3. </w:t>
      </w:r>
      <w:r w:rsidR="000C63D9" w:rsidRPr="0001496F">
        <w:rPr>
          <w:rFonts w:ascii="Times New Roman" w:hAnsi="Times New Roman" w:cs="Times New Roman"/>
        </w:rPr>
        <w:t>Conclusion</w:t>
      </w:r>
    </w:p>
    <w:p w14:paraId="1B1380DA" w14:textId="77777777" w:rsidR="000C63D9" w:rsidRPr="0001496F" w:rsidRDefault="000C63D9" w:rsidP="0001496F">
      <w:pPr>
        <w:jc w:val="both"/>
        <w:rPr>
          <w:rFonts w:ascii="Times New Roman" w:hAnsi="Times New Roman" w:cs="Times New Roman"/>
          <w:b/>
        </w:rPr>
      </w:pPr>
    </w:p>
    <w:p w14:paraId="5642EB7C" w14:textId="412DBF2B" w:rsidR="000C63D9" w:rsidRPr="0001496F" w:rsidRDefault="000C63D9" w:rsidP="0001496F">
      <w:pPr>
        <w:jc w:val="both"/>
        <w:rPr>
          <w:rFonts w:ascii="Times New Roman" w:hAnsi="Times New Roman" w:cs="Times New Roman"/>
        </w:rPr>
      </w:pPr>
      <w:r w:rsidRPr="0001496F">
        <w:rPr>
          <w:rFonts w:ascii="Times New Roman" w:hAnsi="Times New Roman" w:cs="Times New Roman"/>
        </w:rPr>
        <w:t>Depuis 1995 et devant les impasses qu’affronte la justice pénale belge dans sa tentative d’élucidation des tueries du Brabant wallon qui ont eu lieu une dizaine d’années plus tôt, on</w:t>
      </w:r>
      <w:r w:rsidR="00B073BA" w:rsidRPr="0001496F">
        <w:rPr>
          <w:rFonts w:ascii="Times New Roman" w:hAnsi="Times New Roman" w:cs="Times New Roman"/>
        </w:rPr>
        <w:t xml:space="preserve"> </w:t>
      </w:r>
      <w:r w:rsidRPr="0001496F">
        <w:rPr>
          <w:rFonts w:ascii="Times New Roman" w:hAnsi="Times New Roman" w:cs="Times New Roman"/>
        </w:rPr>
        <w:t>assiste à une lente mais néanmoins</w:t>
      </w:r>
      <w:r w:rsidR="00B073BA" w:rsidRPr="0001496F">
        <w:rPr>
          <w:rFonts w:ascii="Times New Roman" w:hAnsi="Times New Roman" w:cs="Times New Roman"/>
        </w:rPr>
        <w:t xml:space="preserve"> </w:t>
      </w:r>
      <w:r w:rsidRPr="0001496F">
        <w:rPr>
          <w:rFonts w:ascii="Times New Roman" w:hAnsi="Times New Roman" w:cs="Times New Roman"/>
        </w:rPr>
        <w:t>« irrésistible ascension des repentis et/ou collaborateurs de justice dans le système pénal</w:t>
      </w:r>
      <w:r w:rsidR="00D35C7D" w:rsidRPr="0001496F">
        <w:rPr>
          <w:rFonts w:ascii="Times New Roman" w:hAnsi="Times New Roman" w:cs="Times New Roman"/>
        </w:rPr>
        <w:t> »</w:t>
      </w:r>
      <w:r w:rsidRPr="0001496F">
        <w:rPr>
          <w:rStyle w:val="Appelnotedebasdep"/>
          <w:rFonts w:ascii="Times New Roman" w:hAnsi="Times New Roman" w:cs="Times New Roman"/>
        </w:rPr>
        <w:footnoteReference w:id="110"/>
      </w:r>
      <w:r w:rsidRPr="0001496F">
        <w:rPr>
          <w:rFonts w:ascii="Times New Roman" w:hAnsi="Times New Roman" w:cs="Times New Roman"/>
        </w:rPr>
        <w:t>. Sur le plan légistique, le tournant est amorcé par l’avant</w:t>
      </w:r>
      <w:r w:rsidR="007029D6" w:rsidRPr="0001496F">
        <w:rPr>
          <w:rFonts w:ascii="Times New Roman" w:hAnsi="Times New Roman" w:cs="Times New Roman"/>
        </w:rPr>
        <w:t>-projet de loi du gouvernement</w:t>
      </w:r>
      <w:r w:rsidRPr="0001496F">
        <w:rPr>
          <w:rFonts w:ascii="Times New Roman" w:hAnsi="Times New Roman" w:cs="Times New Roman"/>
        </w:rPr>
        <w:t>, finalement présenté sous forme de proposition de loi pré</w:t>
      </w:r>
      <w:r w:rsidR="009A2A4A" w:rsidRPr="0001496F">
        <w:rPr>
          <w:rFonts w:ascii="Times New Roman" w:hAnsi="Times New Roman" w:cs="Times New Roman"/>
        </w:rPr>
        <w:t xml:space="preserve">sentée le 21 février 2002 par H. </w:t>
      </w:r>
      <w:r w:rsidRPr="0001496F">
        <w:rPr>
          <w:rFonts w:ascii="Times New Roman" w:hAnsi="Times New Roman" w:cs="Times New Roman"/>
        </w:rPr>
        <w:t xml:space="preserve">Coveliers et </w:t>
      </w:r>
      <w:r w:rsidR="009A2A4A" w:rsidRPr="0001496F">
        <w:rPr>
          <w:rFonts w:ascii="Times New Roman" w:hAnsi="Times New Roman" w:cs="Times New Roman"/>
        </w:rPr>
        <w:t xml:space="preserve">J. </w:t>
      </w:r>
      <w:r w:rsidRPr="0001496F">
        <w:rPr>
          <w:rFonts w:ascii="Times New Roman" w:hAnsi="Times New Roman" w:cs="Times New Roman"/>
        </w:rPr>
        <w:t xml:space="preserve">Herzet. Les grands principes du système sont ici posés et l’ensemble des propositions de loi ultérieures seront autant de (très légères) variations sur un même thème. D’un texte à l’autre, les divergences portent pour l’essentiel sur une question de terminologie (« repentis » ou « collaborateurs de justice »), le champ d’application matériel de la loi et la question du témoignage anonyme du repenti. </w:t>
      </w:r>
    </w:p>
    <w:p w14:paraId="6050C80A" w14:textId="77777777" w:rsidR="000C63D9" w:rsidRPr="0001496F" w:rsidRDefault="000C63D9" w:rsidP="0001496F">
      <w:pPr>
        <w:jc w:val="both"/>
        <w:rPr>
          <w:rFonts w:ascii="Times New Roman" w:hAnsi="Times New Roman" w:cs="Times New Roman"/>
        </w:rPr>
      </w:pPr>
    </w:p>
    <w:p w14:paraId="1617193A" w14:textId="5D1DEE72" w:rsidR="000C63D9" w:rsidRPr="0001496F" w:rsidRDefault="000C63D9" w:rsidP="0001496F">
      <w:pPr>
        <w:jc w:val="both"/>
        <w:rPr>
          <w:rFonts w:ascii="Times New Roman" w:hAnsi="Times New Roman" w:cs="Times New Roman"/>
        </w:rPr>
      </w:pPr>
      <w:r w:rsidRPr="0001496F">
        <w:rPr>
          <w:rFonts w:ascii="Times New Roman" w:hAnsi="Times New Roman" w:cs="Times New Roman"/>
        </w:rPr>
        <w:t>Sur un plan politique, il est frappant de constater que l’essentiel des propositions de loi émanent de députés néerlandophones, dépassant au Nord du pays les clivages des partis</w:t>
      </w:r>
      <w:r w:rsidR="009A2A4A" w:rsidRPr="0001496F">
        <w:rPr>
          <w:rFonts w:ascii="Times New Roman" w:hAnsi="Times New Roman" w:cs="Times New Roman"/>
        </w:rPr>
        <w:t xml:space="preserve"> politiques</w:t>
      </w:r>
      <w:r w:rsidRPr="0001496F">
        <w:rPr>
          <w:rFonts w:ascii="Times New Roman" w:hAnsi="Times New Roman" w:cs="Times New Roman"/>
        </w:rPr>
        <w:t xml:space="preserve">. De même, si chaque proposition fait état des objections éthiques que soulève l’adoption en justice pénale d’un dispositif reposant sur la délation, l’argument est aussitôt mis de côté face aux impératifs d’une répression efficace de la criminalité organisée. Les députés francophones sont, semble-t-il, nettement moins enthousiastes et peut-être plus sensibles aux éléments éthiques. Ce dissensus culturel explique sans doute que, malgré les propositions récurrentes, il faudra </w:t>
      </w:r>
      <w:r w:rsidRPr="0001496F">
        <w:rPr>
          <w:rFonts w:ascii="Times New Roman" w:hAnsi="Times New Roman" w:cs="Times New Roman"/>
        </w:rPr>
        <w:lastRenderedPageBreak/>
        <w:t>attendre 2018 pour qu’une loi en la matière soit finalement votée.</w:t>
      </w:r>
      <w:r w:rsidR="00B073BA" w:rsidRPr="0001496F">
        <w:rPr>
          <w:rFonts w:ascii="Times New Roman" w:hAnsi="Times New Roman" w:cs="Times New Roman"/>
        </w:rPr>
        <w:t xml:space="preserve"> </w:t>
      </w:r>
      <w:r w:rsidR="00965D70" w:rsidRPr="0001496F">
        <w:rPr>
          <w:rFonts w:ascii="Times New Roman" w:hAnsi="Times New Roman" w:cs="Times New Roman"/>
        </w:rPr>
        <w:t xml:space="preserve">Ce vote fut certainement facilité par le coup de pouce des autorités judiciaires et l’aval de la jurisprudence européenne. </w:t>
      </w:r>
    </w:p>
    <w:p w14:paraId="0F2F87A3" w14:textId="77777777" w:rsidR="000C63D9" w:rsidRPr="0001496F" w:rsidRDefault="000C63D9" w:rsidP="0001496F">
      <w:pPr>
        <w:jc w:val="both"/>
        <w:rPr>
          <w:rFonts w:ascii="Times New Roman" w:hAnsi="Times New Roman" w:cs="Times New Roman"/>
        </w:rPr>
      </w:pPr>
    </w:p>
    <w:p w14:paraId="2D732938" w14:textId="15D3E8E8"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Dans sa rédaction, cette loi sera partiellement influencée par la jurisprudence relative à la dénonciation comme cause d’excuse en matière de stupéfiants et la jurisprudence « Habran » relative à la recevabilité des preuves issues de déclarations obtenues en échange d’avantages octroyés au témoin. </w:t>
      </w:r>
    </w:p>
    <w:p w14:paraId="36011B3E" w14:textId="77777777" w:rsidR="000C63D9" w:rsidRPr="0001496F" w:rsidRDefault="000C63D9" w:rsidP="0001496F">
      <w:pPr>
        <w:jc w:val="both"/>
        <w:rPr>
          <w:rFonts w:ascii="Times New Roman" w:hAnsi="Times New Roman" w:cs="Times New Roman"/>
          <w:b/>
          <w:u w:val="single"/>
        </w:rPr>
      </w:pPr>
    </w:p>
    <w:p w14:paraId="637EE174" w14:textId="77777777" w:rsidR="000C63D9" w:rsidRPr="0001496F" w:rsidRDefault="000C63D9" w:rsidP="0001496F">
      <w:pPr>
        <w:jc w:val="both"/>
        <w:outlineLvl w:val="0"/>
        <w:rPr>
          <w:rFonts w:ascii="Times New Roman" w:hAnsi="Times New Roman" w:cs="Times New Roman"/>
          <w:b/>
          <w:u w:val="single"/>
        </w:rPr>
      </w:pPr>
      <w:r w:rsidRPr="0001496F">
        <w:rPr>
          <w:rFonts w:ascii="Times New Roman" w:hAnsi="Times New Roman" w:cs="Times New Roman"/>
          <w:b/>
          <w:u w:val="single"/>
        </w:rPr>
        <w:t>2. Législation actuelle</w:t>
      </w:r>
    </w:p>
    <w:p w14:paraId="159C075E" w14:textId="77777777" w:rsidR="000C63D9" w:rsidRPr="0001496F" w:rsidRDefault="000C63D9" w:rsidP="0001496F">
      <w:pPr>
        <w:jc w:val="both"/>
        <w:rPr>
          <w:rFonts w:ascii="Times New Roman" w:hAnsi="Times New Roman" w:cs="Times New Roman"/>
        </w:rPr>
      </w:pPr>
    </w:p>
    <w:p w14:paraId="10DA5770" w14:textId="7F93BC21"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Belgique a récemment introduit dans son arsenal législatif, par une loi du 22 juillet 2018, la possibilité pour un infracteur de collaborer avec la justice en échange d’une récompense de nature pénale</w:t>
      </w:r>
      <w:r w:rsidRPr="0001496F">
        <w:rPr>
          <w:rStyle w:val="Appelnotedebasdep"/>
          <w:rFonts w:ascii="Times New Roman" w:hAnsi="Times New Roman" w:cs="Times New Roman"/>
        </w:rPr>
        <w:footnoteReference w:id="111"/>
      </w:r>
      <w:r w:rsidRPr="0001496F">
        <w:rPr>
          <w:rFonts w:ascii="Times New Roman" w:hAnsi="Times New Roman" w:cs="Times New Roman"/>
        </w:rPr>
        <w:t xml:space="preserve">. Avant de présenter cette législation, quelques précisions terminologiques s’imposent. </w:t>
      </w:r>
    </w:p>
    <w:p w14:paraId="23591777" w14:textId="77777777" w:rsidR="000C63D9" w:rsidRPr="0001496F" w:rsidRDefault="000C63D9" w:rsidP="0001496F">
      <w:pPr>
        <w:jc w:val="both"/>
        <w:rPr>
          <w:rFonts w:ascii="Times New Roman" w:hAnsi="Times New Roman" w:cs="Times New Roman"/>
        </w:rPr>
      </w:pPr>
    </w:p>
    <w:p w14:paraId="2BE5F76A" w14:textId="387E3772" w:rsidR="000C63D9" w:rsidRPr="0001496F" w:rsidRDefault="000C63D9" w:rsidP="0001496F">
      <w:pPr>
        <w:jc w:val="both"/>
        <w:rPr>
          <w:rFonts w:ascii="Times New Roman" w:hAnsi="Times New Roman" w:cs="Times New Roman"/>
          <w:lang w:bidi="fr-FR"/>
        </w:rPr>
      </w:pPr>
      <w:r w:rsidRPr="0001496F">
        <w:rPr>
          <w:rFonts w:ascii="Times New Roman" w:hAnsi="Times New Roman" w:cs="Times New Roman"/>
          <w:lang w:bidi="fr-FR"/>
        </w:rPr>
        <w:t xml:space="preserve">Nous privilégierons le terme de « collaborateur de justice » à celui de « repenti », même si, le premier terme peut induire une forme de confusion dans la mesure où il couvre potentiellement un éventail plus large de situations de collaborations que celui envisagé par la loi du 22 juillet 2018. Mais le terme de « repenti » induit « </w:t>
      </w:r>
      <w:r w:rsidR="00BF2E86" w:rsidRPr="0001496F">
        <w:rPr>
          <w:rFonts w:ascii="Times New Roman" w:hAnsi="Times New Roman" w:cs="Times New Roman"/>
          <w:lang w:bidi="fr-FR"/>
        </w:rPr>
        <w:t>une forme de regret »</w:t>
      </w:r>
      <w:r w:rsidRPr="0001496F">
        <w:rPr>
          <w:rFonts w:ascii="Times New Roman" w:hAnsi="Times New Roman" w:cs="Times New Roman"/>
          <w:lang w:bidi="fr-FR"/>
        </w:rPr>
        <w:t xml:space="preserve"> dans le chef du collaborateur, un postulat qui, dans de nombreuses situations, semble fort contestable.</w:t>
      </w:r>
    </w:p>
    <w:p w14:paraId="3051666A" w14:textId="77777777" w:rsidR="000C63D9" w:rsidRPr="0001496F" w:rsidRDefault="000C63D9" w:rsidP="0001496F">
      <w:pPr>
        <w:jc w:val="both"/>
        <w:rPr>
          <w:rFonts w:ascii="Times New Roman" w:hAnsi="Times New Roman" w:cs="Times New Roman"/>
          <w:lang w:bidi="fr-FR"/>
        </w:rPr>
      </w:pPr>
    </w:p>
    <w:p w14:paraId="3DD2C03B"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lang w:bidi="fr-FR"/>
        </w:rPr>
        <w:t>Par ailleurs, pour préciser le type d’aide apportée par le collaborateur, nous qualifierons la collaboration de « procédurale »</w:t>
      </w:r>
      <w:r w:rsidRPr="0001496F">
        <w:rPr>
          <w:rStyle w:val="Appelnotedebasdep"/>
          <w:rFonts w:ascii="Times New Roman" w:hAnsi="Times New Roman" w:cs="Times New Roman"/>
          <w:lang w:bidi="fr-FR"/>
        </w:rPr>
        <w:footnoteReference w:id="112"/>
      </w:r>
      <w:r w:rsidRPr="0001496F">
        <w:rPr>
          <w:rFonts w:ascii="Times New Roman" w:hAnsi="Times New Roman" w:cs="Times New Roman"/>
          <w:lang w:bidi="fr-FR"/>
        </w:rPr>
        <w:t>. L’adjectif « procédural » fait référence au contenu de la collaboration : ce que l’on attend en effet du collaborateur de justice, c’est qu’il contribue « à l’administration de la justice pénale en aidant les autorités dans leur travail d’enquête et de recueil des preuves »</w:t>
      </w:r>
      <w:r w:rsidRPr="0001496F">
        <w:rPr>
          <w:rStyle w:val="Appelnotedebasdep"/>
          <w:rFonts w:ascii="Times New Roman" w:hAnsi="Times New Roman" w:cs="Times New Roman"/>
          <w:lang w:bidi="fr-FR"/>
        </w:rPr>
        <w:footnoteReference w:id="113"/>
      </w:r>
      <w:r w:rsidRPr="0001496F">
        <w:rPr>
          <w:rFonts w:ascii="Times New Roman" w:hAnsi="Times New Roman" w:cs="Times New Roman"/>
          <w:lang w:bidi="fr-FR"/>
        </w:rPr>
        <w:t xml:space="preserve">. </w:t>
      </w:r>
      <w:r w:rsidRPr="0001496F">
        <w:rPr>
          <w:rFonts w:ascii="Times New Roman" w:hAnsi="Times New Roman" w:cs="Times New Roman"/>
        </w:rPr>
        <w:t>Une collaboration procédurale peut être réglée par une loi ou non, ouvrir un véritable droit à récompense ou une simple faveur (soumise au pouvoir discrétionnaire du ministère public) et la récompense en question peut être octroyée de manière irrévocable ou à titre précaire</w:t>
      </w:r>
      <w:r w:rsidRPr="0001496F">
        <w:rPr>
          <w:rStyle w:val="Appelnotedebasdep"/>
          <w:rFonts w:ascii="Times New Roman" w:hAnsi="Times New Roman" w:cs="Times New Roman"/>
        </w:rPr>
        <w:footnoteReference w:id="114"/>
      </w:r>
      <w:r w:rsidRPr="0001496F">
        <w:rPr>
          <w:rFonts w:ascii="Times New Roman" w:hAnsi="Times New Roman" w:cs="Times New Roman"/>
        </w:rPr>
        <w:t xml:space="preserve">. </w:t>
      </w:r>
    </w:p>
    <w:p w14:paraId="59257B76" w14:textId="77777777" w:rsidR="000C63D9" w:rsidRPr="0001496F" w:rsidRDefault="000C63D9" w:rsidP="0001496F">
      <w:pPr>
        <w:jc w:val="both"/>
        <w:rPr>
          <w:rFonts w:ascii="Times New Roman" w:hAnsi="Times New Roman" w:cs="Times New Roman"/>
        </w:rPr>
      </w:pPr>
    </w:p>
    <w:p w14:paraId="0DFE4A84" w14:textId="7C162003" w:rsidR="000C63D9" w:rsidRPr="0001496F" w:rsidRDefault="000C63D9" w:rsidP="0001496F">
      <w:pPr>
        <w:jc w:val="both"/>
        <w:rPr>
          <w:rFonts w:ascii="Times New Roman" w:hAnsi="Times New Roman" w:cs="Times New Roman"/>
        </w:rPr>
      </w:pPr>
      <w:r w:rsidRPr="0001496F">
        <w:rPr>
          <w:rFonts w:ascii="Times New Roman" w:hAnsi="Times New Roman" w:cs="Times New Roman"/>
        </w:rPr>
        <w:t>Ensuite, une collaboration procédurale peut être « répressive », « préservative » ou « limitative »</w:t>
      </w:r>
      <w:r w:rsidRPr="0001496F">
        <w:rPr>
          <w:rStyle w:val="Appelnotedebasdep"/>
          <w:rFonts w:ascii="Times New Roman" w:hAnsi="Times New Roman" w:cs="Times New Roman"/>
        </w:rPr>
        <w:footnoteReference w:id="115"/>
      </w:r>
      <w:r w:rsidRPr="0001496F">
        <w:rPr>
          <w:rFonts w:ascii="Times New Roman" w:hAnsi="Times New Roman" w:cs="Times New Roman"/>
        </w:rPr>
        <w:t>. Une collaboration est de nature « répressive » lorsque la contribution porte sur une infraction appartenant définitivement au passé. Elle a des aspects « préservatifs » lorsqu’elle permet de supprimer un danger lié à des actes qui « constituent l’une des premières manifestations d’un projet criminel plus étendu »</w:t>
      </w:r>
      <w:r w:rsidRPr="0001496F">
        <w:rPr>
          <w:rStyle w:val="Appelnotedebasdep"/>
          <w:rFonts w:ascii="Times New Roman" w:hAnsi="Times New Roman" w:cs="Times New Roman"/>
        </w:rPr>
        <w:footnoteReference w:id="116"/>
      </w:r>
      <w:r w:rsidRPr="0001496F">
        <w:rPr>
          <w:rFonts w:ascii="Times New Roman" w:hAnsi="Times New Roman" w:cs="Times New Roman"/>
        </w:rPr>
        <w:t>. Sont visés en tant qu’infraction, « soit de simples résolutions criminelles extériorisées, soit des actes préparatoires à une autre infraction ».</w:t>
      </w:r>
      <w:r w:rsidRPr="0001496F">
        <w:rPr>
          <w:rStyle w:val="Appelnotedebasdep"/>
          <w:rFonts w:ascii="Times New Roman" w:hAnsi="Times New Roman" w:cs="Times New Roman"/>
        </w:rPr>
        <w:footnoteReference w:id="117"/>
      </w:r>
      <w:r w:rsidRPr="0001496F">
        <w:rPr>
          <w:rFonts w:ascii="Times New Roman" w:hAnsi="Times New Roman" w:cs="Times New Roman"/>
        </w:rPr>
        <w:t xml:space="preserve"> Une collaboration a une portée « limitative »</w:t>
      </w:r>
      <w:r w:rsidR="005C4C8F" w:rsidRPr="0001496F">
        <w:rPr>
          <w:rFonts w:ascii="Times New Roman" w:hAnsi="Times New Roman" w:cs="Times New Roman"/>
        </w:rPr>
        <w:t xml:space="preserve"> enfin,</w:t>
      </w:r>
      <w:r w:rsidRPr="0001496F">
        <w:rPr>
          <w:rFonts w:ascii="Times New Roman" w:hAnsi="Times New Roman" w:cs="Times New Roman"/>
        </w:rPr>
        <w:t xml:space="preserve"> lorsqu’elle permet </w:t>
      </w:r>
      <w:r w:rsidRPr="0001496F">
        <w:rPr>
          <w:rFonts w:ascii="Times New Roman" w:hAnsi="Times New Roman" w:cs="Times New Roman"/>
        </w:rPr>
        <w:lastRenderedPageBreak/>
        <w:t xml:space="preserve">d’empêcher qu’une infraction commise puisse continuer à produire de nouveaux dommages. Il s’agit </w:t>
      </w:r>
      <w:r w:rsidR="005C4C8F" w:rsidRPr="0001496F">
        <w:rPr>
          <w:rFonts w:ascii="Times New Roman" w:hAnsi="Times New Roman" w:cs="Times New Roman"/>
        </w:rPr>
        <w:t xml:space="preserve">alors, par la collaboration, </w:t>
      </w:r>
      <w:r w:rsidRPr="0001496F">
        <w:rPr>
          <w:rFonts w:ascii="Times New Roman" w:hAnsi="Times New Roman" w:cs="Times New Roman"/>
        </w:rPr>
        <w:t>d’empêcher les suites dommageables d’une activité infractionnelle</w:t>
      </w:r>
      <w:r w:rsidRPr="0001496F">
        <w:rPr>
          <w:rStyle w:val="Appelnotedebasdep"/>
          <w:rFonts w:ascii="Times New Roman" w:hAnsi="Times New Roman" w:cs="Times New Roman"/>
        </w:rPr>
        <w:footnoteReference w:id="118"/>
      </w:r>
      <w:r w:rsidRPr="0001496F">
        <w:rPr>
          <w:rFonts w:ascii="Times New Roman" w:hAnsi="Times New Roman" w:cs="Times New Roman"/>
        </w:rPr>
        <w:t>.</w:t>
      </w:r>
    </w:p>
    <w:p w14:paraId="6F7D6BF6" w14:textId="77777777" w:rsidR="000C63D9" w:rsidRPr="0001496F" w:rsidRDefault="000C63D9" w:rsidP="0001496F">
      <w:pPr>
        <w:jc w:val="both"/>
        <w:rPr>
          <w:rFonts w:ascii="Times New Roman" w:hAnsi="Times New Roman" w:cs="Times New Roman"/>
        </w:rPr>
      </w:pPr>
    </w:p>
    <w:p w14:paraId="39A3BD8B" w14:textId="17063B36" w:rsidR="000C63D9" w:rsidRPr="0001496F" w:rsidRDefault="000C63D9" w:rsidP="0001496F">
      <w:pPr>
        <w:jc w:val="both"/>
        <w:rPr>
          <w:rFonts w:ascii="Times New Roman" w:hAnsi="Times New Roman" w:cs="Times New Roman"/>
        </w:rPr>
      </w:pPr>
      <w:r w:rsidRPr="0001496F">
        <w:rPr>
          <w:rFonts w:ascii="Times New Roman" w:hAnsi="Times New Roman" w:cs="Times New Roman"/>
        </w:rPr>
        <w:t>Enfin, une collaboration procédurale peut être « interne » ou externe ». Elle est « interne » lorsqu</w:t>
      </w:r>
      <w:r w:rsidR="005C4C8F" w:rsidRPr="0001496F">
        <w:rPr>
          <w:rFonts w:ascii="Times New Roman" w:hAnsi="Times New Roman" w:cs="Times New Roman"/>
        </w:rPr>
        <w:t>e</w:t>
      </w:r>
      <w:r w:rsidRPr="0001496F">
        <w:rPr>
          <w:rFonts w:ascii="Times New Roman" w:hAnsi="Times New Roman" w:cs="Times New Roman"/>
        </w:rPr>
        <w:t xml:space="preserve"> les faits à propos desquels</w:t>
      </w:r>
      <w:r w:rsidR="005C4C8F" w:rsidRPr="0001496F">
        <w:rPr>
          <w:rFonts w:ascii="Times New Roman" w:hAnsi="Times New Roman" w:cs="Times New Roman"/>
        </w:rPr>
        <w:t xml:space="preserve"> le collaborateur apporte d</w:t>
      </w:r>
      <w:r w:rsidRPr="0001496F">
        <w:rPr>
          <w:rFonts w:ascii="Times New Roman" w:hAnsi="Times New Roman" w:cs="Times New Roman"/>
        </w:rPr>
        <w:t xml:space="preserve">es informations </w:t>
      </w:r>
      <w:r w:rsidR="005C4C8F" w:rsidRPr="0001496F">
        <w:rPr>
          <w:rFonts w:ascii="Times New Roman" w:hAnsi="Times New Roman" w:cs="Times New Roman"/>
        </w:rPr>
        <w:t xml:space="preserve">font partie du même ensemble de faits pour lesquels </w:t>
      </w:r>
      <w:r w:rsidRPr="0001496F">
        <w:rPr>
          <w:rFonts w:ascii="Times New Roman" w:hAnsi="Times New Roman" w:cs="Times New Roman"/>
        </w:rPr>
        <w:t xml:space="preserve">il est poursuivi ou a été condamné. Elle est « externe » lorsqu’il n’y </w:t>
      </w:r>
      <w:r w:rsidR="005C4C8F" w:rsidRPr="0001496F">
        <w:rPr>
          <w:rFonts w:ascii="Times New Roman" w:hAnsi="Times New Roman" w:cs="Times New Roman"/>
        </w:rPr>
        <w:t>a pas une telle identité d’appartenance :</w:t>
      </w:r>
      <w:r w:rsidRPr="0001496F">
        <w:rPr>
          <w:rFonts w:ascii="Times New Roman" w:hAnsi="Times New Roman" w:cs="Times New Roman"/>
        </w:rPr>
        <w:t xml:space="preserve"> le collaborateur fait </w:t>
      </w:r>
      <w:r w:rsidR="005C4C8F" w:rsidRPr="0001496F">
        <w:rPr>
          <w:rFonts w:ascii="Times New Roman" w:hAnsi="Times New Roman" w:cs="Times New Roman"/>
        </w:rPr>
        <w:t xml:space="preserve">ici </w:t>
      </w:r>
      <w:r w:rsidRPr="0001496F">
        <w:rPr>
          <w:rFonts w:ascii="Times New Roman" w:hAnsi="Times New Roman" w:cs="Times New Roman"/>
        </w:rPr>
        <w:t xml:space="preserve">des déclarations </w:t>
      </w:r>
      <w:r w:rsidR="005C4C8F" w:rsidRPr="0001496F">
        <w:rPr>
          <w:rFonts w:ascii="Times New Roman" w:hAnsi="Times New Roman" w:cs="Times New Roman"/>
        </w:rPr>
        <w:t>relatives à</w:t>
      </w:r>
      <w:r w:rsidRPr="0001496F">
        <w:rPr>
          <w:rFonts w:ascii="Times New Roman" w:hAnsi="Times New Roman" w:cs="Times New Roman"/>
        </w:rPr>
        <w:t xml:space="preserve"> une autre affaire que celle pour laquelle il est poursuivi ou a déjà été condamné. </w:t>
      </w:r>
    </w:p>
    <w:p w14:paraId="59AB5D07" w14:textId="77777777" w:rsidR="000C63D9" w:rsidRPr="0001496F" w:rsidRDefault="000C63D9" w:rsidP="0001496F">
      <w:pPr>
        <w:jc w:val="both"/>
        <w:rPr>
          <w:rFonts w:ascii="Times New Roman" w:hAnsi="Times New Roman" w:cs="Times New Roman"/>
        </w:rPr>
      </w:pPr>
    </w:p>
    <w:p w14:paraId="1E1CC616"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2.1. Les conditions d’ouverture du dispositif</w:t>
      </w:r>
    </w:p>
    <w:p w14:paraId="50E80D16" w14:textId="77777777" w:rsidR="000C63D9" w:rsidRPr="0001496F" w:rsidRDefault="000C63D9" w:rsidP="0001496F">
      <w:pPr>
        <w:jc w:val="both"/>
        <w:rPr>
          <w:rFonts w:ascii="Times New Roman" w:hAnsi="Times New Roman" w:cs="Times New Roman"/>
        </w:rPr>
      </w:pPr>
    </w:p>
    <w:p w14:paraId="714AEFB0"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Pour pouvoir recourir à une collaboration procédurale, il faut qu’ait été commise une infraction visée à l’article 90</w:t>
      </w:r>
      <w:r w:rsidRPr="0001496F">
        <w:rPr>
          <w:rFonts w:ascii="Times New Roman" w:hAnsi="Times New Roman" w:cs="Times New Roman"/>
          <w:i/>
        </w:rPr>
        <w:t>ter</w:t>
      </w:r>
      <w:r w:rsidRPr="0001496F">
        <w:rPr>
          <w:rFonts w:ascii="Times New Roman" w:hAnsi="Times New Roman" w:cs="Times New Roman"/>
        </w:rPr>
        <w:t>, § 2 à 4 du C. i. cr. (2.1.1). Il faut également le respect d’une série de principes : les principes d’adéquation et de pertinence (2.1.2), de nécessité et de subsidiarité (2.1.3), de proportionnalité (2.1.4) et, dans certains cas, d’absence de dangerosité (2.1.5).</w:t>
      </w:r>
    </w:p>
    <w:p w14:paraId="62DA25F3" w14:textId="77777777" w:rsidR="000C63D9" w:rsidRPr="0001496F" w:rsidRDefault="000C63D9" w:rsidP="0001496F">
      <w:pPr>
        <w:jc w:val="both"/>
        <w:rPr>
          <w:rFonts w:ascii="Times New Roman" w:hAnsi="Times New Roman" w:cs="Times New Roman"/>
        </w:rPr>
      </w:pPr>
    </w:p>
    <w:p w14:paraId="65EED496"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2.1.1. La commission d’une infraction visée à l’article 90</w:t>
      </w:r>
      <w:r w:rsidRPr="0001496F">
        <w:rPr>
          <w:rFonts w:ascii="Times New Roman" w:hAnsi="Times New Roman" w:cs="Times New Roman"/>
          <w:i/>
        </w:rPr>
        <w:t>ter</w:t>
      </w:r>
      <w:r w:rsidRPr="0001496F">
        <w:rPr>
          <w:rFonts w:ascii="Times New Roman" w:hAnsi="Times New Roman" w:cs="Times New Roman"/>
        </w:rPr>
        <w:t>, § 2 à 4 du C. i. cr.</w:t>
      </w:r>
    </w:p>
    <w:p w14:paraId="165E5B42" w14:textId="77777777" w:rsidR="000C63D9" w:rsidRPr="0001496F" w:rsidRDefault="000C63D9" w:rsidP="0001496F">
      <w:pPr>
        <w:jc w:val="both"/>
        <w:rPr>
          <w:rFonts w:ascii="Times New Roman" w:hAnsi="Times New Roman" w:cs="Times New Roman"/>
        </w:rPr>
      </w:pPr>
    </w:p>
    <w:p w14:paraId="3CDFA182" w14:textId="14E65A83" w:rsidR="000C63D9" w:rsidRPr="0001496F" w:rsidRDefault="006F661C" w:rsidP="0001496F">
      <w:pPr>
        <w:jc w:val="both"/>
        <w:rPr>
          <w:rFonts w:ascii="Times New Roman" w:hAnsi="Times New Roman" w:cs="Times New Roman"/>
        </w:rPr>
      </w:pPr>
      <w:r w:rsidRPr="0001496F">
        <w:rPr>
          <w:rFonts w:ascii="Times New Roman" w:hAnsi="Times New Roman" w:cs="Times New Roman"/>
        </w:rPr>
        <w:t>La loi belge exige que le tiers dénoncé ait commis ou tenté de commettre une infraction reprise dans la liste d’infractions de l’article 90</w:t>
      </w:r>
      <w:r w:rsidRPr="0001496F">
        <w:rPr>
          <w:rFonts w:ascii="Times New Roman" w:hAnsi="Times New Roman" w:cs="Times New Roman"/>
          <w:i/>
        </w:rPr>
        <w:t>ter</w:t>
      </w:r>
      <w:r w:rsidRPr="0001496F">
        <w:rPr>
          <w:rFonts w:ascii="Times New Roman" w:hAnsi="Times New Roman" w:cs="Times New Roman"/>
        </w:rPr>
        <w:t>, § 2 à 4 du C. i. cr</w:t>
      </w:r>
      <w:r>
        <w:rPr>
          <w:rFonts w:ascii="Times New Roman" w:hAnsi="Times New Roman" w:cs="Times New Roman"/>
        </w:rPr>
        <w:t>.</w:t>
      </w:r>
      <w:r w:rsidRPr="0001496F">
        <w:rPr>
          <w:rFonts w:ascii="Times New Roman" w:hAnsi="Times New Roman" w:cs="Times New Roman"/>
        </w:rPr>
        <w:t xml:space="preserve"> (C. i. cr., art. 216/1). </w:t>
      </w:r>
      <w:r w:rsidR="000C63D9" w:rsidRPr="0001496F">
        <w:rPr>
          <w:rFonts w:ascii="Times New Roman" w:hAnsi="Times New Roman" w:cs="Times New Roman"/>
        </w:rPr>
        <w:t>Cette liste d’infractions répond au départ à une logique très différente de celle poursuivie par la loi du 22 juillet 2018</w:t>
      </w:r>
      <w:r w:rsidR="00BC3CD6" w:rsidRPr="0001496F">
        <w:rPr>
          <w:rFonts w:ascii="Times New Roman" w:hAnsi="Times New Roman" w:cs="Times New Roman"/>
        </w:rPr>
        <w:t>,</w:t>
      </w:r>
      <w:r w:rsidR="000C63D9" w:rsidRPr="0001496F">
        <w:rPr>
          <w:rFonts w:ascii="Times New Roman" w:hAnsi="Times New Roman" w:cs="Times New Roman"/>
        </w:rPr>
        <w:t xml:space="preserve"> puisqu</w:t>
      </w:r>
      <w:r w:rsidR="00CA71E1" w:rsidRPr="0001496F">
        <w:rPr>
          <w:rFonts w:ascii="Times New Roman" w:hAnsi="Times New Roman" w:cs="Times New Roman"/>
        </w:rPr>
        <w:t xml:space="preserve">e cet </w:t>
      </w:r>
      <w:r w:rsidR="0028135D" w:rsidRPr="0001496F">
        <w:rPr>
          <w:rFonts w:ascii="Times New Roman" w:hAnsi="Times New Roman" w:cs="Times New Roman"/>
        </w:rPr>
        <w:t xml:space="preserve">article </w:t>
      </w:r>
      <w:r w:rsidR="00CA71E1" w:rsidRPr="0001496F">
        <w:rPr>
          <w:rFonts w:ascii="Times New Roman" w:hAnsi="Times New Roman" w:cs="Times New Roman"/>
        </w:rPr>
        <w:t>90</w:t>
      </w:r>
      <w:r w:rsidR="00CA71E1" w:rsidRPr="0001496F">
        <w:rPr>
          <w:rFonts w:ascii="Times New Roman" w:hAnsi="Times New Roman" w:cs="Times New Roman"/>
          <w:i/>
        </w:rPr>
        <w:t>ter</w:t>
      </w:r>
      <w:r w:rsidR="00CA71E1" w:rsidRPr="0001496F">
        <w:rPr>
          <w:rFonts w:ascii="Times New Roman" w:hAnsi="Times New Roman" w:cs="Times New Roman"/>
        </w:rPr>
        <w:t xml:space="preserve">, § 2 à 4 </w:t>
      </w:r>
      <w:r w:rsidR="000C63D9" w:rsidRPr="0001496F">
        <w:rPr>
          <w:rFonts w:ascii="Times New Roman" w:hAnsi="Times New Roman" w:cs="Times New Roman"/>
        </w:rPr>
        <w:t>sert originairement à déterminer les infractions pour lesquelles des « écoutes téléphoniques » sont autorisées. La reprise de cett</w:t>
      </w:r>
      <w:r w:rsidR="00BC3CD6" w:rsidRPr="0001496F">
        <w:rPr>
          <w:rFonts w:ascii="Times New Roman" w:hAnsi="Times New Roman" w:cs="Times New Roman"/>
        </w:rPr>
        <w:t>e liste</w:t>
      </w:r>
      <w:r w:rsidR="000C63D9" w:rsidRPr="0001496F">
        <w:rPr>
          <w:rFonts w:ascii="Times New Roman" w:hAnsi="Times New Roman" w:cs="Times New Roman"/>
        </w:rPr>
        <w:t xml:space="preserve"> pour baliser le champ d’application de la collaboration est justifiée, dans les travaux préparatoires, par la gravité des infractions « les plus déstabilisantes pour la société » qui s’y retrouvent</w:t>
      </w:r>
      <w:r w:rsidR="000C63D9" w:rsidRPr="0001496F">
        <w:rPr>
          <w:rStyle w:val="Appelnotedebasdep"/>
          <w:rFonts w:ascii="Times New Roman" w:hAnsi="Times New Roman" w:cs="Times New Roman"/>
        </w:rPr>
        <w:footnoteReference w:id="119"/>
      </w:r>
      <w:r w:rsidR="000C63D9" w:rsidRPr="0001496F">
        <w:rPr>
          <w:rFonts w:ascii="Times New Roman" w:hAnsi="Times New Roman" w:cs="Times New Roman"/>
        </w:rPr>
        <w:t>. Cette liste n’ayant cessé de s’allonger au fil des ans, ce critère de la gravité est à relativiser</w:t>
      </w:r>
      <w:r w:rsidR="000C63D9" w:rsidRPr="0001496F">
        <w:rPr>
          <w:rStyle w:val="Appelnotedebasdep"/>
          <w:rFonts w:ascii="Times New Roman" w:hAnsi="Times New Roman" w:cs="Times New Roman"/>
        </w:rPr>
        <w:footnoteReference w:id="120"/>
      </w:r>
      <w:r w:rsidR="000C63D9" w:rsidRPr="0001496F">
        <w:rPr>
          <w:rFonts w:ascii="Times New Roman" w:hAnsi="Times New Roman" w:cs="Times New Roman"/>
        </w:rPr>
        <w:t>. Nous verrons que l’emprunt de cette liste peut poser certaines difficultés (</w:t>
      </w:r>
      <w:r w:rsidR="000C63D9" w:rsidRPr="0001496F">
        <w:rPr>
          <w:rFonts w:ascii="Times New Roman" w:hAnsi="Times New Roman" w:cs="Times New Roman"/>
          <w:i/>
        </w:rPr>
        <w:t>cf. infra</w:t>
      </w:r>
      <w:r w:rsidR="000C63D9" w:rsidRPr="0001496F">
        <w:rPr>
          <w:rFonts w:ascii="Times New Roman" w:hAnsi="Times New Roman" w:cs="Times New Roman"/>
        </w:rPr>
        <w:t xml:space="preserve"> 2.1.2 à 2.1.4). On notera que les infractions terroristes font partie de cette liste (C. pén., art. 137 à 141</w:t>
      </w:r>
      <w:r w:rsidR="000C63D9" w:rsidRPr="0001496F">
        <w:rPr>
          <w:rFonts w:ascii="Times New Roman" w:hAnsi="Times New Roman" w:cs="Times New Roman"/>
          <w:i/>
        </w:rPr>
        <w:t>ter</w:t>
      </w:r>
      <w:r w:rsidR="000C63D9" w:rsidRPr="0001496F">
        <w:rPr>
          <w:rFonts w:ascii="Times New Roman" w:hAnsi="Times New Roman" w:cs="Times New Roman"/>
        </w:rPr>
        <w:t xml:space="preserve">). </w:t>
      </w:r>
    </w:p>
    <w:p w14:paraId="6A43CA59" w14:textId="77777777" w:rsidR="000C63D9" w:rsidRPr="0001496F" w:rsidRDefault="000C63D9" w:rsidP="0001496F">
      <w:pPr>
        <w:jc w:val="both"/>
        <w:rPr>
          <w:rFonts w:ascii="Times New Roman" w:hAnsi="Times New Roman" w:cs="Times New Roman"/>
        </w:rPr>
      </w:pPr>
    </w:p>
    <w:p w14:paraId="45B6952B" w14:textId="6FF8F962"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champ d’application du dispositif était encore plus large dans l’avant-projet de loi</w:t>
      </w:r>
      <w:r w:rsidR="00BC3CD6" w:rsidRPr="0001496F">
        <w:rPr>
          <w:rFonts w:ascii="Times New Roman" w:hAnsi="Times New Roman" w:cs="Times New Roman"/>
        </w:rPr>
        <w:t>,</w:t>
      </w:r>
      <w:r w:rsidRPr="0001496F">
        <w:rPr>
          <w:rFonts w:ascii="Times New Roman" w:hAnsi="Times New Roman" w:cs="Times New Roman"/>
        </w:rPr>
        <w:t xml:space="preserve"> puisqu’une collaboration était possible également pour les infractions commises dans le cadre d’une organisation criminelle</w:t>
      </w:r>
      <w:r w:rsidRPr="0001496F">
        <w:rPr>
          <w:rStyle w:val="Appelnotedebasdep"/>
          <w:rFonts w:ascii="Times New Roman" w:hAnsi="Times New Roman" w:cs="Times New Roman"/>
        </w:rPr>
        <w:footnoteReference w:id="121"/>
      </w:r>
      <w:r w:rsidRPr="0001496F">
        <w:rPr>
          <w:rFonts w:ascii="Times New Roman" w:hAnsi="Times New Roman" w:cs="Times New Roman"/>
        </w:rPr>
        <w:t>. Le titre officiel de la loi du 22 juillet 2018 (« lutte contre la criminalité organisée et le terrorisme ») pourrait tromper le lecteur peu attentif quant au réel champ d’application de la collaboration en Belgique.</w:t>
      </w:r>
    </w:p>
    <w:p w14:paraId="08856E7D" w14:textId="77777777" w:rsidR="000C63D9" w:rsidRPr="0001496F" w:rsidRDefault="000C63D9" w:rsidP="0001496F">
      <w:pPr>
        <w:jc w:val="both"/>
        <w:rPr>
          <w:rFonts w:ascii="Times New Roman" w:hAnsi="Times New Roman" w:cs="Times New Roman"/>
        </w:rPr>
      </w:pPr>
    </w:p>
    <w:p w14:paraId="01EC590D"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2.1.2. Les principes d’adéquation et de pertinence</w:t>
      </w:r>
    </w:p>
    <w:p w14:paraId="6320FE91" w14:textId="77777777" w:rsidR="000C63D9" w:rsidRPr="0001496F" w:rsidRDefault="000C63D9" w:rsidP="0001496F">
      <w:pPr>
        <w:jc w:val="both"/>
        <w:rPr>
          <w:rFonts w:ascii="Times New Roman" w:hAnsi="Times New Roman" w:cs="Times New Roman"/>
        </w:rPr>
      </w:pPr>
    </w:p>
    <w:p w14:paraId="03D2FF63" w14:textId="6DC6EFF6"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Le principe d’adéquation suppose que la collaboration soit appropriée pour atteindre la « manifestation de la vérité » (C. i. cr., art. 216/1). La loi pénale ne devrait dès lors autoriser la </w:t>
      </w:r>
      <w:r w:rsidRPr="0001496F">
        <w:rPr>
          <w:rFonts w:ascii="Times New Roman" w:hAnsi="Times New Roman" w:cs="Times New Roman"/>
        </w:rPr>
        <w:lastRenderedPageBreak/>
        <w:t xml:space="preserve">collaboration que pour les formes de criminalité dans lesquelles cette collaboration est efficace. La collaboration étant possible pour tous les </w:t>
      </w:r>
      <w:r w:rsidR="00BC3CD6" w:rsidRPr="0001496F">
        <w:rPr>
          <w:rFonts w:ascii="Times New Roman" w:hAnsi="Times New Roman" w:cs="Times New Roman"/>
        </w:rPr>
        <w:t>actes infractionnels</w:t>
      </w:r>
      <w:r w:rsidRPr="0001496F">
        <w:rPr>
          <w:rFonts w:ascii="Times New Roman" w:hAnsi="Times New Roman" w:cs="Times New Roman"/>
        </w:rPr>
        <w:t xml:space="preserve"> repris à l’article 90</w:t>
      </w:r>
      <w:r w:rsidRPr="0001496F">
        <w:rPr>
          <w:rFonts w:ascii="Times New Roman" w:hAnsi="Times New Roman" w:cs="Times New Roman"/>
          <w:i/>
        </w:rPr>
        <w:t>ter</w:t>
      </w:r>
      <w:r w:rsidRPr="0001496F">
        <w:rPr>
          <w:rFonts w:ascii="Times New Roman" w:hAnsi="Times New Roman" w:cs="Times New Roman"/>
        </w:rPr>
        <w:t>, § 2 à 4 du C. i. cr., en ce compris leur tentative, la loi ne semble pas répondre à ce principe. Une collaboration est ainsi possible dans le cas du harcèlement téléphonique : si on comprend en quoi cette infraction est sur la liste des infractions permettant des écoutes téléphoniques, on saisit moins en quoi elle respecte ici le principe d’adéquation</w:t>
      </w:r>
      <w:r w:rsidR="000301CC" w:rsidRPr="0001496F">
        <w:rPr>
          <w:rStyle w:val="Appelnotedebasdep"/>
          <w:rFonts w:ascii="Times New Roman" w:hAnsi="Times New Roman" w:cs="Times New Roman"/>
        </w:rPr>
        <w:footnoteReference w:id="122"/>
      </w:r>
      <w:r w:rsidR="000301CC" w:rsidRPr="0001496F">
        <w:rPr>
          <w:rFonts w:ascii="Times New Roman" w:hAnsi="Times New Roman" w:cs="Times New Roman"/>
        </w:rPr>
        <w:t>.</w:t>
      </w:r>
      <w:r w:rsidR="00BC3CD6" w:rsidRPr="0001496F">
        <w:rPr>
          <w:rFonts w:ascii="Times New Roman" w:hAnsi="Times New Roman" w:cs="Times New Roman"/>
        </w:rPr>
        <w:t xml:space="preserve"> </w:t>
      </w:r>
    </w:p>
    <w:p w14:paraId="509C2300" w14:textId="77777777" w:rsidR="000C63D9" w:rsidRPr="0001496F" w:rsidRDefault="000C63D9" w:rsidP="0001496F">
      <w:pPr>
        <w:jc w:val="both"/>
        <w:rPr>
          <w:rFonts w:ascii="Times New Roman" w:hAnsi="Times New Roman" w:cs="Times New Roman"/>
        </w:rPr>
      </w:pPr>
    </w:p>
    <w:p w14:paraId="10F78D05"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principe d’adéquation est souvent difficile à démontrer</w:t>
      </w:r>
      <w:r w:rsidRPr="0001496F">
        <w:rPr>
          <w:rStyle w:val="Appelnotedebasdep"/>
          <w:rFonts w:ascii="Times New Roman" w:hAnsi="Times New Roman" w:cs="Times New Roman"/>
        </w:rPr>
        <w:footnoteReference w:id="123"/>
      </w:r>
      <w:r w:rsidRPr="0001496F">
        <w:rPr>
          <w:rFonts w:ascii="Times New Roman" w:hAnsi="Times New Roman" w:cs="Times New Roman"/>
        </w:rPr>
        <w:t>. Cependant, en matière de terrorisme, la collaboration est présentée comme plus efficace (et répondant donc davantage au principe d’adéquation) que dans d’autres contentieux</w:t>
      </w:r>
      <w:r w:rsidRPr="0001496F">
        <w:rPr>
          <w:rStyle w:val="Appelnotedebasdep"/>
          <w:rFonts w:ascii="Times New Roman" w:hAnsi="Times New Roman" w:cs="Times New Roman"/>
        </w:rPr>
        <w:footnoteReference w:id="124"/>
      </w:r>
      <w:r w:rsidRPr="0001496F">
        <w:rPr>
          <w:rFonts w:ascii="Times New Roman" w:hAnsi="Times New Roman" w:cs="Times New Roman"/>
        </w:rPr>
        <w:t>.</w:t>
      </w:r>
    </w:p>
    <w:p w14:paraId="03E9C060" w14:textId="77777777" w:rsidR="000C63D9" w:rsidRPr="0001496F" w:rsidRDefault="000C63D9" w:rsidP="0001496F">
      <w:pPr>
        <w:jc w:val="both"/>
        <w:rPr>
          <w:rFonts w:ascii="Times New Roman" w:hAnsi="Times New Roman" w:cs="Times New Roman"/>
        </w:rPr>
      </w:pPr>
    </w:p>
    <w:p w14:paraId="3985E842" w14:textId="1C93B86E"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principe de pertinence renvoie à cette même idée d’efficacité de la collaboration, mais cette fois, non plus au niveau du champ d’application prévu par la loi, mais bien au niveau de son utilisation par les autorités policières et judiciaires dans un cas d’espèce particulier.</w:t>
      </w:r>
    </w:p>
    <w:p w14:paraId="612C0D75" w14:textId="77777777" w:rsidR="000C63D9" w:rsidRPr="0001496F" w:rsidRDefault="000C63D9" w:rsidP="0001496F">
      <w:pPr>
        <w:jc w:val="both"/>
        <w:rPr>
          <w:rFonts w:ascii="Times New Roman" w:hAnsi="Times New Roman" w:cs="Times New Roman"/>
        </w:rPr>
      </w:pPr>
    </w:p>
    <w:p w14:paraId="720D2767"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2.1.3. Les principes de nécessité et de subsidiarité</w:t>
      </w:r>
    </w:p>
    <w:p w14:paraId="7DAD9BD1" w14:textId="77777777" w:rsidR="000C63D9" w:rsidRPr="0001496F" w:rsidRDefault="000C63D9" w:rsidP="0001496F">
      <w:pPr>
        <w:jc w:val="both"/>
        <w:rPr>
          <w:rFonts w:ascii="Times New Roman" w:hAnsi="Times New Roman" w:cs="Times New Roman"/>
        </w:rPr>
      </w:pPr>
    </w:p>
    <w:p w14:paraId="083F9571" w14:textId="77210F7B"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principe de nécessité exige que la collaboration soit indispensable, à savoir que sans le recours à la collaboration, la justice pénale serait impuissante. Ce principe de nécessité est encore une fois difficilement démontrable</w:t>
      </w:r>
      <w:r w:rsidRPr="0001496F">
        <w:rPr>
          <w:rStyle w:val="Appelnotedebasdep"/>
          <w:rFonts w:ascii="Times New Roman" w:hAnsi="Times New Roman" w:cs="Times New Roman"/>
        </w:rPr>
        <w:footnoteReference w:id="125"/>
      </w:r>
      <w:r w:rsidRPr="0001496F">
        <w:rPr>
          <w:rFonts w:ascii="Times New Roman" w:hAnsi="Times New Roman" w:cs="Times New Roman"/>
        </w:rPr>
        <w:t>. Il suppose de vérifier périodiquement si, pour les faits concernés, la justice pénale reste bien impuissante sans une collaboration. Il découle de ce principe que le législateur devrait périodiquement modifier le champ d’application de la loi : rien ne dit que, démunie aujourd’hui face à un phénomène criminel, la justice pénale le soit encore demain, en raison de nouvelles méthodes d’enquête</w:t>
      </w:r>
      <w:r w:rsidR="00914334" w:rsidRPr="0001496F">
        <w:rPr>
          <w:rFonts w:ascii="Times New Roman" w:hAnsi="Times New Roman" w:cs="Times New Roman"/>
        </w:rPr>
        <w:t xml:space="preserve"> qui ne rendraient donc plus la collaboration « indispensable »</w:t>
      </w:r>
      <w:r w:rsidRPr="0001496F">
        <w:rPr>
          <w:rStyle w:val="Appelnotedebasdep"/>
          <w:rFonts w:ascii="Times New Roman" w:hAnsi="Times New Roman" w:cs="Times New Roman"/>
        </w:rPr>
        <w:footnoteReference w:id="126"/>
      </w:r>
      <w:r w:rsidRPr="0001496F">
        <w:rPr>
          <w:rFonts w:ascii="Times New Roman" w:hAnsi="Times New Roman" w:cs="Times New Roman"/>
        </w:rPr>
        <w:t xml:space="preserve">. </w:t>
      </w:r>
    </w:p>
    <w:p w14:paraId="0A54D4EA" w14:textId="77777777" w:rsidR="000C63D9" w:rsidRPr="0001496F" w:rsidRDefault="000C63D9" w:rsidP="0001496F">
      <w:pPr>
        <w:jc w:val="both"/>
        <w:rPr>
          <w:rFonts w:ascii="Times New Roman" w:hAnsi="Times New Roman" w:cs="Times New Roman"/>
        </w:rPr>
      </w:pPr>
    </w:p>
    <w:p w14:paraId="7378C5B5" w14:textId="5BD02ABA" w:rsidR="000C63D9" w:rsidRPr="0001496F" w:rsidRDefault="000C63D9" w:rsidP="0001496F">
      <w:pPr>
        <w:jc w:val="both"/>
        <w:rPr>
          <w:rFonts w:ascii="Times New Roman" w:hAnsi="Times New Roman" w:cs="Times New Roman"/>
        </w:rPr>
      </w:pPr>
      <w:r w:rsidRPr="0001496F">
        <w:rPr>
          <w:rFonts w:ascii="Times New Roman" w:hAnsi="Times New Roman" w:cs="Times New Roman"/>
        </w:rPr>
        <w:t>Ce principe de nécessité, qui se situe au niveau de la définition législative du champ d’application, se prolonge au niveau du cas d’espèce par le principe de subsidiarité. Les autorités policières et judiciaires ne devraient utiliser la collaboration que si, dans le cas d’espèce, la poursuite de l’infraction « ne peut être atteint[e] d’aucune autre manière raisonnable »</w:t>
      </w:r>
      <w:r w:rsidRPr="0001496F">
        <w:rPr>
          <w:rStyle w:val="Appelnotedebasdep"/>
          <w:rFonts w:ascii="Times New Roman" w:hAnsi="Times New Roman" w:cs="Times New Roman"/>
        </w:rPr>
        <w:footnoteReference w:id="127"/>
      </w:r>
      <w:r w:rsidRPr="0001496F">
        <w:rPr>
          <w:rFonts w:ascii="Times New Roman" w:hAnsi="Times New Roman" w:cs="Times New Roman"/>
        </w:rPr>
        <w:t xml:space="preserve"> car les méthodes de recherche et de poursuite traditionnelles s’avèrent insuffisantes</w:t>
      </w:r>
      <w:r w:rsidRPr="0001496F">
        <w:rPr>
          <w:rStyle w:val="Appelnotedebasdep"/>
          <w:rFonts w:ascii="Times New Roman" w:hAnsi="Times New Roman" w:cs="Times New Roman"/>
        </w:rPr>
        <w:footnoteReference w:id="128"/>
      </w:r>
      <w:r w:rsidRPr="0001496F">
        <w:rPr>
          <w:rFonts w:ascii="Times New Roman" w:hAnsi="Times New Roman" w:cs="Times New Roman"/>
        </w:rPr>
        <w:t xml:space="preserve">. Ce principe de subsidiarité doit être apprécié </w:t>
      </w:r>
      <w:r w:rsidRPr="0001496F">
        <w:rPr>
          <w:rFonts w:ascii="Times New Roman" w:hAnsi="Times New Roman" w:cs="Times New Roman"/>
          <w:i/>
        </w:rPr>
        <w:t>in abstracto</w:t>
      </w:r>
      <w:r w:rsidRPr="0001496F">
        <w:rPr>
          <w:rStyle w:val="Appelnotedebasdep"/>
          <w:rFonts w:ascii="Times New Roman" w:hAnsi="Times New Roman" w:cs="Times New Roman"/>
        </w:rPr>
        <w:footnoteReference w:id="129"/>
      </w:r>
      <w:r w:rsidRPr="0001496F">
        <w:rPr>
          <w:rFonts w:ascii="Times New Roman" w:hAnsi="Times New Roman" w:cs="Times New Roman"/>
        </w:rPr>
        <w:t xml:space="preserve"> (sans qu’il soit nécessaire d’avoir essayé d’autres techniques qui se seraient révélées inefficaces) et au moment d’autoriser le recours à la collaboration</w:t>
      </w:r>
      <w:r w:rsidRPr="0001496F">
        <w:rPr>
          <w:rStyle w:val="Appelnotedebasdep"/>
          <w:rFonts w:ascii="Times New Roman" w:hAnsi="Times New Roman" w:cs="Times New Roman"/>
        </w:rPr>
        <w:footnoteReference w:id="130"/>
      </w:r>
      <w:r w:rsidRPr="0001496F">
        <w:rPr>
          <w:rFonts w:ascii="Times New Roman" w:hAnsi="Times New Roman" w:cs="Times New Roman"/>
        </w:rPr>
        <w:t xml:space="preserve">. </w:t>
      </w:r>
    </w:p>
    <w:p w14:paraId="7B45B380" w14:textId="77777777" w:rsidR="000C63D9" w:rsidRPr="0001496F" w:rsidRDefault="000C63D9" w:rsidP="0001496F">
      <w:pPr>
        <w:jc w:val="both"/>
        <w:rPr>
          <w:rFonts w:ascii="Times New Roman" w:hAnsi="Times New Roman" w:cs="Times New Roman"/>
        </w:rPr>
      </w:pPr>
    </w:p>
    <w:p w14:paraId="3C04345B" w14:textId="4A4A8C78"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Ces principes </w:t>
      </w:r>
      <w:r w:rsidR="00DB6BF2" w:rsidRPr="0001496F">
        <w:rPr>
          <w:rFonts w:ascii="Times New Roman" w:hAnsi="Times New Roman" w:cs="Times New Roman"/>
        </w:rPr>
        <w:t xml:space="preserve">de nécessité et de subsidiarité </w:t>
      </w:r>
      <w:r w:rsidRPr="0001496F">
        <w:rPr>
          <w:rFonts w:ascii="Times New Roman" w:hAnsi="Times New Roman" w:cs="Times New Roman"/>
        </w:rPr>
        <w:t xml:space="preserve">sont formellement repris dans la loi belge puisque la collaboration n’est possible que : « si les nécessités de l’enquête l’exigent et si les autres moyens d’investigation ne semblent pas suffire (…) » (C. i. cr., art. 216/1). Cependant, comme </w:t>
      </w:r>
      <w:r w:rsidRPr="0001496F">
        <w:rPr>
          <w:rFonts w:ascii="Times New Roman" w:hAnsi="Times New Roman" w:cs="Times New Roman"/>
        </w:rPr>
        <w:lastRenderedPageBreak/>
        <w:t>on vient de le voir, le renvoi à une liste d’infractions (C.i.cr., art. 90</w:t>
      </w:r>
      <w:r w:rsidRPr="0001496F">
        <w:rPr>
          <w:rFonts w:ascii="Times New Roman" w:hAnsi="Times New Roman" w:cs="Times New Roman"/>
          <w:i/>
        </w:rPr>
        <w:t>ter</w:t>
      </w:r>
      <w:r w:rsidRPr="0001496F">
        <w:rPr>
          <w:rFonts w:ascii="Times New Roman" w:hAnsi="Times New Roman" w:cs="Times New Roman"/>
        </w:rPr>
        <w:t xml:space="preserve">, § 2 à 4) prévue, à l’origine pour un autre dispositif (les « écoutes téléphoniques »), de même que leur appréciation </w:t>
      </w:r>
      <w:r w:rsidRPr="0001496F">
        <w:rPr>
          <w:rFonts w:ascii="Times New Roman" w:hAnsi="Times New Roman" w:cs="Times New Roman"/>
          <w:i/>
        </w:rPr>
        <w:t>in abstracto</w:t>
      </w:r>
      <w:r w:rsidRPr="0001496F">
        <w:rPr>
          <w:rFonts w:ascii="Times New Roman" w:hAnsi="Times New Roman" w:cs="Times New Roman"/>
        </w:rPr>
        <w:t>, montre une prise en compte fort théorique de ces principes</w:t>
      </w:r>
      <w:r w:rsidRPr="0001496F">
        <w:rPr>
          <w:rStyle w:val="Appelnotedebasdep"/>
          <w:rFonts w:ascii="Times New Roman" w:hAnsi="Times New Roman" w:cs="Times New Roman"/>
        </w:rPr>
        <w:footnoteReference w:id="131"/>
      </w:r>
      <w:r w:rsidRPr="0001496F">
        <w:rPr>
          <w:rFonts w:ascii="Times New Roman" w:hAnsi="Times New Roman" w:cs="Times New Roman"/>
        </w:rPr>
        <w:t>. Malgré tout, il ne semble pas que cela soit en matière de terrorisme que les principes de nécessité et de subsidiarité posent le plus de difficultés</w:t>
      </w:r>
      <w:r w:rsidRPr="0001496F">
        <w:rPr>
          <w:rStyle w:val="Appelnotedebasdep"/>
          <w:rFonts w:ascii="Times New Roman" w:hAnsi="Times New Roman" w:cs="Times New Roman"/>
        </w:rPr>
        <w:footnoteReference w:id="132"/>
      </w:r>
      <w:r w:rsidRPr="0001496F">
        <w:rPr>
          <w:rFonts w:ascii="Times New Roman" w:hAnsi="Times New Roman" w:cs="Times New Roman"/>
        </w:rPr>
        <w:t xml:space="preserve">. </w:t>
      </w:r>
    </w:p>
    <w:p w14:paraId="08594E78" w14:textId="77777777" w:rsidR="000C63D9" w:rsidRPr="0001496F" w:rsidRDefault="000C63D9" w:rsidP="0001496F">
      <w:pPr>
        <w:jc w:val="both"/>
        <w:rPr>
          <w:rFonts w:ascii="Times New Roman" w:hAnsi="Times New Roman" w:cs="Times New Roman"/>
        </w:rPr>
      </w:pPr>
    </w:p>
    <w:p w14:paraId="6524090A"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2.1.4. Le principe de proportionnalité</w:t>
      </w:r>
    </w:p>
    <w:p w14:paraId="327BAE5C" w14:textId="77777777" w:rsidR="000C63D9" w:rsidRPr="0001496F" w:rsidRDefault="000C63D9" w:rsidP="0001496F">
      <w:pPr>
        <w:jc w:val="both"/>
        <w:rPr>
          <w:rFonts w:ascii="Times New Roman" w:hAnsi="Times New Roman" w:cs="Times New Roman"/>
        </w:rPr>
      </w:pPr>
    </w:p>
    <w:p w14:paraId="4DDCBE36"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critère de proportionnalité est parfois compris comme exigeant un équilibre « entre le principe même du recours aux collaborateurs de justice et le type de criminalité que l’on veut combattre (l’idée étant que ce type de mesure devrait être réservée à des infractions de gravité particulière) »</w:t>
      </w:r>
      <w:r w:rsidRPr="0001496F">
        <w:rPr>
          <w:rStyle w:val="Appelnotedebasdep"/>
          <w:rFonts w:ascii="Times New Roman" w:hAnsi="Times New Roman" w:cs="Times New Roman"/>
        </w:rPr>
        <w:footnoteReference w:id="133"/>
      </w:r>
      <w:r w:rsidRPr="0001496F">
        <w:rPr>
          <w:rFonts w:ascii="Times New Roman" w:hAnsi="Times New Roman" w:cs="Times New Roman"/>
        </w:rPr>
        <w:t>. Selon cette acception, il s’agit de limiter le recours de la collaboration à certains contentieux (</w:t>
      </w:r>
      <w:r w:rsidRPr="0001496F">
        <w:rPr>
          <w:rFonts w:ascii="Times New Roman" w:hAnsi="Times New Roman" w:cs="Times New Roman"/>
          <w:i/>
        </w:rPr>
        <w:t>cf. supra</w:t>
      </w:r>
      <w:r w:rsidRPr="0001496F">
        <w:rPr>
          <w:rFonts w:ascii="Times New Roman" w:hAnsi="Times New Roman" w:cs="Times New Roman"/>
        </w:rPr>
        <w:t xml:space="preserve"> 2.1.1).</w:t>
      </w:r>
    </w:p>
    <w:p w14:paraId="2879FFB3" w14:textId="77777777" w:rsidR="000C63D9" w:rsidRPr="0001496F" w:rsidRDefault="000C63D9" w:rsidP="0001496F">
      <w:pPr>
        <w:jc w:val="both"/>
        <w:rPr>
          <w:rFonts w:ascii="Times New Roman" w:hAnsi="Times New Roman" w:cs="Times New Roman"/>
        </w:rPr>
      </w:pPr>
    </w:p>
    <w:p w14:paraId="6B5346F3" w14:textId="7B7B8871"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critère de proportionnalité</w:t>
      </w:r>
      <w:r w:rsidR="009A30E8" w:rsidRPr="0001496F">
        <w:rPr>
          <w:rStyle w:val="Appelnotedebasdep"/>
          <w:rFonts w:ascii="Times New Roman" w:hAnsi="Times New Roman" w:cs="Times New Roman"/>
        </w:rPr>
        <w:footnoteReference w:id="134"/>
      </w:r>
      <w:r w:rsidRPr="0001496F">
        <w:rPr>
          <w:rFonts w:ascii="Times New Roman" w:hAnsi="Times New Roman" w:cs="Times New Roman"/>
        </w:rPr>
        <w:t xml:space="preserve"> sera ici compris d’une autre manière : </w:t>
      </w:r>
      <w:r w:rsidR="006718A0" w:rsidRPr="0001496F">
        <w:rPr>
          <w:rFonts w:ascii="Times New Roman" w:hAnsi="Times New Roman" w:cs="Times New Roman"/>
        </w:rPr>
        <w:t xml:space="preserve">il vise </w:t>
      </w:r>
      <w:r w:rsidRPr="0001496F">
        <w:rPr>
          <w:rFonts w:ascii="Times New Roman" w:hAnsi="Times New Roman" w:cs="Times New Roman"/>
        </w:rPr>
        <w:t>le « rapport de proportionnalité qui devrait exister entre l’infraction commise par le collaborateur de justice et celle dont il permet l’é</w:t>
      </w:r>
      <w:r w:rsidR="006718A0" w:rsidRPr="0001496F">
        <w:rPr>
          <w:rFonts w:ascii="Times New Roman" w:hAnsi="Times New Roman" w:cs="Times New Roman"/>
        </w:rPr>
        <w:t>lucidation</w:t>
      </w:r>
      <w:r w:rsidR="00B073BA" w:rsidRPr="0001496F">
        <w:rPr>
          <w:rFonts w:ascii="Times New Roman" w:hAnsi="Times New Roman" w:cs="Times New Roman"/>
        </w:rPr>
        <w:t xml:space="preserve"> </w:t>
      </w:r>
      <w:r w:rsidR="006718A0" w:rsidRPr="0001496F">
        <w:rPr>
          <w:rFonts w:ascii="Times New Roman" w:hAnsi="Times New Roman" w:cs="Times New Roman"/>
        </w:rPr>
        <w:t>(</w:t>
      </w:r>
      <w:r w:rsidRPr="0001496F">
        <w:rPr>
          <w:rFonts w:ascii="Times New Roman" w:hAnsi="Times New Roman" w:cs="Times New Roman"/>
        </w:rPr>
        <w:t>l’idée étant (…) que l’on ne saurait récompenser un collaborateur qui a commis des infractions plus graves que celles qu’il contribue à élucider) »</w:t>
      </w:r>
      <w:r w:rsidRPr="0001496F">
        <w:rPr>
          <w:rStyle w:val="Appelnotedebasdep"/>
          <w:rFonts w:ascii="Times New Roman" w:hAnsi="Times New Roman" w:cs="Times New Roman"/>
        </w:rPr>
        <w:footnoteReference w:id="135"/>
      </w:r>
      <w:r w:rsidRPr="0001496F">
        <w:rPr>
          <w:rFonts w:ascii="Times New Roman" w:hAnsi="Times New Roman" w:cs="Times New Roman"/>
        </w:rPr>
        <w:t xml:space="preserve">. Ce critère s’impose à la fois au législateur (lorsqu’il s’agit de déterminer le champ d’application du dispositif) et aux autorités policières et judiciaires (lorsqu’il s’agit de vérifier si cette proportion est présente dans le cas d’espèce). </w:t>
      </w:r>
    </w:p>
    <w:p w14:paraId="74D5B8B5" w14:textId="77777777" w:rsidR="000C63D9" w:rsidRPr="0001496F" w:rsidRDefault="000C63D9" w:rsidP="0001496F">
      <w:pPr>
        <w:jc w:val="both"/>
        <w:rPr>
          <w:rFonts w:ascii="Times New Roman" w:hAnsi="Times New Roman" w:cs="Times New Roman"/>
        </w:rPr>
      </w:pPr>
    </w:p>
    <w:p w14:paraId="461BEF44" w14:textId="3777A7F8"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législateur belge n’a pas exclu la collaboration lorsque le collaborateur a commis un certain type d’infractions (particulièrement graves). Il s’est limité à poser l’exigence d’une proportionnalité entre « l’infraction commise [par le collaborateur</w:t>
      </w:r>
      <w:bookmarkStart w:id="1" w:name="_Hlk23405912"/>
      <w:r w:rsidRPr="0001496F">
        <w:rPr>
          <w:rFonts w:ascii="Times New Roman" w:hAnsi="Times New Roman" w:cs="Times New Roman"/>
        </w:rPr>
        <w:t>]</w:t>
      </w:r>
      <w:bookmarkEnd w:id="1"/>
      <w:r w:rsidRPr="0001496F">
        <w:rPr>
          <w:rFonts w:ascii="Times New Roman" w:hAnsi="Times New Roman" w:cs="Times New Roman"/>
        </w:rPr>
        <w:t xml:space="preserve"> et « l’infraction à propos de laquelle les déclarations sont effectuées » (C. i. cr., art. 216/5 à 216/7)</w:t>
      </w:r>
      <w:r w:rsidRPr="0001496F">
        <w:rPr>
          <w:rStyle w:val="Appelnotedebasdep"/>
          <w:rFonts w:ascii="Times New Roman" w:hAnsi="Times New Roman" w:cs="Times New Roman"/>
        </w:rPr>
        <w:footnoteReference w:id="136"/>
      </w:r>
      <w:r w:rsidRPr="0001496F">
        <w:rPr>
          <w:rFonts w:ascii="Times New Roman" w:hAnsi="Times New Roman" w:cs="Times New Roman"/>
        </w:rPr>
        <w:t>. Pour trancher cette question de la proportionnalité, Ch. De Valkeneer propose d’utiliser le critère du taux de la peine</w:t>
      </w:r>
      <w:r w:rsidRPr="0001496F">
        <w:rPr>
          <w:rStyle w:val="Appelnotedebasdep"/>
          <w:rFonts w:ascii="Times New Roman" w:hAnsi="Times New Roman" w:cs="Times New Roman"/>
        </w:rPr>
        <w:footnoteReference w:id="137"/>
      </w:r>
      <w:r w:rsidRPr="0001496F">
        <w:rPr>
          <w:rFonts w:ascii="Times New Roman" w:hAnsi="Times New Roman" w:cs="Times New Roman"/>
        </w:rPr>
        <w:t>.</w:t>
      </w:r>
    </w:p>
    <w:p w14:paraId="38B6D2C1" w14:textId="77777777" w:rsidR="000C63D9" w:rsidRPr="0001496F" w:rsidRDefault="000C63D9" w:rsidP="0001496F">
      <w:pPr>
        <w:jc w:val="both"/>
        <w:rPr>
          <w:rFonts w:ascii="Times New Roman" w:hAnsi="Times New Roman" w:cs="Times New Roman"/>
        </w:rPr>
      </w:pPr>
    </w:p>
    <w:p w14:paraId="58C001CA" w14:textId="7856BF1B"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Les travaux préparatoires se montrent très stricts quant à l’interprétation à donner à ce principe de proportionnalité : la collaboration ne serait pas possible si l’infraction commise par le collaborateur était « de gravité </w:t>
      </w:r>
      <w:r w:rsidRPr="0001496F">
        <w:rPr>
          <w:rFonts w:ascii="Times New Roman" w:hAnsi="Times New Roman" w:cs="Times New Roman"/>
          <w:i/>
        </w:rPr>
        <w:t>identique</w:t>
      </w:r>
      <w:r w:rsidRPr="0001496F">
        <w:rPr>
          <w:rFonts w:ascii="Times New Roman" w:hAnsi="Times New Roman" w:cs="Times New Roman"/>
        </w:rPr>
        <w:t xml:space="preserve"> ou supérieure à l’infraction pour la découverte/l’élucidation de laquelle des informations sont fournies »</w:t>
      </w:r>
      <w:r w:rsidRPr="0001496F">
        <w:rPr>
          <w:rStyle w:val="Appelnotedebasdep"/>
          <w:rFonts w:ascii="Times New Roman" w:hAnsi="Times New Roman" w:cs="Times New Roman"/>
        </w:rPr>
        <w:footnoteReference w:id="138"/>
      </w:r>
      <w:r w:rsidRPr="0001496F">
        <w:rPr>
          <w:rFonts w:ascii="Times New Roman" w:hAnsi="Times New Roman" w:cs="Times New Roman"/>
        </w:rPr>
        <w:t>. Il nous semble que cette interdiction de la collaboration pour des faits identiques risque d</w:t>
      </w:r>
      <w:r w:rsidR="00B14629" w:rsidRPr="0001496F">
        <w:rPr>
          <w:rFonts w:ascii="Times New Roman" w:hAnsi="Times New Roman" w:cs="Times New Roman"/>
        </w:rPr>
        <w:t>’empêcher régulièrement la mobil</w:t>
      </w:r>
      <w:r w:rsidR="00C502AE" w:rsidRPr="0001496F">
        <w:rPr>
          <w:rFonts w:ascii="Times New Roman" w:hAnsi="Times New Roman" w:cs="Times New Roman"/>
        </w:rPr>
        <w:t>isation du dispositif de la collaboration</w:t>
      </w:r>
      <w:r w:rsidRPr="0001496F">
        <w:rPr>
          <w:rStyle w:val="Appelnotedebasdep"/>
          <w:rFonts w:ascii="Times New Roman" w:hAnsi="Times New Roman" w:cs="Times New Roman"/>
        </w:rPr>
        <w:footnoteReference w:id="139"/>
      </w:r>
      <w:r w:rsidRPr="0001496F">
        <w:rPr>
          <w:rFonts w:ascii="Times New Roman" w:hAnsi="Times New Roman" w:cs="Times New Roman"/>
        </w:rPr>
        <w:t xml:space="preserve"> et ne se retrouve pas clairement exprimée dans le texte légal lui-même. </w:t>
      </w:r>
    </w:p>
    <w:p w14:paraId="59118DC1" w14:textId="77777777" w:rsidR="000C63D9" w:rsidRPr="0001496F" w:rsidRDefault="000C63D9" w:rsidP="0001496F">
      <w:pPr>
        <w:jc w:val="both"/>
        <w:rPr>
          <w:rFonts w:ascii="Times New Roman" w:hAnsi="Times New Roman" w:cs="Times New Roman"/>
        </w:rPr>
      </w:pPr>
    </w:p>
    <w:p w14:paraId="11780A1F" w14:textId="1BC56CC9"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législateur indique que pour respecter ce principe de proportionnalité, il convient également de prendre « particulièrement en compte la gravité des conséquences possibles »</w:t>
      </w:r>
      <w:r w:rsidR="00503E4F" w:rsidRPr="0001496F">
        <w:rPr>
          <w:rFonts w:ascii="Times New Roman" w:hAnsi="Times New Roman" w:cs="Times New Roman"/>
        </w:rPr>
        <w:t xml:space="preserve"> de l’infraction </w:t>
      </w:r>
      <w:r w:rsidR="00503E4F" w:rsidRPr="0001496F">
        <w:rPr>
          <w:rFonts w:ascii="Times New Roman" w:hAnsi="Times New Roman" w:cs="Times New Roman"/>
        </w:rPr>
        <w:lastRenderedPageBreak/>
        <w:t>dénoncée</w:t>
      </w:r>
      <w:r w:rsidR="00EF4CF8" w:rsidRPr="0001496F">
        <w:rPr>
          <w:rFonts w:ascii="Times New Roman" w:hAnsi="Times New Roman" w:cs="Times New Roman"/>
        </w:rPr>
        <w:t xml:space="preserve"> </w:t>
      </w:r>
      <w:r w:rsidRPr="0001496F">
        <w:rPr>
          <w:rFonts w:ascii="Times New Roman" w:hAnsi="Times New Roman" w:cs="Times New Roman"/>
        </w:rPr>
        <w:t>(C. i. cr., art. 216/5 et 216/6)</w:t>
      </w:r>
      <w:r w:rsidRPr="0001496F">
        <w:rPr>
          <w:rStyle w:val="Appelnotedebasdep"/>
          <w:rFonts w:ascii="Times New Roman" w:hAnsi="Times New Roman" w:cs="Times New Roman"/>
        </w:rPr>
        <w:footnoteReference w:id="140"/>
      </w:r>
      <w:r w:rsidRPr="0001496F">
        <w:rPr>
          <w:rFonts w:ascii="Times New Roman" w:hAnsi="Times New Roman" w:cs="Times New Roman"/>
        </w:rPr>
        <w:t xml:space="preserve">. Les travaux préparatoires indiquent l’importance de prendre en compte à la fois l’actualité et la nature des conséquences de </w:t>
      </w:r>
      <w:r w:rsidR="00FE5856" w:rsidRPr="0001496F">
        <w:rPr>
          <w:rFonts w:ascii="Times New Roman" w:hAnsi="Times New Roman" w:cs="Times New Roman"/>
        </w:rPr>
        <w:t xml:space="preserve">la déclaration sur </w:t>
      </w:r>
      <w:r w:rsidRPr="0001496F">
        <w:rPr>
          <w:rFonts w:ascii="Times New Roman" w:hAnsi="Times New Roman" w:cs="Times New Roman"/>
        </w:rPr>
        <w:t xml:space="preserve">l’infraction dénoncée : « Les déclarations qui mènent à ce que des infractions puissent </w:t>
      </w:r>
      <w:r w:rsidRPr="0001496F">
        <w:rPr>
          <w:rFonts w:ascii="Times New Roman" w:hAnsi="Times New Roman" w:cs="Times New Roman"/>
          <w:i/>
        </w:rPr>
        <w:t>prendre fin</w:t>
      </w:r>
      <w:r w:rsidRPr="0001496F">
        <w:rPr>
          <w:rFonts w:ascii="Times New Roman" w:hAnsi="Times New Roman" w:cs="Times New Roman"/>
        </w:rPr>
        <w:t xml:space="preserve">, (…) à ce que </w:t>
      </w:r>
      <w:r w:rsidRPr="0001496F">
        <w:rPr>
          <w:rFonts w:ascii="Times New Roman" w:hAnsi="Times New Roman" w:cs="Times New Roman"/>
          <w:i/>
        </w:rPr>
        <w:t>des vies</w:t>
      </w:r>
      <w:r w:rsidRPr="0001496F">
        <w:rPr>
          <w:rFonts w:ascii="Times New Roman" w:hAnsi="Times New Roman" w:cs="Times New Roman"/>
        </w:rPr>
        <w:t xml:space="preserve"> puissent être </w:t>
      </w:r>
      <w:r w:rsidRPr="0001496F">
        <w:rPr>
          <w:rFonts w:ascii="Times New Roman" w:hAnsi="Times New Roman" w:cs="Times New Roman"/>
          <w:i/>
        </w:rPr>
        <w:t>sauvées</w:t>
      </w:r>
      <w:r w:rsidRPr="0001496F">
        <w:rPr>
          <w:rFonts w:ascii="Times New Roman" w:hAnsi="Times New Roman" w:cs="Times New Roman"/>
        </w:rPr>
        <w:t xml:space="preserve"> et que </w:t>
      </w:r>
      <w:r w:rsidRPr="0001496F">
        <w:rPr>
          <w:rFonts w:ascii="Times New Roman" w:hAnsi="Times New Roman" w:cs="Times New Roman"/>
          <w:i/>
        </w:rPr>
        <w:t>des blessures graves</w:t>
      </w:r>
      <w:r w:rsidRPr="0001496F">
        <w:rPr>
          <w:rFonts w:ascii="Times New Roman" w:hAnsi="Times New Roman" w:cs="Times New Roman"/>
        </w:rPr>
        <w:t xml:space="preserve"> puissent être </w:t>
      </w:r>
      <w:r w:rsidRPr="0001496F">
        <w:rPr>
          <w:rFonts w:ascii="Times New Roman" w:hAnsi="Times New Roman" w:cs="Times New Roman"/>
          <w:i/>
        </w:rPr>
        <w:t>évitées</w:t>
      </w:r>
      <w:r w:rsidRPr="0001496F">
        <w:rPr>
          <w:rFonts w:ascii="Times New Roman" w:hAnsi="Times New Roman" w:cs="Times New Roman"/>
        </w:rPr>
        <w:t>, sont particulièrement importantes »</w:t>
      </w:r>
      <w:r w:rsidRPr="0001496F">
        <w:rPr>
          <w:rStyle w:val="Appelnotedebasdep"/>
          <w:rFonts w:ascii="Times New Roman" w:hAnsi="Times New Roman" w:cs="Times New Roman"/>
        </w:rPr>
        <w:footnoteReference w:id="141"/>
      </w:r>
      <w:r w:rsidRPr="0001496F">
        <w:rPr>
          <w:rFonts w:ascii="Times New Roman" w:hAnsi="Times New Roman" w:cs="Times New Roman"/>
        </w:rPr>
        <w:t xml:space="preserve">. Le législateur invite donc à faire en sorte que le principe de proportionnalité s’actualise non seulement au niveau des gravités des </w:t>
      </w:r>
      <w:r w:rsidRPr="0001496F">
        <w:rPr>
          <w:rFonts w:ascii="Times New Roman" w:hAnsi="Times New Roman" w:cs="Times New Roman"/>
          <w:i/>
        </w:rPr>
        <w:t>faits commis</w:t>
      </w:r>
      <w:r w:rsidRPr="0001496F">
        <w:rPr>
          <w:rFonts w:ascii="Times New Roman" w:hAnsi="Times New Roman" w:cs="Times New Roman"/>
        </w:rPr>
        <w:t xml:space="preserve">, mais aussi au niveau des </w:t>
      </w:r>
      <w:r w:rsidRPr="0001496F">
        <w:rPr>
          <w:rFonts w:ascii="Times New Roman" w:hAnsi="Times New Roman" w:cs="Times New Roman"/>
          <w:i/>
        </w:rPr>
        <w:t>intérêts et valeurs</w:t>
      </w:r>
      <w:r w:rsidRPr="0001496F">
        <w:rPr>
          <w:rFonts w:ascii="Times New Roman" w:hAnsi="Times New Roman" w:cs="Times New Roman"/>
        </w:rPr>
        <w:t xml:space="preserve"> à la fois sauvegardés et sacrifiés par la collaboration</w:t>
      </w:r>
      <w:r w:rsidRPr="0001496F">
        <w:rPr>
          <w:rStyle w:val="Appelnotedebasdep"/>
          <w:rFonts w:ascii="Times New Roman" w:hAnsi="Times New Roman" w:cs="Times New Roman"/>
        </w:rPr>
        <w:footnoteReference w:id="142"/>
      </w:r>
      <w:r w:rsidRPr="0001496F">
        <w:rPr>
          <w:rFonts w:ascii="Times New Roman" w:hAnsi="Times New Roman" w:cs="Times New Roman"/>
        </w:rPr>
        <w:t>.</w:t>
      </w:r>
    </w:p>
    <w:p w14:paraId="4528F50B" w14:textId="77777777" w:rsidR="000C63D9" w:rsidRPr="0001496F" w:rsidRDefault="000C63D9" w:rsidP="0001496F">
      <w:pPr>
        <w:jc w:val="both"/>
        <w:rPr>
          <w:rFonts w:ascii="Times New Roman" w:hAnsi="Times New Roman" w:cs="Times New Roman"/>
        </w:rPr>
      </w:pPr>
    </w:p>
    <w:p w14:paraId="4F4D8029" w14:textId="2A49F5A9" w:rsidR="000C63D9" w:rsidRPr="0001496F" w:rsidRDefault="000C63D9" w:rsidP="0001496F">
      <w:pPr>
        <w:jc w:val="both"/>
        <w:rPr>
          <w:rFonts w:ascii="Times New Roman" w:hAnsi="Times New Roman" w:cs="Times New Roman"/>
        </w:rPr>
      </w:pPr>
      <w:r w:rsidRPr="0001496F">
        <w:rPr>
          <w:rFonts w:ascii="Times New Roman" w:hAnsi="Times New Roman" w:cs="Times New Roman"/>
        </w:rPr>
        <w:t>Dans l’évaluation de la proportionnalité, le législateur belge semble inviter les autorités policières et judiciaires à se limiter aux « valeurs dont il paraît suffisamment vraisemblable qu’elles pourraient être compromises en l’espèce »</w:t>
      </w:r>
      <w:r w:rsidRPr="0001496F">
        <w:rPr>
          <w:rStyle w:val="Appelnotedebasdep"/>
          <w:rFonts w:ascii="Times New Roman" w:hAnsi="Times New Roman" w:cs="Times New Roman"/>
        </w:rPr>
        <w:footnoteReference w:id="143"/>
      </w:r>
      <w:r w:rsidRPr="0001496F">
        <w:rPr>
          <w:rFonts w:ascii="Times New Roman" w:hAnsi="Times New Roman" w:cs="Times New Roman"/>
        </w:rPr>
        <w:t>. Pour évaluer le degré de vraisemblance de la menace, la distinction entre les collaborations « répressive », « préservative » et « limitative » semble très utile (</w:t>
      </w:r>
      <w:r w:rsidRPr="0001496F">
        <w:rPr>
          <w:rFonts w:ascii="Times New Roman" w:hAnsi="Times New Roman" w:cs="Times New Roman"/>
          <w:i/>
        </w:rPr>
        <w:t>cf. supra</w:t>
      </w:r>
      <w:r w:rsidR="00FE5856" w:rsidRPr="0001496F">
        <w:rPr>
          <w:rFonts w:ascii="Times New Roman" w:hAnsi="Times New Roman" w:cs="Times New Roman"/>
        </w:rPr>
        <w:t xml:space="preserve"> Introduction). Dans les cas de</w:t>
      </w:r>
      <w:r w:rsidRPr="0001496F">
        <w:rPr>
          <w:rFonts w:ascii="Times New Roman" w:hAnsi="Times New Roman" w:cs="Times New Roman"/>
        </w:rPr>
        <w:t xml:space="preserve"> collaborations à portée « préservative » et « limitative », la menace des valeurs paraît « nettement plus actuelle et concrète » que d</w:t>
      </w:r>
      <w:r w:rsidR="00FA3FE9" w:rsidRPr="0001496F">
        <w:rPr>
          <w:rFonts w:ascii="Times New Roman" w:hAnsi="Times New Roman" w:cs="Times New Roman"/>
        </w:rPr>
        <w:t>ans le cas de</w:t>
      </w:r>
      <w:r w:rsidRPr="0001496F">
        <w:rPr>
          <w:rFonts w:ascii="Times New Roman" w:hAnsi="Times New Roman" w:cs="Times New Roman"/>
        </w:rPr>
        <w:t xml:space="preserve"> collaborations purement « répressives »</w:t>
      </w:r>
      <w:r w:rsidRPr="0001496F">
        <w:rPr>
          <w:rStyle w:val="Appelnotedebasdep"/>
          <w:rFonts w:ascii="Times New Roman" w:hAnsi="Times New Roman" w:cs="Times New Roman"/>
        </w:rPr>
        <w:footnoteReference w:id="144"/>
      </w:r>
      <w:r w:rsidRPr="0001496F">
        <w:rPr>
          <w:rFonts w:ascii="Times New Roman" w:hAnsi="Times New Roman" w:cs="Times New Roman"/>
        </w:rPr>
        <w:t xml:space="preserve">. Dès lors, ce type de menaces devrait peser davantage dans l’opérationnalisation du principe de proportionnalité : « Les déclarations qui concernent une </w:t>
      </w:r>
      <w:r w:rsidRPr="0001496F">
        <w:rPr>
          <w:rFonts w:ascii="Times New Roman" w:hAnsi="Times New Roman" w:cs="Times New Roman"/>
          <w:i/>
        </w:rPr>
        <w:t>infraction persistante</w:t>
      </w:r>
      <w:r w:rsidRPr="0001496F">
        <w:rPr>
          <w:rFonts w:ascii="Times New Roman" w:hAnsi="Times New Roman" w:cs="Times New Roman"/>
        </w:rPr>
        <w:t xml:space="preserve"> ou qui </w:t>
      </w:r>
      <w:r w:rsidR="00581F5E" w:rsidRPr="0001496F">
        <w:rPr>
          <w:rFonts w:ascii="Times New Roman" w:hAnsi="Times New Roman" w:cs="Times New Roman"/>
        </w:rPr>
        <w:t>(…)</w:t>
      </w:r>
      <w:r w:rsidRPr="0001496F">
        <w:rPr>
          <w:rFonts w:ascii="Times New Roman" w:hAnsi="Times New Roman" w:cs="Times New Roman"/>
        </w:rPr>
        <w:t xml:space="preserve"> </w:t>
      </w:r>
      <w:r w:rsidRPr="0001496F">
        <w:rPr>
          <w:rFonts w:ascii="Times New Roman" w:hAnsi="Times New Roman" w:cs="Times New Roman"/>
          <w:i/>
        </w:rPr>
        <w:t>peut causer</w:t>
      </w:r>
      <w:r w:rsidRPr="0001496F">
        <w:rPr>
          <w:rFonts w:ascii="Times New Roman" w:hAnsi="Times New Roman" w:cs="Times New Roman"/>
        </w:rPr>
        <w:t xml:space="preserve"> des blessures physiques graves, des décès ou des dommages importants, ou qui </w:t>
      </w:r>
      <w:r w:rsidRPr="0001496F">
        <w:rPr>
          <w:rFonts w:ascii="Times New Roman" w:hAnsi="Times New Roman" w:cs="Times New Roman"/>
          <w:i/>
        </w:rPr>
        <w:t>prévenir</w:t>
      </w:r>
      <w:r w:rsidRPr="0001496F">
        <w:rPr>
          <w:rFonts w:ascii="Times New Roman" w:hAnsi="Times New Roman" w:cs="Times New Roman"/>
        </w:rPr>
        <w:t xml:space="preserve"> (sic) des infractions plus graves, peuvent en particulier justifier une promesse »</w:t>
      </w:r>
      <w:r w:rsidRPr="0001496F">
        <w:rPr>
          <w:rStyle w:val="Appelnotedebasdep"/>
          <w:rFonts w:ascii="Times New Roman" w:hAnsi="Times New Roman" w:cs="Times New Roman"/>
        </w:rPr>
        <w:footnoteReference w:id="145"/>
      </w:r>
      <w:r w:rsidR="00581F5E" w:rsidRPr="0001496F">
        <w:rPr>
          <w:rFonts w:ascii="Times New Roman" w:hAnsi="Times New Roman" w:cs="Times New Roman"/>
        </w:rPr>
        <w:t>.</w:t>
      </w:r>
    </w:p>
    <w:p w14:paraId="6B3A8493" w14:textId="77777777" w:rsidR="000C63D9" w:rsidRPr="0001496F" w:rsidRDefault="000C63D9" w:rsidP="0001496F">
      <w:pPr>
        <w:jc w:val="both"/>
        <w:rPr>
          <w:rFonts w:ascii="Times New Roman" w:hAnsi="Times New Roman" w:cs="Times New Roman"/>
        </w:rPr>
      </w:pPr>
    </w:p>
    <w:p w14:paraId="3EFCF9E2"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2.1.5. Le principe de l’absence de dangerosité</w:t>
      </w:r>
    </w:p>
    <w:p w14:paraId="0A0B1DF5" w14:textId="77777777" w:rsidR="000C63D9" w:rsidRPr="0001496F" w:rsidRDefault="000C63D9" w:rsidP="0001496F">
      <w:pPr>
        <w:jc w:val="both"/>
        <w:rPr>
          <w:rFonts w:ascii="Times New Roman" w:hAnsi="Times New Roman" w:cs="Times New Roman"/>
        </w:rPr>
      </w:pPr>
    </w:p>
    <w:p w14:paraId="67890516"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Lorsque la promesse de récompense concerne l’exécution de la peine (</w:t>
      </w:r>
      <w:r w:rsidRPr="0001496F">
        <w:rPr>
          <w:rFonts w:ascii="Times New Roman" w:hAnsi="Times New Roman" w:cs="Times New Roman"/>
          <w:i/>
        </w:rPr>
        <w:t>cf. infra</w:t>
      </w:r>
      <w:r w:rsidRPr="0001496F">
        <w:rPr>
          <w:rFonts w:ascii="Times New Roman" w:hAnsi="Times New Roman" w:cs="Times New Roman"/>
        </w:rPr>
        <w:t xml:space="preserve"> 2.2.2), il existe une condition supplémentaire pour recourir à une collaboration : il faut que le collaborateur « ne constitue pas de danger pour la sécurité publique » (C. i. cr., 216/6). Cette condition supplémentaire est justifiée par le fait que la « promesse a pour conséquence que le condamné peut être remis en liberté »</w:t>
      </w:r>
      <w:r w:rsidRPr="0001496F">
        <w:rPr>
          <w:rStyle w:val="Appelnotedebasdep"/>
          <w:rFonts w:ascii="Times New Roman" w:hAnsi="Times New Roman" w:cs="Times New Roman"/>
        </w:rPr>
        <w:footnoteReference w:id="146"/>
      </w:r>
      <w:r w:rsidRPr="0001496F">
        <w:rPr>
          <w:rFonts w:ascii="Times New Roman" w:hAnsi="Times New Roman" w:cs="Times New Roman"/>
        </w:rPr>
        <w:t xml:space="preserve">. L’ouverture du dispositif n’est donc ici pas fonction de la seule gravité objective de l’acte (cf. </w:t>
      </w:r>
      <w:r w:rsidRPr="0001496F">
        <w:rPr>
          <w:rFonts w:ascii="Times New Roman" w:hAnsi="Times New Roman" w:cs="Times New Roman"/>
          <w:i/>
        </w:rPr>
        <w:t>supra</w:t>
      </w:r>
      <w:r w:rsidRPr="0001496F">
        <w:rPr>
          <w:rFonts w:ascii="Times New Roman" w:hAnsi="Times New Roman" w:cs="Times New Roman"/>
        </w:rPr>
        <w:t xml:space="preserve"> 2.1.1 et 2.1.4), mais également fonction de la personnalité du « repenti » et de sa « dangerosité » supposée. </w:t>
      </w:r>
    </w:p>
    <w:p w14:paraId="0E9508F8" w14:textId="77777777" w:rsidR="000C63D9" w:rsidRPr="0001496F" w:rsidRDefault="000C63D9" w:rsidP="0001496F">
      <w:pPr>
        <w:jc w:val="both"/>
        <w:rPr>
          <w:rFonts w:ascii="Times New Roman" w:hAnsi="Times New Roman" w:cs="Times New Roman"/>
        </w:rPr>
      </w:pPr>
    </w:p>
    <w:p w14:paraId="0685BBC2"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Comment faut-il opérationnaliser ce critère d’absence de dangerosité ? Est-ce le critère de la récidive qui sera retenu ? Les travaux préparatoires n’évoquent pas ces questions. On notera que le statut de récidiviste n’empêche pas le recours à une collaboration.</w:t>
      </w:r>
    </w:p>
    <w:p w14:paraId="5380B4A7" w14:textId="77777777" w:rsidR="000C63D9" w:rsidRPr="0001496F" w:rsidRDefault="000C63D9" w:rsidP="0001496F">
      <w:pPr>
        <w:jc w:val="both"/>
        <w:rPr>
          <w:rFonts w:ascii="Times New Roman" w:hAnsi="Times New Roman" w:cs="Times New Roman"/>
        </w:rPr>
      </w:pPr>
    </w:p>
    <w:p w14:paraId="0B9F46D5"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2.2. Les types de promesses</w:t>
      </w:r>
    </w:p>
    <w:p w14:paraId="786D1CE3" w14:textId="77777777" w:rsidR="000C63D9" w:rsidRPr="0001496F" w:rsidRDefault="000C63D9" w:rsidP="0001496F">
      <w:pPr>
        <w:jc w:val="both"/>
        <w:rPr>
          <w:rFonts w:ascii="Times New Roman" w:hAnsi="Times New Roman" w:cs="Times New Roman"/>
        </w:rPr>
      </w:pPr>
    </w:p>
    <w:p w14:paraId="0CFA238F"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lastRenderedPageBreak/>
        <w:t>Trois types de promesses de récompenses sont prévues dans le système belge. Le « deal » peut concerner l’exercice de l’action publique (2.2.1), l’exécution de la peine (2.2.2) et le lieu de détention (2.2.3). Nous envisagerons enfin si un cumul des promesses de récompense est possible (2.2.4.).</w:t>
      </w:r>
    </w:p>
    <w:p w14:paraId="7332D86C" w14:textId="77777777" w:rsidR="000C63D9" w:rsidRPr="0001496F" w:rsidRDefault="000C63D9" w:rsidP="0001496F">
      <w:pPr>
        <w:jc w:val="both"/>
        <w:rPr>
          <w:rFonts w:ascii="Times New Roman" w:hAnsi="Times New Roman" w:cs="Times New Roman"/>
        </w:rPr>
      </w:pPr>
    </w:p>
    <w:p w14:paraId="00A59F46"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2.2.1. Les promesses relatives à l’exercice de l’action publique</w:t>
      </w:r>
    </w:p>
    <w:p w14:paraId="6CDBF39A" w14:textId="77777777" w:rsidR="000C63D9" w:rsidRPr="0001496F" w:rsidRDefault="000C63D9" w:rsidP="0001496F">
      <w:pPr>
        <w:jc w:val="both"/>
        <w:rPr>
          <w:rFonts w:ascii="Times New Roman" w:hAnsi="Times New Roman" w:cs="Times New Roman"/>
        </w:rPr>
      </w:pPr>
    </w:p>
    <w:p w14:paraId="4D1D5D79"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2.2.1.1. La promesse d’un classement sans suite ?</w:t>
      </w:r>
    </w:p>
    <w:p w14:paraId="7A97BA01" w14:textId="77777777" w:rsidR="000C63D9" w:rsidRPr="0001496F" w:rsidRDefault="000C63D9" w:rsidP="0001496F">
      <w:pPr>
        <w:jc w:val="both"/>
        <w:rPr>
          <w:rFonts w:ascii="Times New Roman" w:hAnsi="Times New Roman" w:cs="Times New Roman"/>
        </w:rPr>
      </w:pPr>
    </w:p>
    <w:p w14:paraId="29C7AA68"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loi du 22 juillet 2018 laisse intactes les prérogatives du ministère public en matière de classement sans suite</w:t>
      </w:r>
      <w:r w:rsidRPr="0001496F">
        <w:rPr>
          <w:rStyle w:val="Appelnotedebasdep"/>
          <w:rFonts w:ascii="Times New Roman" w:hAnsi="Times New Roman" w:cs="Times New Roman"/>
        </w:rPr>
        <w:footnoteReference w:id="147"/>
      </w:r>
      <w:r w:rsidRPr="0001496F">
        <w:rPr>
          <w:rFonts w:ascii="Times New Roman" w:hAnsi="Times New Roman" w:cs="Times New Roman"/>
        </w:rPr>
        <w:t>. Rien n’empêche qu’un classement sans suite soit décidé, au terme d’une négociation informelle entre le parquet et l’infracteur présumé, en contrepartie d’une dénonciation</w:t>
      </w:r>
      <w:r w:rsidRPr="0001496F">
        <w:rPr>
          <w:rStyle w:val="Appelnotedebasdep"/>
          <w:rFonts w:ascii="Times New Roman" w:hAnsi="Times New Roman" w:cs="Times New Roman"/>
        </w:rPr>
        <w:footnoteReference w:id="148"/>
      </w:r>
      <w:r w:rsidRPr="0001496F">
        <w:rPr>
          <w:rFonts w:ascii="Times New Roman" w:hAnsi="Times New Roman" w:cs="Times New Roman"/>
        </w:rPr>
        <w:t>. Certes, un tel classement n’offre aucune sécurité juridique au collaborateur et la promesse est donc « fragile »</w:t>
      </w:r>
      <w:r w:rsidRPr="0001496F">
        <w:rPr>
          <w:rStyle w:val="Appelnotedebasdep"/>
          <w:rFonts w:ascii="Times New Roman" w:hAnsi="Times New Roman" w:cs="Times New Roman"/>
        </w:rPr>
        <w:footnoteReference w:id="149"/>
      </w:r>
      <w:r w:rsidRPr="0001496F">
        <w:rPr>
          <w:rFonts w:ascii="Times New Roman" w:hAnsi="Times New Roman" w:cs="Times New Roman"/>
        </w:rPr>
        <w:t>. De plus, la situation du tiers dénoncé est également problématique : « les personnes mises en cause par le repenti [pourraient] être condamnées sur la base (le cas échéant exclusive) de déclarations dont le caractère intéressé serait dissimulé au juge et à la défense »</w:t>
      </w:r>
      <w:r w:rsidRPr="0001496F">
        <w:rPr>
          <w:rStyle w:val="Appelnotedebasdep"/>
          <w:rFonts w:ascii="Times New Roman" w:hAnsi="Times New Roman" w:cs="Times New Roman"/>
        </w:rPr>
        <w:footnoteReference w:id="150"/>
      </w:r>
      <w:r w:rsidRPr="0001496F">
        <w:rPr>
          <w:rFonts w:ascii="Times New Roman" w:hAnsi="Times New Roman" w:cs="Times New Roman"/>
        </w:rPr>
        <w:t xml:space="preserve">. </w:t>
      </w:r>
    </w:p>
    <w:p w14:paraId="6BE11CF0" w14:textId="77777777" w:rsidR="000C63D9" w:rsidRPr="0001496F" w:rsidRDefault="000C63D9" w:rsidP="0001496F">
      <w:pPr>
        <w:jc w:val="both"/>
        <w:rPr>
          <w:rFonts w:ascii="Times New Roman" w:hAnsi="Times New Roman" w:cs="Times New Roman"/>
        </w:rPr>
      </w:pPr>
    </w:p>
    <w:p w14:paraId="36201621" w14:textId="3BCF6BAD"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2.2.1.2. La promesse d’une réduction de peine</w:t>
      </w:r>
      <w:r w:rsidR="001E1DA9" w:rsidRPr="0001496F">
        <w:rPr>
          <w:rFonts w:ascii="Times New Roman" w:hAnsi="Times New Roman" w:cs="Times New Roman"/>
        </w:rPr>
        <w:t> : le cas des infractions terroristes</w:t>
      </w:r>
    </w:p>
    <w:p w14:paraId="07FDBC0B" w14:textId="77777777" w:rsidR="000C63D9" w:rsidRPr="0001496F" w:rsidRDefault="000C63D9" w:rsidP="0001496F">
      <w:pPr>
        <w:jc w:val="both"/>
        <w:rPr>
          <w:rFonts w:ascii="Times New Roman" w:hAnsi="Times New Roman" w:cs="Times New Roman"/>
        </w:rPr>
      </w:pPr>
    </w:p>
    <w:p w14:paraId="2C23B37C"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Si le collaborateur, personne physique ou personne morale, fait l’objet de poursuites pénales par le ministère public, ce dernier peut promettre une récompense qui consiste en une réduction de la peine</w:t>
      </w:r>
      <w:r w:rsidRPr="0001496F">
        <w:rPr>
          <w:rStyle w:val="Appelnotedebasdep"/>
          <w:rFonts w:ascii="Times New Roman" w:hAnsi="Times New Roman" w:cs="Times New Roman"/>
        </w:rPr>
        <w:footnoteReference w:id="151"/>
      </w:r>
      <w:r w:rsidRPr="0001496F">
        <w:rPr>
          <w:rFonts w:ascii="Times New Roman" w:hAnsi="Times New Roman" w:cs="Times New Roman"/>
        </w:rPr>
        <w:t>. Un système de réduction de peines spécifique – et moins avantageux – est mis en place pour les infractions terroristes. Nous nous concentrerons sur ce système spécifique.</w:t>
      </w:r>
    </w:p>
    <w:p w14:paraId="70A96C71" w14:textId="77777777" w:rsidR="000C63D9" w:rsidRPr="0001496F" w:rsidRDefault="000C63D9" w:rsidP="0001496F">
      <w:pPr>
        <w:jc w:val="both"/>
        <w:rPr>
          <w:rFonts w:ascii="Times New Roman" w:hAnsi="Times New Roman" w:cs="Times New Roman"/>
        </w:rPr>
      </w:pPr>
    </w:p>
    <w:p w14:paraId="2EB2276F" w14:textId="2CCE47A5" w:rsidR="000C63D9" w:rsidRPr="0001496F" w:rsidRDefault="000C63D9" w:rsidP="0001496F">
      <w:pPr>
        <w:jc w:val="both"/>
        <w:rPr>
          <w:rFonts w:ascii="Times New Roman" w:hAnsi="Times New Roman" w:cs="Times New Roman"/>
        </w:rPr>
      </w:pPr>
      <w:r w:rsidRPr="0001496F">
        <w:rPr>
          <w:rFonts w:ascii="Times New Roman" w:hAnsi="Times New Roman" w:cs="Times New Roman"/>
        </w:rPr>
        <w:t>Pour les crimes</w:t>
      </w:r>
      <w:r w:rsidRPr="0001496F">
        <w:rPr>
          <w:rStyle w:val="Appelnotedebasdep"/>
          <w:rFonts w:ascii="Times New Roman" w:hAnsi="Times New Roman" w:cs="Times New Roman"/>
        </w:rPr>
        <w:footnoteReference w:id="152"/>
      </w:r>
      <w:r w:rsidRPr="0001496F">
        <w:rPr>
          <w:rFonts w:ascii="Times New Roman" w:hAnsi="Times New Roman" w:cs="Times New Roman"/>
        </w:rPr>
        <w:t xml:space="preserve"> terroristes (comme pour les crimes commis avec violence ou menace), la récompense consiste en la promesse d’une « peine d’un niveau inférieur avec application de la réduction de peine conformément aux articles 80 et 81</w:t>
      </w:r>
      <w:r w:rsidR="00642D6F" w:rsidRPr="0001496F">
        <w:rPr>
          <w:rStyle w:val="Appelnotedebasdep"/>
          <w:rFonts w:ascii="Times New Roman" w:hAnsi="Times New Roman" w:cs="Times New Roman"/>
        </w:rPr>
        <w:footnoteReference w:id="153"/>
      </w:r>
      <w:r w:rsidRPr="0001496F">
        <w:rPr>
          <w:rFonts w:ascii="Times New Roman" w:hAnsi="Times New Roman" w:cs="Times New Roman"/>
        </w:rPr>
        <w:t xml:space="preserve"> du C</w:t>
      </w:r>
      <w:r w:rsidR="00642D6F" w:rsidRPr="0001496F">
        <w:rPr>
          <w:rFonts w:ascii="Times New Roman" w:hAnsi="Times New Roman" w:cs="Times New Roman"/>
        </w:rPr>
        <w:t>ode pénal</w:t>
      </w:r>
      <w:r w:rsidRPr="0001496F">
        <w:rPr>
          <w:rFonts w:ascii="Times New Roman" w:hAnsi="Times New Roman" w:cs="Times New Roman"/>
        </w:rPr>
        <w:t> » (C. i.cr., art. 216/5, §1</w:t>
      </w:r>
      <w:r w:rsidRPr="0001496F">
        <w:rPr>
          <w:rFonts w:ascii="Times New Roman" w:hAnsi="Times New Roman" w:cs="Times New Roman"/>
          <w:vertAlign w:val="superscript"/>
        </w:rPr>
        <w:t>er</w:t>
      </w:r>
      <w:r w:rsidRPr="0001496F">
        <w:rPr>
          <w:rFonts w:ascii="Times New Roman" w:hAnsi="Times New Roman" w:cs="Times New Roman"/>
        </w:rPr>
        <w:t xml:space="preserve">, 1°). Par exemple, dans le cas d’un meurtre, le raisonnement est le suivant : 1) l’article 393 du C. pén. punit le meurtre (hors d’un contexte terroriste) de la réclusion de 20 à 30 ans ; 2) vu l’article 138 du C. pén., si le meurtre est une infraction terroriste, la peine devient la réclusion </w:t>
      </w:r>
      <w:r w:rsidR="001E1DA9" w:rsidRPr="0001496F">
        <w:rPr>
          <w:rFonts w:ascii="Times New Roman" w:hAnsi="Times New Roman" w:cs="Times New Roman"/>
        </w:rPr>
        <w:t>à perpétuité ;</w:t>
      </w:r>
      <w:r w:rsidRPr="0001496F">
        <w:rPr>
          <w:rFonts w:ascii="Times New Roman" w:hAnsi="Times New Roman" w:cs="Times New Roman"/>
        </w:rPr>
        <w:t xml:space="preserve"> enfin 3) si le collaborateur terroriste bénéficie de l’article 80 du C. pén.</w:t>
      </w:r>
      <w:r w:rsidR="001E1DA9" w:rsidRPr="0001496F">
        <w:rPr>
          <w:rFonts w:ascii="Times New Roman" w:hAnsi="Times New Roman" w:cs="Times New Roman"/>
        </w:rPr>
        <w:t>,</w:t>
      </w:r>
      <w:r w:rsidRPr="0001496F">
        <w:rPr>
          <w:rFonts w:ascii="Times New Roman" w:hAnsi="Times New Roman" w:cs="Times New Roman"/>
        </w:rPr>
        <w:t xml:space="preserve"> la fourchette de la peine se situe entre </w:t>
      </w:r>
      <w:r w:rsidR="00323A43" w:rsidRPr="0001496F">
        <w:rPr>
          <w:rFonts w:ascii="Times New Roman" w:hAnsi="Times New Roman" w:cs="Times New Roman"/>
        </w:rPr>
        <w:t>un emprisonnement de trois ans et une réclusion de trente ans</w:t>
      </w:r>
      <w:r w:rsidRPr="0001496F">
        <w:rPr>
          <w:rFonts w:ascii="Times New Roman" w:hAnsi="Times New Roman" w:cs="Times New Roman"/>
        </w:rPr>
        <w:t xml:space="preserve">. </w:t>
      </w:r>
    </w:p>
    <w:p w14:paraId="039F94E2" w14:textId="77777777" w:rsidR="000C63D9" w:rsidRPr="0001496F" w:rsidRDefault="000C63D9" w:rsidP="0001496F">
      <w:pPr>
        <w:jc w:val="both"/>
        <w:rPr>
          <w:rFonts w:ascii="Times New Roman" w:hAnsi="Times New Roman" w:cs="Times New Roman"/>
        </w:rPr>
      </w:pPr>
    </w:p>
    <w:p w14:paraId="1C1F677D" w14:textId="2F6CB9FE" w:rsidR="000C63D9" w:rsidRPr="0001496F" w:rsidRDefault="000C63D9" w:rsidP="0001496F">
      <w:pPr>
        <w:jc w:val="both"/>
        <w:rPr>
          <w:rFonts w:ascii="Times New Roman" w:hAnsi="Times New Roman" w:cs="Times New Roman"/>
        </w:rPr>
      </w:pPr>
      <w:r w:rsidRPr="0001496F">
        <w:rPr>
          <w:rFonts w:ascii="Times New Roman" w:hAnsi="Times New Roman" w:cs="Times New Roman"/>
        </w:rPr>
        <w:t>Pour les délits</w:t>
      </w:r>
      <w:r w:rsidRPr="0001496F">
        <w:rPr>
          <w:rStyle w:val="Appelnotedebasdep"/>
          <w:rFonts w:ascii="Times New Roman" w:hAnsi="Times New Roman" w:cs="Times New Roman"/>
        </w:rPr>
        <w:footnoteReference w:id="154"/>
      </w:r>
      <w:r w:rsidRPr="0001496F">
        <w:rPr>
          <w:rFonts w:ascii="Times New Roman" w:hAnsi="Times New Roman" w:cs="Times New Roman"/>
        </w:rPr>
        <w:t xml:space="preserve"> terroristes (comme pour les délits avec violence ou menace), la récompense consiste en la promesse d’une « peine d’un niveau inférieur avec application de la réduction de </w:t>
      </w:r>
      <w:r w:rsidRPr="0001496F">
        <w:rPr>
          <w:rFonts w:ascii="Times New Roman" w:hAnsi="Times New Roman" w:cs="Times New Roman"/>
        </w:rPr>
        <w:lastRenderedPageBreak/>
        <w:t>peine conformément à l’article 85</w:t>
      </w:r>
      <w:r w:rsidR="00642D6F" w:rsidRPr="0001496F">
        <w:rPr>
          <w:rStyle w:val="Appelnotedebasdep"/>
          <w:rFonts w:ascii="Times New Roman" w:hAnsi="Times New Roman" w:cs="Times New Roman"/>
        </w:rPr>
        <w:footnoteReference w:id="155"/>
      </w:r>
      <w:r w:rsidR="00B00CA2" w:rsidRPr="0001496F">
        <w:rPr>
          <w:rFonts w:ascii="Times New Roman" w:hAnsi="Times New Roman" w:cs="Times New Roman"/>
        </w:rPr>
        <w:t xml:space="preserve"> du Code pénal</w:t>
      </w:r>
      <w:r w:rsidRPr="0001496F">
        <w:rPr>
          <w:rFonts w:ascii="Times New Roman" w:hAnsi="Times New Roman" w:cs="Times New Roman"/>
        </w:rPr>
        <w:t> » (C. i.cr., art. 216/5, §1</w:t>
      </w:r>
      <w:r w:rsidRPr="0001496F">
        <w:rPr>
          <w:rFonts w:ascii="Times New Roman" w:hAnsi="Times New Roman" w:cs="Times New Roman"/>
          <w:vertAlign w:val="superscript"/>
        </w:rPr>
        <w:t>er</w:t>
      </w:r>
      <w:r w:rsidRPr="0001496F">
        <w:rPr>
          <w:rFonts w:ascii="Times New Roman" w:hAnsi="Times New Roman" w:cs="Times New Roman"/>
        </w:rPr>
        <w:t xml:space="preserve">, 2°). Ainsi, le délit terroriste sera puni d’une peine d’emprisonnement entre un jour et cinq ans. </w:t>
      </w:r>
    </w:p>
    <w:p w14:paraId="7BD1E186" w14:textId="77777777" w:rsidR="000C63D9" w:rsidRPr="0001496F" w:rsidRDefault="000C63D9" w:rsidP="0001496F">
      <w:pPr>
        <w:jc w:val="both"/>
        <w:rPr>
          <w:rFonts w:ascii="Times New Roman" w:hAnsi="Times New Roman" w:cs="Times New Roman"/>
        </w:rPr>
      </w:pPr>
    </w:p>
    <w:p w14:paraId="3DC5DDF2"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Pour toutes les infractions terroristes (crimes et délits), une réduction de l’amende et de la confiscation pénales est possible. En ce qui concerne l’amende, la réduction peut conduire à un montant « en deçà du minimum légal » (C. i.cr., art. 216/5, §1</w:t>
      </w:r>
      <w:r w:rsidRPr="0001496F">
        <w:rPr>
          <w:rFonts w:ascii="Times New Roman" w:hAnsi="Times New Roman" w:cs="Times New Roman"/>
          <w:vertAlign w:val="superscript"/>
        </w:rPr>
        <w:t>er</w:t>
      </w:r>
      <w:r w:rsidRPr="0001496F">
        <w:rPr>
          <w:rFonts w:ascii="Times New Roman" w:hAnsi="Times New Roman" w:cs="Times New Roman"/>
        </w:rPr>
        <w:t>, 4°). En ce qui concerne la confiscation pénale, la réduction peut concerner tant les confiscations facultatives que les confiscations obligatoires, mais elle ne peut pas s’appliquer aux confiscations qui portent sur les « substances et objets qui mettent en danger la sécurité publique ou la sécurité des personnes » (C. i.cr., art. 216/5, §1</w:t>
      </w:r>
      <w:r w:rsidRPr="0001496F">
        <w:rPr>
          <w:rFonts w:ascii="Times New Roman" w:hAnsi="Times New Roman" w:cs="Times New Roman"/>
          <w:vertAlign w:val="superscript"/>
        </w:rPr>
        <w:t>er</w:t>
      </w:r>
      <w:r w:rsidRPr="0001496F">
        <w:rPr>
          <w:rFonts w:ascii="Times New Roman" w:hAnsi="Times New Roman" w:cs="Times New Roman"/>
        </w:rPr>
        <w:t>, 4°). En effet, dans cette dernière hypothèse, la confiscation n’est pas une peine, mais une mesure de sûreté (par exemple, la confiscation des armes, des explosifs, des produits stupéfiants…)</w:t>
      </w:r>
      <w:r w:rsidRPr="0001496F">
        <w:rPr>
          <w:rStyle w:val="Appelnotedebasdep"/>
          <w:rFonts w:ascii="Times New Roman" w:hAnsi="Times New Roman" w:cs="Times New Roman"/>
        </w:rPr>
        <w:footnoteReference w:id="156"/>
      </w:r>
      <w:r w:rsidRPr="0001496F">
        <w:rPr>
          <w:rFonts w:ascii="Times New Roman" w:hAnsi="Times New Roman" w:cs="Times New Roman"/>
        </w:rPr>
        <w:t>.</w:t>
      </w:r>
    </w:p>
    <w:p w14:paraId="6AE067F3" w14:textId="77777777" w:rsidR="000C63D9" w:rsidRPr="0001496F" w:rsidRDefault="000C63D9" w:rsidP="0001496F">
      <w:pPr>
        <w:jc w:val="both"/>
        <w:rPr>
          <w:rFonts w:ascii="Times New Roman" w:hAnsi="Times New Roman" w:cs="Times New Roman"/>
        </w:rPr>
      </w:pPr>
    </w:p>
    <w:p w14:paraId="3E00C9B7" w14:textId="5298BCFA" w:rsidR="000C63D9" w:rsidRPr="0001496F" w:rsidRDefault="000C63D9" w:rsidP="0001496F">
      <w:pPr>
        <w:jc w:val="both"/>
        <w:rPr>
          <w:rFonts w:ascii="Times New Roman" w:hAnsi="Times New Roman" w:cs="Times New Roman"/>
        </w:rPr>
      </w:pPr>
      <w:r w:rsidRPr="0001496F">
        <w:rPr>
          <w:rFonts w:ascii="Times New Roman" w:hAnsi="Times New Roman" w:cs="Times New Roman"/>
        </w:rPr>
        <w:t>Pour les crimes et délits commis « sans violence ou menace », le ministère public peut promettre une récompense encore plus avantageuse, telle qu’une reconnaissance simple de culpabilité, une peine</w:t>
      </w:r>
      <w:r w:rsidRPr="0001496F">
        <w:rPr>
          <w:rStyle w:val="Appelnotedebasdep"/>
          <w:rFonts w:ascii="Times New Roman" w:hAnsi="Times New Roman" w:cs="Times New Roman"/>
        </w:rPr>
        <w:footnoteReference w:id="157"/>
      </w:r>
      <w:r w:rsidRPr="0001496F">
        <w:rPr>
          <w:rFonts w:ascii="Times New Roman" w:hAnsi="Times New Roman" w:cs="Times New Roman"/>
        </w:rPr>
        <w:t xml:space="preserve"> inférieure à la peine légale minimale prévue, ou encore une peine sous surveillance électronique, une peine de travail ou une peine de probation autonome (C. i.cr., art. 216/5, §1</w:t>
      </w:r>
      <w:r w:rsidRPr="0001496F">
        <w:rPr>
          <w:rFonts w:ascii="Times New Roman" w:hAnsi="Times New Roman" w:cs="Times New Roman"/>
          <w:vertAlign w:val="superscript"/>
        </w:rPr>
        <w:t>er</w:t>
      </w:r>
      <w:r w:rsidR="00BA19EF" w:rsidRPr="0001496F">
        <w:rPr>
          <w:rFonts w:ascii="Times New Roman" w:hAnsi="Times New Roman" w:cs="Times New Roman"/>
        </w:rPr>
        <w:t>, 3°). Toutefois, ces</w:t>
      </w:r>
      <w:r w:rsidRPr="0001496F">
        <w:rPr>
          <w:rFonts w:ascii="Times New Roman" w:hAnsi="Times New Roman" w:cs="Times New Roman"/>
        </w:rPr>
        <w:t xml:space="preserve"> possibilité</w:t>
      </w:r>
      <w:r w:rsidR="00BA19EF" w:rsidRPr="0001496F">
        <w:rPr>
          <w:rFonts w:ascii="Times New Roman" w:hAnsi="Times New Roman" w:cs="Times New Roman"/>
        </w:rPr>
        <w:t>s sont</w:t>
      </w:r>
      <w:r w:rsidRPr="0001496F">
        <w:rPr>
          <w:rFonts w:ascii="Times New Roman" w:hAnsi="Times New Roman" w:cs="Times New Roman"/>
        </w:rPr>
        <w:t xml:space="preserve"> formellement exclue</w:t>
      </w:r>
      <w:r w:rsidR="00BA19EF" w:rsidRPr="0001496F">
        <w:rPr>
          <w:rFonts w:ascii="Times New Roman" w:hAnsi="Times New Roman" w:cs="Times New Roman"/>
        </w:rPr>
        <w:t>s</w:t>
      </w:r>
      <w:r w:rsidRPr="0001496F">
        <w:rPr>
          <w:rFonts w:ascii="Times New Roman" w:hAnsi="Times New Roman" w:cs="Times New Roman"/>
        </w:rPr>
        <w:t xml:space="preserve"> pour les infractions terroristes. Le législateur n’a pas estimé qu’une infraction terroriste « sans violence ou menace » (par exemple, on peut financer une activité terroriste « sans violence ou menace ») puisse bénéficier de ces récompenses plus avantageuses. </w:t>
      </w:r>
    </w:p>
    <w:p w14:paraId="3F4755CF" w14:textId="77777777" w:rsidR="000C63D9" w:rsidRPr="0001496F" w:rsidRDefault="000C63D9" w:rsidP="0001496F">
      <w:pPr>
        <w:jc w:val="both"/>
        <w:rPr>
          <w:rFonts w:ascii="Times New Roman" w:hAnsi="Times New Roman" w:cs="Times New Roman"/>
        </w:rPr>
      </w:pPr>
    </w:p>
    <w:p w14:paraId="2EB3C85B"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Comme nous l’avons vu (</w:t>
      </w:r>
      <w:r w:rsidRPr="0001496F">
        <w:rPr>
          <w:rFonts w:ascii="Times New Roman" w:hAnsi="Times New Roman" w:cs="Times New Roman"/>
          <w:i/>
        </w:rPr>
        <w:t>cf. supra</w:t>
      </w:r>
      <w:r w:rsidRPr="0001496F">
        <w:rPr>
          <w:rFonts w:ascii="Times New Roman" w:hAnsi="Times New Roman" w:cs="Times New Roman"/>
        </w:rPr>
        <w:t xml:space="preserve"> 1) il existait en Belgique, avant la loi du 22 juillet 2018, certaines causes d’excuse de dénonciation pour certains contentieux spécifiques. La loi du 22 juillet 2018 n’a pas abrogé ces causes d’excuse. Se pose donc la question du concours entre ces causes d’excuse et le dispositif mis en place par la loi du 22 juillet 2018. Ch. De Valkeneer propose de recourir au dispositif « le plus favorable pour le bénéficiaire »</w:t>
      </w:r>
      <w:r w:rsidRPr="0001496F">
        <w:rPr>
          <w:rStyle w:val="Appelnotedebasdep"/>
          <w:rFonts w:ascii="Times New Roman" w:hAnsi="Times New Roman" w:cs="Times New Roman"/>
        </w:rPr>
        <w:footnoteReference w:id="158"/>
      </w:r>
      <w:r w:rsidRPr="0001496F">
        <w:rPr>
          <w:rFonts w:ascii="Times New Roman" w:hAnsi="Times New Roman" w:cs="Times New Roman"/>
        </w:rPr>
        <w:t>.</w:t>
      </w:r>
    </w:p>
    <w:p w14:paraId="421A22F3" w14:textId="77777777" w:rsidR="000C63D9" w:rsidRPr="0001496F" w:rsidRDefault="000C63D9" w:rsidP="0001496F">
      <w:pPr>
        <w:jc w:val="both"/>
        <w:rPr>
          <w:rFonts w:ascii="Times New Roman" w:hAnsi="Times New Roman" w:cs="Times New Roman"/>
        </w:rPr>
      </w:pPr>
    </w:p>
    <w:p w14:paraId="7FBBA096"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2.2.1.3. La prise en compte du principe de pondération dans la réduction de la peine</w:t>
      </w:r>
    </w:p>
    <w:p w14:paraId="5C0C924D" w14:textId="77777777" w:rsidR="000C63D9" w:rsidRPr="0001496F" w:rsidRDefault="000C63D9" w:rsidP="0001496F">
      <w:pPr>
        <w:jc w:val="both"/>
        <w:rPr>
          <w:rFonts w:ascii="Times New Roman" w:hAnsi="Times New Roman" w:cs="Times New Roman"/>
        </w:rPr>
      </w:pPr>
    </w:p>
    <w:p w14:paraId="69557EE5"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Dans la négociation des réductions de peine promises, le législateur impose au ministère public le respect d’un principe de pondération (appelé également principe de proportionnalité « interne »)</w:t>
      </w:r>
      <w:r w:rsidRPr="0001496F">
        <w:rPr>
          <w:rStyle w:val="Appelnotedebasdep"/>
          <w:rFonts w:ascii="Times New Roman" w:hAnsi="Times New Roman" w:cs="Times New Roman"/>
        </w:rPr>
        <w:footnoteReference w:id="159"/>
      </w:r>
      <w:r w:rsidRPr="0001496F">
        <w:rPr>
          <w:rFonts w:ascii="Times New Roman" w:hAnsi="Times New Roman" w:cs="Times New Roman"/>
        </w:rPr>
        <w:t>. Ce principe justifie une individualisation de la peine du collaborateur pour deux raisons : d’une part, le comportement de collaboration diminue en lui-même la gravité de l’infraction commise ou la « dangerosité » de son auteur, et d’autre part, la collaboration permet de sanctionner des comportements qui n’auraient pu l’être autrement</w:t>
      </w:r>
      <w:r w:rsidRPr="0001496F">
        <w:rPr>
          <w:rStyle w:val="Appelnotedebasdep"/>
          <w:rFonts w:ascii="Times New Roman" w:hAnsi="Times New Roman" w:cs="Times New Roman"/>
        </w:rPr>
        <w:footnoteReference w:id="160"/>
      </w:r>
      <w:r w:rsidRPr="0001496F">
        <w:rPr>
          <w:rFonts w:ascii="Times New Roman" w:hAnsi="Times New Roman" w:cs="Times New Roman"/>
        </w:rPr>
        <w:t xml:space="preserve">. Pour déterminer le degré de la réduction de peine promise, le ministère public doit tenir compte de trois critères. </w:t>
      </w:r>
    </w:p>
    <w:p w14:paraId="0FF1F8C0" w14:textId="77777777" w:rsidR="000C63D9" w:rsidRPr="0001496F" w:rsidRDefault="000C63D9" w:rsidP="0001496F">
      <w:pPr>
        <w:jc w:val="both"/>
        <w:rPr>
          <w:rFonts w:ascii="Times New Roman" w:hAnsi="Times New Roman" w:cs="Times New Roman"/>
        </w:rPr>
      </w:pPr>
    </w:p>
    <w:p w14:paraId="50E0A442" w14:textId="057AA480"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Premièrement, il doit tenir compte de la </w:t>
      </w:r>
      <w:r w:rsidRPr="0001496F">
        <w:rPr>
          <w:rFonts w:ascii="Times New Roman" w:hAnsi="Times New Roman" w:cs="Times New Roman"/>
          <w:i/>
        </w:rPr>
        <w:t>gravité des faits commis par le collaborateur</w:t>
      </w:r>
      <w:r w:rsidRPr="0001496F">
        <w:rPr>
          <w:rFonts w:ascii="Times New Roman" w:hAnsi="Times New Roman" w:cs="Times New Roman"/>
        </w:rPr>
        <w:t xml:space="preserve"> : plus ces faits sont graves, plus le degré de la réduction de la peine doit être limité. Ce critère, qui semble </w:t>
      </w:r>
      <w:r w:rsidRPr="0001496F">
        <w:rPr>
          <w:rFonts w:ascii="Times New Roman" w:hAnsi="Times New Roman" w:cs="Times New Roman"/>
          <w:i/>
        </w:rPr>
        <w:lastRenderedPageBreak/>
        <w:t>a priori</w:t>
      </w:r>
      <w:r w:rsidRPr="0001496F">
        <w:rPr>
          <w:rFonts w:ascii="Times New Roman" w:hAnsi="Times New Roman" w:cs="Times New Roman"/>
        </w:rPr>
        <w:t xml:space="preserve"> évident, mérite néanmoins d’être questionné. Pour les faits graves, il est en principe prévu des peines plus importantes dans la loi. Le critère de gravité intervient donc une première fois pour déterminer le taux </w:t>
      </w:r>
      <w:r w:rsidRPr="0001496F">
        <w:rPr>
          <w:rFonts w:ascii="Times New Roman" w:hAnsi="Times New Roman" w:cs="Times New Roman"/>
          <w:i/>
        </w:rPr>
        <w:t>in abstracto</w:t>
      </w:r>
      <w:r w:rsidRPr="0001496F">
        <w:rPr>
          <w:rFonts w:ascii="Times New Roman" w:hAnsi="Times New Roman" w:cs="Times New Roman"/>
        </w:rPr>
        <w:t xml:space="preserve"> de la peine (ce qui semble une évidence dans la rationalité pénale moderne). Est-il légitime qu’il intervienne une seconde fois pour limiter la réduction de la peine en cas de collaboration ? Deuxièmement, le ministère public doit tenir compte de la </w:t>
      </w:r>
      <w:r w:rsidRPr="0001496F">
        <w:rPr>
          <w:rFonts w:ascii="Times New Roman" w:hAnsi="Times New Roman" w:cs="Times New Roman"/>
          <w:i/>
        </w:rPr>
        <w:t>gravité des faits dénoncés</w:t>
      </w:r>
      <w:r w:rsidRPr="0001496F">
        <w:rPr>
          <w:rFonts w:ascii="Times New Roman" w:hAnsi="Times New Roman" w:cs="Times New Roman"/>
        </w:rPr>
        <w:t xml:space="preserve"> : plus ces faits sont graves, plus le degré de la réduction de la peine peut être élevé. Enfin, troisièmement, le ministère public doit tenir compte de la </w:t>
      </w:r>
      <w:r w:rsidRPr="0001496F">
        <w:rPr>
          <w:rFonts w:ascii="Times New Roman" w:hAnsi="Times New Roman" w:cs="Times New Roman"/>
          <w:i/>
        </w:rPr>
        <w:t>gravité des conséquences possibles des faits dénoncés</w:t>
      </w:r>
      <w:r w:rsidRPr="0001496F">
        <w:rPr>
          <w:rFonts w:ascii="Times New Roman" w:hAnsi="Times New Roman" w:cs="Times New Roman"/>
        </w:rPr>
        <w:t xml:space="preserve"> : plus ces faits ont des conséquences graves, plus le degré de la réduction de la peine peut être élevé. Le concept de « conséquences </w:t>
      </w:r>
      <w:r w:rsidRPr="0001496F">
        <w:rPr>
          <w:rFonts w:ascii="Times New Roman" w:hAnsi="Times New Roman" w:cs="Times New Roman"/>
          <w:i/>
        </w:rPr>
        <w:t>possibles</w:t>
      </w:r>
      <w:r w:rsidRPr="0001496F">
        <w:rPr>
          <w:rFonts w:ascii="Times New Roman" w:hAnsi="Times New Roman" w:cs="Times New Roman"/>
        </w:rPr>
        <w:t> » (C. i. cr., art. 216/6, nous soulignons) signifie-t-il qu’on se limite aux conséquences non encore réalisées ? Si c’est le cas, ce dernier critère ne</w:t>
      </w:r>
      <w:r w:rsidR="0091486C" w:rsidRPr="0001496F">
        <w:rPr>
          <w:rFonts w:ascii="Times New Roman" w:hAnsi="Times New Roman" w:cs="Times New Roman"/>
        </w:rPr>
        <w:t xml:space="preserve"> devrait en principe</w:t>
      </w:r>
      <w:r w:rsidRPr="0001496F">
        <w:rPr>
          <w:rFonts w:ascii="Times New Roman" w:hAnsi="Times New Roman" w:cs="Times New Roman"/>
        </w:rPr>
        <w:t xml:space="preserve"> joue</w:t>
      </w:r>
      <w:r w:rsidR="0091486C" w:rsidRPr="0001496F">
        <w:rPr>
          <w:rFonts w:ascii="Times New Roman" w:hAnsi="Times New Roman" w:cs="Times New Roman"/>
        </w:rPr>
        <w:t>r</w:t>
      </w:r>
      <w:r w:rsidRPr="0001496F">
        <w:rPr>
          <w:rFonts w:ascii="Times New Roman" w:hAnsi="Times New Roman" w:cs="Times New Roman"/>
        </w:rPr>
        <w:t xml:space="preserve"> que pour les collaborations limitatives et préservatives</w:t>
      </w:r>
      <w:r w:rsidRPr="0001496F">
        <w:rPr>
          <w:rStyle w:val="Appelnotedebasdep"/>
          <w:rFonts w:ascii="Times New Roman" w:hAnsi="Times New Roman" w:cs="Times New Roman"/>
        </w:rPr>
        <w:footnoteReference w:id="161"/>
      </w:r>
      <w:r w:rsidRPr="0001496F">
        <w:rPr>
          <w:rFonts w:ascii="Times New Roman" w:hAnsi="Times New Roman" w:cs="Times New Roman"/>
        </w:rPr>
        <w:t>.</w:t>
      </w:r>
    </w:p>
    <w:p w14:paraId="550A4EE4" w14:textId="77777777" w:rsidR="000C63D9" w:rsidRPr="0001496F" w:rsidRDefault="000C63D9" w:rsidP="0001496F">
      <w:pPr>
        <w:jc w:val="both"/>
        <w:rPr>
          <w:rFonts w:ascii="Times New Roman" w:hAnsi="Times New Roman" w:cs="Times New Roman"/>
        </w:rPr>
      </w:pPr>
    </w:p>
    <w:p w14:paraId="078175A5" w14:textId="46B18106" w:rsidR="000C63D9" w:rsidRPr="0001496F" w:rsidRDefault="000C63D9" w:rsidP="0001496F">
      <w:pPr>
        <w:jc w:val="both"/>
        <w:rPr>
          <w:rFonts w:ascii="Times New Roman" w:hAnsi="Times New Roman" w:cs="Times New Roman"/>
        </w:rPr>
      </w:pPr>
      <w:r w:rsidRPr="0001496F">
        <w:rPr>
          <w:rFonts w:ascii="Times New Roman" w:hAnsi="Times New Roman" w:cs="Times New Roman"/>
        </w:rPr>
        <w:t>On peut se demander si d’autres critères ne pourraient pas être pris en compte dans l’opérationnalisation du principe de pondération. On pourrait ainsi concevoir, comme le font les travaux préparatoires, que le statut de récidiviste du collaborateur limite la réduction de peine octroyée</w:t>
      </w:r>
      <w:r w:rsidRPr="0001496F">
        <w:rPr>
          <w:rStyle w:val="Appelnotedebasdep"/>
          <w:rFonts w:ascii="Times New Roman" w:hAnsi="Times New Roman" w:cs="Times New Roman"/>
        </w:rPr>
        <w:footnoteReference w:id="162"/>
      </w:r>
      <w:r w:rsidRPr="0001496F">
        <w:rPr>
          <w:rFonts w:ascii="Times New Roman" w:hAnsi="Times New Roman" w:cs="Times New Roman"/>
        </w:rPr>
        <w:t>. On pourrait également estimer que l’importance du risque de représailles influence le degré de réduction de la peine. En effet, ce risque de représailles (et le courage nécessaire pour y faire face) n’est sans doute pas le même lorsqu’une personne dénonce un homicide dans le cadre d’une organisation terroriste que lorsqu’elle dénonce un homicide passionnel. On pourrait encore concevoir une réduction de peine plus importante lorsque, sans l’auto-incrimination du collaborateur, celui-ci n’aurait probablement pas été poursuivi et condamné (faute de preuves)</w:t>
      </w:r>
      <w:r w:rsidRPr="0001496F">
        <w:rPr>
          <w:rStyle w:val="Appelnotedebasdep"/>
          <w:rFonts w:ascii="Times New Roman" w:hAnsi="Times New Roman" w:cs="Times New Roman"/>
        </w:rPr>
        <w:footnoteReference w:id="163"/>
      </w:r>
      <w:r w:rsidRPr="0001496F">
        <w:rPr>
          <w:rFonts w:ascii="Times New Roman" w:hAnsi="Times New Roman" w:cs="Times New Roman"/>
        </w:rPr>
        <w:t>. On pourrait enfin (même si cette liste n’est pas exhaustive) concevoir que les circonstances de fait qui font que le collaborateur dispose d’informations utiles influencent le degré de réduction de la peine : a-t-il réalisé des démarches proactives (et risquées) pour obtenir les informations qu’il va transmettre à la justice ou en est-il le témoin passif ?</w:t>
      </w:r>
      <w:r w:rsidR="00B073BA" w:rsidRPr="0001496F">
        <w:rPr>
          <w:rFonts w:ascii="Times New Roman" w:hAnsi="Times New Roman" w:cs="Times New Roman"/>
        </w:rPr>
        <w:t xml:space="preserve"> </w:t>
      </w:r>
    </w:p>
    <w:p w14:paraId="0C8AF53D" w14:textId="77777777" w:rsidR="000C63D9" w:rsidRPr="0001496F" w:rsidRDefault="000C63D9" w:rsidP="0001496F">
      <w:pPr>
        <w:jc w:val="both"/>
        <w:rPr>
          <w:rFonts w:ascii="Times New Roman" w:hAnsi="Times New Roman" w:cs="Times New Roman"/>
        </w:rPr>
      </w:pPr>
    </w:p>
    <w:p w14:paraId="49EEE4C6"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2.2.2. Les promesses relatives à l’exécution de la peine</w:t>
      </w:r>
    </w:p>
    <w:p w14:paraId="6CCB61EF" w14:textId="77777777" w:rsidR="000C63D9" w:rsidRPr="0001496F" w:rsidRDefault="000C63D9" w:rsidP="0001496F">
      <w:pPr>
        <w:jc w:val="both"/>
        <w:rPr>
          <w:rFonts w:ascii="Times New Roman" w:hAnsi="Times New Roman" w:cs="Times New Roman"/>
        </w:rPr>
      </w:pPr>
    </w:p>
    <w:p w14:paraId="5178FE24"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Concernant l’exécution de la peine, le ministère public peut promettre deux choses. Il peut promettre d’émettre un </w:t>
      </w:r>
      <w:r w:rsidRPr="0001496F">
        <w:rPr>
          <w:rFonts w:ascii="Times New Roman" w:hAnsi="Times New Roman" w:cs="Times New Roman"/>
          <w:i/>
          <w:lang w:val="fr-BE"/>
        </w:rPr>
        <w:t>avis favorable</w:t>
      </w:r>
      <w:r w:rsidRPr="0001496F">
        <w:rPr>
          <w:rFonts w:ascii="Times New Roman" w:hAnsi="Times New Roman" w:cs="Times New Roman"/>
          <w:lang w:val="fr-BE"/>
        </w:rPr>
        <w:t xml:space="preserve"> à une modalité d’exécution de la peine prévue par la loi du 17 mai 2006 (C.i.cr, </w:t>
      </w:r>
      <w:r w:rsidRPr="0001496F">
        <w:rPr>
          <w:rFonts w:ascii="Times New Roman" w:hAnsi="Times New Roman" w:cs="Times New Roman"/>
        </w:rPr>
        <w:t>art. 216/6, 1°). Cet avis favorable peut concerner par exemple l’octroi d’une détention limitée</w:t>
      </w:r>
      <w:r w:rsidRPr="0001496F">
        <w:rPr>
          <w:rStyle w:val="Appelnotedebasdep"/>
          <w:rFonts w:ascii="Times New Roman" w:hAnsi="Times New Roman" w:cs="Times New Roman"/>
        </w:rPr>
        <w:footnoteReference w:id="164"/>
      </w:r>
      <w:r w:rsidRPr="0001496F">
        <w:rPr>
          <w:rFonts w:ascii="Times New Roman" w:hAnsi="Times New Roman" w:cs="Times New Roman"/>
        </w:rPr>
        <w:t>, d’une surveillance électronique, ou d’une libération conditionnelle.</w:t>
      </w:r>
    </w:p>
    <w:p w14:paraId="29BA8FB5" w14:textId="77777777" w:rsidR="000C63D9" w:rsidRPr="0001496F" w:rsidRDefault="000C63D9" w:rsidP="0001496F">
      <w:pPr>
        <w:jc w:val="both"/>
        <w:rPr>
          <w:rFonts w:ascii="Times New Roman" w:hAnsi="Times New Roman" w:cs="Times New Roman"/>
          <w:lang w:val="fr-BE"/>
        </w:rPr>
      </w:pPr>
    </w:p>
    <w:p w14:paraId="7527EA6B" w14:textId="0F30C07E"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Beaucoup de questions concernant cet avis du ministère public ne semblent pas avoir été tranchées par le législateur. Ainsi, la loi prévoit la promesse « d’émettre </w:t>
      </w:r>
      <w:r w:rsidRPr="0001496F">
        <w:rPr>
          <w:rFonts w:ascii="Times New Roman" w:hAnsi="Times New Roman" w:cs="Times New Roman"/>
          <w:i/>
          <w:lang w:val="fr-BE"/>
        </w:rPr>
        <w:t>un</w:t>
      </w:r>
      <w:r w:rsidRPr="0001496F">
        <w:rPr>
          <w:rFonts w:ascii="Times New Roman" w:hAnsi="Times New Roman" w:cs="Times New Roman"/>
          <w:lang w:val="fr-BE"/>
        </w:rPr>
        <w:t xml:space="preserve"> avis favorable » (C.i.cr, </w:t>
      </w:r>
      <w:r w:rsidRPr="0001496F">
        <w:rPr>
          <w:rFonts w:ascii="Times New Roman" w:hAnsi="Times New Roman" w:cs="Times New Roman"/>
        </w:rPr>
        <w:t>art. 216/6, 1°)</w:t>
      </w:r>
      <w:r w:rsidRPr="0001496F">
        <w:rPr>
          <w:rFonts w:ascii="Times New Roman" w:hAnsi="Times New Roman" w:cs="Times New Roman"/>
          <w:lang w:val="fr-BE"/>
        </w:rPr>
        <w:t xml:space="preserve">, mais évoque une série de modalités. Faut-il comprendre que </w:t>
      </w:r>
      <w:r w:rsidR="0091486C" w:rsidRPr="0001496F">
        <w:rPr>
          <w:rFonts w:ascii="Times New Roman" w:hAnsi="Times New Roman" w:cs="Times New Roman"/>
          <w:lang w:val="fr-BE"/>
        </w:rPr>
        <w:t xml:space="preserve">la promesse </w:t>
      </w:r>
      <w:r w:rsidR="0091486C" w:rsidRPr="0001496F">
        <w:rPr>
          <w:rFonts w:ascii="Times New Roman" w:hAnsi="Times New Roman" w:cs="Times New Roman"/>
          <w:lang w:val="fr-BE"/>
        </w:rPr>
        <w:lastRenderedPageBreak/>
        <w:t>d’</w:t>
      </w:r>
      <w:r w:rsidRPr="0001496F">
        <w:rPr>
          <w:rFonts w:ascii="Times New Roman" w:hAnsi="Times New Roman" w:cs="Times New Roman"/>
          <w:lang w:val="fr-BE"/>
        </w:rPr>
        <w:t>avis favorable ne peut concerner qu’une seule modalité et n’</w:t>
      </w:r>
      <w:r w:rsidR="0091486C" w:rsidRPr="0001496F">
        <w:rPr>
          <w:rFonts w:ascii="Times New Roman" w:hAnsi="Times New Roman" w:cs="Times New Roman"/>
          <w:lang w:val="fr-BE"/>
        </w:rPr>
        <w:t>est valable</w:t>
      </w:r>
      <w:r w:rsidRPr="0001496F">
        <w:rPr>
          <w:rFonts w:ascii="Times New Roman" w:hAnsi="Times New Roman" w:cs="Times New Roman"/>
          <w:lang w:val="fr-BE"/>
        </w:rPr>
        <w:t xml:space="preserve"> qu’une seule fois ? Prenons le cas d’un collaborateur qui demande </w:t>
      </w:r>
      <w:r w:rsidR="0091486C" w:rsidRPr="0001496F">
        <w:rPr>
          <w:rFonts w:ascii="Times New Roman" w:hAnsi="Times New Roman" w:cs="Times New Roman"/>
          <w:lang w:val="fr-BE"/>
        </w:rPr>
        <w:t>l’octroi d’une mesure d</w:t>
      </w:r>
      <w:r w:rsidRPr="0001496F">
        <w:rPr>
          <w:rFonts w:ascii="Times New Roman" w:hAnsi="Times New Roman" w:cs="Times New Roman"/>
          <w:lang w:val="fr-BE"/>
        </w:rPr>
        <w:t>e surveillance électronique</w:t>
      </w:r>
      <w:r w:rsidR="0091486C" w:rsidRPr="0001496F">
        <w:rPr>
          <w:rFonts w:ascii="Times New Roman" w:hAnsi="Times New Roman" w:cs="Times New Roman"/>
          <w:lang w:val="fr-BE"/>
        </w:rPr>
        <w:t xml:space="preserve"> en cours d’exécution de sa peine</w:t>
      </w:r>
      <w:r w:rsidRPr="0001496F">
        <w:rPr>
          <w:rFonts w:ascii="Times New Roman" w:hAnsi="Times New Roman" w:cs="Times New Roman"/>
          <w:lang w:val="fr-BE"/>
        </w:rPr>
        <w:t xml:space="preserve">. Le ministère public rend un avis favorable, mais le Tribunal de l’application des peines refuse </w:t>
      </w:r>
      <w:r w:rsidR="001831D6" w:rsidRPr="0001496F">
        <w:rPr>
          <w:rFonts w:ascii="Times New Roman" w:hAnsi="Times New Roman" w:cs="Times New Roman"/>
          <w:lang w:val="fr-BE"/>
        </w:rPr>
        <w:t xml:space="preserve">l’octroi de </w:t>
      </w:r>
      <w:r w:rsidRPr="0001496F">
        <w:rPr>
          <w:rFonts w:ascii="Times New Roman" w:hAnsi="Times New Roman" w:cs="Times New Roman"/>
          <w:lang w:val="fr-BE"/>
        </w:rPr>
        <w:t>la mesure. Ce condamné pourra réintroduire sa demande dans le délai fixé par la loi (loi du 17 mai 2006, art. 57). La promesse</w:t>
      </w:r>
      <w:r w:rsidR="001831D6" w:rsidRPr="0001496F">
        <w:rPr>
          <w:rFonts w:ascii="Times New Roman" w:hAnsi="Times New Roman" w:cs="Times New Roman"/>
          <w:lang w:val="fr-BE"/>
        </w:rPr>
        <w:t xml:space="preserve"> antérieure d’avis</w:t>
      </w:r>
      <w:r w:rsidRPr="0001496F">
        <w:rPr>
          <w:rFonts w:ascii="Times New Roman" w:hAnsi="Times New Roman" w:cs="Times New Roman"/>
          <w:lang w:val="fr-BE"/>
        </w:rPr>
        <w:t xml:space="preserve"> </w:t>
      </w:r>
      <w:r w:rsidR="001831D6" w:rsidRPr="0001496F">
        <w:rPr>
          <w:rFonts w:ascii="Times New Roman" w:hAnsi="Times New Roman" w:cs="Times New Roman"/>
          <w:lang w:val="fr-BE"/>
        </w:rPr>
        <w:t xml:space="preserve">du </w:t>
      </w:r>
      <w:r w:rsidR="00417528" w:rsidRPr="0001496F">
        <w:rPr>
          <w:rFonts w:ascii="Times New Roman" w:hAnsi="Times New Roman" w:cs="Times New Roman"/>
          <w:lang w:val="fr-BE"/>
        </w:rPr>
        <w:t>ministère public</w:t>
      </w:r>
      <w:r w:rsidR="001831D6" w:rsidRPr="0001496F">
        <w:rPr>
          <w:rFonts w:ascii="Times New Roman" w:hAnsi="Times New Roman" w:cs="Times New Roman"/>
          <w:lang w:val="fr-BE"/>
        </w:rPr>
        <w:t xml:space="preserve"> reste-t-elle valable</w:t>
      </w:r>
      <w:r w:rsidRPr="0001496F">
        <w:rPr>
          <w:rFonts w:ascii="Times New Roman" w:hAnsi="Times New Roman" w:cs="Times New Roman"/>
          <w:lang w:val="fr-BE"/>
        </w:rPr>
        <w:t> ? Par ailleurs, un interné peut-il prétendre à ce type de promesse ? La réponse semble négative car l’article 216/6 du C. i. cr. évoque uniquement la loi du 17 mai 2006 (sans faire référence à celle du 5 mai 2014). Cette exclusion systématique des internés se justifie-t-elle ?</w:t>
      </w:r>
    </w:p>
    <w:p w14:paraId="1758F8A5" w14:textId="77777777" w:rsidR="000C63D9" w:rsidRPr="0001496F" w:rsidRDefault="000C63D9" w:rsidP="0001496F">
      <w:pPr>
        <w:jc w:val="both"/>
        <w:rPr>
          <w:rFonts w:ascii="Times New Roman" w:hAnsi="Times New Roman" w:cs="Times New Roman"/>
          <w:lang w:val="fr-BE"/>
        </w:rPr>
      </w:pPr>
    </w:p>
    <w:p w14:paraId="4B478977"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Le ministère public peut également promettre, dans le cadre de ses compétences, de « prendre une </w:t>
      </w:r>
      <w:r w:rsidRPr="0001496F">
        <w:rPr>
          <w:rFonts w:ascii="Times New Roman" w:hAnsi="Times New Roman" w:cs="Times New Roman"/>
          <w:i/>
          <w:lang w:val="fr-BE"/>
        </w:rPr>
        <w:t>décision favorable</w:t>
      </w:r>
      <w:r w:rsidRPr="0001496F">
        <w:rPr>
          <w:rFonts w:ascii="Times New Roman" w:hAnsi="Times New Roman" w:cs="Times New Roman"/>
          <w:lang w:val="fr-BE"/>
        </w:rPr>
        <w:t xml:space="preserve"> dans le cadre de l’exécution de la peine » (C.i.cr, </w:t>
      </w:r>
      <w:r w:rsidRPr="0001496F">
        <w:rPr>
          <w:rFonts w:ascii="Times New Roman" w:hAnsi="Times New Roman" w:cs="Times New Roman"/>
        </w:rPr>
        <w:t>art. 216/6, 2°). Les travaux préparatoires illustrent cette possibilité de la manière suivante : prendre une « décision de ne pas procéder à l’exécution d’une peine ou surseoir à l’exécution de la peine moyennant le respect de conditions »</w:t>
      </w:r>
      <w:r w:rsidRPr="0001496F">
        <w:rPr>
          <w:rStyle w:val="Appelnotedebasdep"/>
          <w:rFonts w:ascii="Times New Roman" w:hAnsi="Times New Roman" w:cs="Times New Roman"/>
        </w:rPr>
        <w:footnoteReference w:id="165"/>
      </w:r>
      <w:r w:rsidRPr="0001496F">
        <w:rPr>
          <w:rFonts w:ascii="Times New Roman" w:hAnsi="Times New Roman" w:cs="Times New Roman"/>
        </w:rPr>
        <w:t>, « ne pas procéder immédiatement à l’exécution de la peine »</w:t>
      </w:r>
      <w:r w:rsidRPr="0001496F">
        <w:rPr>
          <w:rStyle w:val="Appelnotedebasdep"/>
          <w:rFonts w:ascii="Times New Roman" w:hAnsi="Times New Roman" w:cs="Times New Roman"/>
        </w:rPr>
        <w:footnoteReference w:id="166"/>
      </w:r>
      <w:r w:rsidRPr="0001496F">
        <w:rPr>
          <w:rFonts w:ascii="Times New Roman" w:hAnsi="Times New Roman" w:cs="Times New Roman"/>
        </w:rPr>
        <w:t>. Mais, « les magistrats du parquet peuvent[-ils] – sous le contrôle de leur hiérarchie et finalement du ministre de la Justice – lui-même politiquement responsable devant les chambres législatives – renoncer à faire exécuter la condamnation et décider de laisser se prescrire la peine »</w:t>
      </w:r>
      <w:r w:rsidRPr="0001496F">
        <w:rPr>
          <w:rStyle w:val="Appelnotedebasdep"/>
          <w:rFonts w:ascii="Times New Roman" w:hAnsi="Times New Roman" w:cs="Times New Roman"/>
        </w:rPr>
        <w:footnoteReference w:id="167"/>
      </w:r>
      <w:r w:rsidRPr="0001496F">
        <w:rPr>
          <w:rFonts w:ascii="Times New Roman" w:hAnsi="Times New Roman" w:cs="Times New Roman"/>
        </w:rPr>
        <w:t> ? À cette question controversée en doctrine, M. Verdussen apporte une réponse négative : il n’existe pas de « principe de l’opportunité de la mise à exécution de la peine » comparable au principe de l’opportunité des poursuites</w:t>
      </w:r>
      <w:r w:rsidRPr="0001496F">
        <w:rPr>
          <w:rStyle w:val="Appelnotedebasdep"/>
          <w:rFonts w:ascii="Times New Roman" w:hAnsi="Times New Roman" w:cs="Times New Roman"/>
        </w:rPr>
        <w:footnoteReference w:id="168"/>
      </w:r>
      <w:r w:rsidRPr="0001496F">
        <w:rPr>
          <w:rFonts w:ascii="Times New Roman" w:hAnsi="Times New Roman" w:cs="Times New Roman"/>
        </w:rPr>
        <w:t>. Cette position critique nous semble conforme à la Recommandation du Conseil de l’Europe sur le rôle du ministère public dans le système de justice pénale : « les membres du ministère public (…) ne sauraient remettre en cause les décisions juridictionnelles et faire obstacle à leur exécution, sauf dans l’exercice des voies de recours ou procédures assimilées »</w:t>
      </w:r>
      <w:r w:rsidRPr="0001496F">
        <w:rPr>
          <w:rStyle w:val="Appelnotedebasdep"/>
          <w:rFonts w:ascii="Times New Roman" w:hAnsi="Times New Roman" w:cs="Times New Roman"/>
        </w:rPr>
        <w:footnoteReference w:id="169"/>
      </w:r>
      <w:r w:rsidRPr="0001496F">
        <w:rPr>
          <w:rFonts w:ascii="Times New Roman" w:hAnsi="Times New Roman" w:cs="Times New Roman"/>
        </w:rPr>
        <w:t>. Quelle que soit la légitimité douteuse de cette décision favorable, son efficacité semble compromise par le fait que le ministère public n’est pas le seul acteur qui intervient dans l’exécution de la peine</w:t>
      </w:r>
      <w:r w:rsidRPr="0001496F">
        <w:rPr>
          <w:rStyle w:val="Appelnotedebasdep"/>
          <w:rFonts w:ascii="Times New Roman" w:hAnsi="Times New Roman" w:cs="Times New Roman"/>
        </w:rPr>
        <w:footnoteReference w:id="170"/>
      </w:r>
      <w:r w:rsidRPr="0001496F">
        <w:rPr>
          <w:rFonts w:ascii="Times New Roman" w:hAnsi="Times New Roman" w:cs="Times New Roman"/>
        </w:rPr>
        <w:t>.</w:t>
      </w:r>
    </w:p>
    <w:p w14:paraId="12716490" w14:textId="77777777" w:rsidR="000C63D9" w:rsidRPr="0001496F" w:rsidRDefault="000C63D9" w:rsidP="0001496F">
      <w:pPr>
        <w:jc w:val="both"/>
        <w:rPr>
          <w:rFonts w:ascii="Times New Roman" w:hAnsi="Times New Roman" w:cs="Times New Roman"/>
          <w:lang w:val="fr-BE"/>
        </w:rPr>
      </w:pPr>
    </w:p>
    <w:p w14:paraId="232BA2FC"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Les trois critères légaux du principe de pondération (l</w:t>
      </w:r>
      <w:r w:rsidRPr="0001496F">
        <w:rPr>
          <w:rFonts w:ascii="Times New Roman" w:hAnsi="Times New Roman" w:cs="Times New Roman"/>
        </w:rPr>
        <w:t xml:space="preserve">a gravité des faits commis par le collaborateur, la gravité des faits dénoncés et la gravité des conséquences possibles des faits dénoncés ; </w:t>
      </w:r>
      <w:r w:rsidRPr="0001496F">
        <w:rPr>
          <w:rFonts w:ascii="Times New Roman" w:hAnsi="Times New Roman" w:cs="Times New Roman"/>
          <w:i/>
        </w:rPr>
        <w:t xml:space="preserve">cf. </w:t>
      </w:r>
      <w:proofErr w:type="gramStart"/>
      <w:r w:rsidRPr="0001496F">
        <w:rPr>
          <w:rFonts w:ascii="Times New Roman" w:hAnsi="Times New Roman" w:cs="Times New Roman"/>
          <w:i/>
        </w:rPr>
        <w:t>supra</w:t>
      </w:r>
      <w:proofErr w:type="gramEnd"/>
      <w:r w:rsidRPr="0001496F">
        <w:rPr>
          <w:rFonts w:ascii="Times New Roman" w:hAnsi="Times New Roman" w:cs="Times New Roman"/>
        </w:rPr>
        <w:t xml:space="preserve"> 2.2.1) doivent également être rencontrés dans le cadre d’une promesse liée à l’exécution de la peine. Pour ce type de promesse, l’opérationnalisation du principe de pondération semble plus limitée que pour la promesse relative à l’exercice de l’action publique. Il ne sera question que du nombre d’avis favorables, du type de décision favorable prise, de la présence ou de l’absence de conditions à respecter en cas de décision favorable…</w:t>
      </w:r>
    </w:p>
    <w:p w14:paraId="5C1859A3" w14:textId="77777777" w:rsidR="000C63D9" w:rsidRPr="0001496F" w:rsidRDefault="000C63D9" w:rsidP="0001496F">
      <w:pPr>
        <w:jc w:val="both"/>
        <w:rPr>
          <w:rFonts w:ascii="Times New Roman" w:hAnsi="Times New Roman" w:cs="Times New Roman"/>
          <w:lang w:val="fr-BE"/>
        </w:rPr>
      </w:pPr>
    </w:p>
    <w:p w14:paraId="2D33B5FB"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Pour ces promesses relatives à l’exécution de la peine, on notera encore qu’il n’existe pas de spécificités pour les collaborateurs qui ont commis des infractions terroristes. </w:t>
      </w:r>
    </w:p>
    <w:p w14:paraId="33D92A03" w14:textId="77777777" w:rsidR="000C63D9" w:rsidRPr="0001496F" w:rsidRDefault="000C63D9" w:rsidP="0001496F">
      <w:pPr>
        <w:jc w:val="both"/>
        <w:rPr>
          <w:rFonts w:ascii="Times New Roman" w:hAnsi="Times New Roman" w:cs="Times New Roman"/>
          <w:lang w:val="fr-BE"/>
        </w:rPr>
      </w:pPr>
    </w:p>
    <w:p w14:paraId="2D2D8809" w14:textId="77777777" w:rsidR="000C63D9" w:rsidRPr="0001496F" w:rsidRDefault="000C63D9" w:rsidP="0001496F">
      <w:pPr>
        <w:jc w:val="both"/>
        <w:outlineLvl w:val="0"/>
        <w:rPr>
          <w:rFonts w:ascii="Times New Roman" w:hAnsi="Times New Roman" w:cs="Times New Roman"/>
          <w:lang w:val="fr-BE"/>
        </w:rPr>
      </w:pPr>
      <w:r w:rsidRPr="0001496F">
        <w:rPr>
          <w:rFonts w:ascii="Times New Roman" w:hAnsi="Times New Roman" w:cs="Times New Roman"/>
          <w:lang w:val="fr-BE"/>
        </w:rPr>
        <w:lastRenderedPageBreak/>
        <w:t>2.2.3. Les promesses relatives au lieu de détention</w:t>
      </w:r>
    </w:p>
    <w:p w14:paraId="46C89E08" w14:textId="77777777" w:rsidR="000C63D9" w:rsidRPr="0001496F" w:rsidRDefault="000C63D9" w:rsidP="0001496F">
      <w:pPr>
        <w:jc w:val="both"/>
        <w:rPr>
          <w:rFonts w:ascii="Times New Roman" w:hAnsi="Times New Roman" w:cs="Times New Roman"/>
          <w:lang w:val="fr-BE"/>
        </w:rPr>
      </w:pPr>
    </w:p>
    <w:p w14:paraId="19636DCD" w14:textId="3E2DEB6A"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Concernant le lieu de détention, le ministère public peut promettre deux choses. </w:t>
      </w:r>
      <w:r w:rsidRPr="0001496F">
        <w:rPr>
          <w:rFonts w:ascii="Times New Roman" w:hAnsi="Times New Roman" w:cs="Times New Roman"/>
        </w:rPr>
        <w:t xml:space="preserve">D’une part, il peut faire une promesse concernant le </w:t>
      </w:r>
      <w:r w:rsidRPr="0001496F">
        <w:rPr>
          <w:rFonts w:ascii="Times New Roman" w:hAnsi="Times New Roman" w:cs="Times New Roman"/>
          <w:i/>
        </w:rPr>
        <w:t>placement</w:t>
      </w:r>
      <w:r w:rsidR="00346A97" w:rsidRPr="0001496F">
        <w:rPr>
          <w:rFonts w:ascii="Times New Roman" w:hAnsi="Times New Roman" w:cs="Times New Roman"/>
          <w:i/>
        </w:rPr>
        <w:t> </w:t>
      </w:r>
      <w:r w:rsidR="00346A97" w:rsidRPr="0001496F">
        <w:rPr>
          <w:rFonts w:ascii="Times New Roman" w:hAnsi="Times New Roman" w:cs="Times New Roman"/>
        </w:rPr>
        <w:t>;</w:t>
      </w:r>
      <w:r w:rsidRPr="0001496F">
        <w:rPr>
          <w:rFonts w:ascii="Times New Roman" w:hAnsi="Times New Roman" w:cs="Times New Roman"/>
        </w:rPr>
        <w:t xml:space="preserve"> d’autre part, il peut faire une promesse concernant le </w:t>
      </w:r>
      <w:r w:rsidRPr="0001496F">
        <w:rPr>
          <w:rFonts w:ascii="Times New Roman" w:hAnsi="Times New Roman" w:cs="Times New Roman"/>
          <w:i/>
        </w:rPr>
        <w:t>transfèrement</w:t>
      </w:r>
      <w:r w:rsidRPr="0001496F">
        <w:rPr>
          <w:rFonts w:ascii="Times New Roman" w:hAnsi="Times New Roman" w:cs="Times New Roman"/>
        </w:rPr>
        <w:t xml:space="preserve"> du collaborateur dans un établissement pénitentiaire précis (et souhaité par ce dernier). </w:t>
      </w:r>
      <w:r w:rsidRPr="0001496F">
        <w:rPr>
          <w:rFonts w:ascii="Times New Roman" w:hAnsi="Times New Roman" w:cs="Times New Roman"/>
          <w:lang w:val="fr-BE"/>
        </w:rPr>
        <w:t>Ces récompenses peuvent être octroyées aux collaborateurs « incarcérés dans le cadre de la détention préventive ou de l’exécution de la peine »</w:t>
      </w:r>
      <w:r w:rsidRPr="0001496F">
        <w:rPr>
          <w:rStyle w:val="Appelnotedebasdep"/>
          <w:rFonts w:ascii="Times New Roman" w:hAnsi="Times New Roman" w:cs="Times New Roman"/>
          <w:lang w:val="fr-BE"/>
        </w:rPr>
        <w:footnoteReference w:id="171"/>
      </w:r>
      <w:r w:rsidRPr="0001496F">
        <w:rPr>
          <w:rFonts w:ascii="Times New Roman" w:hAnsi="Times New Roman" w:cs="Times New Roman"/>
          <w:lang w:val="fr-BE"/>
        </w:rPr>
        <w:t>. Les travaux parlementaires illustrent les intérêts pour le collaborateur d’être placé ou transféré dans un établissement pénitentiaire précis : être plus proche de sa famille, bénéficier d’un « régime plus léger, où des facilités plus étendues sont disponibles »</w:t>
      </w:r>
      <w:r w:rsidRPr="0001496F">
        <w:rPr>
          <w:rStyle w:val="Appelnotedebasdep"/>
          <w:rFonts w:ascii="Times New Roman" w:hAnsi="Times New Roman" w:cs="Times New Roman"/>
          <w:lang w:val="fr-BE"/>
        </w:rPr>
        <w:footnoteReference w:id="172"/>
      </w:r>
      <w:r w:rsidRPr="0001496F">
        <w:rPr>
          <w:rFonts w:ascii="Times New Roman" w:hAnsi="Times New Roman" w:cs="Times New Roman"/>
          <w:lang w:val="fr-BE"/>
        </w:rPr>
        <w:t xml:space="preserve">. Le collaborateur pourrait aussi trouver un intérêt à ne plus séjourner dans le même établissement pénitentiaire que </w:t>
      </w:r>
      <w:r w:rsidR="00DA59B8" w:rsidRPr="0001496F">
        <w:rPr>
          <w:rFonts w:ascii="Times New Roman" w:hAnsi="Times New Roman" w:cs="Times New Roman"/>
          <w:lang w:val="fr-BE"/>
        </w:rPr>
        <w:t xml:space="preserve">celui de </w:t>
      </w:r>
      <w:r w:rsidRPr="0001496F">
        <w:rPr>
          <w:rFonts w:ascii="Times New Roman" w:hAnsi="Times New Roman" w:cs="Times New Roman"/>
          <w:lang w:val="fr-BE"/>
        </w:rPr>
        <w:t>certains inculpés ou condamnés.</w:t>
      </w:r>
    </w:p>
    <w:p w14:paraId="16782399" w14:textId="77777777" w:rsidR="000C63D9" w:rsidRPr="0001496F" w:rsidRDefault="000C63D9" w:rsidP="0001496F">
      <w:pPr>
        <w:jc w:val="both"/>
        <w:rPr>
          <w:rFonts w:ascii="Times New Roman" w:hAnsi="Times New Roman" w:cs="Times New Roman"/>
          <w:lang w:val="fr-BE"/>
        </w:rPr>
      </w:pPr>
    </w:p>
    <w:p w14:paraId="19FA5B0F"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Certaines questions concernant ce troisième type de promesse ne semblent pas avoir été tranchées par le législateur. La promesse concernant « </w:t>
      </w:r>
      <w:r w:rsidRPr="0001496F">
        <w:rPr>
          <w:rFonts w:ascii="Times New Roman" w:hAnsi="Times New Roman" w:cs="Times New Roman"/>
          <w:i/>
          <w:lang w:val="fr-BE"/>
        </w:rPr>
        <w:t>le</w:t>
      </w:r>
      <w:r w:rsidRPr="0001496F">
        <w:rPr>
          <w:rFonts w:ascii="Times New Roman" w:hAnsi="Times New Roman" w:cs="Times New Roman"/>
          <w:lang w:val="fr-BE"/>
        </w:rPr>
        <w:t xml:space="preserve"> transfèrement » (C.i.cr, </w:t>
      </w:r>
      <w:r w:rsidRPr="0001496F">
        <w:rPr>
          <w:rFonts w:ascii="Times New Roman" w:hAnsi="Times New Roman" w:cs="Times New Roman"/>
        </w:rPr>
        <w:t>art. 216/7, al.1</w:t>
      </w:r>
      <w:r w:rsidRPr="0001496F">
        <w:rPr>
          <w:rFonts w:ascii="Times New Roman" w:hAnsi="Times New Roman" w:cs="Times New Roman"/>
          <w:vertAlign w:val="superscript"/>
        </w:rPr>
        <w:t>er</w:t>
      </w:r>
      <w:r w:rsidRPr="0001496F">
        <w:rPr>
          <w:rFonts w:ascii="Times New Roman" w:hAnsi="Times New Roman" w:cs="Times New Roman"/>
        </w:rPr>
        <w:t xml:space="preserve">) </w:t>
      </w:r>
      <w:r w:rsidRPr="0001496F">
        <w:rPr>
          <w:rFonts w:ascii="Times New Roman" w:hAnsi="Times New Roman" w:cs="Times New Roman"/>
          <w:lang w:val="fr-BE"/>
        </w:rPr>
        <w:t>peut-elle</w:t>
      </w:r>
      <w:r w:rsidRPr="0001496F">
        <w:rPr>
          <w:rFonts w:ascii="Times New Roman" w:hAnsi="Times New Roman" w:cs="Times New Roman"/>
        </w:rPr>
        <w:t xml:space="preserve"> se comprendre de manière élargie et porter sur plusieurs transfèrements ? Il nous semble que la promesse pourrait porter sur plusieurs transfèrements, pour autant que le principe de pondération soit respecté.</w:t>
      </w:r>
      <w:r w:rsidRPr="0001496F">
        <w:rPr>
          <w:rFonts w:ascii="Times New Roman" w:hAnsi="Times New Roman" w:cs="Times New Roman"/>
          <w:lang w:val="fr-BE"/>
        </w:rPr>
        <w:t xml:space="preserve"> Un interné peut-il prétendre à ce type de promesse ? La réponse semble être négative puisque l’article 216/7 du C. i. cr. évoque uniquement la loi du 12 janvier 2005 (sans faire référence à celle du 5 mai 2014). Cette exclusion systématique des internés se justifie-t-elle ?</w:t>
      </w:r>
    </w:p>
    <w:p w14:paraId="348403F3" w14:textId="77777777" w:rsidR="000C63D9" w:rsidRPr="0001496F" w:rsidRDefault="000C63D9" w:rsidP="0001496F">
      <w:pPr>
        <w:jc w:val="both"/>
        <w:rPr>
          <w:rFonts w:ascii="Times New Roman" w:hAnsi="Times New Roman" w:cs="Times New Roman"/>
          <w:lang w:val="fr-BE"/>
        </w:rPr>
      </w:pPr>
    </w:p>
    <w:p w14:paraId="47984F47"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La mise à exécution de ces promesses relatives au lieu de détention risque aussi d’être rendue plus compliquée par le plan d’action du gouvernement contre la radicalisation dans les prisons. Ce plan prévoit que les détenus radicalisés (il y aura sans doute parmi ceux-ci des condamnés pour une infraction liée au terrorisme) soient rassemblés dans des ailes spécifiques de certaines prisons. Que se passera-t-il si le collaborateur demande à être placé ou transféré dans une prison qui ne dispose pas d’une telle aile ? Est-ce que cette situation pourrait conduire le directeur général des Établissements pénitentiaires à refuser de valider le mémorandum (</w:t>
      </w:r>
      <w:r w:rsidRPr="0001496F">
        <w:rPr>
          <w:rFonts w:ascii="Times New Roman" w:hAnsi="Times New Roman" w:cs="Times New Roman"/>
          <w:i/>
          <w:lang w:val="fr-BE"/>
        </w:rPr>
        <w:t>cf. infra</w:t>
      </w:r>
      <w:r w:rsidRPr="0001496F">
        <w:rPr>
          <w:rFonts w:ascii="Times New Roman" w:hAnsi="Times New Roman" w:cs="Times New Roman"/>
          <w:lang w:val="fr-BE"/>
        </w:rPr>
        <w:t xml:space="preserve"> 2.4.2.2) ? </w:t>
      </w:r>
    </w:p>
    <w:p w14:paraId="39263401" w14:textId="77777777" w:rsidR="000C63D9" w:rsidRPr="0001496F" w:rsidRDefault="000C63D9" w:rsidP="0001496F">
      <w:pPr>
        <w:jc w:val="both"/>
        <w:rPr>
          <w:rFonts w:ascii="Times New Roman" w:hAnsi="Times New Roman" w:cs="Times New Roman"/>
          <w:lang w:val="fr-BE"/>
        </w:rPr>
      </w:pPr>
    </w:p>
    <w:p w14:paraId="09A5E2B5" w14:textId="07BBDF31"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Le principe de pondération doit également s’appliquer pour ce troisième type de promesse. Remarquons cependant que le troisième critère de ce principe, relatif à la « gravité des conséquences possibles »</w:t>
      </w:r>
      <w:r w:rsidR="00DA59B8" w:rsidRPr="0001496F">
        <w:rPr>
          <w:rFonts w:ascii="Times New Roman" w:hAnsi="Times New Roman" w:cs="Times New Roman"/>
          <w:lang w:val="fr-BE"/>
        </w:rPr>
        <w:t>,</w:t>
      </w:r>
      <w:r w:rsidRPr="0001496F">
        <w:rPr>
          <w:rFonts w:ascii="Times New Roman" w:hAnsi="Times New Roman" w:cs="Times New Roman"/>
          <w:lang w:val="fr-BE"/>
        </w:rPr>
        <w:t xml:space="preserve"> n’est pas repris par la loi, sans qu’une explication ne soit donnée dans les travaux préparatoires </w:t>
      </w:r>
      <w:r w:rsidRPr="0001496F">
        <w:rPr>
          <w:rFonts w:ascii="Times New Roman" w:hAnsi="Times New Roman" w:cs="Times New Roman"/>
        </w:rPr>
        <w:t>(</w:t>
      </w:r>
      <w:r w:rsidRPr="0001496F">
        <w:rPr>
          <w:rFonts w:ascii="Times New Roman" w:hAnsi="Times New Roman" w:cs="Times New Roman"/>
          <w:lang w:val="fr-BE"/>
        </w:rPr>
        <w:t xml:space="preserve">C.i.cr, </w:t>
      </w:r>
      <w:r w:rsidRPr="0001496F">
        <w:rPr>
          <w:rFonts w:ascii="Times New Roman" w:hAnsi="Times New Roman" w:cs="Times New Roman"/>
        </w:rPr>
        <w:t>art. 216/7, al.1</w:t>
      </w:r>
      <w:r w:rsidRPr="0001496F">
        <w:rPr>
          <w:rFonts w:ascii="Times New Roman" w:hAnsi="Times New Roman" w:cs="Times New Roman"/>
          <w:vertAlign w:val="superscript"/>
        </w:rPr>
        <w:t>er</w:t>
      </w:r>
      <w:r w:rsidRPr="0001496F">
        <w:rPr>
          <w:rFonts w:ascii="Times New Roman" w:hAnsi="Times New Roman" w:cs="Times New Roman"/>
        </w:rPr>
        <w:t>)</w:t>
      </w:r>
      <w:r w:rsidRPr="0001496F">
        <w:rPr>
          <w:rFonts w:ascii="Times New Roman" w:hAnsi="Times New Roman" w:cs="Times New Roman"/>
          <w:lang w:val="fr-BE"/>
        </w:rPr>
        <w:t>. L’opérationnalisation de ce principe semble ici fort limitée puisqu’il ne serait question</w:t>
      </w:r>
      <w:r w:rsidR="009C3972" w:rsidRPr="0001496F">
        <w:rPr>
          <w:rFonts w:ascii="Times New Roman" w:hAnsi="Times New Roman" w:cs="Times New Roman"/>
          <w:lang w:val="fr-BE"/>
        </w:rPr>
        <w:t>,</w:t>
      </w:r>
      <w:r w:rsidRPr="0001496F">
        <w:rPr>
          <w:rFonts w:ascii="Times New Roman" w:hAnsi="Times New Roman" w:cs="Times New Roman"/>
          <w:lang w:val="fr-BE"/>
        </w:rPr>
        <w:t xml:space="preserve"> selon nous</w:t>
      </w:r>
      <w:r w:rsidR="009C3972" w:rsidRPr="0001496F">
        <w:rPr>
          <w:rFonts w:ascii="Times New Roman" w:hAnsi="Times New Roman" w:cs="Times New Roman"/>
          <w:lang w:val="fr-BE"/>
        </w:rPr>
        <w:t>,</w:t>
      </w:r>
      <w:r w:rsidRPr="0001496F">
        <w:rPr>
          <w:rFonts w:ascii="Times New Roman" w:hAnsi="Times New Roman" w:cs="Times New Roman"/>
          <w:lang w:val="fr-BE"/>
        </w:rPr>
        <w:t xml:space="preserve"> que du nombre de transferts et de la durée pendant laquelle ces transferts peuvent être sollicités. </w:t>
      </w:r>
    </w:p>
    <w:p w14:paraId="3BF6F326" w14:textId="77777777" w:rsidR="000C63D9" w:rsidRPr="0001496F" w:rsidRDefault="000C63D9" w:rsidP="0001496F">
      <w:pPr>
        <w:jc w:val="both"/>
        <w:rPr>
          <w:rFonts w:ascii="Times New Roman" w:hAnsi="Times New Roman" w:cs="Times New Roman"/>
          <w:lang w:val="fr-BE"/>
        </w:rPr>
      </w:pPr>
    </w:p>
    <w:p w14:paraId="0BDAD7E4"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Pour ces promesses relatives au lieu de détention, on ne trouvera pas non plus de spécificités pour les collaborateurs qui ont commis des infractions terroristes. </w:t>
      </w:r>
    </w:p>
    <w:p w14:paraId="65990C8F" w14:textId="77777777" w:rsidR="000C63D9" w:rsidRPr="0001496F" w:rsidRDefault="000C63D9" w:rsidP="0001496F">
      <w:pPr>
        <w:jc w:val="both"/>
        <w:rPr>
          <w:rFonts w:ascii="Times New Roman" w:hAnsi="Times New Roman" w:cs="Times New Roman"/>
          <w:lang w:val="fr-BE"/>
        </w:rPr>
      </w:pPr>
    </w:p>
    <w:p w14:paraId="3B83B5C6" w14:textId="77777777" w:rsidR="000C63D9" w:rsidRPr="0001496F" w:rsidRDefault="000C63D9" w:rsidP="0001496F">
      <w:pPr>
        <w:jc w:val="both"/>
        <w:outlineLvl w:val="0"/>
        <w:rPr>
          <w:rFonts w:ascii="Times New Roman" w:hAnsi="Times New Roman" w:cs="Times New Roman"/>
          <w:lang w:val="fr-BE"/>
        </w:rPr>
      </w:pPr>
      <w:r w:rsidRPr="0001496F">
        <w:rPr>
          <w:rFonts w:ascii="Times New Roman" w:hAnsi="Times New Roman" w:cs="Times New Roman"/>
          <w:lang w:val="fr-BE"/>
        </w:rPr>
        <w:t>2.2.4. Un cumul des promesses est-il possible ?</w:t>
      </w:r>
    </w:p>
    <w:p w14:paraId="46E12F04" w14:textId="77777777" w:rsidR="000C63D9" w:rsidRPr="0001496F" w:rsidRDefault="000C63D9" w:rsidP="0001496F">
      <w:pPr>
        <w:jc w:val="both"/>
        <w:rPr>
          <w:rFonts w:ascii="Times New Roman" w:hAnsi="Times New Roman" w:cs="Times New Roman"/>
          <w:lang w:val="fr-BE"/>
        </w:rPr>
      </w:pPr>
    </w:p>
    <w:p w14:paraId="47D58E3C" w14:textId="49FBE55E" w:rsidR="000C63D9" w:rsidRPr="0001496F" w:rsidRDefault="000C63D9" w:rsidP="0001496F">
      <w:pPr>
        <w:jc w:val="both"/>
        <w:rPr>
          <w:rFonts w:ascii="Times New Roman" w:hAnsi="Times New Roman" w:cs="Times New Roman"/>
        </w:rPr>
      </w:pPr>
      <w:r w:rsidRPr="0001496F">
        <w:rPr>
          <w:rFonts w:ascii="Times New Roman" w:hAnsi="Times New Roman" w:cs="Times New Roman"/>
          <w:lang w:val="fr-BE"/>
        </w:rPr>
        <w:t xml:space="preserve">Ce que nous appellerons un « cumul des promesses » renvoie à la possibilité que, dans un seul mémorandum, le collaborateur et son avocat négocient plusieurs récompenses de différents types. Quelle sera l’attitude du ministère public face à un avocat négociant pour son client à la fois une réduction de peine dans le cadre de l’exercice de l’action publique, un avis favorable pour une future libération conditionnelle et une place dans tel établissement pénitentiaire ? Une </w:t>
      </w:r>
      <w:r w:rsidR="00C83DA4" w:rsidRPr="0001496F">
        <w:rPr>
          <w:rFonts w:ascii="Times New Roman" w:hAnsi="Times New Roman" w:cs="Times New Roman"/>
          <w:lang w:val="fr-BE"/>
        </w:rPr>
        <w:lastRenderedPageBreak/>
        <w:t>circulaire</w:t>
      </w:r>
      <w:r w:rsidR="00C62322" w:rsidRPr="0001496F">
        <w:rPr>
          <w:rFonts w:ascii="Times New Roman" w:hAnsi="Times New Roman" w:cs="Times New Roman"/>
          <w:lang w:val="fr-BE"/>
        </w:rPr>
        <w:t xml:space="preserve"> du </w:t>
      </w:r>
      <w:r w:rsidR="008A1DF7" w:rsidRPr="0001496F">
        <w:rPr>
          <w:rFonts w:ascii="Times New Roman" w:hAnsi="Times New Roman" w:cs="Times New Roman"/>
          <w:lang w:val="fr-BE"/>
        </w:rPr>
        <w:t>C</w:t>
      </w:r>
      <w:r w:rsidR="008B0B00" w:rsidRPr="0001496F">
        <w:rPr>
          <w:rFonts w:ascii="Times New Roman" w:hAnsi="Times New Roman" w:cs="Times New Roman"/>
          <w:lang w:val="fr-BE"/>
        </w:rPr>
        <w:t>ollège des procureurs généraux (C. jud., art. 143</w:t>
      </w:r>
      <w:r w:rsidR="008B0B00" w:rsidRPr="0001496F">
        <w:rPr>
          <w:rFonts w:ascii="Times New Roman" w:hAnsi="Times New Roman" w:cs="Times New Roman"/>
          <w:i/>
          <w:lang w:val="fr-BE"/>
        </w:rPr>
        <w:t>bis</w:t>
      </w:r>
      <w:r w:rsidR="008B0B00" w:rsidRPr="0001496F">
        <w:rPr>
          <w:rFonts w:ascii="Times New Roman" w:hAnsi="Times New Roman" w:cs="Times New Roman"/>
          <w:lang w:val="fr-BE"/>
        </w:rPr>
        <w:t>, § 2)</w:t>
      </w:r>
      <w:r w:rsidRPr="0001496F">
        <w:rPr>
          <w:rFonts w:ascii="Times New Roman" w:hAnsi="Times New Roman" w:cs="Times New Roman"/>
          <w:lang w:val="fr-BE"/>
        </w:rPr>
        <w:t xml:space="preserve"> viendra-t-elle trancher ce type de situations (qui ne manquera pas de complexifier la question du ministère public compétent pour la rédaction du mémorandum ; </w:t>
      </w:r>
      <w:r w:rsidRPr="0001496F">
        <w:rPr>
          <w:rFonts w:ascii="Times New Roman" w:hAnsi="Times New Roman" w:cs="Times New Roman"/>
          <w:i/>
          <w:lang w:val="fr-BE"/>
        </w:rPr>
        <w:t>cf infra</w:t>
      </w:r>
      <w:r w:rsidRPr="0001496F">
        <w:rPr>
          <w:rFonts w:ascii="Times New Roman" w:hAnsi="Times New Roman" w:cs="Times New Roman"/>
          <w:lang w:val="fr-BE"/>
        </w:rPr>
        <w:t xml:space="preserve"> 2.4.2.1.)</w:t>
      </w:r>
      <w:r w:rsidRPr="0001496F">
        <w:rPr>
          <w:rStyle w:val="Appelnotedebasdep"/>
          <w:rFonts w:ascii="Times New Roman" w:hAnsi="Times New Roman" w:cs="Times New Roman"/>
          <w:lang w:val="fr-BE"/>
        </w:rPr>
        <w:footnoteReference w:id="173"/>
      </w:r>
      <w:r w:rsidRPr="0001496F">
        <w:rPr>
          <w:rFonts w:ascii="Times New Roman" w:hAnsi="Times New Roman" w:cs="Times New Roman"/>
          <w:lang w:val="fr-BE"/>
        </w:rPr>
        <w:t> ? Il nous semble que cette question d’un éventuel cumul de promesses n’est pas purement théorique puisqu’elle pourra se poser si des avocats de la défense font des propositions particulièrement audacieuses. De plus, il nous semble qu’un exemple de cumul se déduit des travaux préparatoires</w:t>
      </w:r>
      <w:r w:rsidR="00363EDA" w:rsidRPr="0001496F">
        <w:rPr>
          <w:rFonts w:ascii="Times New Roman" w:hAnsi="Times New Roman" w:cs="Times New Roman"/>
          <w:lang w:val="fr-BE"/>
        </w:rPr>
        <w:t>,</w:t>
      </w:r>
      <w:r w:rsidRPr="0001496F">
        <w:rPr>
          <w:rFonts w:ascii="Times New Roman" w:hAnsi="Times New Roman" w:cs="Times New Roman"/>
          <w:lang w:val="fr-BE"/>
        </w:rPr>
        <w:t xml:space="preserve"> lorsque ceux-ci indiquent que la promesse relative au lieu de détention peut être octroyée aux collaborateurs « incarcérés dans le cadre de la détention préventive ou de l’exécution de la peine »</w:t>
      </w:r>
      <w:r w:rsidRPr="0001496F">
        <w:rPr>
          <w:rStyle w:val="Appelnotedebasdep"/>
          <w:rFonts w:ascii="Times New Roman" w:hAnsi="Times New Roman" w:cs="Times New Roman"/>
          <w:lang w:val="fr-BE"/>
        </w:rPr>
        <w:footnoteReference w:id="174"/>
      </w:r>
      <w:r w:rsidRPr="0001496F">
        <w:rPr>
          <w:rFonts w:ascii="Times New Roman" w:hAnsi="Times New Roman" w:cs="Times New Roman"/>
          <w:lang w:val="fr-BE"/>
        </w:rPr>
        <w:t xml:space="preserve">. En effet, il ne fait guère de doute que la personne détenue préventivement puisse être également intéressée par une promesse </w:t>
      </w:r>
      <w:r w:rsidRPr="0001496F">
        <w:rPr>
          <w:rFonts w:ascii="Times New Roman" w:hAnsi="Times New Roman" w:cs="Times New Roman"/>
        </w:rPr>
        <w:t xml:space="preserve">relative à </w:t>
      </w:r>
      <w:r w:rsidR="00363EDA" w:rsidRPr="0001496F">
        <w:rPr>
          <w:rFonts w:ascii="Times New Roman" w:hAnsi="Times New Roman" w:cs="Times New Roman"/>
        </w:rPr>
        <w:t>l’</w:t>
      </w:r>
      <w:r w:rsidRPr="0001496F">
        <w:rPr>
          <w:rFonts w:ascii="Times New Roman" w:hAnsi="Times New Roman" w:cs="Times New Roman"/>
        </w:rPr>
        <w:t>exercice de l’action publique.</w:t>
      </w:r>
    </w:p>
    <w:p w14:paraId="66BE6F35" w14:textId="77777777" w:rsidR="000C63D9" w:rsidRPr="0001496F" w:rsidRDefault="000C63D9" w:rsidP="0001496F">
      <w:pPr>
        <w:jc w:val="both"/>
        <w:rPr>
          <w:rFonts w:ascii="Times New Roman" w:hAnsi="Times New Roman" w:cs="Times New Roman"/>
        </w:rPr>
      </w:pPr>
    </w:p>
    <w:p w14:paraId="32BD352C"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2.3. La contrepartie de la promesse de récompense : les obligations du collaborateur</w:t>
      </w:r>
    </w:p>
    <w:p w14:paraId="1FADA88F" w14:textId="77777777" w:rsidR="000C63D9" w:rsidRPr="0001496F" w:rsidRDefault="000C63D9" w:rsidP="0001496F">
      <w:pPr>
        <w:jc w:val="both"/>
        <w:rPr>
          <w:rFonts w:ascii="Times New Roman" w:hAnsi="Times New Roman" w:cs="Times New Roman"/>
        </w:rPr>
      </w:pPr>
    </w:p>
    <w:p w14:paraId="64284C0A"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collaborateur a plusieurs obligations : faire une déclaration (2.3.1), avoir la volonté d’indemniser le dommage (2.3.2), ne pas commettre une nouvelle infraction (2.3.3), respecter les conditions prévues dans le mémorandum (2.3.4) et ne pas entraver la justice pénale (2.3.5).</w:t>
      </w:r>
    </w:p>
    <w:p w14:paraId="78FA1085" w14:textId="77777777" w:rsidR="000C63D9" w:rsidRPr="0001496F" w:rsidRDefault="000C63D9" w:rsidP="0001496F">
      <w:pPr>
        <w:jc w:val="both"/>
        <w:rPr>
          <w:rFonts w:ascii="Times New Roman" w:hAnsi="Times New Roman" w:cs="Times New Roman"/>
        </w:rPr>
      </w:pPr>
    </w:p>
    <w:p w14:paraId="2C58A5F2"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2.3.1. Faire une déclaration</w:t>
      </w:r>
    </w:p>
    <w:p w14:paraId="5FE2F07B" w14:textId="77777777" w:rsidR="000C63D9" w:rsidRPr="0001496F" w:rsidRDefault="000C63D9" w:rsidP="0001496F">
      <w:pPr>
        <w:jc w:val="both"/>
        <w:rPr>
          <w:rFonts w:ascii="Times New Roman" w:hAnsi="Times New Roman" w:cs="Times New Roman"/>
        </w:rPr>
      </w:pPr>
    </w:p>
    <w:p w14:paraId="20308809" w14:textId="580BE0B6" w:rsidR="000C63D9" w:rsidRPr="0001496F" w:rsidRDefault="000C63D9" w:rsidP="0001496F">
      <w:pPr>
        <w:jc w:val="both"/>
        <w:rPr>
          <w:rFonts w:ascii="Times New Roman" w:hAnsi="Times New Roman" w:cs="Times New Roman"/>
        </w:rPr>
      </w:pPr>
      <w:r w:rsidRPr="0001496F">
        <w:rPr>
          <w:rFonts w:ascii="Times New Roman" w:hAnsi="Times New Roman" w:cs="Times New Roman"/>
        </w:rPr>
        <w:t>L’obligation principale du collaborateur est évidemment de faire « des déclarations substantielles, révélatrices, sincères et complètes concernant la participation de tiers et, le cas échéant, sa propre participation » à une infraction (commise ou tentée) visée à l’article 90</w:t>
      </w:r>
      <w:r w:rsidRPr="0001496F">
        <w:rPr>
          <w:rFonts w:ascii="Times New Roman" w:hAnsi="Times New Roman" w:cs="Times New Roman"/>
          <w:i/>
        </w:rPr>
        <w:t>ter</w:t>
      </w:r>
      <w:r w:rsidRPr="0001496F">
        <w:rPr>
          <w:rFonts w:ascii="Times New Roman" w:hAnsi="Times New Roman" w:cs="Times New Roman"/>
        </w:rPr>
        <w:t>, § 2 à 4 du C. i. cr. (</w:t>
      </w:r>
      <w:r w:rsidRPr="0001496F">
        <w:rPr>
          <w:rFonts w:ascii="Times New Roman" w:hAnsi="Times New Roman" w:cs="Times New Roman"/>
          <w:lang w:val="fr-BE"/>
        </w:rPr>
        <w:t xml:space="preserve">C. i. cr., </w:t>
      </w:r>
      <w:r w:rsidRPr="0001496F">
        <w:rPr>
          <w:rFonts w:ascii="Times New Roman" w:hAnsi="Times New Roman" w:cs="Times New Roman"/>
        </w:rPr>
        <w:t>art. 216/1, al.1</w:t>
      </w:r>
      <w:r w:rsidRPr="0001496F">
        <w:rPr>
          <w:rFonts w:ascii="Times New Roman" w:hAnsi="Times New Roman" w:cs="Times New Roman"/>
          <w:vertAlign w:val="superscript"/>
        </w:rPr>
        <w:t>er</w:t>
      </w:r>
      <w:r w:rsidRPr="0001496F">
        <w:rPr>
          <w:rFonts w:ascii="Times New Roman" w:hAnsi="Times New Roman" w:cs="Times New Roman"/>
        </w:rPr>
        <w:t>). Le collaborateur doit « donner suite à chaque convocation du ministère public, du juge d’instruction et des juridictions d’instruction et de jugement »</w:t>
      </w:r>
      <w:r w:rsidR="0038356A" w:rsidRPr="0001496F">
        <w:rPr>
          <w:rFonts w:ascii="Times New Roman" w:hAnsi="Times New Roman" w:cs="Times New Roman"/>
        </w:rPr>
        <w:t>,</w:t>
      </w:r>
      <w:r w:rsidRPr="0001496F">
        <w:rPr>
          <w:rFonts w:ascii="Times New Roman" w:hAnsi="Times New Roman" w:cs="Times New Roman"/>
        </w:rPr>
        <w:t xml:space="preserve"> en vue d’effectuer les déclarations prévues (C. i. cr., art. 216/4, §1</w:t>
      </w:r>
      <w:r w:rsidRPr="0001496F">
        <w:rPr>
          <w:rFonts w:ascii="Times New Roman" w:hAnsi="Times New Roman" w:cs="Times New Roman"/>
          <w:vertAlign w:val="superscript"/>
        </w:rPr>
        <w:t>er</w:t>
      </w:r>
      <w:r w:rsidRPr="0001496F">
        <w:rPr>
          <w:rFonts w:ascii="Times New Roman" w:hAnsi="Times New Roman" w:cs="Times New Roman"/>
        </w:rPr>
        <w:t>)</w:t>
      </w:r>
      <w:r w:rsidRPr="0001496F">
        <w:rPr>
          <w:rStyle w:val="Appelnotedebasdep"/>
          <w:rFonts w:ascii="Times New Roman" w:hAnsi="Times New Roman" w:cs="Times New Roman"/>
        </w:rPr>
        <w:footnoteReference w:id="175"/>
      </w:r>
      <w:r w:rsidRPr="0001496F">
        <w:rPr>
          <w:rFonts w:ascii="Times New Roman" w:hAnsi="Times New Roman" w:cs="Times New Roman"/>
        </w:rPr>
        <w:t>.</w:t>
      </w:r>
    </w:p>
    <w:p w14:paraId="00DF8396" w14:textId="77777777" w:rsidR="000C63D9" w:rsidRPr="0001496F" w:rsidRDefault="000C63D9" w:rsidP="0001496F">
      <w:pPr>
        <w:jc w:val="both"/>
        <w:rPr>
          <w:rFonts w:ascii="Times New Roman" w:hAnsi="Times New Roman" w:cs="Times New Roman"/>
        </w:rPr>
      </w:pPr>
    </w:p>
    <w:p w14:paraId="19C7BB74"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Les déclarations du collaborateur doivent répondre à quatre exigences. Elles doivent 1) porter sur des « informations utiles et pertinentes » (substantielles), 2) porter sur des informations « nouvelles », « pas encore connues ou confirmées par le ministère public » (révélatrices), 3) être « conformes à la vérité » (sincères) et, 4) contenir « toutes les informations dont le repenti </w:t>
      </w:r>
      <w:proofErr w:type="gramStart"/>
      <w:r w:rsidRPr="0001496F">
        <w:rPr>
          <w:rFonts w:ascii="Times New Roman" w:hAnsi="Times New Roman" w:cs="Times New Roman"/>
        </w:rPr>
        <w:t>a</w:t>
      </w:r>
      <w:proofErr w:type="gramEnd"/>
      <w:r w:rsidRPr="0001496F">
        <w:rPr>
          <w:rFonts w:ascii="Times New Roman" w:hAnsi="Times New Roman" w:cs="Times New Roman"/>
        </w:rPr>
        <w:t xml:space="preserve"> connaissance » (complètes)</w:t>
      </w:r>
      <w:r w:rsidRPr="0001496F">
        <w:rPr>
          <w:rStyle w:val="Appelnotedebasdep"/>
          <w:rFonts w:ascii="Times New Roman" w:hAnsi="Times New Roman" w:cs="Times New Roman"/>
        </w:rPr>
        <w:footnoteReference w:id="176"/>
      </w:r>
      <w:r w:rsidRPr="0001496F">
        <w:rPr>
          <w:rFonts w:ascii="Times New Roman" w:hAnsi="Times New Roman" w:cs="Times New Roman"/>
        </w:rPr>
        <w:t>.</w:t>
      </w:r>
    </w:p>
    <w:p w14:paraId="1E6F2032" w14:textId="77777777" w:rsidR="000C63D9" w:rsidRPr="0001496F" w:rsidRDefault="000C63D9" w:rsidP="0001496F">
      <w:pPr>
        <w:jc w:val="both"/>
        <w:rPr>
          <w:rFonts w:ascii="Times New Roman" w:hAnsi="Times New Roman" w:cs="Times New Roman"/>
        </w:rPr>
      </w:pPr>
    </w:p>
    <w:p w14:paraId="2832CEFB" w14:textId="5AB89456" w:rsidR="000C63D9" w:rsidRPr="0001496F" w:rsidRDefault="000C63D9" w:rsidP="0001496F">
      <w:pPr>
        <w:jc w:val="both"/>
        <w:rPr>
          <w:rFonts w:ascii="Times New Roman" w:hAnsi="Times New Roman" w:cs="Times New Roman"/>
        </w:rPr>
      </w:pPr>
      <w:r w:rsidRPr="0001496F">
        <w:rPr>
          <w:rFonts w:ascii="Times New Roman" w:hAnsi="Times New Roman" w:cs="Times New Roman"/>
        </w:rPr>
        <w:t>L’exigence d’informations « substantielles » est susceptible de créer une insécurité juridique pour le collaborateur</w:t>
      </w:r>
      <w:r w:rsidR="0038356A" w:rsidRPr="0001496F">
        <w:rPr>
          <w:rFonts w:ascii="Times New Roman" w:hAnsi="Times New Roman" w:cs="Times New Roman"/>
        </w:rPr>
        <w:t>,</w:t>
      </w:r>
      <w:r w:rsidRPr="0001496F">
        <w:rPr>
          <w:rFonts w:ascii="Times New Roman" w:hAnsi="Times New Roman" w:cs="Times New Roman"/>
        </w:rPr>
        <w:t xml:space="preserve"> car il n’est pas toujours aisé pour lui de déterminer si les informations qui sont en sa possession seront évaluées comme utiles et pertinentes par le ministère public. Ceci rend la promesse précaire. </w:t>
      </w:r>
    </w:p>
    <w:p w14:paraId="403B46D7" w14:textId="77777777" w:rsidR="000C63D9" w:rsidRPr="0001496F" w:rsidRDefault="000C63D9" w:rsidP="0001496F">
      <w:pPr>
        <w:jc w:val="both"/>
        <w:rPr>
          <w:rFonts w:ascii="Times New Roman" w:hAnsi="Times New Roman" w:cs="Times New Roman"/>
        </w:rPr>
      </w:pPr>
    </w:p>
    <w:p w14:paraId="3D198B85" w14:textId="4494F0E6"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même réflexion peut s’appliquer à l’exigence d’informations « révélatrices »</w:t>
      </w:r>
      <w:r w:rsidR="0038356A" w:rsidRPr="0001496F">
        <w:rPr>
          <w:rFonts w:ascii="Times New Roman" w:hAnsi="Times New Roman" w:cs="Times New Roman"/>
        </w:rPr>
        <w:t>,</w:t>
      </w:r>
      <w:r w:rsidRPr="0001496F">
        <w:rPr>
          <w:rFonts w:ascii="Times New Roman" w:hAnsi="Times New Roman" w:cs="Times New Roman"/>
        </w:rPr>
        <w:t xml:space="preserve"> puisque le collaborateur ne sait que rarement avec précision quelles informations sont connues du ministère public (le contraire serait en fait inquiétant…). De plus, si un collaborateur fournit des informations sans savoir qu’elles sont déjà connues par le ministère public</w:t>
      </w:r>
      <w:r w:rsidR="00071BB2" w:rsidRPr="0001496F">
        <w:rPr>
          <w:rFonts w:ascii="Times New Roman" w:hAnsi="Times New Roman" w:cs="Times New Roman"/>
        </w:rPr>
        <w:t>,</w:t>
      </w:r>
      <w:r w:rsidRPr="0001496F">
        <w:rPr>
          <w:rFonts w:ascii="Times New Roman" w:hAnsi="Times New Roman" w:cs="Times New Roman"/>
        </w:rPr>
        <w:t xml:space="preserve"> mais que sa démarche démontre une volonté de se distancier de son passé criminel, ne mérite-t-</w:t>
      </w:r>
      <w:r w:rsidR="0038356A" w:rsidRPr="0001496F">
        <w:rPr>
          <w:rFonts w:ascii="Times New Roman" w:hAnsi="Times New Roman" w:cs="Times New Roman"/>
        </w:rPr>
        <w:t>il</w:t>
      </w:r>
      <w:r w:rsidRPr="0001496F">
        <w:rPr>
          <w:rFonts w:ascii="Times New Roman" w:hAnsi="Times New Roman" w:cs="Times New Roman"/>
        </w:rPr>
        <w:t xml:space="preserve"> pas la </w:t>
      </w:r>
      <w:r w:rsidRPr="0001496F">
        <w:rPr>
          <w:rFonts w:ascii="Times New Roman" w:hAnsi="Times New Roman" w:cs="Times New Roman"/>
        </w:rPr>
        <w:lastRenderedPageBreak/>
        <w:t>récompense ? C’est en tout cas la position de la Cour constitutionnelle italienne qui a déclaré « inconstitutionnelle la condition de ‘déclarations nécessairement révélatrices’ »</w:t>
      </w:r>
      <w:r w:rsidRPr="0001496F">
        <w:rPr>
          <w:rStyle w:val="Appelnotedebasdep"/>
          <w:rFonts w:ascii="Times New Roman" w:hAnsi="Times New Roman" w:cs="Times New Roman"/>
        </w:rPr>
        <w:footnoteReference w:id="177"/>
      </w:r>
      <w:r w:rsidRPr="0001496F">
        <w:rPr>
          <w:rFonts w:ascii="Times New Roman" w:hAnsi="Times New Roman" w:cs="Times New Roman"/>
        </w:rPr>
        <w:t>.</w:t>
      </w:r>
    </w:p>
    <w:p w14:paraId="180A5492" w14:textId="77777777" w:rsidR="000C63D9" w:rsidRPr="0001496F" w:rsidRDefault="000C63D9" w:rsidP="0001496F">
      <w:pPr>
        <w:jc w:val="both"/>
        <w:rPr>
          <w:rFonts w:ascii="Times New Roman" w:hAnsi="Times New Roman" w:cs="Times New Roman"/>
        </w:rPr>
      </w:pPr>
    </w:p>
    <w:p w14:paraId="5F5B240D" w14:textId="7DB75B5A" w:rsidR="000C63D9" w:rsidRPr="0001496F" w:rsidRDefault="00577A50" w:rsidP="0001496F">
      <w:pPr>
        <w:jc w:val="both"/>
        <w:rPr>
          <w:rFonts w:ascii="Times New Roman" w:hAnsi="Times New Roman" w:cs="Times New Roman"/>
        </w:rPr>
      </w:pPr>
      <w:r w:rsidRPr="0001496F">
        <w:rPr>
          <w:rFonts w:ascii="Times New Roman" w:hAnsi="Times New Roman" w:cs="Times New Roman"/>
        </w:rPr>
        <w:t>En ce qui concerne</w:t>
      </w:r>
      <w:r w:rsidR="000C63D9" w:rsidRPr="0001496F">
        <w:rPr>
          <w:rFonts w:ascii="Times New Roman" w:hAnsi="Times New Roman" w:cs="Times New Roman"/>
        </w:rPr>
        <w:t xml:space="preserve"> l’exigence de « complétude », les travaux préparatoires semblent faire une distinction entre les collaborations interne et externe. En effet, en cas de collaboration externe, la déclaration ne doit « pas nécessairement porter sur les faits pour lesquels l’intéressé est poursuivi ou a été condamné »</w:t>
      </w:r>
      <w:r w:rsidR="000C63D9" w:rsidRPr="0001496F">
        <w:rPr>
          <w:rStyle w:val="Appelnotedebasdep"/>
          <w:rFonts w:ascii="Times New Roman" w:hAnsi="Times New Roman" w:cs="Times New Roman"/>
        </w:rPr>
        <w:footnoteReference w:id="178"/>
      </w:r>
      <w:r w:rsidR="000C63D9" w:rsidRPr="0001496F">
        <w:rPr>
          <w:rFonts w:ascii="Times New Roman" w:hAnsi="Times New Roman" w:cs="Times New Roman"/>
        </w:rPr>
        <w:t>. Y aurait-il ici une limitation liée au respect du droit au silence (</w:t>
      </w:r>
      <w:r w:rsidR="000C63D9" w:rsidRPr="0001496F">
        <w:rPr>
          <w:rFonts w:ascii="Times New Roman" w:hAnsi="Times New Roman" w:cs="Times New Roman"/>
          <w:i/>
          <w:iCs/>
        </w:rPr>
        <w:t>cf. infra</w:t>
      </w:r>
      <w:r w:rsidR="000C63D9" w:rsidRPr="0001496F">
        <w:rPr>
          <w:rFonts w:ascii="Times New Roman" w:hAnsi="Times New Roman" w:cs="Times New Roman"/>
        </w:rPr>
        <w:t xml:space="preserve"> conclusion) ? </w:t>
      </w:r>
      <w:r w:rsidR="00D23DEF" w:rsidRPr="0001496F">
        <w:rPr>
          <w:rFonts w:ascii="Times New Roman" w:hAnsi="Times New Roman" w:cs="Times New Roman"/>
        </w:rPr>
        <w:t>En revanche</w:t>
      </w:r>
      <w:r w:rsidR="000C63D9" w:rsidRPr="0001496F">
        <w:rPr>
          <w:rFonts w:ascii="Times New Roman" w:hAnsi="Times New Roman" w:cs="Times New Roman"/>
        </w:rPr>
        <w:t>, en cas de collaboration interne, l’exigence de complétude supposerait des « déclarations complètes par rapport à sa propre implication criminelle dans ces infractions »</w:t>
      </w:r>
      <w:r w:rsidR="000C63D9" w:rsidRPr="0001496F">
        <w:rPr>
          <w:rStyle w:val="Appelnotedebasdep"/>
          <w:rFonts w:ascii="Times New Roman" w:hAnsi="Times New Roman" w:cs="Times New Roman"/>
        </w:rPr>
        <w:footnoteReference w:id="179"/>
      </w:r>
      <w:r w:rsidR="000C63D9" w:rsidRPr="0001496F">
        <w:rPr>
          <w:rFonts w:ascii="Times New Roman" w:hAnsi="Times New Roman" w:cs="Times New Roman"/>
        </w:rPr>
        <w:t>.</w:t>
      </w:r>
    </w:p>
    <w:p w14:paraId="4682FDB5" w14:textId="77777777" w:rsidR="000C63D9" w:rsidRPr="0001496F" w:rsidRDefault="000C63D9" w:rsidP="0001496F">
      <w:pPr>
        <w:jc w:val="both"/>
        <w:rPr>
          <w:rFonts w:ascii="Times New Roman" w:hAnsi="Times New Roman" w:cs="Times New Roman"/>
        </w:rPr>
      </w:pPr>
    </w:p>
    <w:p w14:paraId="2A4BF3AE" w14:textId="0B26B567" w:rsidR="000C63D9" w:rsidRPr="0001496F" w:rsidRDefault="00577A50" w:rsidP="0001496F">
      <w:pPr>
        <w:jc w:val="both"/>
        <w:rPr>
          <w:rFonts w:ascii="Times New Roman" w:hAnsi="Times New Roman" w:cs="Times New Roman"/>
        </w:rPr>
      </w:pPr>
      <w:r w:rsidRPr="0001496F">
        <w:rPr>
          <w:rFonts w:ascii="Times New Roman" w:hAnsi="Times New Roman" w:cs="Times New Roman"/>
        </w:rPr>
        <w:t xml:space="preserve">Relativement à cette </w:t>
      </w:r>
      <w:r w:rsidR="000C63D9" w:rsidRPr="0001496F">
        <w:rPr>
          <w:rFonts w:ascii="Times New Roman" w:hAnsi="Times New Roman" w:cs="Times New Roman"/>
        </w:rPr>
        <w:t>exigence de complétude, les travaux préparatoires précisent qu’elle ne concerne que les infractions mentionnées dans le mémorandum et non toutes les infractions dont le collaborateur a connaissance</w:t>
      </w:r>
      <w:r w:rsidR="000C63D9" w:rsidRPr="0001496F">
        <w:rPr>
          <w:rStyle w:val="Appelnotedebasdep"/>
          <w:rFonts w:ascii="Times New Roman" w:hAnsi="Times New Roman" w:cs="Times New Roman"/>
        </w:rPr>
        <w:footnoteReference w:id="180"/>
      </w:r>
      <w:r w:rsidR="000C63D9" w:rsidRPr="0001496F">
        <w:rPr>
          <w:rFonts w:ascii="Times New Roman" w:hAnsi="Times New Roman" w:cs="Times New Roman"/>
        </w:rPr>
        <w:t xml:space="preserve">. Ce champ d’application limité de l’exigence de complétude est souhaitable. </w:t>
      </w:r>
    </w:p>
    <w:p w14:paraId="3ED01568" w14:textId="77777777" w:rsidR="000C63D9" w:rsidRPr="0001496F" w:rsidRDefault="000C63D9" w:rsidP="0001496F">
      <w:pPr>
        <w:jc w:val="both"/>
        <w:rPr>
          <w:rFonts w:ascii="Times New Roman" w:hAnsi="Times New Roman" w:cs="Times New Roman"/>
        </w:rPr>
      </w:pPr>
    </w:p>
    <w:p w14:paraId="4FD1FD4A"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Comme la déclaration doit porter sur « la participation de tiers », la loi ne permet pas de recourir au dispositif de la collaboration lorsque le collaborateur fournit des « informations non à charge » qui auraient cependant pu être utiles « pour clôturer une fausse piste de l’enquête »</w:t>
      </w:r>
      <w:r w:rsidRPr="0001496F">
        <w:rPr>
          <w:rStyle w:val="Appelnotedebasdep"/>
          <w:rFonts w:ascii="Times New Roman" w:hAnsi="Times New Roman" w:cs="Times New Roman"/>
        </w:rPr>
        <w:footnoteReference w:id="181"/>
      </w:r>
      <w:r w:rsidRPr="0001496F">
        <w:rPr>
          <w:rFonts w:ascii="Times New Roman" w:hAnsi="Times New Roman" w:cs="Times New Roman"/>
        </w:rPr>
        <w:t>. La collaboration est autorisée pour prouver la culpabilité mais non l’innocence.</w:t>
      </w:r>
    </w:p>
    <w:p w14:paraId="45EED6CD"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w:t>
      </w:r>
    </w:p>
    <w:p w14:paraId="76B344EB" w14:textId="7B9C9FFA"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Quant à la forme de la déclaration, le législateur a interdit que le collaborateur puisse bénéficier de l’anonymat (C. i. cr., art. 216/4, § 3). </w:t>
      </w:r>
      <w:r w:rsidR="003576D0" w:rsidRPr="0001496F">
        <w:rPr>
          <w:rFonts w:ascii="Times New Roman" w:hAnsi="Times New Roman" w:cs="Times New Roman"/>
        </w:rPr>
        <w:t>Dans la ligne de la jurisprudence antérieure sur l’admissibilité des modes de preuves (</w:t>
      </w:r>
      <w:r w:rsidR="003576D0" w:rsidRPr="0001496F">
        <w:rPr>
          <w:rFonts w:ascii="Times New Roman" w:hAnsi="Times New Roman" w:cs="Times New Roman"/>
          <w:i/>
        </w:rPr>
        <w:t xml:space="preserve">cf. </w:t>
      </w:r>
      <w:r w:rsidR="007209CF" w:rsidRPr="0001496F">
        <w:rPr>
          <w:rFonts w:ascii="Times New Roman" w:hAnsi="Times New Roman" w:cs="Times New Roman"/>
          <w:i/>
        </w:rPr>
        <w:t>infra</w:t>
      </w:r>
      <w:r w:rsidR="003576D0" w:rsidRPr="0001496F">
        <w:rPr>
          <w:rFonts w:ascii="Times New Roman" w:hAnsi="Times New Roman" w:cs="Times New Roman"/>
        </w:rPr>
        <w:t xml:space="preserve"> 1.2), c</w:t>
      </w:r>
      <w:r w:rsidRPr="0001496F">
        <w:rPr>
          <w:rFonts w:ascii="Times New Roman" w:hAnsi="Times New Roman" w:cs="Times New Roman"/>
        </w:rPr>
        <w:t>ette exigence de transparence est considérée comme essentielle pour le respect des droits de la défense et en particulier le principe du contradictoire</w:t>
      </w:r>
      <w:r w:rsidRPr="0001496F">
        <w:rPr>
          <w:rStyle w:val="Appelnotedebasdep"/>
          <w:rFonts w:ascii="Times New Roman" w:hAnsi="Times New Roman" w:cs="Times New Roman"/>
        </w:rPr>
        <w:footnoteReference w:id="182"/>
      </w:r>
      <w:r w:rsidRPr="0001496F">
        <w:rPr>
          <w:rFonts w:ascii="Times New Roman" w:hAnsi="Times New Roman" w:cs="Times New Roman"/>
        </w:rPr>
        <w:t xml:space="preserve"> (</w:t>
      </w:r>
      <w:r w:rsidRPr="0001496F">
        <w:rPr>
          <w:rFonts w:ascii="Times New Roman" w:hAnsi="Times New Roman" w:cs="Times New Roman"/>
          <w:i/>
        </w:rPr>
        <w:t>cf. infra</w:t>
      </w:r>
      <w:r w:rsidRPr="0001496F">
        <w:rPr>
          <w:rFonts w:ascii="Times New Roman" w:hAnsi="Times New Roman" w:cs="Times New Roman"/>
        </w:rPr>
        <w:t xml:space="preserve"> conclusion).</w:t>
      </w:r>
    </w:p>
    <w:p w14:paraId="5667F264" w14:textId="77777777" w:rsidR="000C63D9" w:rsidRPr="0001496F" w:rsidRDefault="000C63D9" w:rsidP="0001496F">
      <w:pPr>
        <w:jc w:val="both"/>
        <w:rPr>
          <w:rFonts w:ascii="Times New Roman" w:hAnsi="Times New Roman" w:cs="Times New Roman"/>
        </w:rPr>
      </w:pPr>
    </w:p>
    <w:p w14:paraId="6CCACC74"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2.3.2. Avoir la volonté d’indemniser le dommage</w:t>
      </w:r>
    </w:p>
    <w:p w14:paraId="3B126E16" w14:textId="77777777" w:rsidR="000C63D9" w:rsidRPr="0001496F" w:rsidRDefault="000C63D9" w:rsidP="0001496F">
      <w:pPr>
        <w:jc w:val="both"/>
        <w:rPr>
          <w:rFonts w:ascii="Times New Roman" w:hAnsi="Times New Roman" w:cs="Times New Roman"/>
        </w:rPr>
      </w:pPr>
    </w:p>
    <w:p w14:paraId="4D1603DB"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Ce que la loi exige précisément du collaborateur peut prêter à controverse. En effet, si l’article 216/2 du C. i. cr. </w:t>
      </w:r>
      <w:proofErr w:type="gramStart"/>
      <w:r w:rsidRPr="0001496F">
        <w:rPr>
          <w:rFonts w:ascii="Times New Roman" w:hAnsi="Times New Roman" w:cs="Times New Roman"/>
        </w:rPr>
        <w:t>évoque</w:t>
      </w:r>
      <w:proofErr w:type="gramEnd"/>
      <w:r w:rsidRPr="0001496F">
        <w:rPr>
          <w:rFonts w:ascii="Times New Roman" w:hAnsi="Times New Roman" w:cs="Times New Roman"/>
        </w:rPr>
        <w:t xml:space="preserve"> la « </w:t>
      </w:r>
      <w:r w:rsidRPr="0001496F">
        <w:rPr>
          <w:rFonts w:ascii="Times New Roman" w:hAnsi="Times New Roman" w:cs="Times New Roman"/>
          <w:i/>
        </w:rPr>
        <w:t>volonté</w:t>
      </w:r>
      <w:r w:rsidRPr="0001496F">
        <w:rPr>
          <w:rFonts w:ascii="Times New Roman" w:hAnsi="Times New Roman" w:cs="Times New Roman"/>
        </w:rPr>
        <w:t xml:space="preserve"> d’indemniser », l’article 216/3 du même code précise que la promesse faite à celui qui « </w:t>
      </w:r>
      <w:r w:rsidRPr="0001496F">
        <w:rPr>
          <w:rFonts w:ascii="Times New Roman" w:hAnsi="Times New Roman" w:cs="Times New Roman"/>
          <w:i/>
        </w:rPr>
        <w:t>n’indemnise pas</w:t>
      </w:r>
      <w:r w:rsidRPr="0001496F">
        <w:rPr>
          <w:rFonts w:ascii="Times New Roman" w:hAnsi="Times New Roman" w:cs="Times New Roman"/>
        </w:rPr>
        <w:t xml:space="preserve"> le dommage » est susceptible d’être révoquée (</w:t>
      </w:r>
      <w:r w:rsidRPr="0001496F">
        <w:rPr>
          <w:rFonts w:ascii="Times New Roman" w:hAnsi="Times New Roman" w:cs="Times New Roman"/>
          <w:i/>
        </w:rPr>
        <w:t>cf. infra</w:t>
      </w:r>
      <w:r w:rsidRPr="0001496F">
        <w:rPr>
          <w:rFonts w:ascii="Times New Roman" w:hAnsi="Times New Roman" w:cs="Times New Roman"/>
        </w:rPr>
        <w:t xml:space="preserve"> 2.5.1).</w:t>
      </w:r>
    </w:p>
    <w:p w14:paraId="609EB56F" w14:textId="77777777" w:rsidR="000C63D9" w:rsidRPr="0001496F" w:rsidRDefault="000C63D9" w:rsidP="0001496F">
      <w:pPr>
        <w:jc w:val="both"/>
        <w:rPr>
          <w:rFonts w:ascii="Times New Roman" w:hAnsi="Times New Roman" w:cs="Times New Roman"/>
        </w:rPr>
      </w:pPr>
    </w:p>
    <w:p w14:paraId="43A34B1A"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législateur ne précise pas quel dommage est concerné par cette volonté d’indemnisation. On peut supposer qu’il s’agit exclusivement du dommage lié aux infractions commises par le collaborateur et qui sont reprises dans le mémorandum (C. i. cr., art. 216/2, § 1</w:t>
      </w:r>
      <w:r w:rsidRPr="0001496F">
        <w:rPr>
          <w:rFonts w:ascii="Times New Roman" w:hAnsi="Times New Roman" w:cs="Times New Roman"/>
          <w:vertAlign w:val="superscript"/>
        </w:rPr>
        <w:t>er</w:t>
      </w:r>
      <w:r w:rsidRPr="0001496F">
        <w:rPr>
          <w:rFonts w:ascii="Times New Roman" w:hAnsi="Times New Roman" w:cs="Times New Roman"/>
        </w:rPr>
        <w:t>).</w:t>
      </w:r>
    </w:p>
    <w:p w14:paraId="6A84EDDF" w14:textId="77777777" w:rsidR="000C63D9" w:rsidRPr="0001496F" w:rsidRDefault="000C63D9" w:rsidP="0001496F">
      <w:pPr>
        <w:jc w:val="both"/>
        <w:rPr>
          <w:rFonts w:ascii="Times New Roman" w:hAnsi="Times New Roman" w:cs="Times New Roman"/>
        </w:rPr>
      </w:pPr>
    </w:p>
    <w:p w14:paraId="08A68484"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2.3.3. Ne pas commettre une infraction (d’une certaine gravité)</w:t>
      </w:r>
    </w:p>
    <w:p w14:paraId="77368322" w14:textId="77777777" w:rsidR="000C63D9" w:rsidRPr="0001496F" w:rsidRDefault="000C63D9" w:rsidP="0001496F">
      <w:pPr>
        <w:jc w:val="both"/>
        <w:rPr>
          <w:rFonts w:ascii="Times New Roman" w:hAnsi="Times New Roman" w:cs="Times New Roman"/>
        </w:rPr>
      </w:pPr>
    </w:p>
    <w:p w14:paraId="01519EA0"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Le collaborateur ne peut être condamné à une peine d’emprisonnement d’au moins six mois pour des infractions commises après la conclusion du mémorandum (C. i. cr., art. 216/3, 2°). </w:t>
      </w:r>
    </w:p>
    <w:p w14:paraId="333F0990" w14:textId="77777777" w:rsidR="000C63D9" w:rsidRPr="0001496F" w:rsidRDefault="000C63D9" w:rsidP="0001496F">
      <w:pPr>
        <w:jc w:val="both"/>
        <w:rPr>
          <w:rFonts w:ascii="Times New Roman" w:hAnsi="Times New Roman" w:cs="Times New Roman"/>
        </w:rPr>
      </w:pPr>
    </w:p>
    <w:p w14:paraId="145E9DF3"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 xml:space="preserve">2.3.4. Respecter les conditions prévues dans le mémorandum </w:t>
      </w:r>
    </w:p>
    <w:p w14:paraId="0CDE40F2" w14:textId="77777777" w:rsidR="000C63D9" w:rsidRPr="0001496F" w:rsidRDefault="000C63D9" w:rsidP="0001496F">
      <w:pPr>
        <w:jc w:val="both"/>
        <w:rPr>
          <w:rFonts w:ascii="Times New Roman" w:hAnsi="Times New Roman" w:cs="Times New Roman"/>
        </w:rPr>
      </w:pPr>
    </w:p>
    <w:p w14:paraId="456E2E96"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Pour bénéficier de la promesse, le collaborateur s’engage à respecter des conditions. Il y a des conditions générales, systématiquement présentes, et des conditions particulières, variables en fonction du cas d’espèce (C. i. cr., art. 216/2, §1</w:t>
      </w:r>
      <w:r w:rsidRPr="0001496F">
        <w:rPr>
          <w:rFonts w:ascii="Times New Roman" w:hAnsi="Times New Roman" w:cs="Times New Roman"/>
          <w:vertAlign w:val="superscript"/>
        </w:rPr>
        <w:t>er</w:t>
      </w:r>
      <w:r w:rsidRPr="0001496F">
        <w:rPr>
          <w:rFonts w:ascii="Times New Roman" w:hAnsi="Times New Roman" w:cs="Times New Roman"/>
        </w:rPr>
        <w:t xml:space="preserve"> et 216/3, §1</w:t>
      </w:r>
      <w:r w:rsidRPr="0001496F">
        <w:rPr>
          <w:rFonts w:ascii="Times New Roman" w:hAnsi="Times New Roman" w:cs="Times New Roman"/>
          <w:vertAlign w:val="superscript"/>
        </w:rPr>
        <w:t>er</w:t>
      </w:r>
      <w:r w:rsidRPr="0001496F">
        <w:rPr>
          <w:rFonts w:ascii="Times New Roman" w:hAnsi="Times New Roman" w:cs="Times New Roman"/>
        </w:rPr>
        <w:t xml:space="preserve">, 1° ; </w:t>
      </w:r>
      <w:r w:rsidRPr="0001496F">
        <w:rPr>
          <w:rFonts w:ascii="Times New Roman" w:hAnsi="Times New Roman" w:cs="Times New Roman"/>
          <w:i/>
        </w:rPr>
        <w:t>cf. infra</w:t>
      </w:r>
      <w:r w:rsidRPr="0001496F">
        <w:rPr>
          <w:rFonts w:ascii="Times New Roman" w:hAnsi="Times New Roman" w:cs="Times New Roman"/>
        </w:rPr>
        <w:t xml:space="preserve"> 2.4.2.1) </w:t>
      </w:r>
    </w:p>
    <w:p w14:paraId="2EFE0832" w14:textId="77777777" w:rsidR="000C63D9" w:rsidRPr="0001496F" w:rsidRDefault="000C63D9" w:rsidP="0001496F">
      <w:pPr>
        <w:jc w:val="both"/>
        <w:rPr>
          <w:rFonts w:ascii="Times New Roman" w:hAnsi="Times New Roman" w:cs="Times New Roman"/>
        </w:rPr>
      </w:pPr>
    </w:p>
    <w:p w14:paraId="628D4446"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2.3.5. Ne pas entraver la justice pénale</w:t>
      </w:r>
    </w:p>
    <w:p w14:paraId="608110A9" w14:textId="77777777" w:rsidR="000C63D9" w:rsidRPr="0001496F" w:rsidRDefault="000C63D9" w:rsidP="0001496F">
      <w:pPr>
        <w:jc w:val="both"/>
        <w:rPr>
          <w:rFonts w:ascii="Times New Roman" w:hAnsi="Times New Roman" w:cs="Times New Roman"/>
        </w:rPr>
      </w:pPr>
    </w:p>
    <w:p w14:paraId="52691E6D"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collaborateur ne peut pas tenter de faire disparaître des preuves ou s’entendre avec des tiers (C. i. cr., art. 216/3, §1</w:t>
      </w:r>
      <w:r w:rsidRPr="0001496F">
        <w:rPr>
          <w:rFonts w:ascii="Times New Roman" w:hAnsi="Times New Roman" w:cs="Times New Roman"/>
          <w:vertAlign w:val="superscript"/>
        </w:rPr>
        <w:t>er</w:t>
      </w:r>
      <w:r w:rsidRPr="0001496F">
        <w:rPr>
          <w:rFonts w:ascii="Times New Roman" w:hAnsi="Times New Roman" w:cs="Times New Roman"/>
        </w:rPr>
        <w:t xml:space="preserve">, 6°). </w:t>
      </w:r>
    </w:p>
    <w:p w14:paraId="25C11F2E" w14:textId="77777777" w:rsidR="000C63D9" w:rsidRPr="0001496F" w:rsidRDefault="000C63D9" w:rsidP="0001496F">
      <w:pPr>
        <w:jc w:val="both"/>
        <w:rPr>
          <w:rFonts w:ascii="Times New Roman" w:hAnsi="Times New Roman" w:cs="Times New Roman"/>
        </w:rPr>
      </w:pPr>
    </w:p>
    <w:p w14:paraId="7CD5EA8B"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2.4. Les conditions d’exercice de la collaboration procédurale et ses aspects procéduraux</w:t>
      </w:r>
    </w:p>
    <w:p w14:paraId="3593D799" w14:textId="77777777" w:rsidR="000C63D9" w:rsidRPr="0001496F" w:rsidRDefault="000C63D9" w:rsidP="0001496F">
      <w:pPr>
        <w:jc w:val="both"/>
        <w:rPr>
          <w:rFonts w:ascii="Times New Roman" w:hAnsi="Times New Roman" w:cs="Times New Roman"/>
        </w:rPr>
      </w:pPr>
    </w:p>
    <w:p w14:paraId="03C2E13A"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Le dispositif de la collaboration suppose un accord entre le ministère public et le candidat collaborateur (2.4.1), que cet accord soit formalisé dans un mémorandum (2.4.2) et que cet accord, lorsqu’il concerne une promesse relative à l’action publique, soit homologué par un juge (2.4.3).</w:t>
      </w:r>
    </w:p>
    <w:p w14:paraId="66471CF9" w14:textId="77777777" w:rsidR="000C63D9" w:rsidRPr="0001496F" w:rsidRDefault="000C63D9" w:rsidP="0001496F">
      <w:pPr>
        <w:jc w:val="both"/>
        <w:rPr>
          <w:rFonts w:ascii="Times New Roman" w:hAnsi="Times New Roman" w:cs="Times New Roman"/>
          <w:lang w:val="fr-BE"/>
        </w:rPr>
      </w:pPr>
    </w:p>
    <w:p w14:paraId="512F716B"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2.4.1. Un accord entre le ministère public et le candidat collaborateur</w:t>
      </w:r>
    </w:p>
    <w:p w14:paraId="241F0478" w14:textId="77777777" w:rsidR="000C63D9" w:rsidRPr="0001496F" w:rsidRDefault="000C63D9" w:rsidP="0001496F">
      <w:pPr>
        <w:jc w:val="both"/>
        <w:rPr>
          <w:rFonts w:ascii="Times New Roman" w:hAnsi="Times New Roman" w:cs="Times New Roman"/>
        </w:rPr>
      </w:pPr>
    </w:p>
    <w:p w14:paraId="54FB26F7"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candidat collaborateur n’a pas un droit subjectif à une récompense s’il souhaite faire des déclarations. Le ministère public décide en opportunité s’il souhaite s’engager dans une négociation avec le candidat collaborateur</w:t>
      </w:r>
      <w:r w:rsidRPr="0001496F">
        <w:rPr>
          <w:rStyle w:val="Appelnotedebasdep"/>
          <w:rFonts w:ascii="Times New Roman" w:hAnsi="Times New Roman" w:cs="Times New Roman"/>
        </w:rPr>
        <w:footnoteReference w:id="183"/>
      </w:r>
      <w:r w:rsidRPr="0001496F">
        <w:rPr>
          <w:rFonts w:ascii="Times New Roman" w:hAnsi="Times New Roman" w:cs="Times New Roman"/>
        </w:rPr>
        <w:t>.</w:t>
      </w:r>
    </w:p>
    <w:p w14:paraId="4212B47C" w14:textId="77777777" w:rsidR="000C63D9" w:rsidRPr="0001496F" w:rsidRDefault="000C63D9" w:rsidP="0001496F">
      <w:pPr>
        <w:jc w:val="both"/>
        <w:rPr>
          <w:rFonts w:ascii="Times New Roman" w:hAnsi="Times New Roman" w:cs="Times New Roman"/>
        </w:rPr>
      </w:pPr>
    </w:p>
    <w:p w14:paraId="62A2E252"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Il s’agit par ailleurs d’être attentif à ce que le collaborateur potentiel soit véritablement demandeur. Il faut éviter qu’il ne soit soumis à des pressions telles que l’on puisse douter du caractère libre de ses déclarations (</w:t>
      </w:r>
      <w:r w:rsidRPr="0001496F">
        <w:rPr>
          <w:rFonts w:ascii="Times New Roman" w:hAnsi="Times New Roman" w:cs="Times New Roman"/>
          <w:i/>
          <w:iCs/>
        </w:rPr>
        <w:t>cf. infra</w:t>
      </w:r>
      <w:r w:rsidRPr="0001496F">
        <w:rPr>
          <w:rFonts w:ascii="Times New Roman" w:hAnsi="Times New Roman" w:cs="Times New Roman"/>
        </w:rPr>
        <w:t xml:space="preserve"> conclusion). </w:t>
      </w:r>
    </w:p>
    <w:p w14:paraId="1DD1457F" w14:textId="77777777" w:rsidR="000C63D9" w:rsidRPr="0001496F" w:rsidRDefault="000C63D9" w:rsidP="0001496F">
      <w:pPr>
        <w:jc w:val="both"/>
        <w:rPr>
          <w:rFonts w:ascii="Times New Roman" w:hAnsi="Times New Roman" w:cs="Times New Roman"/>
        </w:rPr>
      </w:pPr>
    </w:p>
    <w:p w14:paraId="0063ED96"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2.4.2. La formalisation de l’accord : rédaction et validation du mémorandum</w:t>
      </w:r>
    </w:p>
    <w:p w14:paraId="149E3BCE" w14:textId="77777777" w:rsidR="000C63D9" w:rsidRPr="0001496F" w:rsidRDefault="000C63D9" w:rsidP="0001496F">
      <w:pPr>
        <w:jc w:val="both"/>
        <w:rPr>
          <w:rFonts w:ascii="Times New Roman" w:hAnsi="Times New Roman" w:cs="Times New Roman"/>
        </w:rPr>
      </w:pPr>
    </w:p>
    <w:p w14:paraId="15691D0A"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2.4.2.1. Le contenu et les exigences formelles du mémorandum</w:t>
      </w:r>
    </w:p>
    <w:p w14:paraId="7C8BCA3F" w14:textId="77777777" w:rsidR="000C63D9" w:rsidRPr="0001496F" w:rsidRDefault="000C63D9" w:rsidP="0001496F">
      <w:pPr>
        <w:jc w:val="both"/>
        <w:rPr>
          <w:rFonts w:ascii="Times New Roman" w:hAnsi="Times New Roman" w:cs="Times New Roman"/>
        </w:rPr>
      </w:pPr>
    </w:p>
    <w:p w14:paraId="19DADF70"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mémorandum est daté et doit contenir les mentions suivantes (C. i. cr., art. 216/2, § 1</w:t>
      </w:r>
      <w:r w:rsidRPr="0001496F">
        <w:rPr>
          <w:rFonts w:ascii="Times New Roman" w:hAnsi="Times New Roman" w:cs="Times New Roman"/>
          <w:vertAlign w:val="superscript"/>
        </w:rPr>
        <w:t>er</w:t>
      </w:r>
      <w:r w:rsidRPr="0001496F">
        <w:rPr>
          <w:rFonts w:ascii="Times New Roman" w:hAnsi="Times New Roman" w:cs="Times New Roman"/>
        </w:rPr>
        <w:t xml:space="preserve"> et § 5) : </w:t>
      </w:r>
    </w:p>
    <w:p w14:paraId="7CBA7DD0" w14:textId="77777777" w:rsidR="000C63D9" w:rsidRPr="0001496F" w:rsidRDefault="000C63D9" w:rsidP="0001496F">
      <w:pPr>
        <w:jc w:val="both"/>
        <w:rPr>
          <w:rFonts w:ascii="Times New Roman" w:hAnsi="Times New Roman" w:cs="Times New Roman"/>
        </w:rPr>
      </w:pPr>
    </w:p>
    <w:p w14:paraId="19798243"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l’identité du collaborateur (celui-ci ne peut bénéficier de l’anonymat ; </w:t>
      </w:r>
      <w:r w:rsidRPr="0001496F">
        <w:rPr>
          <w:rFonts w:ascii="Times New Roman" w:hAnsi="Times New Roman" w:cs="Times New Roman"/>
          <w:i/>
        </w:rPr>
        <w:t xml:space="preserve">cf. supra </w:t>
      </w:r>
      <w:r w:rsidRPr="0001496F">
        <w:rPr>
          <w:rFonts w:ascii="Times New Roman" w:hAnsi="Times New Roman" w:cs="Times New Roman"/>
        </w:rPr>
        <w:t xml:space="preserve">2.3.1) ; </w:t>
      </w:r>
    </w:p>
    <w:p w14:paraId="6586F4D1"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le nom de l’avocat du collaborateur ; </w:t>
      </w:r>
    </w:p>
    <w:p w14:paraId="056AE3C6"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le procureur du Roi</w:t>
      </w:r>
      <w:r w:rsidRPr="0001496F">
        <w:rPr>
          <w:rStyle w:val="Appelnotedebasdep"/>
          <w:rFonts w:ascii="Times New Roman" w:hAnsi="Times New Roman" w:cs="Times New Roman"/>
        </w:rPr>
        <w:footnoteReference w:id="184"/>
      </w:r>
      <w:r w:rsidRPr="0001496F">
        <w:rPr>
          <w:rFonts w:ascii="Times New Roman" w:hAnsi="Times New Roman" w:cs="Times New Roman"/>
        </w:rPr>
        <w:t xml:space="preserve"> de l’arrondissement judiciaire dans lequel ont été commises les infractions par le tiers dénoncé ; </w:t>
      </w:r>
    </w:p>
    <w:p w14:paraId="70B0E158"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le procureur du Roi</w:t>
      </w:r>
      <w:r w:rsidRPr="0001496F">
        <w:rPr>
          <w:rStyle w:val="Appelnotedebasdep"/>
          <w:rFonts w:ascii="Times New Roman" w:hAnsi="Times New Roman" w:cs="Times New Roman"/>
        </w:rPr>
        <w:footnoteReference w:id="185"/>
      </w:r>
      <w:r w:rsidRPr="0001496F">
        <w:rPr>
          <w:rFonts w:ascii="Times New Roman" w:hAnsi="Times New Roman" w:cs="Times New Roman"/>
        </w:rPr>
        <w:t xml:space="preserve"> de l’arrondissement judiciaire dans lequel le collaborateur est poursuivi ou condamné ;</w:t>
      </w:r>
    </w:p>
    <w:p w14:paraId="4CC1D292"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lastRenderedPageBreak/>
        <w:t>- les faits pour lesquels le collaborateur est poursuivi ou condamné (dans ce dernier cas, il faut également mentionner les peines infligées) ;</w:t>
      </w:r>
    </w:p>
    <w:p w14:paraId="42B81091"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les faits au sujet desquels le collaborateur va faire une déclaration ;</w:t>
      </w:r>
    </w:p>
    <w:p w14:paraId="2A60693D"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la teneur de la promesse du procureur du Roi ;</w:t>
      </w:r>
    </w:p>
    <w:p w14:paraId="4FB2057A"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les conditions (générales et particulières) liées à la promesse ; </w:t>
      </w:r>
    </w:p>
    <w:p w14:paraId="7B88FB9F"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les conditions et les modalités relatives à la déclaration ; </w:t>
      </w:r>
    </w:p>
    <w:p w14:paraId="512A0EF4"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la volonté d’indemniser le dommage</w:t>
      </w:r>
      <w:r w:rsidRPr="0001496F">
        <w:rPr>
          <w:rStyle w:val="Appelnotedebasdep"/>
          <w:rFonts w:ascii="Times New Roman" w:hAnsi="Times New Roman" w:cs="Times New Roman"/>
        </w:rPr>
        <w:footnoteReference w:id="186"/>
      </w:r>
      <w:r w:rsidRPr="0001496F">
        <w:rPr>
          <w:rFonts w:ascii="Times New Roman" w:hAnsi="Times New Roman" w:cs="Times New Roman"/>
        </w:rPr>
        <w:t>.</w:t>
      </w:r>
    </w:p>
    <w:p w14:paraId="558C7AC9" w14:textId="77777777" w:rsidR="000C63D9" w:rsidRPr="0001496F" w:rsidRDefault="000C63D9" w:rsidP="0001496F">
      <w:pPr>
        <w:jc w:val="both"/>
        <w:rPr>
          <w:rFonts w:ascii="Times New Roman" w:hAnsi="Times New Roman" w:cs="Times New Roman"/>
        </w:rPr>
      </w:pPr>
    </w:p>
    <w:p w14:paraId="094F4A30"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loi ne précise pas ce qu’il faut entendre par la « teneur » de la promesse, même si elle exige que celle-ci soit « précise et détaillée ». On peut se demander à cet égard si une promesse relative à l’action publique ne devrait pas préciser le taux de peine et non se limiter à prévoir une fourchette de peines</w:t>
      </w:r>
      <w:r w:rsidRPr="0001496F">
        <w:rPr>
          <w:rStyle w:val="Appelnotedebasdep"/>
          <w:rFonts w:ascii="Times New Roman" w:hAnsi="Times New Roman" w:cs="Times New Roman"/>
        </w:rPr>
        <w:footnoteReference w:id="187"/>
      </w:r>
      <w:r w:rsidRPr="0001496F">
        <w:rPr>
          <w:rFonts w:ascii="Times New Roman" w:hAnsi="Times New Roman" w:cs="Times New Roman"/>
        </w:rPr>
        <w:t>. De même, la promesse relative à l’exécution de la peine devrait préciser quelle(s) modalité(s) est (sont) concernée(s) par l’avis favorable, le nombre d’avis favorables qui seront octroyés, ou quelle(s) décision(s) favorable(s) est (sont) octroyée(s) (</w:t>
      </w:r>
      <w:r w:rsidRPr="0001496F">
        <w:rPr>
          <w:rFonts w:ascii="Times New Roman" w:hAnsi="Times New Roman" w:cs="Times New Roman"/>
          <w:i/>
        </w:rPr>
        <w:t>cf. supra</w:t>
      </w:r>
      <w:r w:rsidRPr="0001496F">
        <w:rPr>
          <w:rFonts w:ascii="Times New Roman" w:hAnsi="Times New Roman" w:cs="Times New Roman"/>
        </w:rPr>
        <w:t xml:space="preserve"> 2.2.2). Enfin, la promesse relative au lieu de détention devrait nommer le nombre de transfèrements promis (</w:t>
      </w:r>
      <w:r w:rsidRPr="0001496F">
        <w:rPr>
          <w:rFonts w:ascii="Times New Roman" w:hAnsi="Times New Roman" w:cs="Times New Roman"/>
          <w:i/>
          <w:iCs/>
        </w:rPr>
        <w:t>cf. supra</w:t>
      </w:r>
      <w:r w:rsidRPr="0001496F">
        <w:rPr>
          <w:rFonts w:ascii="Times New Roman" w:hAnsi="Times New Roman" w:cs="Times New Roman"/>
        </w:rPr>
        <w:t xml:space="preserve"> 2.2.3)</w:t>
      </w:r>
      <w:r w:rsidRPr="0001496F">
        <w:rPr>
          <w:rStyle w:val="Appelnotedebasdep"/>
          <w:rFonts w:ascii="Times New Roman" w:hAnsi="Times New Roman" w:cs="Times New Roman"/>
        </w:rPr>
        <w:footnoteReference w:id="188"/>
      </w:r>
      <w:r w:rsidRPr="0001496F">
        <w:rPr>
          <w:rFonts w:ascii="Times New Roman" w:hAnsi="Times New Roman" w:cs="Times New Roman"/>
        </w:rPr>
        <w:t>.</w:t>
      </w:r>
    </w:p>
    <w:p w14:paraId="41DDCCC2" w14:textId="77777777" w:rsidR="000C63D9" w:rsidRPr="0001496F" w:rsidRDefault="000C63D9" w:rsidP="0001496F">
      <w:pPr>
        <w:jc w:val="both"/>
        <w:rPr>
          <w:rFonts w:ascii="Times New Roman" w:hAnsi="Times New Roman" w:cs="Times New Roman"/>
        </w:rPr>
      </w:pPr>
    </w:p>
    <w:p w14:paraId="75050697"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concept de « conditions liées à la promesse » nous paraît peu clair. Il y aurait deux types de conditions : des conditions générales, toujours présentes et des conditions particulières, propres au cas d’espèce. Il y a quatre conditions générales</w:t>
      </w:r>
      <w:r w:rsidRPr="0001496F">
        <w:rPr>
          <w:rStyle w:val="Appelnotedebasdep"/>
          <w:rFonts w:ascii="Times New Roman" w:hAnsi="Times New Roman" w:cs="Times New Roman"/>
        </w:rPr>
        <w:footnoteReference w:id="189"/>
      </w:r>
      <w:r w:rsidRPr="0001496F">
        <w:rPr>
          <w:rFonts w:ascii="Times New Roman" w:hAnsi="Times New Roman" w:cs="Times New Roman"/>
        </w:rPr>
        <w:t xml:space="preserve"> :</w:t>
      </w:r>
    </w:p>
    <w:p w14:paraId="5CDAC012"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l’interdiction d’une condamnation à une peine principale d’emprisonnement d’au moins six mois pour des infractions commises après la conclusion du mémorandum ; </w:t>
      </w:r>
    </w:p>
    <w:p w14:paraId="4F075E10"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l’obligation d’effectuer les déclarations ; </w:t>
      </w:r>
    </w:p>
    <w:p w14:paraId="68B05863" w14:textId="75257FE0" w:rsidR="000C63D9" w:rsidRPr="0001496F" w:rsidRDefault="000C63D9" w:rsidP="0001496F">
      <w:pPr>
        <w:jc w:val="both"/>
        <w:rPr>
          <w:rFonts w:ascii="Times New Roman" w:hAnsi="Times New Roman" w:cs="Times New Roman"/>
        </w:rPr>
      </w:pPr>
      <w:r w:rsidRPr="0001496F">
        <w:rPr>
          <w:rFonts w:ascii="Times New Roman" w:hAnsi="Times New Roman" w:cs="Times New Roman"/>
        </w:rPr>
        <w:t>- l’obli</w:t>
      </w:r>
      <w:r w:rsidR="007B7F0A" w:rsidRPr="0001496F">
        <w:rPr>
          <w:rFonts w:ascii="Times New Roman" w:hAnsi="Times New Roman" w:cs="Times New Roman"/>
        </w:rPr>
        <w:t>gation d’indemniser le dommage</w:t>
      </w:r>
      <w:r w:rsidRPr="0001496F">
        <w:rPr>
          <w:rFonts w:ascii="Times New Roman" w:hAnsi="Times New Roman" w:cs="Times New Roman"/>
        </w:rPr>
        <w:t xml:space="preserve"> ; </w:t>
      </w:r>
    </w:p>
    <w:p w14:paraId="503BC03B"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l’interdiction de faire sciemment des déclarations incomplètes, non sincères ou non révélatrices.</w:t>
      </w:r>
    </w:p>
    <w:p w14:paraId="1DC71E72" w14:textId="77777777" w:rsidR="00103331" w:rsidRPr="0001496F" w:rsidRDefault="00103331" w:rsidP="0001496F">
      <w:pPr>
        <w:jc w:val="both"/>
        <w:rPr>
          <w:rFonts w:ascii="Times New Roman" w:hAnsi="Times New Roman" w:cs="Times New Roman"/>
        </w:rPr>
      </w:pPr>
    </w:p>
    <w:p w14:paraId="1F4A715A" w14:textId="29CD7D38" w:rsidR="000C63D9" w:rsidRPr="0001496F" w:rsidRDefault="000C63D9" w:rsidP="0001496F">
      <w:pPr>
        <w:jc w:val="both"/>
        <w:rPr>
          <w:rFonts w:ascii="Times New Roman" w:hAnsi="Times New Roman" w:cs="Times New Roman"/>
        </w:rPr>
      </w:pPr>
      <w:r w:rsidRPr="0001496F">
        <w:rPr>
          <w:rFonts w:ascii="Times New Roman" w:hAnsi="Times New Roman" w:cs="Times New Roman"/>
        </w:rPr>
        <w:t>Quant aux conditions particulières, le législateur n’a pas tenu compte de la critique du Conseil d’État qui estimait que la notion devait davantage être précisée</w:t>
      </w:r>
      <w:r w:rsidRPr="0001496F">
        <w:rPr>
          <w:rStyle w:val="Appelnotedebasdep"/>
          <w:rFonts w:ascii="Times New Roman" w:hAnsi="Times New Roman" w:cs="Times New Roman"/>
        </w:rPr>
        <w:footnoteReference w:id="190"/>
      </w:r>
      <w:r w:rsidRPr="0001496F">
        <w:rPr>
          <w:rFonts w:ascii="Times New Roman" w:hAnsi="Times New Roman" w:cs="Times New Roman"/>
        </w:rPr>
        <w:t>. Il n’est donc pas clair de savoir ce qui est visé ici. Vise-t-on, par exemple, des conditions comme l’interdiction de porter une arme, l’interdiction de résider dans telle zone…</w:t>
      </w:r>
      <w:r w:rsidR="00103331" w:rsidRPr="0001496F">
        <w:rPr>
          <w:rFonts w:ascii="Times New Roman" w:hAnsi="Times New Roman" w:cs="Times New Roman"/>
        </w:rPr>
        <w:t> ?</w:t>
      </w:r>
    </w:p>
    <w:p w14:paraId="05EB3BFA" w14:textId="77777777" w:rsidR="000C63D9" w:rsidRPr="0001496F" w:rsidRDefault="000C63D9" w:rsidP="0001496F">
      <w:pPr>
        <w:jc w:val="both"/>
        <w:rPr>
          <w:rFonts w:ascii="Times New Roman" w:hAnsi="Times New Roman" w:cs="Times New Roman"/>
        </w:rPr>
      </w:pPr>
    </w:p>
    <w:p w14:paraId="2C6894BA" w14:textId="4A3F76D4"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La demande du Conseil d’État de préciser les « conditions et modalités relatives à la déclaration » n’a pas non plus été entendue par le législateur</w:t>
      </w:r>
      <w:r w:rsidRPr="0001496F">
        <w:rPr>
          <w:rStyle w:val="Appelnotedebasdep"/>
          <w:rFonts w:ascii="Times New Roman" w:hAnsi="Times New Roman" w:cs="Times New Roman"/>
          <w:lang w:val="fr-BE"/>
        </w:rPr>
        <w:footnoteReference w:id="191"/>
      </w:r>
      <w:r w:rsidRPr="0001496F">
        <w:rPr>
          <w:rFonts w:ascii="Times New Roman" w:hAnsi="Times New Roman" w:cs="Times New Roman"/>
          <w:lang w:val="fr-BE"/>
        </w:rPr>
        <w:t>. Cependant, les travaux préparatoires donnent ici des informations utiles : le mémorandum devrait préciser la « date », le « moment », le « lieu » de la déclaration, « la manière » dont elle sera réalisée ainsi que les « personnes sur lesquelles [elle] porte »</w:t>
      </w:r>
      <w:r w:rsidRPr="0001496F">
        <w:rPr>
          <w:rStyle w:val="Appelnotedebasdep"/>
          <w:rFonts w:ascii="Times New Roman" w:hAnsi="Times New Roman" w:cs="Times New Roman"/>
          <w:lang w:val="fr-BE"/>
        </w:rPr>
        <w:footnoteReference w:id="192"/>
      </w:r>
      <w:r w:rsidRPr="0001496F">
        <w:rPr>
          <w:rFonts w:ascii="Times New Roman" w:hAnsi="Times New Roman" w:cs="Times New Roman"/>
          <w:lang w:val="fr-BE"/>
        </w:rPr>
        <w:t>. Le mémorandum devra sans doute préciser si</w:t>
      </w:r>
      <w:r w:rsidR="00BE186C" w:rsidRPr="0001496F">
        <w:rPr>
          <w:rFonts w:ascii="Times New Roman" w:hAnsi="Times New Roman" w:cs="Times New Roman"/>
          <w:lang w:val="fr-BE"/>
        </w:rPr>
        <w:t xml:space="preserve"> la déclaration se fera lors d’</w:t>
      </w:r>
      <w:r w:rsidRPr="0001496F">
        <w:rPr>
          <w:rFonts w:ascii="Times New Roman" w:hAnsi="Times New Roman" w:cs="Times New Roman"/>
          <w:lang w:val="fr-BE"/>
        </w:rPr>
        <w:t>« une audition par la police ou un témoignage devant un juge d’instruction ou le juge du fond</w:t>
      </w:r>
      <w:r w:rsidR="00BE186C" w:rsidRPr="0001496F">
        <w:rPr>
          <w:rFonts w:ascii="Times New Roman" w:hAnsi="Times New Roman" w:cs="Times New Roman"/>
          <w:lang w:val="fr-BE"/>
        </w:rPr>
        <w:t>,</w:t>
      </w:r>
      <w:r w:rsidRPr="0001496F">
        <w:rPr>
          <w:rFonts w:ascii="Times New Roman" w:hAnsi="Times New Roman" w:cs="Times New Roman"/>
          <w:lang w:val="fr-BE"/>
        </w:rPr>
        <w:t xml:space="preserve"> le cas échéant par le biais de moyens audiovisuels si le repenti </w:t>
      </w:r>
      <w:r w:rsidRPr="0001496F">
        <w:rPr>
          <w:rFonts w:ascii="Times New Roman" w:hAnsi="Times New Roman" w:cs="Times New Roman"/>
          <w:lang w:val="fr-BE"/>
        </w:rPr>
        <w:lastRenderedPageBreak/>
        <w:t>acquiert le statut de témoin protégé »</w:t>
      </w:r>
      <w:r w:rsidRPr="0001496F">
        <w:rPr>
          <w:rStyle w:val="Appelnotedebasdep"/>
          <w:rFonts w:ascii="Times New Roman" w:hAnsi="Times New Roman" w:cs="Times New Roman"/>
          <w:lang w:val="fr-BE"/>
        </w:rPr>
        <w:footnoteReference w:id="193"/>
      </w:r>
      <w:r w:rsidRPr="0001496F">
        <w:rPr>
          <w:rFonts w:ascii="Times New Roman" w:hAnsi="Times New Roman" w:cs="Times New Roman"/>
          <w:lang w:val="fr-BE"/>
        </w:rPr>
        <w:t xml:space="preserve">. Il nous semble que l’indication des « personnes » sur lesquelles porte la déclaration va au-delà du prescrit légal. Par ailleurs, ne peut-on pas imaginer des situations (certes peu fréquentes) dans lesquels le collaborateur peut faire des déclarations utiles à la justice pénale même s’il n’est pas capable lui-même de fournir le nom des personnes impliquées (par exemple, une déclaration sur le lieu où un corps a été enterré) ? </w:t>
      </w:r>
    </w:p>
    <w:p w14:paraId="431E722C" w14:textId="77777777" w:rsidR="000C63D9" w:rsidRPr="0001496F" w:rsidRDefault="000C63D9" w:rsidP="0001496F">
      <w:pPr>
        <w:jc w:val="both"/>
        <w:rPr>
          <w:rFonts w:ascii="Times New Roman" w:hAnsi="Times New Roman" w:cs="Times New Roman"/>
        </w:rPr>
      </w:pPr>
    </w:p>
    <w:p w14:paraId="020ECA38" w14:textId="70105F08"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mémorandum est signé par le procureur du Roi et le collaborateur (C. i. cr., art. 216/2, §1</w:t>
      </w:r>
      <w:r w:rsidRPr="0001496F">
        <w:rPr>
          <w:rFonts w:ascii="Times New Roman" w:hAnsi="Times New Roman" w:cs="Times New Roman"/>
          <w:vertAlign w:val="superscript"/>
        </w:rPr>
        <w:t>er</w:t>
      </w:r>
      <w:r w:rsidRPr="0001496F">
        <w:rPr>
          <w:rFonts w:ascii="Times New Roman" w:hAnsi="Times New Roman" w:cs="Times New Roman"/>
        </w:rPr>
        <w:t>). Si plusieurs magistrats sont concernés, le Collège des procureurs généraux est d’avis que le mémorandum « soit sign[é</w:t>
      </w:r>
      <w:r w:rsidRPr="0001496F">
        <w:rPr>
          <w:rFonts w:ascii="Times New Roman" w:hAnsi="Times New Roman" w:cs="Times New Roman"/>
          <w:lang w:val="fr-BE"/>
        </w:rPr>
        <w:t>] par les magistrats des deux entités concernées et pas par un seul »</w:t>
      </w:r>
      <w:r w:rsidRPr="0001496F">
        <w:rPr>
          <w:rStyle w:val="Appelnotedebasdep"/>
          <w:rFonts w:ascii="Times New Roman" w:hAnsi="Times New Roman" w:cs="Times New Roman"/>
          <w:lang w:val="fr-BE"/>
        </w:rPr>
        <w:footnoteReference w:id="194"/>
      </w:r>
      <w:r w:rsidRPr="0001496F">
        <w:rPr>
          <w:rFonts w:ascii="Times New Roman" w:hAnsi="Times New Roman" w:cs="Times New Roman"/>
          <w:lang w:val="fr-BE"/>
        </w:rPr>
        <w:t>.</w:t>
      </w:r>
      <w:r w:rsidRPr="0001496F">
        <w:rPr>
          <w:rFonts w:ascii="Times New Roman" w:hAnsi="Times New Roman" w:cs="Times New Roman"/>
        </w:rPr>
        <w:t xml:space="preserve"> Ne faudrait-il pas ici qu’une </w:t>
      </w:r>
      <w:r w:rsidR="002E3A03" w:rsidRPr="0001496F">
        <w:rPr>
          <w:rFonts w:ascii="Times New Roman" w:hAnsi="Times New Roman" w:cs="Times New Roman"/>
        </w:rPr>
        <w:t>circulaire</w:t>
      </w:r>
      <w:r w:rsidRPr="0001496F">
        <w:rPr>
          <w:rFonts w:ascii="Times New Roman" w:hAnsi="Times New Roman" w:cs="Times New Roman"/>
        </w:rPr>
        <w:t xml:space="preserve"> détermine (pour chacun des trois types de promesses) quel magistrat du ministère public serait amené concrètement à négocier le contenu de la promesse avec le candidat collaborateur et son avocat, ainsi que les rôles des autres magistrats concernés par le dispositif ?</w:t>
      </w:r>
    </w:p>
    <w:p w14:paraId="0C707DB8" w14:textId="77777777" w:rsidR="000C63D9" w:rsidRPr="0001496F" w:rsidRDefault="000C63D9" w:rsidP="0001496F">
      <w:pPr>
        <w:jc w:val="both"/>
        <w:rPr>
          <w:rFonts w:ascii="Times New Roman" w:hAnsi="Times New Roman" w:cs="Times New Roman"/>
        </w:rPr>
      </w:pPr>
    </w:p>
    <w:p w14:paraId="5293B83D"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rPr>
        <w:t>La promesse du ministère public relative à l’action publique doit être motivée (C. i. cr., art. 216/5, §3). Assez curieusement, la loi ne prévoit pas que les promesses relatives à l’exécution de la peine et celles relatives au lieu de détention le soient également.</w:t>
      </w:r>
    </w:p>
    <w:p w14:paraId="080FD612" w14:textId="77777777" w:rsidR="000C63D9" w:rsidRPr="0001496F" w:rsidRDefault="000C63D9" w:rsidP="0001496F">
      <w:pPr>
        <w:jc w:val="both"/>
        <w:rPr>
          <w:rFonts w:ascii="Times New Roman" w:hAnsi="Times New Roman" w:cs="Times New Roman"/>
        </w:rPr>
      </w:pPr>
    </w:p>
    <w:p w14:paraId="62941387" w14:textId="2D7D2533" w:rsidR="000C63D9" w:rsidRPr="0001496F" w:rsidRDefault="000C63D9" w:rsidP="0001496F">
      <w:pPr>
        <w:jc w:val="both"/>
        <w:rPr>
          <w:rFonts w:ascii="Times New Roman" w:hAnsi="Times New Roman" w:cs="Times New Roman"/>
        </w:rPr>
      </w:pPr>
      <w:r w:rsidRPr="0001496F">
        <w:rPr>
          <w:rFonts w:ascii="Times New Roman" w:hAnsi="Times New Roman" w:cs="Times New Roman"/>
        </w:rPr>
        <w:t>En pratique, la rédaction du mémorandum risque d’être compliquée vu les intérêts contraires des acteurs concernés : l’avocat du candidat collaborateur v</w:t>
      </w:r>
      <w:r w:rsidR="00D8312D" w:rsidRPr="0001496F">
        <w:rPr>
          <w:rFonts w:ascii="Times New Roman" w:hAnsi="Times New Roman" w:cs="Times New Roman"/>
        </w:rPr>
        <w:t>oudra</w:t>
      </w:r>
      <w:r w:rsidRPr="0001496F">
        <w:rPr>
          <w:rFonts w:ascii="Times New Roman" w:hAnsi="Times New Roman" w:cs="Times New Roman"/>
        </w:rPr>
        <w:t xml:space="preserve"> en dire le moins possible tant que le mémorandum n’est pas signé</w:t>
      </w:r>
      <w:r w:rsidR="00D8312D" w:rsidRPr="0001496F">
        <w:rPr>
          <w:rFonts w:ascii="Times New Roman" w:hAnsi="Times New Roman" w:cs="Times New Roman"/>
        </w:rPr>
        <w:t>,</w:t>
      </w:r>
      <w:r w:rsidRPr="0001496F">
        <w:rPr>
          <w:rFonts w:ascii="Times New Roman" w:hAnsi="Times New Roman" w:cs="Times New Roman"/>
        </w:rPr>
        <w:t xml:space="preserve"> tandis que le magistrat </w:t>
      </w:r>
      <w:r w:rsidR="00D8312D" w:rsidRPr="0001496F">
        <w:rPr>
          <w:rFonts w:ascii="Times New Roman" w:hAnsi="Times New Roman" w:cs="Times New Roman"/>
        </w:rPr>
        <w:t>cherchera au contraire à</w:t>
      </w:r>
      <w:r w:rsidRPr="0001496F">
        <w:rPr>
          <w:rFonts w:ascii="Times New Roman" w:hAnsi="Times New Roman" w:cs="Times New Roman"/>
        </w:rPr>
        <w:t xml:space="preserve"> </w:t>
      </w:r>
      <w:r w:rsidR="00D8312D" w:rsidRPr="0001496F">
        <w:rPr>
          <w:rFonts w:ascii="Times New Roman" w:hAnsi="Times New Roman" w:cs="Times New Roman"/>
        </w:rPr>
        <w:t>obtenir</w:t>
      </w:r>
      <w:r w:rsidRPr="0001496F">
        <w:rPr>
          <w:rFonts w:ascii="Times New Roman" w:hAnsi="Times New Roman" w:cs="Times New Roman"/>
        </w:rPr>
        <w:t xml:space="preserve"> le maximum d’informations rapidement</w:t>
      </w:r>
      <w:r w:rsidR="00D8312D" w:rsidRPr="0001496F">
        <w:rPr>
          <w:rFonts w:ascii="Times New Roman" w:hAnsi="Times New Roman" w:cs="Times New Roman"/>
        </w:rPr>
        <w:t>,</w:t>
      </w:r>
      <w:r w:rsidRPr="0001496F">
        <w:rPr>
          <w:rFonts w:ascii="Times New Roman" w:hAnsi="Times New Roman" w:cs="Times New Roman"/>
        </w:rPr>
        <w:t xml:space="preserve"> pour ne pas faire des promesses « dans le vide »</w:t>
      </w:r>
      <w:r w:rsidRPr="0001496F">
        <w:rPr>
          <w:rStyle w:val="Appelnotedebasdep"/>
          <w:rFonts w:ascii="Times New Roman" w:hAnsi="Times New Roman" w:cs="Times New Roman"/>
        </w:rPr>
        <w:footnoteReference w:id="195"/>
      </w:r>
      <w:r w:rsidRPr="0001496F">
        <w:rPr>
          <w:rFonts w:ascii="Times New Roman" w:hAnsi="Times New Roman" w:cs="Times New Roman"/>
        </w:rPr>
        <w:t>. Une solution envisagée serait de prévoir que les déclarations faites avant la signature du mémorandum soient protégées par des principes de loyauté et de confidentialité entre l’avocat et le magistrat. Ce qui signifierait que ces déclarations ne seraient pas utilisées par le magistrat si on n’aboutit pas à la rédaction du mémorandum (clause de confidentialité)</w:t>
      </w:r>
      <w:r w:rsidRPr="0001496F">
        <w:rPr>
          <w:rStyle w:val="Appelnotedebasdep"/>
          <w:rFonts w:ascii="Times New Roman" w:hAnsi="Times New Roman" w:cs="Times New Roman"/>
        </w:rPr>
        <w:footnoteReference w:id="196"/>
      </w:r>
      <w:r w:rsidRPr="0001496F">
        <w:rPr>
          <w:rFonts w:ascii="Times New Roman" w:hAnsi="Times New Roman" w:cs="Times New Roman"/>
        </w:rPr>
        <w:t xml:space="preserve">. </w:t>
      </w:r>
    </w:p>
    <w:p w14:paraId="65BE1B93" w14:textId="77777777" w:rsidR="000C63D9" w:rsidRPr="0001496F" w:rsidRDefault="000C63D9" w:rsidP="0001496F">
      <w:pPr>
        <w:jc w:val="both"/>
        <w:rPr>
          <w:rFonts w:ascii="Times New Roman" w:hAnsi="Times New Roman" w:cs="Times New Roman"/>
        </w:rPr>
      </w:pPr>
    </w:p>
    <w:p w14:paraId="4934C811"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2.4.2.2. La validation du mémorandum</w:t>
      </w:r>
    </w:p>
    <w:p w14:paraId="08EC2313" w14:textId="77777777" w:rsidR="000C63D9" w:rsidRPr="0001496F" w:rsidRDefault="000C63D9" w:rsidP="0001496F">
      <w:pPr>
        <w:jc w:val="both"/>
        <w:rPr>
          <w:rFonts w:ascii="Times New Roman" w:hAnsi="Times New Roman" w:cs="Times New Roman"/>
        </w:rPr>
      </w:pPr>
    </w:p>
    <w:p w14:paraId="660A3CC8" w14:textId="3F4945ED"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mémorandum doit faire l’objet d’un accord préalable du procureur général (C. i. cr. art. 216/2, § 2, 1°). Si plusieurs procureurs généraux sont compétents, ceux-ci prennent une décision « par consensus » (C. i. cr. art. 216/2, § 3), ce qui signifie qu’ils doivent tous valider le mémorandum pour que la promesse soit valable</w:t>
      </w:r>
      <w:r w:rsidRPr="0001496F">
        <w:rPr>
          <w:rStyle w:val="Appelnotedebasdep"/>
          <w:rFonts w:ascii="Times New Roman" w:hAnsi="Times New Roman" w:cs="Times New Roman"/>
        </w:rPr>
        <w:footnoteReference w:id="197"/>
      </w:r>
      <w:r w:rsidRPr="0001496F">
        <w:rPr>
          <w:rFonts w:ascii="Times New Roman" w:hAnsi="Times New Roman" w:cs="Times New Roman"/>
        </w:rPr>
        <w:t>. Si la promesse émane</w:t>
      </w:r>
      <w:r w:rsidR="00832EE4" w:rsidRPr="0001496F">
        <w:rPr>
          <w:rFonts w:ascii="Times New Roman" w:hAnsi="Times New Roman" w:cs="Times New Roman"/>
        </w:rPr>
        <w:t xml:space="preserve"> du procureur fédéral, </w:t>
      </w:r>
      <w:r w:rsidRPr="0001496F">
        <w:rPr>
          <w:rFonts w:ascii="Times New Roman" w:hAnsi="Times New Roman" w:cs="Times New Roman"/>
        </w:rPr>
        <w:t xml:space="preserve">aucun procureur général </w:t>
      </w:r>
      <w:r w:rsidR="00832EE4" w:rsidRPr="0001496F">
        <w:rPr>
          <w:rFonts w:ascii="Times New Roman" w:hAnsi="Times New Roman" w:cs="Times New Roman"/>
        </w:rPr>
        <w:t xml:space="preserve">n’est </w:t>
      </w:r>
      <w:r w:rsidRPr="0001496F">
        <w:rPr>
          <w:rFonts w:ascii="Times New Roman" w:hAnsi="Times New Roman" w:cs="Times New Roman"/>
        </w:rPr>
        <w:t xml:space="preserve">compétent et il n’y a </w:t>
      </w:r>
      <w:r w:rsidR="00832EE4" w:rsidRPr="0001496F">
        <w:rPr>
          <w:rFonts w:ascii="Times New Roman" w:hAnsi="Times New Roman" w:cs="Times New Roman"/>
        </w:rPr>
        <w:t xml:space="preserve">donc </w:t>
      </w:r>
      <w:r w:rsidRPr="0001496F">
        <w:rPr>
          <w:rFonts w:ascii="Times New Roman" w:hAnsi="Times New Roman" w:cs="Times New Roman"/>
        </w:rPr>
        <w:t>pas d’accord à obtenir</w:t>
      </w:r>
      <w:r w:rsidRPr="0001496F">
        <w:rPr>
          <w:rStyle w:val="Appelnotedebasdep"/>
          <w:rFonts w:ascii="Times New Roman" w:hAnsi="Times New Roman" w:cs="Times New Roman"/>
        </w:rPr>
        <w:footnoteReference w:id="198"/>
      </w:r>
      <w:r w:rsidRPr="0001496F">
        <w:rPr>
          <w:rFonts w:ascii="Times New Roman" w:hAnsi="Times New Roman" w:cs="Times New Roman"/>
        </w:rPr>
        <w:t>.</w:t>
      </w:r>
    </w:p>
    <w:p w14:paraId="31CABD4B" w14:textId="77777777" w:rsidR="000C63D9" w:rsidRPr="0001496F" w:rsidRDefault="000C63D9" w:rsidP="0001496F">
      <w:pPr>
        <w:jc w:val="both"/>
        <w:rPr>
          <w:rFonts w:ascii="Times New Roman" w:hAnsi="Times New Roman" w:cs="Times New Roman"/>
        </w:rPr>
      </w:pPr>
    </w:p>
    <w:p w14:paraId="49CCAAA8" w14:textId="1F8A0281"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Le mémorandum doit faire l’objet d’un avis préalable du procureur fédéral (C. i. cr. art. 216/2, § 2, 3°). Celui-ci, tenant un registre de tous les mémorandums signés dans le pays (C. i. cr. art. 216/2, § 6), est certainement l’acteur capable de « promouvoir une uniformité dans l’application </w:t>
      </w:r>
      <w:r w:rsidRPr="0001496F">
        <w:rPr>
          <w:rFonts w:ascii="Times New Roman" w:hAnsi="Times New Roman" w:cs="Times New Roman"/>
        </w:rPr>
        <w:lastRenderedPageBreak/>
        <w:t>de la législation »</w:t>
      </w:r>
      <w:r w:rsidRPr="0001496F">
        <w:rPr>
          <w:rStyle w:val="Appelnotedebasdep"/>
          <w:rFonts w:ascii="Times New Roman" w:hAnsi="Times New Roman" w:cs="Times New Roman"/>
        </w:rPr>
        <w:footnoteReference w:id="199"/>
      </w:r>
      <w:r w:rsidRPr="0001496F">
        <w:rPr>
          <w:rFonts w:ascii="Times New Roman" w:hAnsi="Times New Roman" w:cs="Times New Roman"/>
        </w:rPr>
        <w:t xml:space="preserve">. Il est aussi </w:t>
      </w:r>
      <w:r w:rsidR="00082FD6" w:rsidRPr="0001496F">
        <w:rPr>
          <w:rFonts w:ascii="Times New Roman" w:hAnsi="Times New Roman" w:cs="Times New Roman"/>
        </w:rPr>
        <w:t>en mesure</w:t>
      </w:r>
      <w:r w:rsidRPr="0001496F">
        <w:rPr>
          <w:rFonts w:ascii="Times New Roman" w:hAnsi="Times New Roman" w:cs="Times New Roman"/>
        </w:rPr>
        <w:t xml:space="preserve"> « d’éviter que des repentis obtiennent plusieurs promesses dans différents arrondissements en échange de leur témoignage sur certains faits »</w:t>
      </w:r>
      <w:r w:rsidRPr="0001496F">
        <w:rPr>
          <w:rStyle w:val="Appelnotedebasdep"/>
          <w:rFonts w:ascii="Times New Roman" w:hAnsi="Times New Roman" w:cs="Times New Roman"/>
        </w:rPr>
        <w:footnoteReference w:id="200"/>
      </w:r>
      <w:r w:rsidRPr="0001496F">
        <w:rPr>
          <w:rFonts w:ascii="Times New Roman" w:hAnsi="Times New Roman" w:cs="Times New Roman"/>
        </w:rPr>
        <w:t>. Notons que dans cette hypothèse, les déclarations ne sont pas révélatrices (</w:t>
      </w:r>
      <w:r w:rsidRPr="0001496F">
        <w:rPr>
          <w:rFonts w:ascii="Times New Roman" w:hAnsi="Times New Roman" w:cs="Times New Roman"/>
          <w:i/>
        </w:rPr>
        <w:t>cf. supra</w:t>
      </w:r>
      <w:r w:rsidRPr="0001496F">
        <w:rPr>
          <w:rFonts w:ascii="Times New Roman" w:hAnsi="Times New Roman" w:cs="Times New Roman"/>
        </w:rPr>
        <w:t xml:space="preserve"> 2.3.1).</w:t>
      </w:r>
    </w:p>
    <w:p w14:paraId="4BBBC2A7" w14:textId="77777777" w:rsidR="000C63D9" w:rsidRPr="0001496F" w:rsidRDefault="000C63D9" w:rsidP="0001496F">
      <w:pPr>
        <w:jc w:val="both"/>
        <w:rPr>
          <w:rFonts w:ascii="Times New Roman" w:hAnsi="Times New Roman" w:cs="Times New Roman"/>
        </w:rPr>
      </w:pPr>
    </w:p>
    <w:p w14:paraId="7D274F6A" w14:textId="1BC7D879" w:rsidR="000C63D9" w:rsidRPr="0001496F" w:rsidRDefault="000C63D9" w:rsidP="0001496F">
      <w:pPr>
        <w:jc w:val="both"/>
        <w:rPr>
          <w:rFonts w:ascii="Times New Roman" w:hAnsi="Times New Roman" w:cs="Times New Roman"/>
        </w:rPr>
      </w:pPr>
      <w:r w:rsidRPr="0001496F">
        <w:rPr>
          <w:rFonts w:ascii="Times New Roman" w:hAnsi="Times New Roman" w:cs="Times New Roman"/>
        </w:rPr>
        <w:t>L’avis préalable de la commission de protection des témoins est également nécessaire (C. i. cr. art. 216/2, § 2, 2°). Cette commission va examiner l’ampleur et la faisabilité des mesures de protection que certains collaborateurs pourraient obtenir. Un avis négatif de cette commission pourrait compromettre l’accord</w:t>
      </w:r>
      <w:r w:rsidR="0074343F" w:rsidRPr="0001496F">
        <w:rPr>
          <w:rFonts w:ascii="Times New Roman" w:hAnsi="Times New Roman" w:cs="Times New Roman"/>
        </w:rPr>
        <w:t>,</w:t>
      </w:r>
      <w:r w:rsidRPr="0001496F">
        <w:rPr>
          <w:rFonts w:ascii="Times New Roman" w:hAnsi="Times New Roman" w:cs="Times New Roman"/>
        </w:rPr>
        <w:t xml:space="preserve"> car celui-ci ferait courir un risque de représailles trop important</w:t>
      </w:r>
      <w:r w:rsidRPr="0001496F">
        <w:rPr>
          <w:rStyle w:val="Appelnotedebasdep"/>
          <w:rFonts w:ascii="Times New Roman" w:hAnsi="Times New Roman" w:cs="Times New Roman"/>
        </w:rPr>
        <w:footnoteReference w:id="201"/>
      </w:r>
      <w:r w:rsidRPr="0001496F">
        <w:rPr>
          <w:rFonts w:ascii="Times New Roman" w:hAnsi="Times New Roman" w:cs="Times New Roman"/>
        </w:rPr>
        <w:t>.</w:t>
      </w:r>
    </w:p>
    <w:p w14:paraId="681E9209" w14:textId="77777777" w:rsidR="000C63D9" w:rsidRPr="0001496F" w:rsidRDefault="000C63D9" w:rsidP="0001496F">
      <w:pPr>
        <w:jc w:val="both"/>
        <w:rPr>
          <w:rFonts w:ascii="Times New Roman" w:hAnsi="Times New Roman" w:cs="Times New Roman"/>
        </w:rPr>
      </w:pPr>
    </w:p>
    <w:p w14:paraId="77D55F46"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Si le collaborateur fait l’objet d’une instruction ou si ses déclarations sont déposées dans le cadre d’une instruction, l’avis préalable du juge d’instruction est nécessaire (C. i. cr. art. 216/2, § 2, 4°). Cet avis doit porter sur « l’état d’avancement de l’instruction », sur « l’opportunité ou la nécessité de l’intervention du repenti dans le cadre de son enquête »</w:t>
      </w:r>
      <w:r w:rsidRPr="0001496F">
        <w:rPr>
          <w:rStyle w:val="Appelnotedebasdep"/>
          <w:rFonts w:ascii="Times New Roman" w:hAnsi="Times New Roman" w:cs="Times New Roman"/>
        </w:rPr>
        <w:footnoteReference w:id="202"/>
      </w:r>
      <w:r w:rsidRPr="0001496F">
        <w:rPr>
          <w:rFonts w:ascii="Times New Roman" w:hAnsi="Times New Roman" w:cs="Times New Roman"/>
        </w:rPr>
        <w:t>. On s’attend donc à ce que le juge d’instruction se positionne sur la capacité du candidat collaborateur à produire des déclarations substantielles et révélatrices. Il semble cependant « délicat de solliciter d’un juge d’instruction, indépendant et impartial, de rendre un avis sur la pertinence ou non d’accorder le statut de repenti à un témoin dans le cadre d’un dossier en cours, alors qu’il ne peut pas s’exprimer sur la culpabilité ou l’innocence tant du repenti que d’autres personnes suspectées (…) à propos desquelles une déclaration pourrait être réalisée »</w:t>
      </w:r>
      <w:r w:rsidRPr="0001496F">
        <w:rPr>
          <w:rStyle w:val="Appelnotedebasdep"/>
          <w:rFonts w:ascii="Times New Roman" w:hAnsi="Times New Roman" w:cs="Times New Roman"/>
        </w:rPr>
        <w:footnoteReference w:id="203"/>
      </w:r>
      <w:r w:rsidRPr="0001496F">
        <w:rPr>
          <w:rFonts w:ascii="Times New Roman" w:hAnsi="Times New Roman" w:cs="Times New Roman"/>
        </w:rPr>
        <w:t>.</w:t>
      </w:r>
    </w:p>
    <w:p w14:paraId="4FB4F1DF" w14:textId="77777777" w:rsidR="000C63D9" w:rsidRPr="0001496F" w:rsidRDefault="000C63D9" w:rsidP="0001496F">
      <w:pPr>
        <w:jc w:val="both"/>
        <w:rPr>
          <w:rFonts w:ascii="Times New Roman" w:hAnsi="Times New Roman" w:cs="Times New Roman"/>
        </w:rPr>
      </w:pPr>
    </w:p>
    <w:p w14:paraId="6BAFD226"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Pour les promesses relatives au lieu de détention, il faut également « un accord préalable du directeur général des Établissements pénitentiaires »</w:t>
      </w:r>
      <w:r w:rsidRPr="0001496F">
        <w:rPr>
          <w:rFonts w:ascii="Times New Roman" w:hAnsi="Times New Roman" w:cs="Times New Roman"/>
          <w:lang w:val="fr-BE"/>
        </w:rPr>
        <w:t xml:space="preserve"> (C.i.cr, </w:t>
      </w:r>
      <w:r w:rsidRPr="0001496F">
        <w:rPr>
          <w:rFonts w:ascii="Times New Roman" w:hAnsi="Times New Roman" w:cs="Times New Roman"/>
        </w:rPr>
        <w:t>art. 216/7, al.1</w:t>
      </w:r>
      <w:r w:rsidRPr="0001496F">
        <w:rPr>
          <w:rFonts w:ascii="Times New Roman" w:hAnsi="Times New Roman" w:cs="Times New Roman"/>
          <w:vertAlign w:val="superscript"/>
        </w:rPr>
        <w:t>er</w:t>
      </w:r>
      <w:r w:rsidRPr="0001496F">
        <w:rPr>
          <w:rFonts w:ascii="Times New Roman" w:hAnsi="Times New Roman" w:cs="Times New Roman"/>
        </w:rPr>
        <w:t>). En effet, la compétence de placement et de transfèrement des détenus revient à ce directeur (loi du 12 janvier 2005, art. 18). Ces types de promesses « ont potentiellement un impact sur le fonctionnement des prisons »</w:t>
      </w:r>
      <w:r w:rsidRPr="0001496F">
        <w:rPr>
          <w:rStyle w:val="Appelnotedebasdep"/>
          <w:rFonts w:ascii="Times New Roman" w:hAnsi="Times New Roman" w:cs="Times New Roman"/>
        </w:rPr>
        <w:footnoteReference w:id="204"/>
      </w:r>
      <w:r w:rsidRPr="0001496F">
        <w:rPr>
          <w:rFonts w:ascii="Times New Roman" w:hAnsi="Times New Roman" w:cs="Times New Roman"/>
        </w:rPr>
        <w:t>, mais elles ne peuvent pas « porter préjudice aux compétences du directeur de prison dans le cadre de la discipline, de l’ordre et de la sécurité au sein de la prison » (</w:t>
      </w:r>
      <w:r w:rsidRPr="0001496F">
        <w:rPr>
          <w:rFonts w:ascii="Times New Roman" w:hAnsi="Times New Roman" w:cs="Times New Roman"/>
          <w:lang w:val="fr-BE"/>
        </w:rPr>
        <w:t xml:space="preserve">C.i.cr, </w:t>
      </w:r>
      <w:r w:rsidRPr="0001496F">
        <w:rPr>
          <w:rFonts w:ascii="Times New Roman" w:hAnsi="Times New Roman" w:cs="Times New Roman"/>
        </w:rPr>
        <w:t>art. 216/7, al.1</w:t>
      </w:r>
      <w:r w:rsidRPr="0001496F">
        <w:rPr>
          <w:rFonts w:ascii="Times New Roman" w:hAnsi="Times New Roman" w:cs="Times New Roman"/>
          <w:vertAlign w:val="superscript"/>
        </w:rPr>
        <w:t>er</w:t>
      </w:r>
      <w:r w:rsidRPr="0001496F">
        <w:rPr>
          <w:rFonts w:ascii="Times New Roman" w:hAnsi="Times New Roman" w:cs="Times New Roman"/>
        </w:rPr>
        <w:t>). Si en raison d’un problème de discipline, d’ordre ou de sécurité, la promesse ne peut pas être mise en œuvre, « le directeur de prison informe en (sic) le procureur du Roi »</w:t>
      </w:r>
      <w:r w:rsidRPr="0001496F">
        <w:rPr>
          <w:rStyle w:val="Appelnotedebasdep"/>
          <w:rFonts w:ascii="Times New Roman" w:hAnsi="Times New Roman" w:cs="Times New Roman"/>
        </w:rPr>
        <w:footnoteReference w:id="205"/>
      </w:r>
      <w:r w:rsidRPr="0001496F">
        <w:rPr>
          <w:rFonts w:ascii="Times New Roman" w:hAnsi="Times New Roman" w:cs="Times New Roman"/>
        </w:rPr>
        <w:t>, sans que l’on sache ce que pourrait faire le procureur du Roi d’une telle information. Ceci rend la promesse précaire. De plus, nous avons vu que le plan d’action du gouvernement contre la radicalisation dans les prisons pourrait avoir comme implication de rendre impossibles certains placements ou transfèrements (</w:t>
      </w:r>
      <w:r w:rsidRPr="0001496F">
        <w:rPr>
          <w:rFonts w:ascii="Times New Roman" w:hAnsi="Times New Roman" w:cs="Times New Roman"/>
          <w:i/>
        </w:rPr>
        <w:t>cf. supra</w:t>
      </w:r>
      <w:r w:rsidRPr="0001496F">
        <w:rPr>
          <w:rFonts w:ascii="Times New Roman" w:hAnsi="Times New Roman" w:cs="Times New Roman"/>
        </w:rPr>
        <w:t xml:space="preserve"> 2.2.3). </w:t>
      </w:r>
    </w:p>
    <w:p w14:paraId="531DE959" w14:textId="77777777" w:rsidR="000C63D9" w:rsidRPr="0001496F" w:rsidRDefault="000C63D9" w:rsidP="0001496F">
      <w:pPr>
        <w:jc w:val="both"/>
        <w:rPr>
          <w:rFonts w:ascii="Times New Roman" w:hAnsi="Times New Roman" w:cs="Times New Roman"/>
        </w:rPr>
      </w:pPr>
    </w:p>
    <w:p w14:paraId="3D8DEAC0"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validité du mémorandum suppose que celui-ci soit conclu et signé en présence de l’avocat du collaborateur. Le collaborateur peut se concerter confidentiellement avec son avocat à tout moment et hors la présence du ministère public (C. i. cr., art. 216/2, § 4).</w:t>
      </w:r>
    </w:p>
    <w:p w14:paraId="0873A56A" w14:textId="77777777" w:rsidR="000C63D9" w:rsidRPr="0001496F" w:rsidRDefault="000C63D9" w:rsidP="0001496F">
      <w:pPr>
        <w:jc w:val="both"/>
        <w:rPr>
          <w:rFonts w:ascii="Times New Roman" w:hAnsi="Times New Roman" w:cs="Times New Roman"/>
        </w:rPr>
      </w:pPr>
    </w:p>
    <w:p w14:paraId="579D88EE"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Le mémorandum est établi en trois exemplaires signés par le procureur du Roi et le collaborateur. L’un est remis au collaborateur, un second est versé au dossier répressif relatif à </w:t>
      </w:r>
      <w:r w:rsidRPr="0001496F">
        <w:rPr>
          <w:rFonts w:ascii="Times New Roman" w:hAnsi="Times New Roman" w:cs="Times New Roman"/>
        </w:rPr>
        <w:lastRenderedPageBreak/>
        <w:t>l’infraction commise par le collaborateur et le troisième est conservé par le procureur du Roi (C. i. cr., art. 216/2, § 5).</w:t>
      </w:r>
    </w:p>
    <w:p w14:paraId="519AFFDB" w14:textId="77777777" w:rsidR="000C63D9" w:rsidRPr="0001496F" w:rsidRDefault="000C63D9" w:rsidP="0001496F">
      <w:pPr>
        <w:jc w:val="both"/>
        <w:rPr>
          <w:rFonts w:ascii="Times New Roman" w:hAnsi="Times New Roman" w:cs="Times New Roman"/>
        </w:rPr>
      </w:pPr>
    </w:p>
    <w:p w14:paraId="425655E4"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2.4.3. L’homologation de l’accord</w:t>
      </w:r>
    </w:p>
    <w:p w14:paraId="0529E3CC" w14:textId="77777777" w:rsidR="000C63D9" w:rsidRPr="0001496F" w:rsidRDefault="000C63D9" w:rsidP="0001496F">
      <w:pPr>
        <w:jc w:val="both"/>
        <w:rPr>
          <w:rFonts w:ascii="Times New Roman" w:hAnsi="Times New Roman" w:cs="Times New Roman"/>
        </w:rPr>
      </w:pPr>
    </w:p>
    <w:p w14:paraId="3314C607"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 xml:space="preserve">2.4.3.1. Le champ d’application </w:t>
      </w:r>
    </w:p>
    <w:p w14:paraId="3EFDC7DF" w14:textId="77777777" w:rsidR="000C63D9" w:rsidRPr="0001496F" w:rsidRDefault="000C63D9" w:rsidP="0001496F">
      <w:pPr>
        <w:jc w:val="both"/>
        <w:rPr>
          <w:rFonts w:ascii="Times New Roman" w:hAnsi="Times New Roman" w:cs="Times New Roman"/>
        </w:rPr>
      </w:pPr>
    </w:p>
    <w:p w14:paraId="28E97ADF"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L’exigence d’homologation de l’accord ne concerne que les promesses relatives à l’action publique</w:t>
      </w:r>
      <w:r w:rsidRPr="0001496F">
        <w:rPr>
          <w:rStyle w:val="Appelnotedebasdep"/>
          <w:rFonts w:ascii="Times New Roman" w:hAnsi="Times New Roman" w:cs="Times New Roman"/>
        </w:rPr>
        <w:footnoteReference w:id="206"/>
      </w:r>
      <w:r w:rsidRPr="0001496F">
        <w:rPr>
          <w:rFonts w:ascii="Times New Roman" w:hAnsi="Times New Roman" w:cs="Times New Roman"/>
        </w:rPr>
        <w:t>. Puisque le législateur habilite le ministère public à mettre fin à l’action publique, un contrôle juridictionnel est nécessaire</w:t>
      </w:r>
      <w:r w:rsidRPr="0001496F">
        <w:rPr>
          <w:rStyle w:val="Appelnotedebasdep"/>
          <w:rFonts w:ascii="Times New Roman" w:hAnsi="Times New Roman" w:cs="Times New Roman"/>
        </w:rPr>
        <w:footnoteReference w:id="207"/>
      </w:r>
      <w:r w:rsidRPr="0001496F">
        <w:rPr>
          <w:rFonts w:ascii="Times New Roman" w:hAnsi="Times New Roman" w:cs="Times New Roman"/>
        </w:rPr>
        <w:t>.</w:t>
      </w:r>
    </w:p>
    <w:p w14:paraId="201B9415" w14:textId="77777777" w:rsidR="000C63D9" w:rsidRPr="0001496F" w:rsidRDefault="000C63D9" w:rsidP="0001496F">
      <w:pPr>
        <w:jc w:val="both"/>
        <w:rPr>
          <w:rFonts w:ascii="Times New Roman" w:hAnsi="Times New Roman" w:cs="Times New Roman"/>
        </w:rPr>
      </w:pPr>
    </w:p>
    <w:p w14:paraId="5D0C9FA7" w14:textId="0C5B2B53"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En ce qui concerne les promesses relatives à l’exécution de la peine, cette absence d’homologation se comprend lorsque le ministère public a émis un « avis favorable » (car la décision finale d’octroyer ou non la modalité d’exécution de la peine privative de liberté sera prise par le Tribunal de l’application des peines). </w:t>
      </w:r>
      <w:r w:rsidR="00D23DEF" w:rsidRPr="0001496F">
        <w:rPr>
          <w:rFonts w:ascii="Times New Roman" w:hAnsi="Times New Roman" w:cs="Times New Roman"/>
        </w:rPr>
        <w:t xml:space="preserve">En revanche, </w:t>
      </w:r>
      <w:r w:rsidRPr="0001496F">
        <w:rPr>
          <w:rFonts w:ascii="Times New Roman" w:hAnsi="Times New Roman" w:cs="Times New Roman"/>
        </w:rPr>
        <w:t>elle peut poser problème lorsque le ministère public a pris une « décision favorable » (car dans ce cas, aucune instance ne peut vérifier si les principes de proportionnalité et de pondération sont respectés).</w:t>
      </w:r>
    </w:p>
    <w:p w14:paraId="4855A215" w14:textId="77777777" w:rsidR="000C63D9" w:rsidRPr="0001496F" w:rsidRDefault="000C63D9" w:rsidP="0001496F">
      <w:pPr>
        <w:jc w:val="both"/>
        <w:rPr>
          <w:rFonts w:ascii="Times New Roman" w:hAnsi="Times New Roman" w:cs="Times New Roman"/>
        </w:rPr>
      </w:pPr>
    </w:p>
    <w:p w14:paraId="1837E65C"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Les promesses relatives à la détention doivent quant à elles être acceptées par le directeur général des Établissements pénitentiaires. Mais ce dernier n’est pas une instance juridictionnelle et sa décision sera liée à d’autres critères que le respect des principes de proportionnalité et de pondération (qui ne feront donc l’objet d’aucun contrôle).</w:t>
      </w:r>
    </w:p>
    <w:p w14:paraId="338D0C06" w14:textId="77777777" w:rsidR="000C63D9" w:rsidRPr="0001496F" w:rsidRDefault="000C63D9" w:rsidP="0001496F">
      <w:pPr>
        <w:jc w:val="both"/>
        <w:rPr>
          <w:rFonts w:ascii="Times New Roman" w:hAnsi="Times New Roman" w:cs="Times New Roman"/>
        </w:rPr>
      </w:pPr>
    </w:p>
    <w:p w14:paraId="45130949"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2.4.3.2. Les juridictions compétentes</w:t>
      </w:r>
    </w:p>
    <w:p w14:paraId="06581DD3" w14:textId="77777777" w:rsidR="000C63D9" w:rsidRPr="0001496F" w:rsidRDefault="000C63D9" w:rsidP="0001496F">
      <w:pPr>
        <w:jc w:val="both"/>
        <w:rPr>
          <w:rFonts w:ascii="Times New Roman" w:hAnsi="Times New Roman" w:cs="Times New Roman"/>
        </w:rPr>
      </w:pPr>
    </w:p>
    <w:p w14:paraId="7D7CD521"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L’homologation relève de la compétence de la juridiction « devant laquelle l’action publique dont fait l’objet le repenti est pendante »</w:t>
      </w:r>
      <w:r w:rsidRPr="0001496F">
        <w:rPr>
          <w:rStyle w:val="Appelnotedebasdep"/>
          <w:rFonts w:ascii="Times New Roman" w:hAnsi="Times New Roman" w:cs="Times New Roman"/>
        </w:rPr>
        <w:footnoteReference w:id="208"/>
      </w:r>
      <w:r w:rsidRPr="0001496F">
        <w:rPr>
          <w:rFonts w:ascii="Times New Roman" w:hAnsi="Times New Roman" w:cs="Times New Roman"/>
        </w:rPr>
        <w:t>. Il peut s’agir du Tribunal de police, du Tribunal correctionnel, de la Cour d’appel, de la Cour d’assises et des juridictions d’instruction</w:t>
      </w:r>
      <w:r w:rsidRPr="0001496F">
        <w:rPr>
          <w:rStyle w:val="Appelnotedebasdep"/>
          <w:rFonts w:ascii="Times New Roman" w:hAnsi="Times New Roman" w:cs="Times New Roman"/>
        </w:rPr>
        <w:footnoteReference w:id="209"/>
      </w:r>
      <w:r w:rsidRPr="0001496F">
        <w:rPr>
          <w:rFonts w:ascii="Times New Roman" w:hAnsi="Times New Roman" w:cs="Times New Roman"/>
        </w:rPr>
        <w:t>.</w:t>
      </w:r>
    </w:p>
    <w:p w14:paraId="39095D02" w14:textId="77777777" w:rsidR="000C63D9" w:rsidRPr="0001496F" w:rsidRDefault="000C63D9" w:rsidP="0001496F">
      <w:pPr>
        <w:jc w:val="both"/>
        <w:rPr>
          <w:rFonts w:ascii="Times New Roman" w:hAnsi="Times New Roman" w:cs="Times New Roman"/>
        </w:rPr>
      </w:pPr>
    </w:p>
    <w:p w14:paraId="3741DFAF"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loi ne précise pas quelle sera la composition de la Cour d’assises (avec ou sans le jury) pour cette homologation. Comme le mémorandum concerne des éléments liés à la peine, il semblerait préférable de prévoir la présence du jury</w:t>
      </w:r>
      <w:r w:rsidRPr="0001496F">
        <w:rPr>
          <w:rStyle w:val="Appelnotedebasdep"/>
          <w:rFonts w:ascii="Times New Roman" w:hAnsi="Times New Roman" w:cs="Times New Roman"/>
        </w:rPr>
        <w:footnoteReference w:id="210"/>
      </w:r>
      <w:r w:rsidRPr="0001496F">
        <w:rPr>
          <w:rFonts w:ascii="Times New Roman" w:hAnsi="Times New Roman" w:cs="Times New Roman"/>
        </w:rPr>
        <w:t>. En ce qui concerne les juridictions d’instruction, lorsqu’elles statuent comme juridiction de fond, elles peuvent décider un internement ou une suspension du prononcé de la condamnation. Le législateur n’a pas prévu qu’un interné puisse obtenir une promesse</w:t>
      </w:r>
      <w:r w:rsidRPr="0001496F">
        <w:rPr>
          <w:rStyle w:val="Appelnotedebasdep"/>
          <w:rFonts w:ascii="Times New Roman" w:hAnsi="Times New Roman" w:cs="Times New Roman"/>
        </w:rPr>
        <w:footnoteReference w:id="211"/>
      </w:r>
      <w:r w:rsidRPr="0001496F">
        <w:rPr>
          <w:rFonts w:ascii="Times New Roman" w:hAnsi="Times New Roman" w:cs="Times New Roman"/>
        </w:rPr>
        <w:t xml:space="preserve"> (</w:t>
      </w:r>
      <w:r w:rsidRPr="0001496F">
        <w:rPr>
          <w:rFonts w:ascii="Times New Roman" w:hAnsi="Times New Roman" w:cs="Times New Roman"/>
          <w:i/>
        </w:rPr>
        <w:t>cf. supra</w:t>
      </w:r>
      <w:r w:rsidRPr="0001496F">
        <w:rPr>
          <w:rFonts w:ascii="Times New Roman" w:hAnsi="Times New Roman" w:cs="Times New Roman"/>
        </w:rPr>
        <w:t xml:space="preserve"> 2.2). En ce qui concerne la suspension du prononcé de la condamnation, la loi prévoit que la question de l’homologation sera traitée lors du règlement de la procédure (C. i. cr., 216/5, §3). Attendre cette étape de la procédure risque d’avoir un effet </w:t>
      </w:r>
      <w:r w:rsidRPr="0001496F">
        <w:rPr>
          <w:rFonts w:ascii="Times New Roman" w:hAnsi="Times New Roman" w:cs="Times New Roman"/>
        </w:rPr>
        <w:lastRenderedPageBreak/>
        <w:t>dissuasif sur le collaborateur « qui pourrait hésiter à apporter son témoignage »</w:t>
      </w:r>
      <w:r w:rsidRPr="0001496F">
        <w:rPr>
          <w:rStyle w:val="Appelnotedebasdep"/>
          <w:rFonts w:ascii="Times New Roman" w:hAnsi="Times New Roman" w:cs="Times New Roman"/>
        </w:rPr>
        <w:footnoteReference w:id="212"/>
      </w:r>
      <w:r w:rsidRPr="0001496F">
        <w:rPr>
          <w:rFonts w:ascii="Times New Roman" w:hAnsi="Times New Roman" w:cs="Times New Roman"/>
        </w:rPr>
        <w:t>. En cas d’homologation par la juridiction d’instruction, celle-ci renvoie l’affaire devant le tribunal ou la cour compétent(e) pour qu’il ou elle fixe la peine de substitution (C. i. cr., art. 216/5, §3).</w:t>
      </w:r>
    </w:p>
    <w:p w14:paraId="752EFAC3" w14:textId="77777777" w:rsidR="000C63D9" w:rsidRPr="0001496F" w:rsidRDefault="000C63D9" w:rsidP="0001496F">
      <w:pPr>
        <w:jc w:val="both"/>
        <w:rPr>
          <w:rFonts w:ascii="Times New Roman" w:hAnsi="Times New Roman" w:cs="Times New Roman"/>
        </w:rPr>
      </w:pPr>
    </w:p>
    <w:p w14:paraId="265701E7"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2.4.3.3. Les objets de l’évaluation</w:t>
      </w:r>
    </w:p>
    <w:p w14:paraId="72F0C685" w14:textId="77777777" w:rsidR="000C63D9" w:rsidRPr="0001496F" w:rsidRDefault="000C63D9" w:rsidP="0001496F">
      <w:pPr>
        <w:jc w:val="both"/>
        <w:rPr>
          <w:rFonts w:ascii="Times New Roman" w:hAnsi="Times New Roman" w:cs="Times New Roman"/>
        </w:rPr>
      </w:pPr>
    </w:p>
    <w:p w14:paraId="19FCC0B9"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Le tribunal, la cour ou la juridiction d’instruction compétent(e) vérifie si (C. i.cr., art. 216/5, § 3) : </w:t>
      </w:r>
    </w:p>
    <w:p w14:paraId="107A3BF9"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les principes de proportionnalité et de pondération sont respectés ; </w:t>
      </w:r>
    </w:p>
    <w:p w14:paraId="3C5B6CDD"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les conditions légales sont remplies ; </w:t>
      </w:r>
    </w:p>
    <w:p w14:paraId="1A6C36F9"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le collaborateur a accepté librement et en connaissance de cause le mémorandum ; </w:t>
      </w:r>
    </w:p>
    <w:p w14:paraId="4485BC62"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les faits correspondent à leur qualification juridique correcte ; </w:t>
      </w:r>
    </w:p>
    <w:p w14:paraId="5998D1D8" w14:textId="02063880"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les faits pour lesquels le collaborateur est poursuivi </w:t>
      </w:r>
      <w:r w:rsidR="00523007" w:rsidRPr="0001496F">
        <w:rPr>
          <w:rFonts w:ascii="Times New Roman" w:hAnsi="Times New Roman" w:cs="Times New Roman"/>
        </w:rPr>
        <w:t xml:space="preserve">et sur lesquels porte la promesse correspondent à la réalité </w:t>
      </w:r>
      <w:r w:rsidRPr="0001496F">
        <w:rPr>
          <w:rFonts w:ascii="Times New Roman" w:hAnsi="Times New Roman" w:cs="Times New Roman"/>
        </w:rPr>
        <w:t xml:space="preserve">correspondent à la réalité ; </w:t>
      </w:r>
    </w:p>
    <w:p w14:paraId="56B727EE"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les causes d’extinction de l’action publique ne sont pas présentes ; </w:t>
      </w:r>
    </w:p>
    <w:p w14:paraId="4B83B4D8"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la volonté d’indemniser le dommage est présente.</w:t>
      </w:r>
    </w:p>
    <w:p w14:paraId="16BDA514" w14:textId="77777777" w:rsidR="000C63D9" w:rsidRPr="0001496F" w:rsidRDefault="000C63D9" w:rsidP="0001496F">
      <w:pPr>
        <w:jc w:val="both"/>
        <w:rPr>
          <w:rFonts w:ascii="Times New Roman" w:hAnsi="Times New Roman" w:cs="Times New Roman"/>
        </w:rPr>
      </w:pPr>
    </w:p>
    <w:p w14:paraId="0472A53E" w14:textId="48AAD620"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loi ne précise pas ce que recouvre la notion de « conditions légales ». Les travaux préparatoires indiquent par la négative que le tribunal, la cour ou la juridiction d’instruction ne</w:t>
      </w:r>
      <w:r w:rsidR="00F03D2C" w:rsidRPr="0001496F">
        <w:rPr>
          <w:rFonts w:ascii="Times New Roman" w:hAnsi="Times New Roman" w:cs="Times New Roman"/>
        </w:rPr>
        <w:t xml:space="preserve"> doit pas vérifier le respect des</w:t>
      </w:r>
      <w:r w:rsidRPr="0001496F">
        <w:rPr>
          <w:rFonts w:ascii="Times New Roman" w:hAnsi="Times New Roman" w:cs="Times New Roman"/>
        </w:rPr>
        <w:t xml:space="preserve"> principe</w:t>
      </w:r>
      <w:r w:rsidR="00044E4E" w:rsidRPr="0001496F">
        <w:rPr>
          <w:rFonts w:ascii="Times New Roman" w:hAnsi="Times New Roman" w:cs="Times New Roman"/>
        </w:rPr>
        <w:t>s de pertinence et</w:t>
      </w:r>
      <w:r w:rsidR="00F03D2C" w:rsidRPr="0001496F">
        <w:rPr>
          <w:rFonts w:ascii="Times New Roman" w:hAnsi="Times New Roman" w:cs="Times New Roman"/>
        </w:rPr>
        <w:t xml:space="preserve"> </w:t>
      </w:r>
      <w:r w:rsidRPr="0001496F">
        <w:rPr>
          <w:rFonts w:ascii="Times New Roman" w:hAnsi="Times New Roman" w:cs="Times New Roman"/>
        </w:rPr>
        <w:t>de subsidiarité</w:t>
      </w:r>
      <w:r w:rsidRPr="0001496F">
        <w:rPr>
          <w:rStyle w:val="Appelnotedebasdep"/>
          <w:rFonts w:ascii="Times New Roman" w:hAnsi="Times New Roman" w:cs="Times New Roman"/>
        </w:rPr>
        <w:footnoteReference w:id="213"/>
      </w:r>
      <w:r w:rsidRPr="0001496F">
        <w:rPr>
          <w:rFonts w:ascii="Times New Roman" w:hAnsi="Times New Roman" w:cs="Times New Roman"/>
        </w:rPr>
        <w:t>. Il nous semble que cette notion de « conditions légales » vise entre autres la vérification que l’infraction</w:t>
      </w:r>
      <w:r w:rsidR="00CC0B67" w:rsidRPr="0001496F">
        <w:rPr>
          <w:rFonts w:ascii="Times New Roman" w:hAnsi="Times New Roman" w:cs="Times New Roman"/>
        </w:rPr>
        <w:t xml:space="preserve"> dénoncée</w:t>
      </w:r>
      <w:r w:rsidRPr="0001496F">
        <w:rPr>
          <w:rFonts w:ascii="Times New Roman" w:hAnsi="Times New Roman" w:cs="Times New Roman"/>
        </w:rPr>
        <w:t xml:space="preserve"> est bien reprise à l’article 90</w:t>
      </w:r>
      <w:r w:rsidRPr="0001496F">
        <w:rPr>
          <w:rFonts w:ascii="Times New Roman" w:hAnsi="Times New Roman" w:cs="Times New Roman"/>
          <w:i/>
        </w:rPr>
        <w:t>ter</w:t>
      </w:r>
      <w:r w:rsidRPr="0001496F">
        <w:rPr>
          <w:rFonts w:ascii="Times New Roman" w:hAnsi="Times New Roman" w:cs="Times New Roman"/>
        </w:rPr>
        <w:t>, § 2 à 4 du C. i. cr</w:t>
      </w:r>
      <w:r w:rsidR="00272A08" w:rsidRPr="0001496F">
        <w:rPr>
          <w:rFonts w:ascii="Times New Roman" w:hAnsi="Times New Roman" w:cs="Times New Roman"/>
        </w:rPr>
        <w:t>.</w:t>
      </w:r>
      <w:r w:rsidRPr="0001496F">
        <w:rPr>
          <w:rFonts w:ascii="Times New Roman" w:hAnsi="Times New Roman" w:cs="Times New Roman"/>
        </w:rPr>
        <w:t>, la présence des avis et accords préalables, la présence de l’avocat, les signatures requises…</w:t>
      </w:r>
    </w:p>
    <w:p w14:paraId="3D39FF1C" w14:textId="77777777" w:rsidR="000C63D9" w:rsidRPr="0001496F" w:rsidRDefault="000C63D9" w:rsidP="0001496F">
      <w:pPr>
        <w:jc w:val="both"/>
        <w:rPr>
          <w:rFonts w:ascii="Times New Roman" w:hAnsi="Times New Roman" w:cs="Times New Roman"/>
        </w:rPr>
      </w:pPr>
    </w:p>
    <w:p w14:paraId="74FCA8DD"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2.4.3.4. La procédure</w:t>
      </w:r>
    </w:p>
    <w:p w14:paraId="1BE7225E" w14:textId="77777777" w:rsidR="000C63D9" w:rsidRPr="0001496F" w:rsidRDefault="000C63D9" w:rsidP="0001496F">
      <w:pPr>
        <w:jc w:val="both"/>
        <w:rPr>
          <w:rFonts w:ascii="Times New Roman" w:hAnsi="Times New Roman" w:cs="Times New Roman"/>
        </w:rPr>
      </w:pPr>
    </w:p>
    <w:p w14:paraId="0D1E4233"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tribunal, la cour ou la juridiction d’instruction entend le collaborateur ou son avocat sur le mémorandum et sur les faits pour lesquels il est poursuivi (C. i.cr., art. 216/5, § 4, al. 1</w:t>
      </w:r>
      <w:r w:rsidRPr="0001496F">
        <w:rPr>
          <w:rFonts w:ascii="Times New Roman" w:hAnsi="Times New Roman" w:cs="Times New Roman"/>
          <w:vertAlign w:val="superscript"/>
        </w:rPr>
        <w:t>er</w:t>
      </w:r>
      <w:r w:rsidRPr="0001496F">
        <w:rPr>
          <w:rFonts w:ascii="Times New Roman" w:hAnsi="Times New Roman" w:cs="Times New Roman"/>
        </w:rPr>
        <w:t xml:space="preserve">). Le cas échéant, il entend également la victime ou son avocat sur les faits et la réparation du dommage. La victime peut se constituer partie civile et le collaborateur est alors entendu en ce qui concerne l’action civile (C. i.cr., art. 216/5, § 4, al. 2). </w:t>
      </w:r>
    </w:p>
    <w:p w14:paraId="5CDE4E08"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w:t>
      </w:r>
    </w:p>
    <w:p w14:paraId="576468E3"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2.4.3.5. La décision</w:t>
      </w:r>
    </w:p>
    <w:p w14:paraId="4218C074" w14:textId="77777777" w:rsidR="000C63D9" w:rsidRPr="0001496F" w:rsidRDefault="000C63D9" w:rsidP="0001496F">
      <w:pPr>
        <w:jc w:val="both"/>
        <w:rPr>
          <w:rFonts w:ascii="Times New Roman" w:hAnsi="Times New Roman" w:cs="Times New Roman"/>
        </w:rPr>
      </w:pPr>
    </w:p>
    <w:p w14:paraId="4A9C02DF" w14:textId="7F45518F"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tribunal, la cour ou la juridiction d’instruction décide, de manière motivée et sans recours</w:t>
      </w:r>
      <w:r w:rsidR="000D7BE1" w:rsidRPr="0001496F">
        <w:rPr>
          <w:rFonts w:ascii="Times New Roman" w:hAnsi="Times New Roman" w:cs="Times New Roman"/>
        </w:rPr>
        <w:t xml:space="preserve"> pénal</w:t>
      </w:r>
      <w:r w:rsidRPr="0001496F">
        <w:rPr>
          <w:rFonts w:ascii="Times New Roman" w:hAnsi="Times New Roman" w:cs="Times New Roman"/>
        </w:rPr>
        <w:t xml:space="preserve"> possible, d’homologuer ou de rejeter la promesse (C. i.cr., art. 216/5, § 3). </w:t>
      </w:r>
    </w:p>
    <w:p w14:paraId="5E2711F5" w14:textId="77777777" w:rsidR="000C63D9" w:rsidRPr="0001496F" w:rsidRDefault="000C63D9" w:rsidP="0001496F">
      <w:pPr>
        <w:jc w:val="both"/>
        <w:rPr>
          <w:rFonts w:ascii="Times New Roman" w:hAnsi="Times New Roman" w:cs="Times New Roman"/>
        </w:rPr>
      </w:pPr>
    </w:p>
    <w:p w14:paraId="1BE8C1E4" w14:textId="3BCF69F2" w:rsidR="000C63D9" w:rsidRPr="0001496F" w:rsidRDefault="000C63D9" w:rsidP="0001496F">
      <w:pPr>
        <w:jc w:val="both"/>
        <w:rPr>
          <w:rFonts w:ascii="Times New Roman" w:hAnsi="Times New Roman" w:cs="Times New Roman"/>
        </w:rPr>
      </w:pPr>
      <w:r w:rsidRPr="0001496F">
        <w:rPr>
          <w:rFonts w:ascii="Times New Roman" w:hAnsi="Times New Roman" w:cs="Times New Roman"/>
        </w:rPr>
        <w:t>En cas d’homologation de la promesse, le tribunal ou la cour</w:t>
      </w:r>
      <w:r w:rsidRPr="0001496F">
        <w:rPr>
          <w:rStyle w:val="Appelnotedebasdep"/>
          <w:rFonts w:ascii="Times New Roman" w:hAnsi="Times New Roman" w:cs="Times New Roman"/>
        </w:rPr>
        <w:footnoteReference w:id="214"/>
      </w:r>
      <w:r w:rsidRPr="0001496F">
        <w:rPr>
          <w:rFonts w:ascii="Times New Roman" w:hAnsi="Times New Roman" w:cs="Times New Roman"/>
        </w:rPr>
        <w:t xml:space="preserve"> décide de la peine qui pourrait être exécutée si une des causes de révocation prévue à l’article 216/3 du C. i. cr. </w:t>
      </w:r>
      <w:proofErr w:type="gramStart"/>
      <w:r w:rsidRPr="0001496F">
        <w:rPr>
          <w:rFonts w:ascii="Times New Roman" w:hAnsi="Times New Roman" w:cs="Times New Roman"/>
        </w:rPr>
        <w:t>se</w:t>
      </w:r>
      <w:proofErr w:type="gramEnd"/>
      <w:r w:rsidRPr="0001496F">
        <w:rPr>
          <w:rFonts w:ascii="Times New Roman" w:hAnsi="Times New Roman" w:cs="Times New Roman"/>
        </w:rPr>
        <w:t xml:space="preserve"> réalise (</w:t>
      </w:r>
      <w:r w:rsidRPr="0001496F">
        <w:rPr>
          <w:rFonts w:ascii="Times New Roman" w:hAnsi="Times New Roman" w:cs="Times New Roman"/>
          <w:i/>
        </w:rPr>
        <w:t>cf. infra</w:t>
      </w:r>
      <w:r w:rsidRPr="0001496F">
        <w:rPr>
          <w:rFonts w:ascii="Times New Roman" w:hAnsi="Times New Roman" w:cs="Times New Roman"/>
        </w:rPr>
        <w:t xml:space="preserve"> 2.5.1). Le Conseil d’État a critiqué l’absence de recours possible</w:t>
      </w:r>
      <w:r w:rsidR="0074343F" w:rsidRPr="0001496F">
        <w:rPr>
          <w:rFonts w:ascii="Times New Roman" w:hAnsi="Times New Roman" w:cs="Times New Roman"/>
        </w:rPr>
        <w:t xml:space="preserve">, </w:t>
      </w:r>
      <w:r w:rsidR="00181FE7" w:rsidRPr="0001496F">
        <w:rPr>
          <w:rFonts w:ascii="Times New Roman" w:hAnsi="Times New Roman" w:cs="Times New Roman"/>
        </w:rPr>
        <w:t>puisqu</w:t>
      </w:r>
      <w:proofErr w:type="gramStart"/>
      <w:r w:rsidR="00181FE7" w:rsidRPr="0001496F">
        <w:rPr>
          <w:rFonts w:ascii="Times New Roman" w:hAnsi="Times New Roman" w:cs="Times New Roman"/>
        </w:rPr>
        <w:t>’«</w:t>
      </w:r>
      <w:proofErr w:type="gramEnd"/>
      <w:r w:rsidR="00181FE7" w:rsidRPr="0001496F">
        <w:rPr>
          <w:rFonts w:ascii="Times New Roman" w:hAnsi="Times New Roman" w:cs="Times New Roman"/>
        </w:rPr>
        <w:t> au moment où l’intéressé marque son accord sur le mémorandum, il ne connaît pas encore le taux de la peine de substitution »</w:t>
      </w:r>
      <w:r w:rsidR="00181FE7" w:rsidRPr="0001496F">
        <w:rPr>
          <w:rStyle w:val="Appelnotedebasdep"/>
          <w:rFonts w:ascii="Times New Roman" w:hAnsi="Times New Roman" w:cs="Times New Roman"/>
        </w:rPr>
        <w:footnoteReference w:id="215"/>
      </w:r>
      <w:r w:rsidR="00181FE7" w:rsidRPr="0001496F">
        <w:rPr>
          <w:rFonts w:ascii="Times New Roman" w:hAnsi="Times New Roman" w:cs="Times New Roman"/>
        </w:rPr>
        <w:t>. D</w:t>
      </w:r>
      <w:r w:rsidR="0074343F" w:rsidRPr="0001496F">
        <w:rPr>
          <w:rFonts w:ascii="Times New Roman" w:hAnsi="Times New Roman" w:cs="Times New Roman"/>
        </w:rPr>
        <w:t>ès lors</w:t>
      </w:r>
      <w:r w:rsidR="00181FE7" w:rsidRPr="0001496F">
        <w:rPr>
          <w:rFonts w:ascii="Times New Roman" w:hAnsi="Times New Roman" w:cs="Times New Roman"/>
        </w:rPr>
        <w:t>,</w:t>
      </w:r>
      <w:r w:rsidRPr="0001496F">
        <w:rPr>
          <w:rFonts w:ascii="Times New Roman" w:hAnsi="Times New Roman" w:cs="Times New Roman"/>
        </w:rPr>
        <w:t xml:space="preserve"> il n’y a pas</w:t>
      </w:r>
      <w:r w:rsidR="00181FE7" w:rsidRPr="0001496F">
        <w:rPr>
          <w:rFonts w:ascii="Times New Roman" w:hAnsi="Times New Roman" w:cs="Times New Roman"/>
        </w:rPr>
        <w:t>,</w:t>
      </w:r>
      <w:r w:rsidRPr="0001496F">
        <w:rPr>
          <w:rFonts w:ascii="Times New Roman" w:hAnsi="Times New Roman" w:cs="Times New Roman"/>
        </w:rPr>
        <w:t xml:space="preserve"> </w:t>
      </w:r>
      <w:r w:rsidR="00181FE7" w:rsidRPr="0001496F">
        <w:rPr>
          <w:rFonts w:ascii="Times New Roman" w:hAnsi="Times New Roman" w:cs="Times New Roman"/>
        </w:rPr>
        <w:t xml:space="preserve">dans le chef du collaborateur, </w:t>
      </w:r>
      <w:r w:rsidR="0074343F" w:rsidRPr="0001496F">
        <w:rPr>
          <w:rFonts w:ascii="Times New Roman" w:hAnsi="Times New Roman" w:cs="Times New Roman"/>
        </w:rPr>
        <w:t>d</w:t>
      </w:r>
      <w:r w:rsidRPr="0001496F">
        <w:rPr>
          <w:rFonts w:ascii="Times New Roman" w:hAnsi="Times New Roman" w:cs="Times New Roman"/>
        </w:rPr>
        <w:t>e « renonciation volontaire et en connaissance de cause au droit d’interjeter appel »</w:t>
      </w:r>
      <w:r w:rsidR="00181FE7" w:rsidRPr="0001496F">
        <w:rPr>
          <w:rStyle w:val="Appelnotedebasdep"/>
          <w:rFonts w:ascii="Times New Roman" w:hAnsi="Times New Roman" w:cs="Times New Roman"/>
        </w:rPr>
        <w:footnoteReference w:id="216"/>
      </w:r>
      <w:r w:rsidR="00181FE7" w:rsidRPr="0001496F">
        <w:rPr>
          <w:rFonts w:ascii="Times New Roman" w:hAnsi="Times New Roman" w:cs="Times New Roman"/>
        </w:rPr>
        <w:t>.</w:t>
      </w:r>
      <w:r w:rsidRPr="0001496F">
        <w:rPr>
          <w:rFonts w:ascii="Times New Roman" w:hAnsi="Times New Roman" w:cs="Times New Roman"/>
        </w:rPr>
        <w:t xml:space="preserve"> </w:t>
      </w:r>
      <w:r w:rsidR="00B63FA7" w:rsidRPr="0001496F">
        <w:rPr>
          <w:rFonts w:ascii="Times New Roman" w:hAnsi="Times New Roman" w:cs="Times New Roman"/>
        </w:rPr>
        <w:t xml:space="preserve">Les travaux </w:t>
      </w:r>
      <w:r w:rsidR="00B63FA7" w:rsidRPr="0001496F">
        <w:rPr>
          <w:rFonts w:ascii="Times New Roman" w:hAnsi="Times New Roman" w:cs="Times New Roman"/>
        </w:rPr>
        <w:lastRenderedPageBreak/>
        <w:t>parlementaires précisent, en réponse à cette remarque du Conseil d’État</w:t>
      </w:r>
      <w:r w:rsidR="00527576" w:rsidRPr="0001496F">
        <w:rPr>
          <w:rFonts w:ascii="Times New Roman" w:hAnsi="Times New Roman" w:cs="Times New Roman"/>
        </w:rPr>
        <w:t>,</w:t>
      </w:r>
      <w:r w:rsidR="00B63FA7" w:rsidRPr="0001496F">
        <w:rPr>
          <w:rFonts w:ascii="Times New Roman" w:hAnsi="Times New Roman" w:cs="Times New Roman"/>
        </w:rPr>
        <w:t xml:space="preserve"> que « tous les moyens de droit sont ouverts contre une peine subsidiaire »</w:t>
      </w:r>
      <w:r w:rsidR="00527576" w:rsidRPr="0001496F">
        <w:rPr>
          <w:rStyle w:val="Appelnotedebasdep"/>
          <w:rFonts w:ascii="Times New Roman" w:hAnsi="Times New Roman" w:cs="Times New Roman"/>
        </w:rPr>
        <w:footnoteReference w:id="217"/>
      </w:r>
      <w:r w:rsidR="00B63FA7" w:rsidRPr="0001496F">
        <w:rPr>
          <w:rFonts w:ascii="Times New Roman" w:hAnsi="Times New Roman" w:cs="Times New Roman"/>
        </w:rPr>
        <w:t xml:space="preserve">. </w:t>
      </w:r>
      <w:r w:rsidR="00527576" w:rsidRPr="0001496F">
        <w:rPr>
          <w:rFonts w:ascii="Times New Roman" w:hAnsi="Times New Roman" w:cs="Times New Roman"/>
        </w:rPr>
        <w:t xml:space="preserve">Malheureusement, la loi elle-même n’est pas aussi explicite. </w:t>
      </w:r>
      <w:r w:rsidRPr="0001496F">
        <w:rPr>
          <w:rFonts w:ascii="Times New Roman" w:hAnsi="Times New Roman" w:cs="Times New Roman"/>
        </w:rPr>
        <w:t>En pratique, il semble que le collaborateur passera devant le juge du fond avant les autres co-inculpés</w:t>
      </w:r>
      <w:r w:rsidRPr="0001496F">
        <w:rPr>
          <w:rStyle w:val="Appelnotedebasdep"/>
          <w:rFonts w:ascii="Times New Roman" w:hAnsi="Times New Roman" w:cs="Times New Roman"/>
        </w:rPr>
        <w:footnoteReference w:id="218"/>
      </w:r>
      <w:r w:rsidRPr="0001496F">
        <w:rPr>
          <w:rFonts w:ascii="Times New Roman" w:hAnsi="Times New Roman" w:cs="Times New Roman"/>
        </w:rPr>
        <w:t>.</w:t>
      </w:r>
    </w:p>
    <w:p w14:paraId="4B631228" w14:textId="77777777" w:rsidR="000C63D9" w:rsidRPr="0001496F" w:rsidRDefault="000C63D9" w:rsidP="0001496F">
      <w:pPr>
        <w:jc w:val="both"/>
        <w:rPr>
          <w:rFonts w:ascii="Times New Roman" w:hAnsi="Times New Roman" w:cs="Times New Roman"/>
        </w:rPr>
      </w:pPr>
    </w:p>
    <w:p w14:paraId="32BC6991" w14:textId="19AEC349" w:rsidR="000C63D9" w:rsidRPr="0001496F" w:rsidRDefault="000C63D9" w:rsidP="0001496F">
      <w:pPr>
        <w:jc w:val="both"/>
        <w:rPr>
          <w:rFonts w:ascii="Times New Roman" w:hAnsi="Times New Roman" w:cs="Times New Roman"/>
        </w:rPr>
      </w:pPr>
      <w:r w:rsidRPr="0001496F">
        <w:rPr>
          <w:rFonts w:ascii="Times New Roman" w:hAnsi="Times New Roman" w:cs="Times New Roman"/>
        </w:rPr>
        <w:t>En cas de rejet de l’homologation, le législateur prévoit deux hypothèses. Soit un nouveau mémorandum est conclu et il sera soumis à l’homologation d’une chambre autrement composée, soit aucun nouveau mémorandum n’est conclu et les faits commis par le collaborateur pourront être attribués à une chambre autrement composée. Dans cette seconde hypothèse, le mémorandum et tous les documents, pièces et communications liés à cette procédure seront écartés des débats. Ils ne peuvent « être utilisés à charge [du collaborateur] dans une autre procédure pénale, civile, administrative, arbitrale ou autre et ne sont pas admissibles comme preuve, même comme aveu extrajudiciaire » (C. i.cr., art. 216/5, § 3). Comme l’indiqu</w:t>
      </w:r>
      <w:r w:rsidR="00A370F6" w:rsidRPr="0001496F">
        <w:rPr>
          <w:rFonts w:ascii="Times New Roman" w:hAnsi="Times New Roman" w:cs="Times New Roman"/>
        </w:rPr>
        <w:t>ait</w:t>
      </w:r>
      <w:r w:rsidRPr="0001496F">
        <w:rPr>
          <w:rFonts w:ascii="Times New Roman" w:hAnsi="Times New Roman" w:cs="Times New Roman"/>
        </w:rPr>
        <w:t xml:space="preserve"> M.-A. Beernaert lors de son audition à la Chambre, la loi aurait dû prévoir que, dans cette hypothèse, tous les éléments de preuve soient inutilisables non seulement contre le collaborateur mais aussi contre les tiers dénoncés</w:t>
      </w:r>
      <w:r w:rsidRPr="0001496F">
        <w:rPr>
          <w:rStyle w:val="Appelnotedebasdep"/>
          <w:rFonts w:ascii="Times New Roman" w:hAnsi="Times New Roman" w:cs="Times New Roman"/>
        </w:rPr>
        <w:footnoteReference w:id="219"/>
      </w:r>
      <w:r w:rsidRPr="0001496F">
        <w:rPr>
          <w:rFonts w:ascii="Times New Roman" w:hAnsi="Times New Roman" w:cs="Times New Roman"/>
        </w:rPr>
        <w:t>. La loi ne précise pas suffisamment le sort des tiers dénoncés lorsque « l’affaire contre [le collaborateur] est attribuée à une chambre autrement composée » (C. i.cr., art. 216/5, §3). Lorsque ces tiers dénoncés sont des complices ou des coauteurs, le ministre de la Justice affirme « que tant le repenti qui a été rejeté par le juge que les coauteurs devront comparaitre devant le même tribunal »</w:t>
      </w:r>
      <w:r w:rsidRPr="0001496F">
        <w:rPr>
          <w:rStyle w:val="Appelnotedebasdep"/>
          <w:rFonts w:ascii="Times New Roman" w:hAnsi="Times New Roman" w:cs="Times New Roman"/>
        </w:rPr>
        <w:footnoteReference w:id="220"/>
      </w:r>
      <w:r w:rsidRPr="0001496F">
        <w:rPr>
          <w:rFonts w:ascii="Times New Roman" w:hAnsi="Times New Roman" w:cs="Times New Roman"/>
        </w:rPr>
        <w:t xml:space="preserve">. </w:t>
      </w:r>
    </w:p>
    <w:p w14:paraId="012A9BC6" w14:textId="77777777" w:rsidR="000C63D9" w:rsidRPr="0001496F" w:rsidRDefault="000C63D9" w:rsidP="0001496F">
      <w:pPr>
        <w:jc w:val="both"/>
        <w:rPr>
          <w:rFonts w:ascii="Times New Roman" w:hAnsi="Times New Roman" w:cs="Times New Roman"/>
        </w:rPr>
      </w:pPr>
    </w:p>
    <w:p w14:paraId="5AA6A1F7" w14:textId="77777777" w:rsidR="000C63D9" w:rsidRPr="0001496F" w:rsidRDefault="000C63D9" w:rsidP="0001496F">
      <w:pPr>
        <w:jc w:val="both"/>
        <w:outlineLvl w:val="0"/>
        <w:rPr>
          <w:rFonts w:ascii="Times New Roman" w:hAnsi="Times New Roman" w:cs="Times New Roman"/>
          <w:lang w:val="fr-BE"/>
        </w:rPr>
      </w:pPr>
      <w:r w:rsidRPr="0001496F">
        <w:rPr>
          <w:rFonts w:ascii="Times New Roman" w:hAnsi="Times New Roman" w:cs="Times New Roman"/>
          <w:lang w:val="fr-BE"/>
        </w:rPr>
        <w:t>2.5. La révocation de la promesse</w:t>
      </w:r>
    </w:p>
    <w:p w14:paraId="45A072EC" w14:textId="77777777" w:rsidR="000C63D9" w:rsidRPr="0001496F" w:rsidRDefault="000C63D9" w:rsidP="0001496F">
      <w:pPr>
        <w:jc w:val="both"/>
        <w:rPr>
          <w:rFonts w:ascii="Times New Roman" w:hAnsi="Times New Roman" w:cs="Times New Roman"/>
          <w:lang w:val="fr-BE"/>
        </w:rPr>
      </w:pPr>
    </w:p>
    <w:p w14:paraId="3765A625" w14:textId="0813383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Les causes de la révocation de la promesse (2.5.1), les autorités compétentes pour prendre une décision de révocation (2.5.2) ainsi que les conséquenc</w:t>
      </w:r>
      <w:r w:rsidR="00A370F6" w:rsidRPr="0001496F">
        <w:rPr>
          <w:rFonts w:ascii="Times New Roman" w:hAnsi="Times New Roman" w:cs="Times New Roman"/>
        </w:rPr>
        <w:t>es de cette dernière (2.5.3) s</w:t>
      </w:r>
      <w:r w:rsidRPr="0001496F">
        <w:rPr>
          <w:rFonts w:ascii="Times New Roman" w:hAnsi="Times New Roman" w:cs="Times New Roman"/>
        </w:rPr>
        <w:t>ont abordées</w:t>
      </w:r>
      <w:r w:rsidR="00A370F6" w:rsidRPr="0001496F">
        <w:rPr>
          <w:rFonts w:ascii="Times New Roman" w:hAnsi="Times New Roman" w:cs="Times New Roman"/>
        </w:rPr>
        <w:t xml:space="preserve"> ici</w:t>
      </w:r>
      <w:r w:rsidRPr="0001496F">
        <w:rPr>
          <w:rFonts w:ascii="Times New Roman" w:hAnsi="Times New Roman" w:cs="Times New Roman"/>
        </w:rPr>
        <w:t>.</w:t>
      </w:r>
    </w:p>
    <w:p w14:paraId="51A3AE2F" w14:textId="77777777" w:rsidR="000C63D9" w:rsidRPr="0001496F" w:rsidRDefault="000C63D9" w:rsidP="0001496F">
      <w:pPr>
        <w:jc w:val="both"/>
        <w:rPr>
          <w:rFonts w:ascii="Times New Roman" w:hAnsi="Times New Roman" w:cs="Times New Roman"/>
        </w:rPr>
      </w:pPr>
    </w:p>
    <w:p w14:paraId="0F5E2BA0" w14:textId="77777777" w:rsidR="000C63D9" w:rsidRPr="0001496F" w:rsidRDefault="000C63D9" w:rsidP="0001496F">
      <w:pPr>
        <w:jc w:val="both"/>
        <w:outlineLvl w:val="0"/>
        <w:rPr>
          <w:rFonts w:ascii="Times New Roman" w:hAnsi="Times New Roman" w:cs="Times New Roman"/>
          <w:lang w:val="fr-BE"/>
        </w:rPr>
      </w:pPr>
      <w:r w:rsidRPr="0001496F">
        <w:rPr>
          <w:rFonts w:ascii="Times New Roman" w:hAnsi="Times New Roman" w:cs="Times New Roman"/>
          <w:lang w:val="fr-BE"/>
        </w:rPr>
        <w:t>2.5.1. Les causes de la révocation</w:t>
      </w:r>
    </w:p>
    <w:p w14:paraId="2ABC57D7" w14:textId="77777777" w:rsidR="000C63D9" w:rsidRPr="0001496F" w:rsidRDefault="000C63D9" w:rsidP="0001496F">
      <w:pPr>
        <w:jc w:val="both"/>
        <w:rPr>
          <w:rFonts w:ascii="Times New Roman" w:hAnsi="Times New Roman" w:cs="Times New Roman"/>
          <w:lang w:val="fr-BE"/>
        </w:rPr>
      </w:pPr>
    </w:p>
    <w:p w14:paraId="1682AE39"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révocation de la promesse n’est jamais obligatoire, elle n’est possible que si le collaborateur (C.i.cr., art. 216/3)</w:t>
      </w:r>
      <w:r w:rsidRPr="0001496F">
        <w:rPr>
          <w:rStyle w:val="Appelnotedebasdep"/>
          <w:rFonts w:ascii="Times New Roman" w:hAnsi="Times New Roman" w:cs="Times New Roman"/>
        </w:rPr>
        <w:footnoteReference w:id="221"/>
      </w:r>
      <w:r w:rsidRPr="0001496F">
        <w:rPr>
          <w:rFonts w:ascii="Times New Roman" w:hAnsi="Times New Roman" w:cs="Times New Roman"/>
        </w:rPr>
        <w:t xml:space="preserve"> : </w:t>
      </w:r>
    </w:p>
    <w:p w14:paraId="2E626F64"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n’a pas respecté les conditions (générales et particulières ; </w:t>
      </w:r>
      <w:r w:rsidRPr="0001496F">
        <w:rPr>
          <w:rFonts w:ascii="Times New Roman" w:hAnsi="Times New Roman" w:cs="Times New Roman"/>
          <w:i/>
        </w:rPr>
        <w:t>cf. supra</w:t>
      </w:r>
      <w:r w:rsidRPr="0001496F">
        <w:rPr>
          <w:rFonts w:ascii="Times New Roman" w:hAnsi="Times New Roman" w:cs="Times New Roman"/>
        </w:rPr>
        <w:t xml:space="preserve"> 2.4.2.1) qu’il avait acceptées dans le mémorandum ; </w:t>
      </w:r>
    </w:p>
    <w:p w14:paraId="11580907"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est condamné par un jugement ou un arrêt coulé en force de chose jugée pour des infractions commises après la date de la conclusion du mémorandum à une peine principale d’emprisonnement d’au moins six mois ; </w:t>
      </w:r>
    </w:p>
    <w:p w14:paraId="795EFFC5"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n’effectue pas les déclarations comme stipulé dans le mémorandum ; </w:t>
      </w:r>
    </w:p>
    <w:p w14:paraId="4C872B8A"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n’indemnise pas le dommage ; </w:t>
      </w:r>
    </w:p>
    <w:p w14:paraId="789E3A73"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a sciemment fait des déclarations incomplètes, non sincères ou non révélatrices concernant les faits visés (par le mémorandum) ; </w:t>
      </w:r>
    </w:p>
    <w:p w14:paraId="69354E81"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a tenté de faire disparaître des preuves ou de s’entendre avec des tiers.</w:t>
      </w:r>
    </w:p>
    <w:p w14:paraId="3D11871A" w14:textId="77777777" w:rsidR="000C63D9" w:rsidRPr="0001496F" w:rsidRDefault="000C63D9" w:rsidP="0001496F">
      <w:pPr>
        <w:ind w:left="708"/>
        <w:jc w:val="both"/>
        <w:rPr>
          <w:rFonts w:ascii="Times New Roman" w:hAnsi="Times New Roman" w:cs="Times New Roman"/>
        </w:rPr>
      </w:pPr>
    </w:p>
    <w:p w14:paraId="6478BAEC" w14:textId="398E9C9A"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loi est ambiguë quant à la cause de révocation relative à l’indemnisation du dommage : elle prévoit que ne doit être repris</w:t>
      </w:r>
      <w:r w:rsidR="007E529B" w:rsidRPr="0001496F">
        <w:rPr>
          <w:rFonts w:ascii="Times New Roman" w:hAnsi="Times New Roman" w:cs="Times New Roman"/>
        </w:rPr>
        <w:t xml:space="preserve">e </w:t>
      </w:r>
      <w:r w:rsidRPr="0001496F">
        <w:rPr>
          <w:rFonts w:ascii="Times New Roman" w:hAnsi="Times New Roman" w:cs="Times New Roman"/>
        </w:rPr>
        <w:t xml:space="preserve">dans le mémorandum que la « volonté d’indemniser le </w:t>
      </w:r>
      <w:r w:rsidRPr="0001496F">
        <w:rPr>
          <w:rFonts w:ascii="Times New Roman" w:hAnsi="Times New Roman" w:cs="Times New Roman"/>
        </w:rPr>
        <w:lastRenderedPageBreak/>
        <w:t>dommage » (C. i. cr., art. 216/2, §1</w:t>
      </w:r>
      <w:r w:rsidRPr="0001496F">
        <w:rPr>
          <w:rFonts w:ascii="Times New Roman" w:hAnsi="Times New Roman" w:cs="Times New Roman"/>
          <w:vertAlign w:val="superscript"/>
        </w:rPr>
        <w:t>er</w:t>
      </w:r>
      <w:r w:rsidRPr="0001496F">
        <w:rPr>
          <w:rFonts w:ascii="Times New Roman" w:hAnsi="Times New Roman" w:cs="Times New Roman"/>
        </w:rPr>
        <w:t>, 4°, f)) mais fait de l’absence d’indemnisation une cause de la révocation (C. i. cr., art. 216/3, 4°). On peut s’interroger sur la rigueur de la sanction prévue par l’article 216/3 du C. i. cr. : une telle révocation n’est-elle pas une sanction disproportionnée, dès lors qu’elle fait potentiellement primer les situations financières de la victime et de l’État sur la liberté et la sécurité du collaborateur ? Dans le même sens, le Collège des procureurs généraux estime que la révocation ne devrait découler que « d’une volonté délibérée de ne pas indemniser [puisque] l’absence d’indemnisation peut découler de circonstances indépendantes de la volonté du condamné (maladie, situation sociale, etc.). »</w:t>
      </w:r>
      <w:r w:rsidRPr="0001496F">
        <w:rPr>
          <w:rStyle w:val="Appelnotedebasdep"/>
          <w:rFonts w:ascii="Times New Roman" w:hAnsi="Times New Roman" w:cs="Times New Roman"/>
        </w:rPr>
        <w:footnoteReference w:id="222"/>
      </w:r>
      <w:r w:rsidRPr="0001496F">
        <w:rPr>
          <w:rFonts w:ascii="Times New Roman" w:hAnsi="Times New Roman" w:cs="Times New Roman"/>
        </w:rPr>
        <w:t>.</w:t>
      </w:r>
    </w:p>
    <w:p w14:paraId="06A7DEB5"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 </w:t>
      </w:r>
    </w:p>
    <w:p w14:paraId="7117799A"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cinquième cause de révocation concerne la qualité des déclarations « concernant les faits visés ». Dans le mémorandum, on retrouve deux types de faits : les faits commis par le collaborateur (C. i. cr., art. 216/2, §1</w:t>
      </w:r>
      <w:r w:rsidRPr="0001496F">
        <w:rPr>
          <w:rFonts w:ascii="Times New Roman" w:hAnsi="Times New Roman" w:cs="Times New Roman"/>
          <w:vertAlign w:val="superscript"/>
        </w:rPr>
        <w:t>er</w:t>
      </w:r>
      <w:r w:rsidRPr="0001496F">
        <w:rPr>
          <w:rFonts w:ascii="Times New Roman" w:hAnsi="Times New Roman" w:cs="Times New Roman"/>
        </w:rPr>
        <w:t>, 4°, a)) et les faits commis par le tiers dénoncé sur lesquels porteront la déclaration (C. i. cr., art. 216/2, §1</w:t>
      </w:r>
      <w:r w:rsidRPr="0001496F">
        <w:rPr>
          <w:rFonts w:ascii="Times New Roman" w:hAnsi="Times New Roman" w:cs="Times New Roman"/>
          <w:vertAlign w:val="superscript"/>
        </w:rPr>
        <w:t>er</w:t>
      </w:r>
      <w:r w:rsidRPr="0001496F">
        <w:rPr>
          <w:rFonts w:ascii="Times New Roman" w:hAnsi="Times New Roman" w:cs="Times New Roman"/>
        </w:rPr>
        <w:t>, 4°, b)). Il nous semble que la révocation de la promesse ne devrait être possible que lorsque le défaut de la déclaration concerne les faits commis par le tiers dénoncé (car c’est bien la déclaration relative à ces faits-là qui est le cœur du dispositif). De plus, le fait de faire des déclarations « non substantielles » n’est pas retenu comme cause possible de révocation, contrairement aux déclarations incomplètes, non sincères ou non révélatrices. Les travaux préparatoires semblent indiquer qu’il n’est pas aisé de déterminer si la fourniture d’une déclaration non substantielle l’a été de manière intentionnelle et malveillante</w:t>
      </w:r>
      <w:r w:rsidRPr="0001496F">
        <w:rPr>
          <w:rStyle w:val="Appelnotedebasdep"/>
          <w:rFonts w:ascii="Times New Roman" w:hAnsi="Times New Roman" w:cs="Times New Roman"/>
        </w:rPr>
        <w:footnoteReference w:id="223"/>
      </w:r>
      <w:r w:rsidRPr="0001496F">
        <w:rPr>
          <w:rFonts w:ascii="Times New Roman" w:hAnsi="Times New Roman" w:cs="Times New Roman"/>
        </w:rPr>
        <w:t>. Il nous semble que le même raisonnement aurait pu s’appliquer aux déclarations non révélatrices.</w:t>
      </w:r>
    </w:p>
    <w:p w14:paraId="2CA0FD76" w14:textId="77777777" w:rsidR="000C63D9" w:rsidRPr="0001496F" w:rsidRDefault="000C63D9" w:rsidP="0001496F">
      <w:pPr>
        <w:jc w:val="both"/>
        <w:rPr>
          <w:rFonts w:ascii="Times New Roman" w:hAnsi="Times New Roman" w:cs="Times New Roman"/>
        </w:rPr>
      </w:pPr>
    </w:p>
    <w:p w14:paraId="37285CBA"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2.5.2. Les autorités compétentes pour révoquer</w:t>
      </w:r>
    </w:p>
    <w:p w14:paraId="227A22A4" w14:textId="77777777" w:rsidR="000C63D9" w:rsidRPr="0001496F" w:rsidRDefault="000C63D9" w:rsidP="0001496F">
      <w:pPr>
        <w:jc w:val="both"/>
        <w:rPr>
          <w:rFonts w:ascii="Times New Roman" w:hAnsi="Times New Roman" w:cs="Times New Roman"/>
        </w:rPr>
      </w:pPr>
    </w:p>
    <w:p w14:paraId="428FA39A"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Pour la promesse relative à l’exercice de l’action publique, le ministère public requiert que le tribunal ou la cour constate le non-respect des conditions, prenne une décision quant à la révocation de la promesse et décide l’exécution de la peine de substitution (C. i. cr., art. 216/5, § 5)</w:t>
      </w:r>
      <w:r w:rsidRPr="0001496F">
        <w:rPr>
          <w:rStyle w:val="Appelnotedebasdep"/>
          <w:rFonts w:ascii="Times New Roman" w:hAnsi="Times New Roman" w:cs="Times New Roman"/>
        </w:rPr>
        <w:footnoteReference w:id="224"/>
      </w:r>
      <w:r w:rsidRPr="0001496F">
        <w:rPr>
          <w:rFonts w:ascii="Times New Roman" w:hAnsi="Times New Roman" w:cs="Times New Roman"/>
        </w:rPr>
        <w:t>. Pour ce faire, l’instance qui avait homologué la promesse entend le collaborateur</w:t>
      </w:r>
      <w:r w:rsidRPr="0001496F">
        <w:rPr>
          <w:rStyle w:val="Appelnotedebasdep"/>
          <w:rFonts w:ascii="Times New Roman" w:hAnsi="Times New Roman" w:cs="Times New Roman"/>
        </w:rPr>
        <w:footnoteReference w:id="225"/>
      </w:r>
      <w:r w:rsidRPr="0001496F">
        <w:rPr>
          <w:rFonts w:ascii="Times New Roman" w:hAnsi="Times New Roman" w:cs="Times New Roman"/>
        </w:rPr>
        <w:t>, son avocat et le ministère public (ainsi que la victime si des conditions ont été imposées dans son intérêt</w:t>
      </w:r>
      <w:r w:rsidRPr="0001496F">
        <w:rPr>
          <w:rStyle w:val="Appelnotedebasdep"/>
          <w:rFonts w:ascii="Times New Roman" w:hAnsi="Times New Roman" w:cs="Times New Roman"/>
        </w:rPr>
        <w:footnoteReference w:id="226"/>
      </w:r>
      <w:r w:rsidRPr="0001496F">
        <w:rPr>
          <w:rFonts w:ascii="Times New Roman" w:hAnsi="Times New Roman" w:cs="Times New Roman"/>
        </w:rPr>
        <w:t>). Une telle révocation peut avoir lieu dans un délai qui est égal à la durée de la peine de substitution</w:t>
      </w:r>
      <w:r w:rsidRPr="0001496F">
        <w:rPr>
          <w:rStyle w:val="Appelnotedebasdep"/>
          <w:rFonts w:ascii="Times New Roman" w:hAnsi="Times New Roman" w:cs="Times New Roman"/>
        </w:rPr>
        <w:footnoteReference w:id="227"/>
      </w:r>
      <w:r w:rsidRPr="0001496F">
        <w:rPr>
          <w:rFonts w:ascii="Times New Roman" w:hAnsi="Times New Roman" w:cs="Times New Roman"/>
        </w:rPr>
        <w:t xml:space="preserve">. Ce délai est de minimum cinq ans si le collaborateur ne fait pas les déclarations prévues ou s’il n’indemnise pas le dommage </w:t>
      </w:r>
      <w:bookmarkStart w:id="4" w:name="_Hlk19089476"/>
      <w:r w:rsidRPr="0001496F">
        <w:rPr>
          <w:rFonts w:ascii="Times New Roman" w:hAnsi="Times New Roman" w:cs="Times New Roman"/>
        </w:rPr>
        <w:t>(C. i. cr., art. 216/5, § 5)</w:t>
      </w:r>
      <w:bookmarkEnd w:id="4"/>
      <w:r w:rsidRPr="0001496F">
        <w:rPr>
          <w:rFonts w:ascii="Times New Roman" w:hAnsi="Times New Roman" w:cs="Times New Roman"/>
        </w:rPr>
        <w:t>.</w:t>
      </w:r>
    </w:p>
    <w:p w14:paraId="1B84235D" w14:textId="77777777" w:rsidR="000C63D9" w:rsidRPr="0001496F" w:rsidRDefault="000C63D9" w:rsidP="0001496F">
      <w:pPr>
        <w:jc w:val="both"/>
        <w:rPr>
          <w:rFonts w:ascii="Times New Roman" w:hAnsi="Times New Roman" w:cs="Times New Roman"/>
        </w:rPr>
      </w:pPr>
    </w:p>
    <w:p w14:paraId="374D6726" w14:textId="7F646E4F"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Pour les promesses relatives à l’exécution de la peine et au lieu de détention, la loi n’évoque pas qui est compétent pour révoquer la promesse. Les travaux préparatoires semblent régler simplement cette question : « Le ministère public </w:t>
      </w:r>
      <w:r w:rsidRPr="0001496F">
        <w:rPr>
          <w:rFonts w:ascii="Times New Roman" w:hAnsi="Times New Roman" w:cs="Times New Roman"/>
          <w:i/>
          <w:iCs/>
        </w:rPr>
        <w:t>constate</w:t>
      </w:r>
      <w:r w:rsidRPr="0001496F">
        <w:rPr>
          <w:rFonts w:ascii="Times New Roman" w:hAnsi="Times New Roman" w:cs="Times New Roman"/>
        </w:rPr>
        <w:t xml:space="preserve"> le non-respect des conditions et </w:t>
      </w:r>
      <w:r w:rsidRPr="0001496F">
        <w:rPr>
          <w:rFonts w:ascii="Times New Roman" w:hAnsi="Times New Roman" w:cs="Times New Roman"/>
          <w:i/>
          <w:iCs/>
        </w:rPr>
        <w:t>n’est plus lié</w:t>
      </w:r>
      <w:r w:rsidRPr="0001496F">
        <w:rPr>
          <w:rFonts w:ascii="Times New Roman" w:hAnsi="Times New Roman" w:cs="Times New Roman"/>
        </w:rPr>
        <w:t xml:space="preserve"> par ses promesses »</w:t>
      </w:r>
      <w:r w:rsidRPr="0001496F">
        <w:rPr>
          <w:rStyle w:val="Appelnotedebasdep"/>
          <w:rFonts w:ascii="Times New Roman" w:hAnsi="Times New Roman" w:cs="Times New Roman"/>
        </w:rPr>
        <w:footnoteReference w:id="228"/>
      </w:r>
      <w:r w:rsidRPr="0001496F">
        <w:rPr>
          <w:rFonts w:ascii="Times New Roman" w:hAnsi="Times New Roman" w:cs="Times New Roman"/>
        </w:rPr>
        <w:t xml:space="preserve">. Il paraît curieux que le ministère public soit à la fois l’auteur de la promesse négociée et de sa révocation éventuelle. Ne faudrait-il pas prévoir ici de transférer </w:t>
      </w:r>
      <w:r w:rsidRPr="0001496F">
        <w:rPr>
          <w:rFonts w:ascii="Times New Roman" w:hAnsi="Times New Roman" w:cs="Times New Roman"/>
        </w:rPr>
        <w:lastRenderedPageBreak/>
        <w:t>la compétence de révocation au Juge de l’application des peines ? Pour ces deux types de promesse</w:t>
      </w:r>
      <w:r w:rsidR="00F35DD0" w:rsidRPr="0001496F">
        <w:rPr>
          <w:rFonts w:ascii="Times New Roman" w:hAnsi="Times New Roman" w:cs="Times New Roman"/>
        </w:rPr>
        <w:t>s,</w:t>
      </w:r>
      <w:r w:rsidRPr="0001496F">
        <w:rPr>
          <w:rFonts w:ascii="Times New Roman" w:hAnsi="Times New Roman" w:cs="Times New Roman"/>
        </w:rPr>
        <w:t xml:space="preserve"> la loi ne prévoit pas le délai dans lequel une révocation peut avoir lieu.</w:t>
      </w:r>
    </w:p>
    <w:p w14:paraId="2F7AF7C5" w14:textId="77777777" w:rsidR="000C63D9" w:rsidRPr="0001496F" w:rsidRDefault="000C63D9" w:rsidP="0001496F">
      <w:pPr>
        <w:jc w:val="both"/>
        <w:rPr>
          <w:rFonts w:ascii="Times New Roman" w:hAnsi="Times New Roman" w:cs="Times New Roman"/>
        </w:rPr>
      </w:pPr>
    </w:p>
    <w:p w14:paraId="1B8007AD"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2.5.3. Les conséquences de la révocation</w:t>
      </w:r>
    </w:p>
    <w:p w14:paraId="19B339CA" w14:textId="77777777" w:rsidR="000C63D9" w:rsidRPr="0001496F" w:rsidRDefault="000C63D9" w:rsidP="0001496F">
      <w:pPr>
        <w:jc w:val="both"/>
        <w:rPr>
          <w:rFonts w:ascii="Times New Roman" w:hAnsi="Times New Roman" w:cs="Times New Roman"/>
        </w:rPr>
      </w:pPr>
    </w:p>
    <w:p w14:paraId="0BBCA7DE" w14:textId="3934574A"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S’il ou elle révoque la promesse relative à l’exercice de l’action publique, le tribunal ou la cour « se prononce de manière autonome et motivée sur l’application » de la peine qu’il ou elle avait </w:t>
      </w:r>
      <w:proofErr w:type="gramStart"/>
      <w:r w:rsidRPr="0001496F">
        <w:rPr>
          <w:rFonts w:ascii="Times New Roman" w:hAnsi="Times New Roman" w:cs="Times New Roman"/>
        </w:rPr>
        <w:t>prévue</w:t>
      </w:r>
      <w:proofErr w:type="gramEnd"/>
      <w:r w:rsidRPr="0001496F">
        <w:rPr>
          <w:rFonts w:ascii="Times New Roman" w:hAnsi="Times New Roman" w:cs="Times New Roman"/>
        </w:rPr>
        <w:t xml:space="preserve"> dans le cas où le collaborateur ne respecte pas le contenu du mémorandum (C. i. cr., art. 216/5, §5)</w:t>
      </w:r>
      <w:r w:rsidRPr="0001496F">
        <w:rPr>
          <w:rStyle w:val="Appelnotedebasdep"/>
          <w:rFonts w:ascii="Times New Roman" w:hAnsi="Times New Roman" w:cs="Times New Roman"/>
        </w:rPr>
        <w:footnoteReference w:id="229"/>
      </w:r>
      <w:r w:rsidRPr="0001496F">
        <w:rPr>
          <w:rFonts w:ascii="Times New Roman" w:hAnsi="Times New Roman" w:cs="Times New Roman"/>
        </w:rPr>
        <w:t>. Ceci amène une question : lorsque cette juridiction se prononce sur l’application de la peine en question, doit-elle reprendre automatiquement le taux prévu à l’époque de l’homologation ? Ou bien peut-elle (doit-elle ?) réduire cette peine en tenant compte de la peine déjà purgée par le collaborateur, voire – à l’instar du Tribunal de l’application des peines lorsqu’il détermine la partie de la peine privative de liberté que doit purger le justiciable après la révocation de sa libération conditionnelle – des efforts fournis par le collaborateur pour respecter les conditions qui lui étaient imposées ? Selon nous, cette réduction de la peine est possible</w:t>
      </w:r>
      <w:r w:rsidR="00210AD5" w:rsidRPr="0001496F">
        <w:rPr>
          <w:rFonts w:ascii="Times New Roman" w:hAnsi="Times New Roman" w:cs="Times New Roman"/>
        </w:rPr>
        <w:t>,</w:t>
      </w:r>
      <w:r w:rsidRPr="0001496F">
        <w:rPr>
          <w:rFonts w:ascii="Times New Roman" w:hAnsi="Times New Roman" w:cs="Times New Roman"/>
        </w:rPr>
        <w:t xml:space="preserve"> car la loi n’exige pas que la cour ou le tribunal prononce la peine fixée mais </w:t>
      </w:r>
      <w:r w:rsidR="00D837E5" w:rsidRPr="0001496F">
        <w:rPr>
          <w:rFonts w:ascii="Times New Roman" w:hAnsi="Times New Roman" w:cs="Times New Roman"/>
        </w:rPr>
        <w:t xml:space="preserve">qu’il ou </w:t>
      </w:r>
      <w:r w:rsidR="00210AD5" w:rsidRPr="0001496F">
        <w:rPr>
          <w:rFonts w:ascii="Times New Roman" w:hAnsi="Times New Roman" w:cs="Times New Roman"/>
        </w:rPr>
        <w:t xml:space="preserve">elle </w:t>
      </w:r>
      <w:r w:rsidRPr="0001496F">
        <w:rPr>
          <w:rFonts w:ascii="Times New Roman" w:hAnsi="Times New Roman" w:cs="Times New Roman"/>
        </w:rPr>
        <w:t xml:space="preserve">se prononce sur l’application de celle-ci. </w:t>
      </w:r>
    </w:p>
    <w:p w14:paraId="5F80ACF0" w14:textId="77777777" w:rsidR="000C63D9" w:rsidRPr="0001496F" w:rsidRDefault="000C63D9" w:rsidP="0001496F">
      <w:pPr>
        <w:jc w:val="both"/>
        <w:rPr>
          <w:rFonts w:ascii="Times New Roman" w:hAnsi="Times New Roman" w:cs="Times New Roman"/>
        </w:rPr>
      </w:pPr>
    </w:p>
    <w:p w14:paraId="6677635A"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Les conséquences de la révocation des promesses relatives à l’exécution de la peine et au lieu de détention ne sont pas évoquées dans la loi.</w:t>
      </w:r>
    </w:p>
    <w:p w14:paraId="0D2B70AE" w14:textId="77777777" w:rsidR="000C63D9" w:rsidRPr="0001496F" w:rsidRDefault="000C63D9" w:rsidP="0001496F">
      <w:pPr>
        <w:jc w:val="both"/>
        <w:rPr>
          <w:rFonts w:ascii="Times New Roman" w:hAnsi="Times New Roman" w:cs="Times New Roman"/>
        </w:rPr>
      </w:pPr>
    </w:p>
    <w:p w14:paraId="568E75C9" w14:textId="4CCC9731" w:rsidR="000C63D9" w:rsidRPr="0001496F" w:rsidRDefault="000C63D9" w:rsidP="0001496F">
      <w:pPr>
        <w:jc w:val="both"/>
        <w:rPr>
          <w:rFonts w:ascii="Times New Roman" w:hAnsi="Times New Roman" w:cs="Times New Roman"/>
        </w:rPr>
      </w:pPr>
      <w:r w:rsidRPr="0001496F">
        <w:rPr>
          <w:rFonts w:ascii="Times New Roman" w:hAnsi="Times New Roman" w:cs="Times New Roman"/>
        </w:rPr>
        <w:t>Dans certaines hypothèses (</w:t>
      </w:r>
      <w:r w:rsidRPr="0001496F">
        <w:rPr>
          <w:rFonts w:ascii="Times New Roman" w:hAnsi="Times New Roman" w:cs="Times New Roman"/>
          <w:i/>
        </w:rPr>
        <w:t>cf. infra</w:t>
      </w:r>
      <w:r w:rsidRPr="0001496F">
        <w:rPr>
          <w:rFonts w:ascii="Times New Roman" w:hAnsi="Times New Roman" w:cs="Times New Roman"/>
        </w:rPr>
        <w:t xml:space="preserve"> 2.7), les mesures de protection dont le collaborateur et les membres de sa famille bénéficient peuvent être retirées. Il nous semble que la révocation de la promesse ne devrait pas se doubler automatiquement d’un retrait de ces mesures de protection. En effet, dans le premier cas, la décision ne concerne que le collaborateur et semble pouvoir être entièrement influencée par une logique punitive. Tandis que dans le second cas, la décision ne concerne pas que le collaborateur (puisque sa famille peut également être impactée) et semble devoir </w:t>
      </w:r>
      <w:r w:rsidR="00C11506" w:rsidRPr="0001496F">
        <w:rPr>
          <w:rFonts w:ascii="Times New Roman" w:hAnsi="Times New Roman" w:cs="Times New Roman"/>
        </w:rPr>
        <w:t>combiner</w:t>
      </w:r>
      <w:r w:rsidRPr="0001496F">
        <w:rPr>
          <w:rFonts w:ascii="Times New Roman" w:hAnsi="Times New Roman" w:cs="Times New Roman"/>
        </w:rPr>
        <w:t xml:space="preserve"> </w:t>
      </w:r>
      <w:proofErr w:type="gramStart"/>
      <w:r w:rsidRPr="0001496F">
        <w:rPr>
          <w:rFonts w:ascii="Times New Roman" w:hAnsi="Times New Roman" w:cs="Times New Roman"/>
        </w:rPr>
        <w:t>des logiques punitive</w:t>
      </w:r>
      <w:proofErr w:type="gramEnd"/>
      <w:r w:rsidRPr="0001496F">
        <w:rPr>
          <w:rFonts w:ascii="Times New Roman" w:hAnsi="Times New Roman" w:cs="Times New Roman"/>
        </w:rPr>
        <w:t xml:space="preserve"> et protectionnelle.</w:t>
      </w:r>
    </w:p>
    <w:p w14:paraId="3249912A" w14:textId="77777777" w:rsidR="000C63D9" w:rsidRPr="0001496F" w:rsidRDefault="000C63D9" w:rsidP="0001496F">
      <w:pPr>
        <w:jc w:val="both"/>
        <w:rPr>
          <w:rFonts w:ascii="Times New Roman" w:hAnsi="Times New Roman" w:cs="Times New Roman"/>
        </w:rPr>
      </w:pPr>
    </w:p>
    <w:p w14:paraId="4B52B65F"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2.6. Les conditions d’utilisation des déclarations</w:t>
      </w:r>
    </w:p>
    <w:p w14:paraId="3F2B4A9B" w14:textId="77777777" w:rsidR="000C63D9" w:rsidRPr="0001496F" w:rsidRDefault="000C63D9" w:rsidP="0001496F">
      <w:pPr>
        <w:jc w:val="both"/>
        <w:rPr>
          <w:rFonts w:ascii="Times New Roman" w:hAnsi="Times New Roman" w:cs="Times New Roman"/>
        </w:rPr>
      </w:pPr>
    </w:p>
    <w:p w14:paraId="7AD9EBF4"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Les déclarations du collaborateur « ne peuvent être prises en considération comme preuve que si elles sont corroborées dans une mesure déterminante par d’autres éléments de preuve » (C. i. cr., art. 216/4, § 2). Comme la corroboration par d’autres moyens de preuve doit se faire « dans une mesure déterminante », cela signifie que « le juge ne peut s’appuyer dans une large mesure ou principalement »</w:t>
      </w:r>
      <w:r w:rsidRPr="0001496F">
        <w:rPr>
          <w:rStyle w:val="Appelnotedebasdep"/>
          <w:rFonts w:ascii="Times New Roman" w:hAnsi="Times New Roman" w:cs="Times New Roman"/>
        </w:rPr>
        <w:footnoteReference w:id="230"/>
      </w:r>
      <w:r w:rsidRPr="0001496F">
        <w:rPr>
          <w:rFonts w:ascii="Times New Roman" w:hAnsi="Times New Roman" w:cs="Times New Roman"/>
        </w:rPr>
        <w:t xml:space="preserve"> sur la déclaration du collaborateur. Ces « autres éléments de preuve » peuvent être obtenus préalablement ou grâce aux déclarations du collaborateur</w:t>
      </w:r>
      <w:r w:rsidRPr="0001496F">
        <w:rPr>
          <w:rStyle w:val="Appelnotedebasdep"/>
          <w:rFonts w:ascii="Times New Roman" w:hAnsi="Times New Roman" w:cs="Times New Roman"/>
        </w:rPr>
        <w:footnoteReference w:id="231"/>
      </w:r>
      <w:r w:rsidRPr="0001496F">
        <w:rPr>
          <w:rFonts w:ascii="Times New Roman" w:hAnsi="Times New Roman" w:cs="Times New Roman"/>
        </w:rPr>
        <w:t xml:space="preserve">. </w:t>
      </w:r>
    </w:p>
    <w:p w14:paraId="153DF311" w14:textId="77777777" w:rsidR="000C63D9" w:rsidRPr="0001496F" w:rsidRDefault="000C63D9" w:rsidP="0001496F">
      <w:pPr>
        <w:jc w:val="both"/>
        <w:rPr>
          <w:rFonts w:ascii="Times New Roman" w:hAnsi="Times New Roman" w:cs="Times New Roman"/>
        </w:rPr>
      </w:pPr>
    </w:p>
    <w:p w14:paraId="04A29DBC"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Les travaux préparatoires précisent que la déclaration doit être « corroborée (…) par des éléments de preuve </w:t>
      </w:r>
      <w:r w:rsidRPr="0001496F">
        <w:rPr>
          <w:rFonts w:ascii="Times New Roman" w:hAnsi="Times New Roman" w:cs="Times New Roman"/>
          <w:i/>
        </w:rPr>
        <w:t>de nature différente </w:t>
      </w:r>
      <w:r w:rsidRPr="0001496F">
        <w:rPr>
          <w:rFonts w:ascii="Times New Roman" w:hAnsi="Times New Roman" w:cs="Times New Roman"/>
        </w:rPr>
        <w:t>»</w:t>
      </w:r>
      <w:r w:rsidRPr="0001496F">
        <w:rPr>
          <w:rStyle w:val="Appelnotedebasdep"/>
          <w:rFonts w:ascii="Times New Roman" w:hAnsi="Times New Roman" w:cs="Times New Roman"/>
        </w:rPr>
        <w:footnoteReference w:id="232"/>
      </w:r>
      <w:r w:rsidRPr="0001496F">
        <w:rPr>
          <w:rFonts w:ascii="Times New Roman" w:hAnsi="Times New Roman" w:cs="Times New Roman"/>
        </w:rPr>
        <w:t>. Ceci implique, selon nous, que l’exigence de corroboration n’est pas respectée si l</w:t>
      </w:r>
      <w:proofErr w:type="gramStart"/>
      <w:r w:rsidRPr="0001496F">
        <w:rPr>
          <w:rFonts w:ascii="Times New Roman" w:hAnsi="Times New Roman" w:cs="Times New Roman"/>
        </w:rPr>
        <w:t>’«</w:t>
      </w:r>
      <w:proofErr w:type="gramEnd"/>
      <w:r w:rsidRPr="0001496F">
        <w:rPr>
          <w:rFonts w:ascii="Times New Roman" w:hAnsi="Times New Roman" w:cs="Times New Roman"/>
        </w:rPr>
        <w:t xml:space="preserve"> autre élément de preuve » est une déclaration d’un autre collaborateur. On peut regretter que la loi n’ait pas repris cette précision. </w:t>
      </w:r>
    </w:p>
    <w:p w14:paraId="6D89DE81" w14:textId="77777777" w:rsidR="000C63D9" w:rsidRPr="0001496F" w:rsidRDefault="000C63D9" w:rsidP="0001496F">
      <w:pPr>
        <w:jc w:val="both"/>
        <w:rPr>
          <w:rFonts w:ascii="Times New Roman" w:hAnsi="Times New Roman" w:cs="Times New Roman"/>
        </w:rPr>
      </w:pPr>
    </w:p>
    <w:p w14:paraId="5D29F751"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lastRenderedPageBreak/>
        <w:t xml:space="preserve">La force probante atténuée de la déclaration se justifie par le fait que les déclarations du collaborateur peuvent être influencées par l’attrait de la promesse ou la vengeance. </w:t>
      </w:r>
    </w:p>
    <w:p w14:paraId="2E01D364" w14:textId="77777777" w:rsidR="000C63D9" w:rsidRPr="0001496F" w:rsidRDefault="000C63D9" w:rsidP="0001496F">
      <w:pPr>
        <w:jc w:val="both"/>
        <w:rPr>
          <w:rFonts w:ascii="Times New Roman" w:hAnsi="Times New Roman" w:cs="Times New Roman"/>
        </w:rPr>
      </w:pPr>
    </w:p>
    <w:p w14:paraId="17176B90" w14:textId="127D4B1F" w:rsidR="000C63D9" w:rsidRPr="0001496F" w:rsidRDefault="000C63D9" w:rsidP="0001496F">
      <w:pPr>
        <w:jc w:val="both"/>
        <w:rPr>
          <w:rFonts w:ascii="Times New Roman" w:hAnsi="Times New Roman" w:cs="Times New Roman"/>
        </w:rPr>
      </w:pPr>
      <w:r w:rsidRPr="0001496F">
        <w:rPr>
          <w:rFonts w:ascii="Times New Roman" w:hAnsi="Times New Roman" w:cs="Times New Roman"/>
        </w:rPr>
        <w:t>Une copie du mémorandum est versée dans tous les dossiers répressifs dans lesquels la déclaration du collaborateur est utilisée (C. i. cr., art., 216/2, §5). De plus, chaque procès-verbal d’audition du collaborateur doit faire référence au mémorandum (C. i. cr., art. 216/4, §2). Ainsi, le juge du fond est « informé du fait que cette déposition n’a pas été faite de manière désintéressée, [ce qui lui permet d’] en déterminer la fiabilité »</w:t>
      </w:r>
      <w:r w:rsidRPr="0001496F">
        <w:rPr>
          <w:rStyle w:val="Appelnotedebasdep"/>
          <w:rFonts w:ascii="Times New Roman" w:hAnsi="Times New Roman" w:cs="Times New Roman"/>
        </w:rPr>
        <w:footnoteReference w:id="233"/>
      </w:r>
      <w:r w:rsidRPr="0001496F">
        <w:rPr>
          <w:rFonts w:ascii="Times New Roman" w:hAnsi="Times New Roman" w:cs="Times New Roman"/>
        </w:rPr>
        <w:t>. La présence du mémorandum dans le dossier répressif du tiers dénoncé « rendra possible le débat contradictoire entre les parties concernées »</w:t>
      </w:r>
      <w:r w:rsidRPr="0001496F">
        <w:rPr>
          <w:rStyle w:val="Appelnotedebasdep"/>
          <w:rFonts w:ascii="Times New Roman" w:hAnsi="Times New Roman" w:cs="Times New Roman"/>
        </w:rPr>
        <w:footnoteReference w:id="234"/>
      </w:r>
      <w:r w:rsidRPr="0001496F">
        <w:rPr>
          <w:rFonts w:ascii="Times New Roman" w:hAnsi="Times New Roman" w:cs="Times New Roman"/>
        </w:rPr>
        <w:t xml:space="preserve">. </w:t>
      </w:r>
    </w:p>
    <w:p w14:paraId="78862AAE" w14:textId="77777777" w:rsidR="000C63D9" w:rsidRPr="0001496F" w:rsidRDefault="000C63D9" w:rsidP="0001496F">
      <w:pPr>
        <w:jc w:val="both"/>
        <w:rPr>
          <w:rFonts w:ascii="Times New Roman" w:hAnsi="Times New Roman" w:cs="Times New Roman"/>
        </w:rPr>
      </w:pPr>
    </w:p>
    <w:p w14:paraId="4E205E54" w14:textId="77777777" w:rsidR="000C63D9" w:rsidRPr="0001496F" w:rsidRDefault="000C63D9" w:rsidP="0001496F">
      <w:pPr>
        <w:jc w:val="both"/>
        <w:outlineLvl w:val="0"/>
        <w:rPr>
          <w:rFonts w:ascii="Times New Roman" w:hAnsi="Times New Roman" w:cs="Times New Roman"/>
          <w:lang w:val="fr-BE"/>
        </w:rPr>
      </w:pPr>
      <w:r w:rsidRPr="0001496F">
        <w:rPr>
          <w:rFonts w:ascii="Times New Roman" w:hAnsi="Times New Roman" w:cs="Times New Roman"/>
          <w:lang w:val="fr-BE"/>
        </w:rPr>
        <w:t>2.7. Les mesures de protection du collaborateur</w:t>
      </w:r>
    </w:p>
    <w:p w14:paraId="4ACFA5F0" w14:textId="77777777" w:rsidR="000C63D9" w:rsidRPr="0001496F" w:rsidRDefault="000C63D9" w:rsidP="0001496F">
      <w:pPr>
        <w:jc w:val="both"/>
        <w:rPr>
          <w:rFonts w:ascii="Times New Roman" w:hAnsi="Times New Roman" w:cs="Times New Roman"/>
          <w:lang w:val="fr-BE"/>
        </w:rPr>
      </w:pPr>
    </w:p>
    <w:p w14:paraId="1B1DD7D5"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Les mesures de protection des témoins menacés sont accessibles aux collaborateurs (2.7.1). Ces mesures sont de plusieurs types (2.7.2). Elles peuvent faire l’objet d’un retrait (2.7.3).</w:t>
      </w:r>
    </w:p>
    <w:p w14:paraId="62EDD294" w14:textId="77777777" w:rsidR="000C63D9" w:rsidRPr="0001496F" w:rsidRDefault="000C63D9" w:rsidP="0001496F">
      <w:pPr>
        <w:jc w:val="both"/>
        <w:rPr>
          <w:rFonts w:ascii="Times New Roman" w:hAnsi="Times New Roman" w:cs="Times New Roman"/>
          <w:lang w:val="fr-BE"/>
        </w:rPr>
      </w:pPr>
    </w:p>
    <w:p w14:paraId="58B46D8D" w14:textId="77777777" w:rsidR="000C63D9" w:rsidRPr="0001496F" w:rsidRDefault="000C63D9" w:rsidP="0001496F">
      <w:pPr>
        <w:jc w:val="both"/>
        <w:outlineLvl w:val="0"/>
        <w:rPr>
          <w:rFonts w:ascii="Times New Roman" w:hAnsi="Times New Roman" w:cs="Times New Roman"/>
          <w:lang w:val="fr-BE"/>
        </w:rPr>
      </w:pPr>
      <w:r w:rsidRPr="0001496F">
        <w:rPr>
          <w:rFonts w:ascii="Times New Roman" w:hAnsi="Times New Roman" w:cs="Times New Roman"/>
          <w:lang w:val="fr-BE"/>
        </w:rPr>
        <w:t>2.7.1. L’accessibilité aux mesures de protection</w:t>
      </w:r>
    </w:p>
    <w:p w14:paraId="1CDBA8BF" w14:textId="77777777" w:rsidR="000C63D9" w:rsidRPr="0001496F" w:rsidRDefault="000C63D9" w:rsidP="0001496F">
      <w:pPr>
        <w:jc w:val="both"/>
        <w:rPr>
          <w:rFonts w:ascii="Times New Roman" w:hAnsi="Times New Roman" w:cs="Times New Roman"/>
          <w:lang w:val="fr-BE"/>
        </w:rPr>
      </w:pPr>
    </w:p>
    <w:p w14:paraId="31E557CB" w14:textId="52365B86"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Avant la loi du 22 juillet 2018, le système belge de protection des témoins menacés (C. i. cr., art. 102 à 111) n’était pas applicable aux témoins qui faisaient des « déclarations dans les causes où ils étaient poursuivis »</w:t>
      </w:r>
      <w:r w:rsidRPr="0001496F">
        <w:rPr>
          <w:rStyle w:val="Appelnotedebasdep"/>
          <w:rFonts w:ascii="Times New Roman" w:hAnsi="Times New Roman" w:cs="Times New Roman"/>
          <w:lang w:val="fr-BE"/>
        </w:rPr>
        <w:footnoteReference w:id="235"/>
      </w:r>
      <w:r w:rsidRPr="0001496F">
        <w:rPr>
          <w:rFonts w:ascii="Times New Roman" w:hAnsi="Times New Roman" w:cs="Times New Roman"/>
          <w:lang w:val="fr-BE"/>
        </w:rPr>
        <w:t xml:space="preserve">. </w:t>
      </w:r>
      <w:r w:rsidR="00861D07" w:rsidRPr="0001496F">
        <w:rPr>
          <w:rFonts w:ascii="Times New Roman" w:hAnsi="Times New Roman" w:cs="Times New Roman"/>
          <w:lang w:val="fr-BE"/>
        </w:rPr>
        <w:t>La loi du 22 juillet 2018 n’a pas modifié</w:t>
      </w:r>
      <w:r w:rsidRPr="0001496F">
        <w:rPr>
          <w:rFonts w:ascii="Times New Roman" w:hAnsi="Times New Roman" w:cs="Times New Roman"/>
          <w:lang w:val="fr-BE"/>
        </w:rPr>
        <w:t xml:space="preserve"> la définition du témoin menacé prévue à l’article 102 du C. i. cr. pour </w:t>
      </w:r>
      <w:r w:rsidR="00861D07" w:rsidRPr="0001496F">
        <w:rPr>
          <w:rFonts w:ascii="Times New Roman" w:hAnsi="Times New Roman" w:cs="Times New Roman"/>
          <w:lang w:val="fr-BE"/>
        </w:rPr>
        <w:t>inclure explicitement les</w:t>
      </w:r>
      <w:r w:rsidRPr="0001496F">
        <w:rPr>
          <w:rFonts w:ascii="Times New Roman" w:hAnsi="Times New Roman" w:cs="Times New Roman"/>
          <w:lang w:val="fr-BE"/>
        </w:rPr>
        <w:t xml:space="preserve"> collaborateurs </w:t>
      </w:r>
      <w:r w:rsidR="00861D07" w:rsidRPr="0001496F">
        <w:rPr>
          <w:rFonts w:ascii="Times New Roman" w:hAnsi="Times New Roman" w:cs="Times New Roman"/>
          <w:lang w:val="fr-BE"/>
        </w:rPr>
        <w:t>dans le système de protection. Mais</w:t>
      </w:r>
      <w:r w:rsidRPr="0001496F">
        <w:rPr>
          <w:rFonts w:ascii="Times New Roman" w:hAnsi="Times New Roman" w:cs="Times New Roman"/>
          <w:lang w:val="fr-BE"/>
        </w:rPr>
        <w:t xml:space="preserve"> les travaux préparatoires indiquent sans ambiguïté que les collaborateurs et leur famille peuvent bénéficier de ce système de protection</w:t>
      </w:r>
      <w:r w:rsidRPr="0001496F">
        <w:rPr>
          <w:rStyle w:val="Appelnotedebasdep"/>
          <w:rFonts w:ascii="Times New Roman" w:hAnsi="Times New Roman" w:cs="Times New Roman"/>
          <w:lang w:val="fr-BE"/>
        </w:rPr>
        <w:footnoteReference w:id="236"/>
      </w:r>
      <w:r w:rsidRPr="0001496F">
        <w:rPr>
          <w:rFonts w:ascii="Times New Roman" w:hAnsi="Times New Roman" w:cs="Times New Roman"/>
          <w:lang w:val="fr-BE"/>
        </w:rPr>
        <w:t>.</w:t>
      </w:r>
    </w:p>
    <w:p w14:paraId="4665C742" w14:textId="77777777" w:rsidR="000C63D9" w:rsidRPr="0001496F" w:rsidRDefault="000C63D9" w:rsidP="0001496F">
      <w:pPr>
        <w:jc w:val="both"/>
        <w:rPr>
          <w:rFonts w:ascii="Times New Roman" w:hAnsi="Times New Roman" w:cs="Times New Roman"/>
          <w:lang w:val="fr-BE"/>
        </w:rPr>
      </w:pPr>
    </w:p>
    <w:p w14:paraId="499A17E0" w14:textId="77777777" w:rsidR="000C63D9" w:rsidRPr="0001496F" w:rsidRDefault="000C63D9" w:rsidP="0001496F">
      <w:pPr>
        <w:jc w:val="both"/>
        <w:outlineLvl w:val="0"/>
        <w:rPr>
          <w:rFonts w:ascii="Times New Roman" w:hAnsi="Times New Roman" w:cs="Times New Roman"/>
          <w:lang w:val="fr-BE"/>
        </w:rPr>
      </w:pPr>
      <w:r w:rsidRPr="0001496F">
        <w:rPr>
          <w:rFonts w:ascii="Times New Roman" w:hAnsi="Times New Roman" w:cs="Times New Roman"/>
          <w:lang w:val="fr-BE"/>
        </w:rPr>
        <w:t>2.7.2. Les types de mesures de protection</w:t>
      </w:r>
    </w:p>
    <w:p w14:paraId="3792D19B" w14:textId="77777777" w:rsidR="000C63D9" w:rsidRPr="0001496F" w:rsidRDefault="000C63D9" w:rsidP="0001496F">
      <w:pPr>
        <w:jc w:val="both"/>
        <w:rPr>
          <w:rFonts w:ascii="Times New Roman" w:hAnsi="Times New Roman" w:cs="Times New Roman"/>
          <w:lang w:val="fr-BE"/>
        </w:rPr>
      </w:pPr>
    </w:p>
    <w:p w14:paraId="167FE9FF"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Les mesures de protection peuvent consister en (C. i. cr., art. 104) : </w:t>
      </w:r>
    </w:p>
    <w:p w14:paraId="4440A870"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 des mesures de protection ordinaires (protection des données auprès de l’état civil, équipement technique préventif, assistance psychologique, organisation de patrouilles policières, enregistrement des appels entrants et sortants, numéro de téléphone secret, plaque d’immatriculation protégée, protection physique rapprochée, relocalisation pour 45 jours maximum, placement dans une section protégée de la prison…) ; </w:t>
      </w:r>
    </w:p>
    <w:p w14:paraId="7F8AB17E"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des mesures de protection spéciales</w:t>
      </w:r>
      <w:r w:rsidRPr="0001496F">
        <w:rPr>
          <w:rStyle w:val="Appelnotedebasdep"/>
          <w:rFonts w:ascii="Times New Roman" w:hAnsi="Times New Roman" w:cs="Times New Roman"/>
          <w:lang w:val="fr-BE"/>
        </w:rPr>
        <w:footnoteReference w:id="237"/>
      </w:r>
      <w:r w:rsidRPr="0001496F">
        <w:rPr>
          <w:rFonts w:ascii="Times New Roman" w:hAnsi="Times New Roman" w:cs="Times New Roman"/>
          <w:lang w:val="fr-BE"/>
        </w:rPr>
        <w:t xml:space="preserve"> (relocalisation pour plus de 45 jours, changement d’identité, identité de protection temporaire) ; </w:t>
      </w:r>
    </w:p>
    <w:p w14:paraId="06C822B1" w14:textId="481EA3DB"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des mesures d’aide financière ;</w:t>
      </w:r>
      <w:r w:rsidR="00B073BA" w:rsidRPr="0001496F">
        <w:rPr>
          <w:rFonts w:ascii="Times New Roman" w:hAnsi="Times New Roman" w:cs="Times New Roman"/>
          <w:lang w:val="fr-BE"/>
        </w:rPr>
        <w:t xml:space="preserve"> </w:t>
      </w:r>
    </w:p>
    <w:p w14:paraId="46E793C7"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lastRenderedPageBreak/>
        <w:t>- des mesures permettant la préservation des droits sociaux et administratifs du collaborateur</w:t>
      </w:r>
      <w:r w:rsidRPr="0001496F">
        <w:rPr>
          <w:rStyle w:val="Appelnotedebasdep"/>
          <w:rFonts w:ascii="Times New Roman" w:hAnsi="Times New Roman" w:cs="Times New Roman"/>
          <w:lang w:val="fr-BE"/>
        </w:rPr>
        <w:footnoteReference w:id="238"/>
      </w:r>
      <w:r w:rsidRPr="0001496F">
        <w:rPr>
          <w:rFonts w:ascii="Times New Roman" w:hAnsi="Times New Roman" w:cs="Times New Roman"/>
          <w:lang w:val="fr-BE"/>
        </w:rPr>
        <w:t xml:space="preserve"> ; </w:t>
      </w:r>
    </w:p>
    <w:p w14:paraId="3D1D0AF7"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 des mesures imposant à toute personne qui, en raison de sa fonction, a connaissance ou prête son concours à des mesures de protection, de garder le secret ; </w:t>
      </w:r>
    </w:p>
    <w:p w14:paraId="1E3A7F1F"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des mesures de surveillance préventives.</w:t>
      </w:r>
    </w:p>
    <w:p w14:paraId="452B967D" w14:textId="77777777" w:rsidR="000C63D9" w:rsidRPr="0001496F" w:rsidRDefault="000C63D9" w:rsidP="0001496F">
      <w:pPr>
        <w:jc w:val="both"/>
        <w:rPr>
          <w:rFonts w:ascii="Times New Roman" w:hAnsi="Times New Roman" w:cs="Times New Roman"/>
          <w:lang w:val="fr-BE"/>
        </w:rPr>
      </w:pPr>
    </w:p>
    <w:p w14:paraId="3439052A"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Ces mesures de « surveillances préventives » sont la grande nouveauté de la loi du 22 juillet 2018 en matière de protection des témoins. L’article 104, § 5 du C. i. cr. ne précise pas ce que recouvrent ces mesures de surveillance préventives. Les travaux préparatoires sont plus explicites. Il s’agit de surveiller tant le « monde physique » que le « monde virtuel » du collaborateur et de sa famille par la « prise de connaissance discrète de courrier », par le monitoring « des technologies de l’information (…) (communications téléphoniques classiques, VoIP, trafic e-mail, médias sociaux, utilisation d’Internet…) », par le monitoring des « moyens de transport », par le monitoring « des finances » et par le monitoring « du nouvel environnement de vie du témoin menacé »</w:t>
      </w:r>
      <w:r w:rsidRPr="0001496F">
        <w:rPr>
          <w:rStyle w:val="Appelnotedebasdep"/>
          <w:rFonts w:ascii="Times New Roman" w:hAnsi="Times New Roman" w:cs="Times New Roman"/>
          <w:lang w:val="fr-BE"/>
        </w:rPr>
        <w:t xml:space="preserve"> </w:t>
      </w:r>
      <w:r w:rsidRPr="0001496F">
        <w:rPr>
          <w:rStyle w:val="Appelnotedebasdep"/>
          <w:rFonts w:ascii="Times New Roman" w:hAnsi="Times New Roman" w:cs="Times New Roman"/>
          <w:lang w:val="fr-BE"/>
        </w:rPr>
        <w:footnoteReference w:id="239"/>
      </w:r>
      <w:r w:rsidRPr="0001496F">
        <w:rPr>
          <w:rFonts w:ascii="Times New Roman" w:hAnsi="Times New Roman" w:cs="Times New Roman"/>
          <w:lang w:val="fr-BE"/>
        </w:rPr>
        <w:t xml:space="preserve">. </w:t>
      </w:r>
    </w:p>
    <w:p w14:paraId="0A87E83D" w14:textId="77777777" w:rsidR="000C63D9" w:rsidRPr="0001496F" w:rsidRDefault="000C63D9" w:rsidP="0001496F">
      <w:pPr>
        <w:jc w:val="both"/>
        <w:rPr>
          <w:rFonts w:ascii="Times New Roman" w:hAnsi="Times New Roman" w:cs="Times New Roman"/>
          <w:lang w:val="fr-BE"/>
        </w:rPr>
      </w:pPr>
    </w:p>
    <w:p w14:paraId="1AE526AF" w14:textId="0F3DFA02"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Il est prévu que cette « surveillance accrue » se fasse « </w:t>
      </w:r>
      <w:r w:rsidRPr="0001496F">
        <w:rPr>
          <w:rFonts w:ascii="Times New Roman" w:hAnsi="Times New Roman" w:cs="Times New Roman"/>
          <w:i/>
          <w:lang w:val="fr-BE"/>
        </w:rPr>
        <w:t>dans le seul but</w:t>
      </w:r>
      <w:r w:rsidRPr="0001496F">
        <w:rPr>
          <w:rFonts w:ascii="Times New Roman" w:hAnsi="Times New Roman" w:cs="Times New Roman"/>
          <w:lang w:val="fr-BE"/>
        </w:rPr>
        <w:t xml:space="preserve"> de garantir la sécurité »</w:t>
      </w:r>
      <w:r w:rsidRPr="0001496F">
        <w:rPr>
          <w:rStyle w:val="Appelnotedebasdep"/>
          <w:rFonts w:ascii="Times New Roman" w:hAnsi="Times New Roman" w:cs="Times New Roman"/>
          <w:lang w:val="fr-BE"/>
        </w:rPr>
        <w:footnoteReference w:id="240"/>
      </w:r>
      <w:r w:rsidRPr="0001496F">
        <w:rPr>
          <w:rFonts w:ascii="Times New Roman" w:hAnsi="Times New Roman" w:cs="Times New Roman"/>
          <w:lang w:val="fr-BE"/>
        </w:rPr>
        <w:t>. Cette dernière phrase est sibylline : la sécurité de qui ? Les travaux préparatoires multiplient les illustrations des bénéficiaires potentiels de ces mesures de surveillance : le collaborateur et sa famille</w:t>
      </w:r>
      <w:r w:rsidR="00FC46E4" w:rsidRPr="0001496F">
        <w:rPr>
          <w:rFonts w:ascii="Times New Roman" w:hAnsi="Times New Roman" w:cs="Times New Roman"/>
          <w:lang w:val="fr-BE"/>
        </w:rPr>
        <w:t xml:space="preserve"> (protection de leurs intégrité</w:t>
      </w:r>
      <w:r w:rsidR="00CD1C94" w:rsidRPr="0001496F">
        <w:rPr>
          <w:rFonts w:ascii="Times New Roman" w:hAnsi="Times New Roman" w:cs="Times New Roman"/>
          <w:lang w:val="fr-BE"/>
        </w:rPr>
        <w:t xml:space="preserve">s </w:t>
      </w:r>
      <w:r w:rsidR="00FC46E4" w:rsidRPr="0001496F">
        <w:rPr>
          <w:rFonts w:ascii="Times New Roman" w:hAnsi="Times New Roman" w:cs="Times New Roman"/>
          <w:lang w:val="fr-BE"/>
        </w:rPr>
        <w:t>physique et psychologique</w:t>
      </w:r>
      <w:r w:rsidRPr="0001496F">
        <w:rPr>
          <w:rFonts w:ascii="Times New Roman" w:hAnsi="Times New Roman" w:cs="Times New Roman"/>
          <w:lang w:val="fr-BE"/>
        </w:rPr>
        <w:t>), les fonctionnaires de police et les membres du personnel des établissements pénitentiaires</w:t>
      </w:r>
      <w:r w:rsidR="00A0341D" w:rsidRPr="0001496F">
        <w:rPr>
          <w:rFonts w:ascii="Times New Roman" w:hAnsi="Times New Roman" w:cs="Times New Roman"/>
          <w:lang w:val="fr-BE"/>
        </w:rPr>
        <w:t xml:space="preserve"> (protection de leurs intégrité</w:t>
      </w:r>
      <w:r w:rsidR="00C7493F" w:rsidRPr="0001496F">
        <w:rPr>
          <w:rFonts w:ascii="Times New Roman" w:hAnsi="Times New Roman" w:cs="Times New Roman"/>
          <w:lang w:val="fr-BE"/>
        </w:rPr>
        <w:t xml:space="preserve">s </w:t>
      </w:r>
      <w:r w:rsidR="00A0341D" w:rsidRPr="0001496F">
        <w:rPr>
          <w:rFonts w:ascii="Times New Roman" w:hAnsi="Times New Roman" w:cs="Times New Roman"/>
          <w:lang w:val="fr-BE"/>
        </w:rPr>
        <w:t>physique</w:t>
      </w:r>
      <w:r w:rsidR="00C7493F" w:rsidRPr="0001496F">
        <w:rPr>
          <w:rFonts w:ascii="Times New Roman" w:hAnsi="Times New Roman" w:cs="Times New Roman"/>
          <w:lang w:val="fr-BE"/>
        </w:rPr>
        <w:t>s)</w:t>
      </w:r>
      <w:r w:rsidRPr="0001496F">
        <w:rPr>
          <w:rFonts w:ascii="Times New Roman" w:hAnsi="Times New Roman" w:cs="Times New Roman"/>
          <w:lang w:val="fr-BE"/>
        </w:rPr>
        <w:t>, le système de protection lui-même (protection de son intégrité</w:t>
      </w:r>
      <w:r w:rsidRPr="0001496F">
        <w:rPr>
          <w:rStyle w:val="Appelnotedebasdep"/>
          <w:rFonts w:ascii="Times New Roman" w:hAnsi="Times New Roman" w:cs="Times New Roman"/>
          <w:lang w:val="fr-BE"/>
        </w:rPr>
        <w:footnoteReference w:id="241"/>
      </w:r>
      <w:r w:rsidRPr="0001496F">
        <w:rPr>
          <w:rFonts w:ascii="Times New Roman" w:hAnsi="Times New Roman" w:cs="Times New Roman"/>
          <w:lang w:val="fr-BE"/>
        </w:rPr>
        <w:t>) et l’État (compression des coûts)</w:t>
      </w:r>
      <w:r w:rsidRPr="0001496F">
        <w:rPr>
          <w:rStyle w:val="Appelnotedebasdep"/>
          <w:rFonts w:ascii="Times New Roman" w:hAnsi="Times New Roman" w:cs="Times New Roman"/>
          <w:lang w:val="fr-BE"/>
        </w:rPr>
        <w:footnoteReference w:id="242"/>
      </w:r>
      <w:r w:rsidRPr="0001496F">
        <w:rPr>
          <w:rFonts w:ascii="Times New Roman" w:hAnsi="Times New Roman" w:cs="Times New Roman"/>
          <w:lang w:val="fr-BE"/>
        </w:rPr>
        <w:t>. On peut évidemment aussi se demander si ces mesures de surveillance n’ont pas d’autres buts que la sécurité de ces différents acteurs, dans la mesure où elles permettent, par exemple, de récolter des indices sur d’éventuels nouveaux comportements criminels du collaborateur. Les travaux préparatoires n’évoquent guère ce point. Ils justifient plutôt l’intérêt de ces nouvelles mesures par la nécessité de surveiller le comportement involontaire, mais problématique, des enfants du collaborateur qui communiquent des informations (</w:t>
      </w:r>
      <w:r w:rsidR="00A0341D" w:rsidRPr="0001496F">
        <w:rPr>
          <w:rFonts w:ascii="Times New Roman" w:hAnsi="Times New Roman" w:cs="Times New Roman"/>
          <w:i/>
          <w:lang w:val="fr-BE"/>
        </w:rPr>
        <w:t>via</w:t>
      </w:r>
      <w:r w:rsidRPr="0001496F">
        <w:rPr>
          <w:rFonts w:ascii="Times New Roman" w:hAnsi="Times New Roman" w:cs="Times New Roman"/>
          <w:lang w:val="fr-BE"/>
        </w:rPr>
        <w:t xml:space="preserve"> les médias sociaux) sur leurs nouvelles vies. Le comportement des enfants est ici mis en avant pour justifier un contrôle préventif fort de leurs parents. L’intensité de ce contrôle est telle que le législateur a prévu que le collaborateur est informé par écrit de la possibilité de ces mesures de surveillances préventives (C. i. cr., art. 104, § 5). Ces mesures préventives sont décidées par le procureur fédéral. Le législateur ne justifie pas cette exception à la compétence de la commission de protection des témoins. </w:t>
      </w:r>
    </w:p>
    <w:p w14:paraId="6409B5BA" w14:textId="77777777" w:rsidR="000C63D9" w:rsidRPr="0001496F" w:rsidRDefault="000C63D9" w:rsidP="0001496F">
      <w:pPr>
        <w:jc w:val="both"/>
        <w:rPr>
          <w:rFonts w:ascii="Times New Roman" w:hAnsi="Times New Roman" w:cs="Times New Roman"/>
          <w:lang w:val="fr-BE"/>
        </w:rPr>
      </w:pPr>
    </w:p>
    <w:p w14:paraId="638D9C93" w14:textId="77777777" w:rsidR="000C63D9" w:rsidRPr="0001496F" w:rsidRDefault="000C63D9" w:rsidP="0001496F">
      <w:pPr>
        <w:jc w:val="both"/>
        <w:outlineLvl w:val="0"/>
        <w:rPr>
          <w:rFonts w:ascii="Times New Roman" w:hAnsi="Times New Roman" w:cs="Times New Roman"/>
          <w:lang w:val="fr-BE"/>
        </w:rPr>
      </w:pPr>
      <w:r w:rsidRPr="0001496F">
        <w:rPr>
          <w:rFonts w:ascii="Times New Roman" w:hAnsi="Times New Roman" w:cs="Times New Roman"/>
          <w:lang w:val="fr-BE"/>
        </w:rPr>
        <w:t>2.7.3. Le retrait des mesures de protection</w:t>
      </w:r>
    </w:p>
    <w:p w14:paraId="4ABCA4D8" w14:textId="77777777" w:rsidR="000C63D9" w:rsidRPr="0001496F" w:rsidRDefault="000C63D9" w:rsidP="0001496F">
      <w:pPr>
        <w:jc w:val="both"/>
        <w:rPr>
          <w:rFonts w:ascii="Times New Roman" w:hAnsi="Times New Roman" w:cs="Times New Roman"/>
          <w:lang w:val="fr-BE"/>
        </w:rPr>
      </w:pPr>
    </w:p>
    <w:p w14:paraId="420CCC75"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L’article 108 du C. i. cr. prévoit les hypothèses où ces différentes mesures de protection peuvent être retirées. C’est le cas lorsque : </w:t>
      </w:r>
    </w:p>
    <w:p w14:paraId="000C841E"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la personne « n’est plus en danger »</w:t>
      </w:r>
      <w:r w:rsidRPr="0001496F">
        <w:rPr>
          <w:rStyle w:val="Appelnotedebasdep"/>
          <w:rFonts w:ascii="Times New Roman" w:hAnsi="Times New Roman" w:cs="Times New Roman"/>
          <w:lang w:val="fr-BE"/>
        </w:rPr>
        <w:footnoteReference w:id="243"/>
      </w:r>
      <w:r w:rsidRPr="0001496F">
        <w:rPr>
          <w:rFonts w:ascii="Times New Roman" w:hAnsi="Times New Roman" w:cs="Times New Roman"/>
          <w:lang w:val="fr-BE"/>
        </w:rPr>
        <w:t xml:space="preserve"> ; </w:t>
      </w:r>
    </w:p>
    <w:p w14:paraId="7B351DAE"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 la personne est « soupçonnée d’avoir commis un délit ou un crime après l’octroi des mesures de protection » ; </w:t>
      </w:r>
    </w:p>
    <w:p w14:paraId="3FC0918D"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lastRenderedPageBreak/>
        <w:t xml:space="preserve">- la personne, après l’octroi des mesures de protection, est déclarée coupable (ou a bénéficié d’une médiation ou d’une transaction pénale) d’un fait pouvant donner lieu à une peine d’emprisonnement d’un an ou à une peine plus lourde ; </w:t>
      </w:r>
    </w:p>
    <w:p w14:paraId="599CA0B8"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xml:space="preserve">- la personne a posé un quelconque acte portant préjudice aux mesures de protection octroyées ; </w:t>
      </w:r>
    </w:p>
    <w:p w14:paraId="68CE8C28"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 la personne ne respecte pas les dispositions du mémorandum</w:t>
      </w:r>
      <w:r w:rsidRPr="0001496F">
        <w:rPr>
          <w:rStyle w:val="Appelnotedebasdep"/>
          <w:rFonts w:ascii="Times New Roman" w:hAnsi="Times New Roman" w:cs="Times New Roman"/>
          <w:lang w:val="fr-BE"/>
        </w:rPr>
        <w:footnoteReference w:id="244"/>
      </w:r>
      <w:r w:rsidRPr="0001496F">
        <w:rPr>
          <w:rFonts w:ascii="Times New Roman" w:hAnsi="Times New Roman" w:cs="Times New Roman"/>
          <w:lang w:val="fr-BE"/>
        </w:rPr>
        <w:t>.</w:t>
      </w:r>
    </w:p>
    <w:p w14:paraId="56E3C826" w14:textId="77777777" w:rsidR="000C63D9" w:rsidRPr="0001496F" w:rsidRDefault="000C63D9" w:rsidP="0001496F">
      <w:pPr>
        <w:jc w:val="both"/>
        <w:rPr>
          <w:rFonts w:ascii="Times New Roman" w:hAnsi="Times New Roman" w:cs="Times New Roman"/>
          <w:lang w:val="fr-BE"/>
        </w:rPr>
      </w:pPr>
    </w:p>
    <w:p w14:paraId="7B82500A" w14:textId="77777777" w:rsidR="000C63D9" w:rsidRPr="0001496F" w:rsidRDefault="000C63D9" w:rsidP="0001496F">
      <w:pPr>
        <w:jc w:val="both"/>
        <w:rPr>
          <w:rFonts w:ascii="Times New Roman" w:hAnsi="Times New Roman" w:cs="Times New Roman"/>
          <w:lang w:val="fr-BE"/>
        </w:rPr>
      </w:pPr>
      <w:r w:rsidRPr="0001496F">
        <w:rPr>
          <w:rFonts w:ascii="Times New Roman" w:hAnsi="Times New Roman" w:cs="Times New Roman"/>
          <w:lang w:val="fr-BE"/>
        </w:rPr>
        <w:t>La commission de protection des témoins statue sur la question du retrait à la majorité des voix, de manière motivée et en tenant compte des principes de subsidiarité et de proportionnalité (C. i. cr., art. 109). Cette décision n’est susceptible d’aucun recours (C. i. cr., art. 109, § 7). Il serait peut-être intéressant (pour mieux articuler la logique protectionnelle et la logique punitive) de prévoir que le retrait des mesures octroyées au collaborateur n’entraine pas automatiquement ce même retrait pour les membres de sa famille. Cette possibilité, sans doute difficile à mettre en pratique, est actuellement impossible (C. i. cr., art. 110).</w:t>
      </w:r>
    </w:p>
    <w:p w14:paraId="51458199" w14:textId="77777777" w:rsidR="000C63D9" w:rsidRPr="0001496F" w:rsidRDefault="000C63D9" w:rsidP="0001496F">
      <w:pPr>
        <w:jc w:val="both"/>
        <w:rPr>
          <w:rFonts w:ascii="Times New Roman" w:hAnsi="Times New Roman" w:cs="Times New Roman"/>
          <w:lang w:val="fr-BE"/>
        </w:rPr>
      </w:pPr>
    </w:p>
    <w:p w14:paraId="7289AF0F"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2.8. Le contrôle et l’évaluation du dispositif de collaboration</w:t>
      </w:r>
    </w:p>
    <w:p w14:paraId="270DC28B" w14:textId="77777777" w:rsidR="000C63D9" w:rsidRPr="0001496F" w:rsidRDefault="000C63D9" w:rsidP="0001496F">
      <w:pPr>
        <w:jc w:val="both"/>
        <w:rPr>
          <w:rFonts w:ascii="Times New Roman" w:hAnsi="Times New Roman" w:cs="Times New Roman"/>
        </w:rPr>
      </w:pPr>
    </w:p>
    <w:p w14:paraId="55ED1E25" w14:textId="0B8BF786"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législateur a prévu, pour un dispositif fré</w:t>
      </w:r>
      <w:r w:rsidR="000A3670" w:rsidRPr="0001496F">
        <w:rPr>
          <w:rFonts w:ascii="Times New Roman" w:hAnsi="Times New Roman" w:cs="Times New Roman"/>
        </w:rPr>
        <w:t>quemment critiqué au niveau de sa moralité et de s</w:t>
      </w:r>
      <w:r w:rsidRPr="0001496F">
        <w:rPr>
          <w:rFonts w:ascii="Times New Roman" w:hAnsi="Times New Roman" w:cs="Times New Roman"/>
        </w:rPr>
        <w:t>a fiabilité</w:t>
      </w:r>
      <w:r w:rsidRPr="0001496F">
        <w:rPr>
          <w:rStyle w:val="Appelnotedebasdep"/>
          <w:rFonts w:ascii="Times New Roman" w:hAnsi="Times New Roman" w:cs="Times New Roman"/>
        </w:rPr>
        <w:footnoteReference w:id="245"/>
      </w:r>
      <w:r w:rsidRPr="0001496F">
        <w:rPr>
          <w:rFonts w:ascii="Times New Roman" w:hAnsi="Times New Roman" w:cs="Times New Roman"/>
        </w:rPr>
        <w:t>, un mécanisme d’évaluation et de contrôle. En effet, le ministre de la Justice doit faire un rapport annuellement à la Chambre des représentants (C. i. cr., art. 216/8). Le rapport doit indiquer le nombre d’instructions, le nombre de personnes concernées</w:t>
      </w:r>
      <w:r w:rsidRPr="0001496F">
        <w:rPr>
          <w:rStyle w:val="Appelnotedebasdep"/>
          <w:rFonts w:ascii="Times New Roman" w:hAnsi="Times New Roman" w:cs="Times New Roman"/>
        </w:rPr>
        <w:footnoteReference w:id="246"/>
      </w:r>
      <w:r w:rsidRPr="0001496F">
        <w:rPr>
          <w:rFonts w:ascii="Times New Roman" w:hAnsi="Times New Roman" w:cs="Times New Roman"/>
        </w:rPr>
        <w:t xml:space="preserve"> et les résultats obtenus dans le cadre du dispositif de collaboration. Le ministre de la </w:t>
      </w:r>
      <w:r w:rsidR="00006F83" w:rsidRPr="0001496F">
        <w:rPr>
          <w:rFonts w:ascii="Times New Roman" w:hAnsi="Times New Roman" w:cs="Times New Roman"/>
        </w:rPr>
        <w:t>J</w:t>
      </w:r>
      <w:r w:rsidRPr="0001496F">
        <w:rPr>
          <w:rFonts w:ascii="Times New Roman" w:hAnsi="Times New Roman" w:cs="Times New Roman"/>
        </w:rPr>
        <w:t>ustice évoque un quatrième élément devant figurer dans ce rapport : les infractions commises par les personnes impliquées</w:t>
      </w:r>
      <w:r w:rsidRPr="0001496F">
        <w:rPr>
          <w:rStyle w:val="Appelnotedebasdep"/>
          <w:rFonts w:ascii="Times New Roman" w:hAnsi="Times New Roman" w:cs="Times New Roman"/>
        </w:rPr>
        <w:footnoteReference w:id="247"/>
      </w:r>
      <w:r w:rsidRPr="0001496F">
        <w:rPr>
          <w:rFonts w:ascii="Times New Roman" w:hAnsi="Times New Roman" w:cs="Times New Roman"/>
        </w:rPr>
        <w:t xml:space="preserve">. Cette information, qui n’est pas reprise par la loi, </w:t>
      </w:r>
      <w:bookmarkStart w:id="5" w:name="_Hlk23414545"/>
      <w:r w:rsidRPr="0001496F">
        <w:rPr>
          <w:rFonts w:ascii="Times New Roman" w:hAnsi="Times New Roman" w:cs="Times New Roman"/>
        </w:rPr>
        <w:t>aurait pu être intéressante.</w:t>
      </w:r>
    </w:p>
    <w:bookmarkEnd w:id="5"/>
    <w:p w14:paraId="24FD4866" w14:textId="401A3F06" w:rsidR="0056504E" w:rsidRPr="0001496F" w:rsidRDefault="0056504E" w:rsidP="0001496F">
      <w:pPr>
        <w:jc w:val="both"/>
        <w:rPr>
          <w:rFonts w:ascii="Times New Roman" w:hAnsi="Times New Roman" w:cs="Times New Roman"/>
        </w:rPr>
      </w:pPr>
    </w:p>
    <w:p w14:paraId="616DB0E4" w14:textId="465A9A3F" w:rsidR="0056504E" w:rsidRPr="0001496F" w:rsidRDefault="0056504E" w:rsidP="0001496F">
      <w:pPr>
        <w:jc w:val="both"/>
        <w:outlineLvl w:val="0"/>
        <w:rPr>
          <w:rFonts w:ascii="Times New Roman" w:hAnsi="Times New Roman" w:cs="Times New Roman"/>
        </w:rPr>
      </w:pPr>
      <w:r w:rsidRPr="0001496F">
        <w:rPr>
          <w:rFonts w:ascii="Times New Roman" w:hAnsi="Times New Roman" w:cs="Times New Roman"/>
        </w:rPr>
        <w:t xml:space="preserve">2.9. La loi du 22 juillet 2018 sous le regard de la Cour constitutionnelle </w:t>
      </w:r>
    </w:p>
    <w:p w14:paraId="4827F3D8" w14:textId="77777777" w:rsidR="0056504E" w:rsidRPr="0001496F" w:rsidRDefault="0056504E" w:rsidP="0001496F">
      <w:pPr>
        <w:jc w:val="both"/>
        <w:rPr>
          <w:rFonts w:ascii="Times New Roman" w:hAnsi="Times New Roman" w:cs="Times New Roman"/>
        </w:rPr>
      </w:pPr>
    </w:p>
    <w:p w14:paraId="1D00B670" w14:textId="3A21F0F1" w:rsidR="0056504E" w:rsidRPr="0001496F" w:rsidRDefault="0056504E" w:rsidP="0001496F">
      <w:pPr>
        <w:jc w:val="both"/>
        <w:rPr>
          <w:rFonts w:ascii="Times New Roman" w:hAnsi="Times New Roman" w:cs="Times New Roman"/>
        </w:rPr>
      </w:pPr>
      <w:r w:rsidRPr="0001496F">
        <w:rPr>
          <w:rFonts w:ascii="Times New Roman" w:hAnsi="Times New Roman" w:cs="Times New Roman"/>
        </w:rPr>
        <w:t xml:space="preserve">Deux recours ont été introduits, par deux des personnes inculpées </w:t>
      </w:r>
      <w:r w:rsidRPr="0001496F">
        <w:rPr>
          <w:rFonts w:ascii="Times New Roman" w:hAnsi="Times New Roman" w:cs="Times New Roman"/>
          <w:bCs/>
          <w:lang w:val="fr-BE"/>
        </w:rPr>
        <w:t>dans le cadre d’une instruction judiciaire recourant au régime des repentis</w:t>
      </w:r>
      <w:r w:rsidRPr="0001496F">
        <w:rPr>
          <w:rFonts w:ascii="Times New Roman" w:hAnsi="Times New Roman" w:cs="Times New Roman"/>
        </w:rPr>
        <w:t xml:space="preserve"> (affaire du « Footgate » toujours en cours, voy. </w:t>
      </w:r>
      <w:proofErr w:type="gramStart"/>
      <w:r w:rsidRPr="0001496F">
        <w:rPr>
          <w:rFonts w:ascii="Times New Roman" w:hAnsi="Times New Roman" w:cs="Times New Roman"/>
          <w:i/>
        </w:rPr>
        <w:t>infra</w:t>
      </w:r>
      <w:proofErr w:type="gramEnd"/>
      <w:r w:rsidRPr="0001496F">
        <w:rPr>
          <w:rFonts w:ascii="Times New Roman" w:hAnsi="Times New Roman" w:cs="Times New Roman"/>
        </w:rPr>
        <w:t>), devant la Cour Constitutionnelle en vue d’annuler certaines dispositions de la loi du 22 juillet 2018</w:t>
      </w:r>
      <w:r w:rsidRPr="0001496F">
        <w:rPr>
          <w:rStyle w:val="Appelnotedebasdep"/>
          <w:rFonts w:ascii="Times New Roman" w:hAnsi="Times New Roman" w:cs="Times New Roman"/>
        </w:rPr>
        <w:footnoteReference w:id="248"/>
      </w:r>
      <w:r w:rsidRPr="0001496F">
        <w:rPr>
          <w:rFonts w:ascii="Times New Roman" w:hAnsi="Times New Roman" w:cs="Times New Roman"/>
        </w:rPr>
        <w:t xml:space="preserve">. </w:t>
      </w:r>
    </w:p>
    <w:p w14:paraId="4325139C" w14:textId="77777777" w:rsidR="0056504E" w:rsidRPr="0001496F" w:rsidRDefault="0056504E" w:rsidP="0001496F">
      <w:pPr>
        <w:jc w:val="both"/>
        <w:rPr>
          <w:rFonts w:ascii="Times New Roman" w:hAnsi="Times New Roman" w:cs="Times New Roman"/>
          <w:bCs/>
          <w:lang w:val="fr-BE"/>
        </w:rPr>
      </w:pPr>
    </w:p>
    <w:p w14:paraId="3F63B763" w14:textId="515C5799" w:rsidR="0056504E" w:rsidRPr="0001496F" w:rsidRDefault="0056504E" w:rsidP="0001496F">
      <w:pPr>
        <w:jc w:val="both"/>
        <w:rPr>
          <w:rFonts w:ascii="Times New Roman" w:hAnsi="Times New Roman" w:cs="Times New Roman"/>
          <w:bCs/>
          <w:lang w:val="fr-BE"/>
        </w:rPr>
      </w:pPr>
      <w:r w:rsidRPr="0001496F">
        <w:rPr>
          <w:rFonts w:ascii="Times New Roman" w:hAnsi="Times New Roman" w:cs="Times New Roman"/>
          <w:bCs/>
          <w:lang w:val="fr-BE"/>
        </w:rPr>
        <w:t>Les parties requérantes ont évoqué</w:t>
      </w:r>
      <w:r w:rsidR="009C0CB1" w:rsidRPr="0001496F">
        <w:rPr>
          <w:rFonts w:ascii="Times New Roman" w:hAnsi="Times New Roman" w:cs="Times New Roman"/>
          <w:bCs/>
          <w:lang w:val="fr-BE"/>
        </w:rPr>
        <w:t>,</w:t>
      </w:r>
      <w:r w:rsidRPr="0001496F">
        <w:rPr>
          <w:rFonts w:ascii="Times New Roman" w:hAnsi="Times New Roman" w:cs="Times New Roman"/>
          <w:bCs/>
          <w:lang w:val="fr-BE"/>
        </w:rPr>
        <w:t xml:space="preserve"> </w:t>
      </w:r>
      <w:r w:rsidR="00702BEC" w:rsidRPr="0001496F">
        <w:rPr>
          <w:rFonts w:ascii="Times New Roman" w:hAnsi="Times New Roman" w:cs="Times New Roman"/>
          <w:bCs/>
          <w:lang w:val="fr-BE"/>
        </w:rPr>
        <w:t xml:space="preserve">pour l’une </w:t>
      </w:r>
      <w:r w:rsidRPr="0001496F">
        <w:rPr>
          <w:rFonts w:ascii="Times New Roman" w:hAnsi="Times New Roman" w:cs="Times New Roman"/>
          <w:bCs/>
          <w:lang w:val="fr-BE"/>
        </w:rPr>
        <w:t>huit moyens</w:t>
      </w:r>
      <w:r w:rsidR="00702BEC" w:rsidRPr="0001496F">
        <w:rPr>
          <w:rFonts w:ascii="Times New Roman" w:hAnsi="Times New Roman" w:cs="Times New Roman"/>
          <w:bCs/>
          <w:lang w:val="fr-BE"/>
        </w:rPr>
        <w:t xml:space="preserve"> et pour l’autre quatre moyens</w:t>
      </w:r>
      <w:r w:rsidR="009C0CB1" w:rsidRPr="0001496F">
        <w:rPr>
          <w:rFonts w:ascii="Times New Roman" w:hAnsi="Times New Roman" w:cs="Times New Roman"/>
          <w:bCs/>
          <w:lang w:val="fr-BE"/>
        </w:rPr>
        <w:t>,</w:t>
      </w:r>
      <w:r w:rsidRPr="0001496F">
        <w:rPr>
          <w:rFonts w:ascii="Times New Roman" w:hAnsi="Times New Roman" w:cs="Times New Roman"/>
          <w:bCs/>
          <w:lang w:val="fr-BE"/>
        </w:rPr>
        <w:t xml:space="preserve"> à l’appui de leurs recours, essentiellement sous l’angle de la violation des articles 10 et 11 de la Constitution (principe d’égalité et de non-discrimination), lus en combinaison avec le principe de légalité, avec le principe de la sécurité juridique et avec l’article 6 de la Convention européenne des droits de l’homme. Les griefs portent sur l’application du régime des repentis dans le cadre de l’exercice de l’action publique, et plus précisément sur les rôles respectifs du procureur du Roi et du juge d’instruction; le champ d’application du régime des repentis; le respect du principe du contradictoire; la présomption d’innocence; les promesses de peines; la révocation de la promesse; le renvoi après révocation; le droit de consultation du dossier répressif ; la confidentialité des pièces et le contrôle judiciaire</w:t>
      </w:r>
      <w:r w:rsidR="00702BEC" w:rsidRPr="0001496F">
        <w:rPr>
          <w:rFonts w:ascii="Times New Roman" w:hAnsi="Times New Roman" w:cs="Times New Roman"/>
          <w:bCs/>
          <w:lang w:val="fr-BE"/>
        </w:rPr>
        <w:t xml:space="preserve"> (cons. B.2.5.)</w:t>
      </w:r>
      <w:r w:rsidRPr="0001496F">
        <w:rPr>
          <w:rFonts w:ascii="Times New Roman" w:hAnsi="Times New Roman" w:cs="Times New Roman"/>
          <w:bCs/>
          <w:lang w:val="fr-BE"/>
        </w:rPr>
        <w:t>.</w:t>
      </w:r>
    </w:p>
    <w:p w14:paraId="6F7F1C7D" w14:textId="77777777" w:rsidR="0056504E" w:rsidRPr="0001496F" w:rsidRDefault="0056504E" w:rsidP="0001496F">
      <w:pPr>
        <w:jc w:val="both"/>
        <w:rPr>
          <w:rFonts w:ascii="Times New Roman" w:hAnsi="Times New Roman" w:cs="Times New Roman"/>
        </w:rPr>
      </w:pPr>
    </w:p>
    <w:p w14:paraId="7A74EB35" w14:textId="77777777" w:rsidR="0056504E" w:rsidRPr="0001496F" w:rsidRDefault="0056504E" w:rsidP="0001496F">
      <w:pPr>
        <w:jc w:val="both"/>
        <w:rPr>
          <w:rFonts w:ascii="Times New Roman" w:hAnsi="Times New Roman" w:cs="Times New Roman"/>
        </w:rPr>
      </w:pPr>
      <w:r w:rsidRPr="0001496F">
        <w:rPr>
          <w:rFonts w:ascii="Times New Roman" w:hAnsi="Times New Roman" w:cs="Times New Roman"/>
        </w:rPr>
        <w:t>En date du 6 février 2020, la Cour constitutionnelle a rendu un arrêt rejetant les recours, sous réserve d’interprétation de deux dispositions de la loi</w:t>
      </w:r>
      <w:r w:rsidRPr="0001496F">
        <w:rPr>
          <w:rStyle w:val="Appelnotedebasdep"/>
          <w:rFonts w:ascii="Times New Roman" w:hAnsi="Times New Roman" w:cs="Times New Roman"/>
        </w:rPr>
        <w:footnoteReference w:id="249"/>
      </w:r>
      <w:r w:rsidRPr="0001496F">
        <w:rPr>
          <w:rFonts w:ascii="Times New Roman" w:hAnsi="Times New Roman" w:cs="Times New Roman"/>
        </w:rPr>
        <w:t xml:space="preserve">. </w:t>
      </w:r>
    </w:p>
    <w:p w14:paraId="72703D92" w14:textId="77777777" w:rsidR="0056504E" w:rsidRPr="0001496F" w:rsidRDefault="0056504E" w:rsidP="0001496F">
      <w:pPr>
        <w:jc w:val="both"/>
        <w:rPr>
          <w:rFonts w:ascii="Times New Roman" w:hAnsi="Times New Roman" w:cs="Times New Roman"/>
        </w:rPr>
      </w:pPr>
    </w:p>
    <w:p w14:paraId="56F70AD7" w14:textId="760A43A5" w:rsidR="0056504E" w:rsidRPr="0001496F" w:rsidRDefault="0056504E" w:rsidP="0001496F">
      <w:pPr>
        <w:jc w:val="both"/>
        <w:rPr>
          <w:rFonts w:ascii="Times New Roman" w:hAnsi="Times New Roman" w:cs="Times New Roman"/>
        </w:rPr>
      </w:pPr>
      <w:r w:rsidRPr="0001496F">
        <w:rPr>
          <w:rFonts w:ascii="Times New Roman" w:hAnsi="Times New Roman" w:cs="Times New Roman"/>
        </w:rPr>
        <w:t xml:space="preserve">Premièrement, la Cour rappelle que l’opportunité d’appliquer le régime des repentis, lorsque toutes les conditions légales sont </w:t>
      </w:r>
      <w:r w:rsidR="00715544" w:rsidRPr="0001496F">
        <w:rPr>
          <w:rFonts w:ascii="Times New Roman" w:hAnsi="Times New Roman" w:cs="Times New Roman"/>
        </w:rPr>
        <w:t>remplies, ressort</w:t>
      </w:r>
      <w:r w:rsidRPr="0001496F">
        <w:rPr>
          <w:rFonts w:ascii="Times New Roman" w:hAnsi="Times New Roman" w:cs="Times New Roman"/>
        </w:rPr>
        <w:t xml:space="preserve"> à la seule compétence du ministère public. Elle précise cependant que ce dernier doit respecter le principe d’égalité et de non-discrimination et ne peut décider arbitrairement quelles personnes entrent en considération pour bénéficier du régime des repentis</w:t>
      </w:r>
      <w:r w:rsidR="00972988" w:rsidRPr="0001496F">
        <w:rPr>
          <w:rFonts w:ascii="Times New Roman" w:hAnsi="Times New Roman" w:cs="Times New Roman"/>
        </w:rPr>
        <w:t xml:space="preserve"> (cons. B.7.3.)</w:t>
      </w:r>
      <w:r w:rsidRPr="0001496F">
        <w:rPr>
          <w:rFonts w:ascii="Times New Roman" w:hAnsi="Times New Roman" w:cs="Times New Roman"/>
        </w:rPr>
        <w:t>. S’il ressort des travaux préparatoires que le contrôle de la condition de subsidiarité ne relève pas du contrôle des juridictions d’instruction et de jugement, « l’interdiction de l’arbitraire relève des garanties d’un État de droit »</w:t>
      </w:r>
      <w:r w:rsidR="00DF7BF9" w:rsidRPr="0001496F">
        <w:rPr>
          <w:rFonts w:ascii="Times New Roman" w:hAnsi="Times New Roman" w:cs="Times New Roman"/>
        </w:rPr>
        <w:t xml:space="preserve"> (cons. B.7.3.)</w:t>
      </w:r>
      <w:r w:rsidRPr="0001496F">
        <w:rPr>
          <w:rFonts w:ascii="Times New Roman" w:hAnsi="Times New Roman" w:cs="Times New Roman"/>
        </w:rPr>
        <w:t xml:space="preserve">. Selon la Cour, il appartient dès lors « à la juridiction d’instruction ou à la juridiction de jugement compétente de vérifier si l’application du régime des repentis est nécessaire à la manifestation de la vérité et si l’égalité de traitement de toutes les personnes impliquées dans l’enquête a été respectée » </w:t>
      </w:r>
      <w:r w:rsidR="00DF7BF9" w:rsidRPr="0001496F">
        <w:rPr>
          <w:rFonts w:ascii="Times New Roman" w:hAnsi="Times New Roman" w:cs="Times New Roman"/>
        </w:rPr>
        <w:t>(cons. B.7.3.</w:t>
      </w:r>
      <w:r w:rsidRPr="0001496F">
        <w:rPr>
          <w:rFonts w:ascii="Times New Roman" w:hAnsi="Times New Roman" w:cs="Times New Roman"/>
        </w:rPr>
        <w:t>). Dans cette mesure, la Cour considère que la loi offre suffisamment de garanties pour qu’un contrôle judiciaire effectif soit opéré sur le mémorandum (</w:t>
      </w:r>
      <w:r w:rsidR="00702BEC" w:rsidRPr="0001496F">
        <w:rPr>
          <w:rFonts w:ascii="Times New Roman" w:hAnsi="Times New Roman" w:cs="Times New Roman"/>
        </w:rPr>
        <w:t>cons</w:t>
      </w:r>
      <w:r w:rsidRPr="0001496F">
        <w:rPr>
          <w:rFonts w:ascii="Times New Roman" w:hAnsi="Times New Roman" w:cs="Times New Roman"/>
        </w:rPr>
        <w:t>. B.8.).</w:t>
      </w:r>
    </w:p>
    <w:p w14:paraId="5E67BD3C" w14:textId="77777777" w:rsidR="0056504E" w:rsidRPr="0001496F" w:rsidRDefault="0056504E" w:rsidP="0001496F">
      <w:pPr>
        <w:jc w:val="both"/>
        <w:rPr>
          <w:rFonts w:ascii="Times New Roman" w:hAnsi="Times New Roman" w:cs="Times New Roman"/>
        </w:rPr>
      </w:pPr>
    </w:p>
    <w:p w14:paraId="4CD38C8D" w14:textId="36EE85FD" w:rsidR="0056504E" w:rsidRPr="0001496F" w:rsidRDefault="0056504E" w:rsidP="0001496F">
      <w:pPr>
        <w:jc w:val="both"/>
        <w:rPr>
          <w:rFonts w:ascii="Times New Roman" w:hAnsi="Times New Roman" w:cs="Times New Roman"/>
        </w:rPr>
      </w:pPr>
      <w:r w:rsidRPr="0001496F">
        <w:rPr>
          <w:rFonts w:ascii="Times New Roman" w:hAnsi="Times New Roman" w:cs="Times New Roman"/>
        </w:rPr>
        <w:t>Deuxièmement, si la loi du 22 juillet 2018 n’a pas prévu de délai dans lequel il faut verser au dossier répressif la copie certifiée conforme du mémorandum, la Cour souligne, d’une part, que l’on peut raisonnablement considérer que l’exemplaire du mémorandum figure immédiatement dans le dossier répressif (</w:t>
      </w:r>
      <w:r w:rsidR="00DF7BF9" w:rsidRPr="0001496F">
        <w:rPr>
          <w:rFonts w:ascii="Times New Roman" w:hAnsi="Times New Roman" w:cs="Times New Roman"/>
        </w:rPr>
        <w:t>cons.</w:t>
      </w:r>
      <w:r w:rsidRPr="0001496F">
        <w:rPr>
          <w:rFonts w:ascii="Times New Roman" w:hAnsi="Times New Roman" w:cs="Times New Roman"/>
        </w:rPr>
        <w:t xml:space="preserve"> B.14.2.) et, d’autre part, que l’absence ou le dépôt tardif d’une copie certifiée conforme du mémorandum au dossier répressif peut être sanctionné pour violation du droit à un procès équitable, constatée par la juridiction d’instruction ou de jugement compétente (</w:t>
      </w:r>
      <w:r w:rsidR="00DF7BF9" w:rsidRPr="0001496F">
        <w:rPr>
          <w:rFonts w:ascii="Times New Roman" w:hAnsi="Times New Roman" w:cs="Times New Roman"/>
        </w:rPr>
        <w:t>cons.</w:t>
      </w:r>
      <w:r w:rsidRPr="0001496F">
        <w:rPr>
          <w:rFonts w:ascii="Times New Roman" w:hAnsi="Times New Roman" w:cs="Times New Roman"/>
        </w:rPr>
        <w:t xml:space="preserve"> B.14.5).</w:t>
      </w:r>
    </w:p>
    <w:p w14:paraId="6AC3CA52" w14:textId="77777777" w:rsidR="0056504E" w:rsidRPr="0001496F" w:rsidRDefault="0056504E" w:rsidP="0001496F">
      <w:pPr>
        <w:jc w:val="both"/>
        <w:rPr>
          <w:rFonts w:ascii="Times New Roman" w:hAnsi="Times New Roman" w:cs="Times New Roman"/>
        </w:rPr>
      </w:pPr>
    </w:p>
    <w:p w14:paraId="7435A878" w14:textId="3E87D639" w:rsidR="0056504E" w:rsidRPr="0001496F" w:rsidRDefault="0056504E" w:rsidP="0001496F">
      <w:pPr>
        <w:jc w:val="both"/>
        <w:rPr>
          <w:rFonts w:ascii="Times New Roman" w:hAnsi="Times New Roman" w:cs="Times New Roman"/>
        </w:rPr>
      </w:pPr>
      <w:r w:rsidRPr="0001496F">
        <w:rPr>
          <w:rFonts w:ascii="Times New Roman" w:hAnsi="Times New Roman" w:cs="Times New Roman"/>
        </w:rPr>
        <w:t>La Cour ajoute que, dans la mesure où les personnes qui sont visées dans les déclarations du repenti conservent la possibilité de contester devant la juridiction d’instruction ou de jugement compétente la fiabilité des déclarations du repenti ainsi que le contenu et la crédibilité de ses dépositions, la Cour considère qu’il n’est pas porté atteinte de façon discriminatoire au droit à un procès équitable. Le juge peut toutefois considérer que la déposition n’est pas fiable et qu’elle ne peut être prise en considération dans l’appréciation de la preuve (</w:t>
      </w:r>
      <w:r w:rsidR="00DF7BF9" w:rsidRPr="0001496F">
        <w:rPr>
          <w:rFonts w:ascii="Times New Roman" w:hAnsi="Times New Roman" w:cs="Times New Roman"/>
        </w:rPr>
        <w:t>cons.</w:t>
      </w:r>
      <w:r w:rsidRPr="0001496F">
        <w:rPr>
          <w:rFonts w:ascii="Times New Roman" w:hAnsi="Times New Roman" w:cs="Times New Roman"/>
        </w:rPr>
        <w:t xml:space="preserve"> B.23.3.).</w:t>
      </w:r>
    </w:p>
    <w:p w14:paraId="498CE706" w14:textId="77777777" w:rsidR="0056504E" w:rsidRPr="0001496F" w:rsidRDefault="0056504E" w:rsidP="0001496F">
      <w:pPr>
        <w:jc w:val="both"/>
        <w:rPr>
          <w:rFonts w:ascii="Times New Roman" w:hAnsi="Times New Roman" w:cs="Times New Roman"/>
        </w:rPr>
      </w:pPr>
    </w:p>
    <w:p w14:paraId="3D87AC85" w14:textId="2FDCE372" w:rsidR="0056504E" w:rsidRPr="0001496F" w:rsidRDefault="0056504E" w:rsidP="0001496F">
      <w:pPr>
        <w:jc w:val="both"/>
        <w:rPr>
          <w:rFonts w:ascii="Times New Roman" w:hAnsi="Times New Roman" w:cs="Times New Roman"/>
        </w:rPr>
      </w:pPr>
      <w:r w:rsidRPr="0001496F">
        <w:rPr>
          <w:rFonts w:ascii="Times New Roman" w:hAnsi="Times New Roman" w:cs="Times New Roman"/>
        </w:rPr>
        <w:t xml:space="preserve">Enfin, étant donné que le repenti doit déposer ses déclarations entre la signature du mémorandum et l’homologation de ce dernier, la Cour souligne que la juridiction d’instruction ou de jugement compétente n’homologue pas le mémorandum si elle constate que le repenti n’a pas encore déposé de déclarations ou que les déclarations déposées ne sont pas liées à la promesse </w:t>
      </w:r>
      <w:r w:rsidR="00DF7BF9" w:rsidRPr="0001496F">
        <w:rPr>
          <w:rFonts w:ascii="Times New Roman" w:hAnsi="Times New Roman" w:cs="Times New Roman"/>
        </w:rPr>
        <w:t>(cons</w:t>
      </w:r>
      <w:r w:rsidRPr="0001496F">
        <w:rPr>
          <w:rFonts w:ascii="Times New Roman" w:hAnsi="Times New Roman" w:cs="Times New Roman"/>
        </w:rPr>
        <w:t>. B.32.2.).</w:t>
      </w:r>
    </w:p>
    <w:p w14:paraId="23CF43ED" w14:textId="77777777" w:rsidR="0056504E" w:rsidRPr="0001496F" w:rsidRDefault="0056504E" w:rsidP="0001496F">
      <w:pPr>
        <w:jc w:val="both"/>
        <w:rPr>
          <w:rFonts w:ascii="Times New Roman" w:hAnsi="Times New Roman" w:cs="Times New Roman"/>
        </w:rPr>
      </w:pPr>
    </w:p>
    <w:p w14:paraId="50B7B455" w14:textId="4A41FE34" w:rsidR="00D13CFE" w:rsidRPr="0001496F" w:rsidRDefault="00D13CFE" w:rsidP="0001496F">
      <w:pPr>
        <w:jc w:val="both"/>
        <w:rPr>
          <w:rFonts w:ascii="Times New Roman" w:hAnsi="Times New Roman" w:cs="Times New Roman"/>
        </w:rPr>
      </w:pPr>
      <w:r w:rsidRPr="0001496F">
        <w:rPr>
          <w:rFonts w:ascii="Times New Roman" w:hAnsi="Times New Roman" w:cs="Times New Roman"/>
        </w:rPr>
        <w:t>La Cour épingle au passage l’incohérence du législateur quant au champ d’application du nouveau dispositif, soulignant, d’une part, que malgré l’intitulé de la loi, les infractions énumérées ne relèvent pas de la définition stricte de la criminalité grave et organisée (</w:t>
      </w:r>
      <w:r w:rsidR="009F226C" w:rsidRPr="0001496F">
        <w:rPr>
          <w:rFonts w:ascii="Times New Roman" w:hAnsi="Times New Roman" w:cs="Times New Roman"/>
        </w:rPr>
        <w:t>cf. supra 2.1.1)</w:t>
      </w:r>
      <w:r w:rsidRPr="0001496F">
        <w:rPr>
          <w:rFonts w:ascii="Times New Roman" w:hAnsi="Times New Roman" w:cs="Times New Roman"/>
        </w:rPr>
        <w:t xml:space="preserve"> et, d’autre part, que certaines infractions, comme le faux en informatique, figurent sur la </w:t>
      </w:r>
      <w:r w:rsidRPr="0001496F">
        <w:rPr>
          <w:rFonts w:ascii="Times New Roman" w:hAnsi="Times New Roman" w:cs="Times New Roman"/>
        </w:rPr>
        <w:lastRenderedPageBreak/>
        <w:t xml:space="preserve">liste de l’article 90ter, § 2, du Code d’instruction criminelle, tandis que d’autres, comme le faux en écriture, n’y apparaissent pas (cons. B.11.3). </w:t>
      </w:r>
    </w:p>
    <w:p w14:paraId="106BB231" w14:textId="77777777" w:rsidR="00D13CFE" w:rsidRPr="0001496F" w:rsidRDefault="00D13CFE" w:rsidP="0001496F">
      <w:pPr>
        <w:jc w:val="both"/>
        <w:rPr>
          <w:rFonts w:ascii="Times New Roman" w:hAnsi="Times New Roman" w:cs="Times New Roman"/>
        </w:rPr>
      </w:pPr>
    </w:p>
    <w:p w14:paraId="727A6CB9" w14:textId="49F0924F" w:rsidR="000C63D9" w:rsidRPr="0001496F" w:rsidRDefault="005C41C5" w:rsidP="0001496F">
      <w:pPr>
        <w:jc w:val="both"/>
        <w:outlineLvl w:val="0"/>
        <w:rPr>
          <w:rFonts w:ascii="Times New Roman" w:hAnsi="Times New Roman" w:cs="Times New Roman"/>
        </w:rPr>
      </w:pPr>
      <w:r w:rsidRPr="0001496F">
        <w:rPr>
          <w:rFonts w:ascii="Times New Roman" w:hAnsi="Times New Roman" w:cs="Times New Roman"/>
        </w:rPr>
        <w:t>2.</w:t>
      </w:r>
      <w:r w:rsidR="0056504E" w:rsidRPr="0001496F">
        <w:rPr>
          <w:rFonts w:ascii="Times New Roman" w:hAnsi="Times New Roman" w:cs="Times New Roman"/>
        </w:rPr>
        <w:t>10</w:t>
      </w:r>
      <w:r w:rsidRPr="0001496F">
        <w:rPr>
          <w:rFonts w:ascii="Times New Roman" w:hAnsi="Times New Roman" w:cs="Times New Roman"/>
        </w:rPr>
        <w:t xml:space="preserve">. </w:t>
      </w:r>
      <w:r w:rsidR="000C63D9" w:rsidRPr="0001496F">
        <w:rPr>
          <w:rFonts w:ascii="Times New Roman" w:hAnsi="Times New Roman" w:cs="Times New Roman"/>
        </w:rPr>
        <w:t>Conclusion</w:t>
      </w:r>
    </w:p>
    <w:p w14:paraId="5DA9E958" w14:textId="77777777" w:rsidR="000C63D9" w:rsidRPr="0001496F" w:rsidRDefault="000C63D9" w:rsidP="0001496F">
      <w:pPr>
        <w:jc w:val="both"/>
        <w:rPr>
          <w:rFonts w:ascii="Times New Roman" w:hAnsi="Times New Roman" w:cs="Times New Roman"/>
        </w:rPr>
      </w:pPr>
    </w:p>
    <w:p w14:paraId="5A69C3C9" w14:textId="04402BA1" w:rsidR="000C63D9" w:rsidRPr="0001496F" w:rsidRDefault="00853DA0" w:rsidP="0001496F">
      <w:pPr>
        <w:jc w:val="both"/>
        <w:rPr>
          <w:rFonts w:ascii="Times New Roman" w:hAnsi="Times New Roman" w:cs="Times New Roman"/>
        </w:rPr>
      </w:pPr>
      <w:r w:rsidRPr="0001496F">
        <w:rPr>
          <w:rFonts w:ascii="Times New Roman" w:hAnsi="Times New Roman" w:cs="Times New Roman"/>
        </w:rPr>
        <w:t>Nous clôturons cette</w:t>
      </w:r>
      <w:r w:rsidR="000C63D9" w:rsidRPr="0001496F">
        <w:rPr>
          <w:rFonts w:ascii="Times New Roman" w:hAnsi="Times New Roman" w:cs="Times New Roman"/>
        </w:rPr>
        <w:t xml:space="preserve"> présentation de la loi du 22 juillet 2018 par une </w:t>
      </w:r>
      <w:r w:rsidRPr="0001496F">
        <w:rPr>
          <w:rFonts w:ascii="Times New Roman" w:hAnsi="Times New Roman" w:cs="Times New Roman"/>
        </w:rPr>
        <w:t xml:space="preserve">confrontation de </w:t>
      </w:r>
      <w:r w:rsidR="000C63D9" w:rsidRPr="0001496F">
        <w:rPr>
          <w:rFonts w:ascii="Times New Roman" w:hAnsi="Times New Roman" w:cs="Times New Roman"/>
        </w:rPr>
        <w:t>la loi belge à quatre critères de légitimité</w:t>
      </w:r>
      <w:r w:rsidRPr="0001496F">
        <w:rPr>
          <w:rFonts w:ascii="Times New Roman" w:hAnsi="Times New Roman" w:cs="Times New Roman"/>
        </w:rPr>
        <w:t xml:space="preserve"> régulièrement sources de critique</w:t>
      </w:r>
      <w:r w:rsidR="00DF3263" w:rsidRPr="0001496F">
        <w:rPr>
          <w:rFonts w:ascii="Times New Roman" w:hAnsi="Times New Roman" w:cs="Times New Roman"/>
        </w:rPr>
        <w:t>s</w:t>
      </w:r>
      <w:r w:rsidRPr="0001496F">
        <w:rPr>
          <w:rFonts w:ascii="Times New Roman" w:hAnsi="Times New Roman" w:cs="Times New Roman"/>
        </w:rPr>
        <w:t xml:space="preserve"> de ce type de dispositif de collaboration en justice</w:t>
      </w:r>
      <w:r w:rsidR="00005F60" w:rsidRPr="0001496F">
        <w:rPr>
          <w:rFonts w:ascii="Times New Roman" w:hAnsi="Times New Roman" w:cs="Times New Roman"/>
        </w:rPr>
        <w:t xml:space="preserve"> : une telle collaboration est-elle </w:t>
      </w:r>
      <w:proofErr w:type="gramStart"/>
      <w:r w:rsidR="00005F60" w:rsidRPr="0001496F">
        <w:rPr>
          <w:rFonts w:ascii="Times New Roman" w:hAnsi="Times New Roman" w:cs="Times New Roman"/>
        </w:rPr>
        <w:t>morale ?,</w:t>
      </w:r>
      <w:proofErr w:type="gramEnd"/>
      <w:r w:rsidR="00005F60" w:rsidRPr="0001496F">
        <w:rPr>
          <w:rFonts w:ascii="Times New Roman" w:hAnsi="Times New Roman" w:cs="Times New Roman"/>
        </w:rPr>
        <w:t xml:space="preserve"> respecte-t-elle le droit au silence ?, est-elle fiable ? et assure-t-elle l’égalité et la non-discrimination ?</w:t>
      </w:r>
    </w:p>
    <w:p w14:paraId="2688E8A9" w14:textId="77777777" w:rsidR="000C63D9" w:rsidRPr="0001496F" w:rsidRDefault="000C63D9" w:rsidP="0001496F">
      <w:pPr>
        <w:jc w:val="both"/>
        <w:rPr>
          <w:rFonts w:ascii="Times New Roman" w:hAnsi="Times New Roman" w:cs="Times New Roman"/>
        </w:rPr>
      </w:pPr>
    </w:p>
    <w:p w14:paraId="6D5271C9" w14:textId="77777777" w:rsidR="000C63D9" w:rsidRPr="0001496F" w:rsidRDefault="000C63D9" w:rsidP="0001496F">
      <w:pPr>
        <w:jc w:val="both"/>
        <w:outlineLvl w:val="0"/>
        <w:rPr>
          <w:rFonts w:ascii="Times New Roman" w:hAnsi="Times New Roman" w:cs="Times New Roman"/>
          <w:i/>
        </w:rPr>
      </w:pPr>
      <w:r w:rsidRPr="0001496F">
        <w:rPr>
          <w:rFonts w:ascii="Times New Roman" w:hAnsi="Times New Roman" w:cs="Times New Roman"/>
          <w:i/>
        </w:rPr>
        <w:t>Moralité</w:t>
      </w:r>
    </w:p>
    <w:p w14:paraId="0EE4166C" w14:textId="77777777" w:rsidR="000C63D9" w:rsidRPr="0001496F" w:rsidRDefault="000C63D9" w:rsidP="0001496F">
      <w:pPr>
        <w:jc w:val="both"/>
        <w:rPr>
          <w:rFonts w:ascii="Times New Roman" w:hAnsi="Times New Roman" w:cs="Times New Roman"/>
        </w:rPr>
      </w:pPr>
    </w:p>
    <w:p w14:paraId="5F3CDE03" w14:textId="012BB442"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Une première critique de la collaboration </w:t>
      </w:r>
      <w:r w:rsidR="008424C5" w:rsidRPr="0001496F">
        <w:rPr>
          <w:rFonts w:ascii="Times New Roman" w:hAnsi="Times New Roman" w:cs="Times New Roman"/>
        </w:rPr>
        <w:t>est</w:t>
      </w:r>
      <w:r w:rsidRPr="0001496F">
        <w:rPr>
          <w:rFonts w:ascii="Times New Roman" w:hAnsi="Times New Roman" w:cs="Times New Roman"/>
        </w:rPr>
        <w:t xml:space="preserve"> liée à son caractère moralement condamnable. La dénonciation pourrait être considérée comme moraleme</w:t>
      </w:r>
      <w:r w:rsidR="00853DA0" w:rsidRPr="0001496F">
        <w:rPr>
          <w:rFonts w:ascii="Times New Roman" w:hAnsi="Times New Roman" w:cs="Times New Roman"/>
        </w:rPr>
        <w:t>nt condamnable en raison 1) d</w:t>
      </w:r>
      <w:r w:rsidRPr="0001496F">
        <w:rPr>
          <w:rFonts w:ascii="Times New Roman" w:hAnsi="Times New Roman" w:cs="Times New Roman"/>
        </w:rPr>
        <w:t xml:space="preserve">es motivations intéressées sous-jacentes </w:t>
      </w:r>
      <w:r w:rsidR="00853DA0" w:rsidRPr="0001496F">
        <w:rPr>
          <w:rFonts w:ascii="Times New Roman" w:hAnsi="Times New Roman" w:cs="Times New Roman"/>
        </w:rPr>
        <w:t xml:space="preserve">du dénonciateur </w:t>
      </w:r>
      <w:r w:rsidRPr="0001496F">
        <w:rPr>
          <w:rFonts w:ascii="Times New Roman" w:hAnsi="Times New Roman" w:cs="Times New Roman"/>
        </w:rPr>
        <w:t>(par exemple, la cupidité et la vengeance), 2) d</w:t>
      </w:r>
      <w:r w:rsidR="00D31DEA" w:rsidRPr="0001496F">
        <w:rPr>
          <w:rFonts w:ascii="Times New Roman" w:hAnsi="Times New Roman" w:cs="Times New Roman"/>
        </w:rPr>
        <w:t>e son</w:t>
      </w:r>
      <w:r w:rsidRPr="0001496F">
        <w:rPr>
          <w:rFonts w:ascii="Times New Roman" w:hAnsi="Times New Roman" w:cs="Times New Roman"/>
        </w:rPr>
        <w:t xml:space="preserve"> contenu mensonger, ou encore 3) de la violation d’un devoir de loyauté ou de solidarité (la trahison du tiers dénoncé)</w:t>
      </w:r>
      <w:r w:rsidRPr="0001496F">
        <w:rPr>
          <w:rStyle w:val="Appelnotedebasdep"/>
          <w:rFonts w:ascii="Times New Roman" w:hAnsi="Times New Roman" w:cs="Times New Roman"/>
        </w:rPr>
        <w:footnoteReference w:id="250"/>
      </w:r>
      <w:r w:rsidRPr="0001496F">
        <w:rPr>
          <w:rFonts w:ascii="Times New Roman" w:hAnsi="Times New Roman" w:cs="Times New Roman"/>
        </w:rPr>
        <w:t xml:space="preserve">. </w:t>
      </w:r>
    </w:p>
    <w:p w14:paraId="3D1DFC72" w14:textId="77777777" w:rsidR="000C63D9" w:rsidRPr="0001496F" w:rsidRDefault="000C63D9" w:rsidP="0001496F">
      <w:pPr>
        <w:jc w:val="both"/>
        <w:rPr>
          <w:rFonts w:ascii="Times New Roman" w:hAnsi="Times New Roman" w:cs="Times New Roman"/>
        </w:rPr>
      </w:pPr>
    </w:p>
    <w:p w14:paraId="7292B3FF" w14:textId="10FE657E"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Malgré son caractère immoral, la </w:t>
      </w:r>
      <w:r w:rsidR="008424C5" w:rsidRPr="0001496F">
        <w:rPr>
          <w:rFonts w:ascii="Times New Roman" w:hAnsi="Times New Roman" w:cs="Times New Roman"/>
        </w:rPr>
        <w:t>loi belge autorise la collaboration</w:t>
      </w:r>
      <w:r w:rsidRPr="0001496F">
        <w:rPr>
          <w:rFonts w:ascii="Times New Roman" w:hAnsi="Times New Roman" w:cs="Times New Roman"/>
        </w:rPr>
        <w:t xml:space="preserve"> si elle est la seule</w:t>
      </w:r>
      <w:r w:rsidR="00205D40" w:rsidRPr="0001496F">
        <w:rPr>
          <w:rFonts w:ascii="Times New Roman" w:hAnsi="Times New Roman" w:cs="Times New Roman"/>
        </w:rPr>
        <w:t xml:space="preserve"> méthode qui permette</w:t>
      </w:r>
      <w:r w:rsidRPr="0001496F">
        <w:rPr>
          <w:rFonts w:ascii="Times New Roman" w:hAnsi="Times New Roman" w:cs="Times New Roman"/>
        </w:rPr>
        <w:t xml:space="preserve"> de sauvegarder des valeurs jugées plus importantes que celles qu’elle met à mal. Nous retrouvons ici les principes d’adéquation, de nécessité et de proportionnalité qui sont formellement repris dans la loi (</w:t>
      </w:r>
      <w:r w:rsidRPr="0001496F">
        <w:rPr>
          <w:rFonts w:ascii="Times New Roman" w:hAnsi="Times New Roman" w:cs="Times New Roman"/>
          <w:i/>
        </w:rPr>
        <w:t>cf. supra</w:t>
      </w:r>
      <w:r w:rsidRPr="0001496F">
        <w:rPr>
          <w:rFonts w:ascii="Times New Roman" w:hAnsi="Times New Roman" w:cs="Times New Roman"/>
        </w:rPr>
        <w:t xml:space="preserve"> 2.1).</w:t>
      </w:r>
      <w:r w:rsidR="00205D40" w:rsidRPr="0001496F">
        <w:rPr>
          <w:rFonts w:ascii="Times New Roman" w:hAnsi="Times New Roman" w:cs="Times New Roman"/>
        </w:rPr>
        <w:t xml:space="preserve"> </w:t>
      </w:r>
      <w:r w:rsidRPr="0001496F">
        <w:rPr>
          <w:rFonts w:ascii="Times New Roman" w:hAnsi="Times New Roman" w:cs="Times New Roman"/>
        </w:rPr>
        <w:t xml:space="preserve">Pour autoriser ou </w:t>
      </w:r>
      <w:r w:rsidR="00C60A8F" w:rsidRPr="0001496F">
        <w:rPr>
          <w:rFonts w:ascii="Times New Roman" w:hAnsi="Times New Roman" w:cs="Times New Roman"/>
        </w:rPr>
        <w:t>non la collaboration, il fau</w:t>
      </w:r>
      <w:r w:rsidRPr="0001496F">
        <w:rPr>
          <w:rFonts w:ascii="Times New Roman" w:hAnsi="Times New Roman" w:cs="Times New Roman"/>
        </w:rPr>
        <w:t>t tenir compte de la nature de la menace pour les valeurs censées être protégées par la collaboration (cette menace est-elle act</w:t>
      </w:r>
      <w:r w:rsidR="00C60A8F" w:rsidRPr="0001496F">
        <w:rPr>
          <w:rFonts w:ascii="Times New Roman" w:hAnsi="Times New Roman" w:cs="Times New Roman"/>
        </w:rPr>
        <w:t>uelle et concrète ?)</w:t>
      </w:r>
      <w:r w:rsidR="00205D40" w:rsidRPr="0001496F">
        <w:rPr>
          <w:rStyle w:val="Appelnotedebasdep"/>
          <w:rFonts w:ascii="Times New Roman" w:hAnsi="Times New Roman" w:cs="Times New Roman"/>
        </w:rPr>
        <w:footnoteReference w:id="251"/>
      </w:r>
      <w:r w:rsidR="00C60A8F" w:rsidRPr="0001496F">
        <w:rPr>
          <w:rFonts w:ascii="Times New Roman" w:hAnsi="Times New Roman" w:cs="Times New Roman"/>
        </w:rPr>
        <w:t>. On peu</w:t>
      </w:r>
      <w:r w:rsidRPr="0001496F">
        <w:rPr>
          <w:rFonts w:ascii="Times New Roman" w:hAnsi="Times New Roman" w:cs="Times New Roman"/>
        </w:rPr>
        <w:t>t donc plus facilement passer outre le caractère immoral de la collaboration pour les collaborations « préservatives » et « limitatives » que pour les collaborations « répressives » (</w:t>
      </w:r>
      <w:r w:rsidRPr="0001496F">
        <w:rPr>
          <w:rFonts w:ascii="Times New Roman" w:hAnsi="Times New Roman" w:cs="Times New Roman"/>
          <w:i/>
        </w:rPr>
        <w:t>cf. supra</w:t>
      </w:r>
      <w:r w:rsidRPr="0001496F">
        <w:rPr>
          <w:rFonts w:ascii="Times New Roman" w:hAnsi="Times New Roman" w:cs="Times New Roman"/>
        </w:rPr>
        <w:t xml:space="preserve"> 2.1.4). Il nous semble que la distinction entre ces trois types de collaboration n’est pas suffisamment présente dans la loi pour espérer qu’elle influence le travail des autorités policières et judiciaires.</w:t>
      </w:r>
    </w:p>
    <w:p w14:paraId="01103CDE" w14:textId="77777777" w:rsidR="000C63D9" w:rsidRPr="0001496F" w:rsidRDefault="000C63D9" w:rsidP="0001496F">
      <w:pPr>
        <w:jc w:val="both"/>
        <w:rPr>
          <w:rFonts w:ascii="Times New Roman" w:hAnsi="Times New Roman" w:cs="Times New Roman"/>
        </w:rPr>
      </w:pPr>
    </w:p>
    <w:p w14:paraId="66FBD49B" w14:textId="2B2CE8B4"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législateur belge a choisi d’autoriser la collaboration pour une liste très large d’infractions, à savoir celles prévues à l’article 90</w:t>
      </w:r>
      <w:r w:rsidRPr="0001496F">
        <w:rPr>
          <w:rFonts w:ascii="Times New Roman" w:hAnsi="Times New Roman" w:cs="Times New Roman"/>
          <w:i/>
        </w:rPr>
        <w:t>ter</w:t>
      </w:r>
      <w:r w:rsidRPr="0001496F">
        <w:rPr>
          <w:rFonts w:ascii="Times New Roman" w:hAnsi="Times New Roman" w:cs="Times New Roman"/>
        </w:rPr>
        <w:t>, § 2 à 4 du C. i. cr. Cette liste n’a pas été créée spécifiquement pour le dispositif de la collaboration mais est un emprunt lié aux situations dans lesquelles des écoutes téléphoniques sont autorisées (</w:t>
      </w:r>
      <w:r w:rsidRPr="0001496F">
        <w:rPr>
          <w:rFonts w:ascii="Times New Roman" w:hAnsi="Times New Roman" w:cs="Times New Roman"/>
          <w:i/>
        </w:rPr>
        <w:t>cf. supra</w:t>
      </w:r>
      <w:r w:rsidRPr="0001496F">
        <w:rPr>
          <w:rFonts w:ascii="Times New Roman" w:hAnsi="Times New Roman" w:cs="Times New Roman"/>
        </w:rPr>
        <w:t xml:space="preserve"> 2.1.1). Ces deux caractéristiques – une liste large et non spécifique – montrent que le champ d’application de la collaboration n’a pas été prioritairement influencé par une réflexion axée sur le caractère immoral de la collaboration et sur son éventuel dépassement en fonction de la sauvegarde de valeurs jugées plus importantes. </w:t>
      </w:r>
      <w:r w:rsidR="004B54EB" w:rsidRPr="0001496F">
        <w:rPr>
          <w:rFonts w:ascii="Times New Roman" w:hAnsi="Times New Roman" w:cs="Times New Roman"/>
        </w:rPr>
        <w:t xml:space="preserve">Au contraire, ces deux caractéristiques </w:t>
      </w:r>
      <w:r w:rsidR="00823EB5" w:rsidRPr="0001496F">
        <w:rPr>
          <w:rFonts w:ascii="Times New Roman" w:hAnsi="Times New Roman" w:cs="Times New Roman"/>
        </w:rPr>
        <w:t>montrent que les priorités sont du côté de la simplicité et de l’efficacité.</w:t>
      </w:r>
    </w:p>
    <w:p w14:paraId="661834D8" w14:textId="77777777" w:rsidR="000C63D9" w:rsidRPr="0001496F" w:rsidRDefault="000C63D9" w:rsidP="0001496F">
      <w:pPr>
        <w:jc w:val="both"/>
        <w:rPr>
          <w:rFonts w:ascii="Times New Roman" w:hAnsi="Times New Roman" w:cs="Times New Roman"/>
        </w:rPr>
      </w:pPr>
    </w:p>
    <w:p w14:paraId="49B03569" w14:textId="77777777" w:rsidR="000C63D9" w:rsidRPr="0001496F" w:rsidRDefault="000C63D9" w:rsidP="0001496F">
      <w:pPr>
        <w:jc w:val="both"/>
        <w:outlineLvl w:val="0"/>
        <w:rPr>
          <w:rFonts w:ascii="Times New Roman" w:hAnsi="Times New Roman" w:cs="Times New Roman"/>
          <w:i/>
        </w:rPr>
      </w:pPr>
      <w:r w:rsidRPr="0001496F">
        <w:rPr>
          <w:rFonts w:ascii="Times New Roman" w:hAnsi="Times New Roman" w:cs="Times New Roman"/>
          <w:i/>
        </w:rPr>
        <w:t>Pressions à collaborer</w:t>
      </w:r>
    </w:p>
    <w:p w14:paraId="07FDC90D" w14:textId="77777777" w:rsidR="000C63D9" w:rsidRPr="0001496F" w:rsidRDefault="000C63D9" w:rsidP="0001496F">
      <w:pPr>
        <w:jc w:val="both"/>
        <w:rPr>
          <w:rFonts w:ascii="Times New Roman" w:hAnsi="Times New Roman" w:cs="Times New Roman"/>
        </w:rPr>
      </w:pPr>
    </w:p>
    <w:p w14:paraId="2E16AB46" w14:textId="165B6144" w:rsidR="000C63D9" w:rsidRPr="0001496F" w:rsidRDefault="000C63D9" w:rsidP="0001496F">
      <w:pPr>
        <w:jc w:val="both"/>
        <w:rPr>
          <w:rFonts w:ascii="Times New Roman" w:hAnsi="Times New Roman" w:cs="Times New Roman"/>
        </w:rPr>
      </w:pPr>
      <w:r w:rsidRPr="0001496F">
        <w:rPr>
          <w:rFonts w:ascii="Times New Roman" w:hAnsi="Times New Roman" w:cs="Times New Roman"/>
        </w:rPr>
        <w:t>Dès qu’une loi autorise la collaboration, il y a une forme de pression à collaborer exercée sur les infracteurs en raison de la différence de traitement entre celui qui collabore et celui qui ne collabore pas. En effet, faire entendre à un infracteur que</w:t>
      </w:r>
      <w:r w:rsidR="00572B89" w:rsidRPr="0001496F">
        <w:rPr>
          <w:rFonts w:ascii="Times New Roman" w:hAnsi="Times New Roman" w:cs="Times New Roman"/>
        </w:rPr>
        <w:t>,</w:t>
      </w:r>
      <w:r w:rsidRPr="0001496F">
        <w:rPr>
          <w:rFonts w:ascii="Times New Roman" w:hAnsi="Times New Roman" w:cs="Times New Roman"/>
        </w:rPr>
        <w:t xml:space="preserve"> s’il collabore</w:t>
      </w:r>
      <w:r w:rsidR="00572B89" w:rsidRPr="0001496F">
        <w:rPr>
          <w:rFonts w:ascii="Times New Roman" w:hAnsi="Times New Roman" w:cs="Times New Roman"/>
        </w:rPr>
        <w:t>,</w:t>
      </w:r>
      <w:r w:rsidRPr="0001496F">
        <w:rPr>
          <w:rFonts w:ascii="Times New Roman" w:hAnsi="Times New Roman" w:cs="Times New Roman"/>
        </w:rPr>
        <w:t xml:space="preserve"> il sera condamné à trois ans de prison, mais que s’il ne collabore pas, il pourrait être condamné à neuf ans de prison, crée immanquablement une certaine pression dans le chef de l’infracteur</w:t>
      </w:r>
      <w:r w:rsidR="00A544BA" w:rsidRPr="0001496F">
        <w:rPr>
          <w:rFonts w:ascii="Times New Roman" w:hAnsi="Times New Roman" w:cs="Times New Roman"/>
        </w:rPr>
        <w:t xml:space="preserve"> : ce dernier </w:t>
      </w:r>
      <w:r w:rsidRPr="0001496F">
        <w:rPr>
          <w:rFonts w:ascii="Times New Roman" w:hAnsi="Times New Roman" w:cs="Times New Roman"/>
        </w:rPr>
        <w:t xml:space="preserve">pourra avoir le sentiment que les « six années supplémentaires » ne viennent pas sanctionner son </w:t>
      </w:r>
      <w:r w:rsidRPr="0001496F">
        <w:rPr>
          <w:rFonts w:ascii="Times New Roman" w:hAnsi="Times New Roman" w:cs="Times New Roman"/>
        </w:rPr>
        <w:lastRenderedPageBreak/>
        <w:t>comportement infractionnel mais bien son refus de collaborer</w:t>
      </w:r>
      <w:r w:rsidRPr="0001496F">
        <w:rPr>
          <w:rStyle w:val="Appelnotedebasdep"/>
          <w:rFonts w:ascii="Times New Roman" w:hAnsi="Times New Roman" w:cs="Times New Roman"/>
        </w:rPr>
        <w:footnoteReference w:id="252"/>
      </w:r>
      <w:r w:rsidRPr="0001496F">
        <w:rPr>
          <w:rFonts w:ascii="Times New Roman" w:hAnsi="Times New Roman" w:cs="Times New Roman"/>
        </w:rPr>
        <w:t>. Un tel sentiment n’est d’ailleurs pas totalement dénué de fondement</w:t>
      </w:r>
      <w:r w:rsidR="00A544BA" w:rsidRPr="0001496F">
        <w:rPr>
          <w:rFonts w:ascii="Times New Roman" w:hAnsi="Times New Roman" w:cs="Times New Roman"/>
        </w:rPr>
        <w:t>,</w:t>
      </w:r>
      <w:r w:rsidRPr="0001496F">
        <w:rPr>
          <w:rFonts w:ascii="Times New Roman" w:hAnsi="Times New Roman" w:cs="Times New Roman"/>
        </w:rPr>
        <w:t xml:space="preserve"> puisque « de l’aveu même des magistrats (…), le fait qu’un prévenu nie les faits ‘fait mauvaise impression’ et peut les conduire à prononcer une peine plus sévère »</w:t>
      </w:r>
      <w:r w:rsidRPr="0001496F">
        <w:rPr>
          <w:rStyle w:val="Appelnotedebasdep"/>
          <w:rFonts w:ascii="Times New Roman" w:hAnsi="Times New Roman" w:cs="Times New Roman"/>
        </w:rPr>
        <w:footnoteReference w:id="253"/>
      </w:r>
      <w:r w:rsidRPr="0001496F">
        <w:rPr>
          <w:rFonts w:ascii="Times New Roman" w:hAnsi="Times New Roman" w:cs="Times New Roman"/>
        </w:rPr>
        <w:t>. Si cette tendance est difficilement décelable ou objectivable, elle risque de s’accentuer lorsqu’une loi autorise la collaboration</w:t>
      </w:r>
      <w:r w:rsidRPr="0001496F">
        <w:rPr>
          <w:rStyle w:val="Appelnotedebasdep"/>
          <w:rFonts w:ascii="Times New Roman" w:hAnsi="Times New Roman" w:cs="Times New Roman"/>
        </w:rPr>
        <w:footnoteReference w:id="254"/>
      </w:r>
      <w:r w:rsidRPr="0001496F">
        <w:rPr>
          <w:rFonts w:ascii="Times New Roman" w:hAnsi="Times New Roman" w:cs="Times New Roman"/>
        </w:rPr>
        <w:t>.</w:t>
      </w:r>
    </w:p>
    <w:p w14:paraId="36B57512" w14:textId="77777777" w:rsidR="000C63D9" w:rsidRPr="0001496F" w:rsidRDefault="000C63D9" w:rsidP="0001496F">
      <w:pPr>
        <w:jc w:val="both"/>
        <w:rPr>
          <w:rFonts w:ascii="Times New Roman" w:hAnsi="Times New Roman" w:cs="Times New Roman"/>
        </w:rPr>
      </w:pPr>
    </w:p>
    <w:p w14:paraId="6A5908CE" w14:textId="4B3D29CB"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Si une certaine pression est inévitable, elle ne serait néanmoins pas systématiquement illégitime. Lorsque la personne susceptible de collaborer </w:t>
      </w:r>
      <w:proofErr w:type="gramStart"/>
      <w:r w:rsidRPr="0001496F">
        <w:rPr>
          <w:rFonts w:ascii="Times New Roman" w:hAnsi="Times New Roman" w:cs="Times New Roman"/>
        </w:rPr>
        <w:t>a</w:t>
      </w:r>
      <w:proofErr w:type="gramEnd"/>
      <w:r w:rsidRPr="0001496F">
        <w:rPr>
          <w:rFonts w:ascii="Times New Roman" w:hAnsi="Times New Roman" w:cs="Times New Roman"/>
        </w:rPr>
        <w:t xml:space="preserve"> le statut de témoin, il n’y a pas en Belgique de véritable « droit au silence du témoin ». Or, ce dernier pourrait avoir certains intérêts à se taire : le respect d’une solidarité et la crainte de représailles. D’une certaine manière, la loi belge tient compte de ces intérêts via l’article 30 du </w:t>
      </w:r>
      <w:r w:rsidR="0043371C" w:rsidRPr="0001496F">
        <w:rPr>
          <w:rFonts w:ascii="Times New Roman" w:hAnsi="Times New Roman" w:cs="Times New Roman"/>
        </w:rPr>
        <w:t>C. i. cr.</w:t>
      </w:r>
      <w:r w:rsidRPr="0001496F">
        <w:rPr>
          <w:rFonts w:ascii="Times New Roman" w:hAnsi="Times New Roman" w:cs="Times New Roman"/>
        </w:rPr>
        <w:t xml:space="preserve"> </w:t>
      </w:r>
      <w:proofErr w:type="gramStart"/>
      <w:r w:rsidRPr="0001496F">
        <w:rPr>
          <w:rFonts w:ascii="Times New Roman" w:hAnsi="Times New Roman" w:cs="Times New Roman"/>
        </w:rPr>
        <w:t>qui</w:t>
      </w:r>
      <w:proofErr w:type="gramEnd"/>
      <w:r w:rsidRPr="0001496F">
        <w:rPr>
          <w:rFonts w:ascii="Times New Roman" w:hAnsi="Times New Roman" w:cs="Times New Roman"/>
        </w:rPr>
        <w:t xml:space="preserve"> impose à toute personne de dénoncer les crimes et les délits dont elle aurait connaissance, sans pour autant prévoir une sanction pénale si elle ne respecte pas cette obligation. </w:t>
      </w:r>
    </w:p>
    <w:p w14:paraId="74B3BBCC" w14:textId="77777777" w:rsidR="000C63D9" w:rsidRPr="0001496F" w:rsidRDefault="000C63D9" w:rsidP="0001496F">
      <w:pPr>
        <w:jc w:val="both"/>
        <w:rPr>
          <w:rFonts w:ascii="Times New Roman" w:hAnsi="Times New Roman" w:cs="Times New Roman"/>
        </w:rPr>
      </w:pPr>
    </w:p>
    <w:p w14:paraId="2E386FB4"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Lorsque la personne susceptible de collaborer risque de s’auto-incriminer, elle est alors protégée par un véritable droit au silence. Pour que les pressions exercées soient légitimes, il faudrait s’assurer que la renonciation à ce droit soit libre, éclairée et assortie de garanties</w:t>
      </w:r>
      <w:r w:rsidRPr="0001496F">
        <w:rPr>
          <w:rStyle w:val="Appelnotedebasdep"/>
          <w:rFonts w:ascii="Times New Roman" w:hAnsi="Times New Roman" w:cs="Times New Roman"/>
        </w:rPr>
        <w:footnoteReference w:id="255"/>
      </w:r>
      <w:r w:rsidRPr="0001496F">
        <w:rPr>
          <w:rFonts w:ascii="Times New Roman" w:hAnsi="Times New Roman" w:cs="Times New Roman"/>
        </w:rPr>
        <w:t xml:space="preserve">. </w:t>
      </w:r>
    </w:p>
    <w:p w14:paraId="46222A20" w14:textId="77777777" w:rsidR="000C63D9" w:rsidRPr="0001496F" w:rsidRDefault="000C63D9" w:rsidP="0001496F">
      <w:pPr>
        <w:jc w:val="both"/>
        <w:rPr>
          <w:rFonts w:ascii="Times New Roman" w:hAnsi="Times New Roman" w:cs="Times New Roman"/>
        </w:rPr>
      </w:pPr>
    </w:p>
    <w:p w14:paraId="27B6F062" w14:textId="2FB6F634"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renonciation au droit au silence n’est assurément pas libre lorsqu’une loi prévoit une sanction pénale spécifique pour pousser le candidat récalcitrant à renoncer à son droit au silence. À cet égard, il nous semble heureux que la loi belge ne prévoie pas une peine spécifique pour sanctionner le refus de coopérer d’un accusé. La loi belge respecte donc la jurisprudence de la CEDH en la matière</w:t>
      </w:r>
      <w:r w:rsidRPr="0001496F">
        <w:rPr>
          <w:rStyle w:val="Appelnotedebasdep"/>
          <w:rFonts w:ascii="Times New Roman" w:hAnsi="Times New Roman" w:cs="Times New Roman"/>
        </w:rPr>
        <w:footnoteReference w:id="256"/>
      </w:r>
      <w:r w:rsidRPr="0001496F">
        <w:rPr>
          <w:rFonts w:ascii="Times New Roman" w:hAnsi="Times New Roman" w:cs="Times New Roman"/>
        </w:rPr>
        <w:t xml:space="preserve">. Il nous semble tout aussi heureux que le législateur belge n’ait pas prévu de sanctionner pénalement le collaborateur qui se rétracte et décide finalement de ne pas faire de déclaration. En effet, dans cette hypothèse, la révocation de la promesse et l’application de la peine de substitution semblent </w:t>
      </w:r>
      <w:r w:rsidR="00A544BA" w:rsidRPr="0001496F">
        <w:rPr>
          <w:rFonts w:ascii="Times New Roman" w:hAnsi="Times New Roman" w:cs="Times New Roman"/>
        </w:rPr>
        <w:t>suffire</w:t>
      </w:r>
      <w:r w:rsidRPr="0001496F">
        <w:rPr>
          <w:rFonts w:ascii="Times New Roman" w:hAnsi="Times New Roman" w:cs="Times New Roman"/>
        </w:rPr>
        <w:t xml:space="preserve">. </w:t>
      </w:r>
    </w:p>
    <w:p w14:paraId="3030A284" w14:textId="77777777" w:rsidR="000C63D9" w:rsidRPr="0001496F" w:rsidRDefault="000C63D9" w:rsidP="0001496F">
      <w:pPr>
        <w:jc w:val="both"/>
        <w:rPr>
          <w:rFonts w:ascii="Times New Roman" w:hAnsi="Times New Roman" w:cs="Times New Roman"/>
        </w:rPr>
      </w:pPr>
    </w:p>
    <w:p w14:paraId="54D75D4C"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La renonciation au droit au silence n’est éclairée que si le collaborateur sait précisément ce qu’il va obtenir en collaborant. Il faudrait donc privilégier les dispositifs dans lesquels les avantages du collaborateur sont irrévocables et certains. </w:t>
      </w:r>
    </w:p>
    <w:p w14:paraId="6523010D" w14:textId="77777777" w:rsidR="000C63D9" w:rsidRPr="0001496F" w:rsidRDefault="000C63D9" w:rsidP="0001496F">
      <w:pPr>
        <w:jc w:val="both"/>
        <w:rPr>
          <w:rFonts w:ascii="Times New Roman" w:hAnsi="Times New Roman" w:cs="Times New Roman"/>
        </w:rPr>
      </w:pPr>
    </w:p>
    <w:p w14:paraId="0AEC44C4"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Les décisions du ministère public belge sont à certains égards révocables, puisqu’elles doivent obtenir l’accord des procureurs généraux et, pour certaines, l’homologation d’un juge ou l’accord du directeur général des Établissements pénitentiaires (</w:t>
      </w:r>
      <w:r w:rsidRPr="0001496F">
        <w:rPr>
          <w:rFonts w:ascii="Times New Roman" w:hAnsi="Times New Roman" w:cs="Times New Roman"/>
          <w:i/>
        </w:rPr>
        <w:t>cf. supra</w:t>
      </w:r>
      <w:r w:rsidRPr="0001496F">
        <w:rPr>
          <w:rFonts w:ascii="Times New Roman" w:hAnsi="Times New Roman" w:cs="Times New Roman"/>
        </w:rPr>
        <w:t xml:space="preserve"> 2.4.2). En outre, lors de la signature du mémorandum relatif à une promesse relative à l’action publique, il manque une information importante au collaborateur : le taux de la peine de substitution. Il faudrait enfin s’assurer que les avantages obtenus par le collaborateur ne soient pas réduits à néant par des poursuites exercées à l’étranger</w:t>
      </w:r>
      <w:r w:rsidRPr="0001496F">
        <w:rPr>
          <w:rStyle w:val="Appelnotedebasdep"/>
          <w:rFonts w:ascii="Times New Roman" w:hAnsi="Times New Roman" w:cs="Times New Roman"/>
        </w:rPr>
        <w:footnoteReference w:id="257"/>
      </w:r>
      <w:r w:rsidRPr="0001496F">
        <w:rPr>
          <w:rFonts w:ascii="Times New Roman" w:hAnsi="Times New Roman" w:cs="Times New Roman"/>
        </w:rPr>
        <w:t xml:space="preserve">. Pour bénéficier du principe </w:t>
      </w:r>
      <w:r w:rsidRPr="0001496F">
        <w:rPr>
          <w:rFonts w:ascii="Times New Roman" w:hAnsi="Times New Roman" w:cs="Times New Roman"/>
          <w:i/>
        </w:rPr>
        <w:t>ne bis in idem</w:t>
      </w:r>
      <w:r w:rsidRPr="0001496F">
        <w:rPr>
          <w:rFonts w:ascii="Times New Roman" w:hAnsi="Times New Roman" w:cs="Times New Roman"/>
        </w:rPr>
        <w:t>, il faudrait que le collaborateur ait été définitivement jugé en Belgique</w:t>
      </w:r>
      <w:r w:rsidRPr="0001496F">
        <w:rPr>
          <w:rStyle w:val="Appelnotedebasdep"/>
          <w:rFonts w:ascii="Times New Roman" w:hAnsi="Times New Roman" w:cs="Times New Roman"/>
        </w:rPr>
        <w:footnoteReference w:id="258"/>
      </w:r>
      <w:r w:rsidRPr="0001496F">
        <w:rPr>
          <w:rFonts w:ascii="Times New Roman" w:hAnsi="Times New Roman" w:cs="Times New Roman"/>
        </w:rPr>
        <w:t xml:space="preserve">. Il nous semble que l’exigence d’une homologation par un juge est de nature à rassurer quant à ce risque de poursuite à l’étranger. </w:t>
      </w:r>
    </w:p>
    <w:p w14:paraId="2516BC0B" w14:textId="77777777" w:rsidR="000C63D9" w:rsidRPr="0001496F" w:rsidRDefault="000C63D9" w:rsidP="0001496F">
      <w:pPr>
        <w:jc w:val="both"/>
        <w:rPr>
          <w:rFonts w:ascii="Times New Roman" w:hAnsi="Times New Roman" w:cs="Times New Roman"/>
        </w:rPr>
      </w:pPr>
    </w:p>
    <w:p w14:paraId="7438A53F" w14:textId="12605DA3" w:rsidR="000C63D9" w:rsidRPr="0001496F" w:rsidRDefault="000C63D9" w:rsidP="0001496F">
      <w:pPr>
        <w:jc w:val="both"/>
        <w:rPr>
          <w:rFonts w:ascii="Times New Roman" w:hAnsi="Times New Roman" w:cs="Times New Roman"/>
        </w:rPr>
      </w:pPr>
      <w:r w:rsidRPr="0001496F">
        <w:rPr>
          <w:rFonts w:ascii="Times New Roman" w:hAnsi="Times New Roman" w:cs="Times New Roman"/>
        </w:rPr>
        <w:lastRenderedPageBreak/>
        <w:t>Le résultat promis par le ministère public belge est parfois incertain. Lors d’une promesse relative à l’exécution de la peine, le collaborateur recevra un simple « avis » favorable qui ne préjuge pas de la décision finale (du Tribunal de l’application des peines)</w:t>
      </w:r>
      <w:r w:rsidR="00E26567" w:rsidRPr="0001496F">
        <w:rPr>
          <w:rFonts w:ascii="Times New Roman" w:hAnsi="Times New Roman" w:cs="Times New Roman"/>
        </w:rPr>
        <w:t>. O</w:t>
      </w:r>
      <w:r w:rsidRPr="0001496F">
        <w:rPr>
          <w:rFonts w:ascii="Times New Roman" w:hAnsi="Times New Roman" w:cs="Times New Roman"/>
        </w:rPr>
        <w:t>u alors il obtiendra une « décision » favorable</w:t>
      </w:r>
      <w:r w:rsidR="00E26567" w:rsidRPr="0001496F">
        <w:rPr>
          <w:rFonts w:ascii="Times New Roman" w:hAnsi="Times New Roman" w:cs="Times New Roman"/>
        </w:rPr>
        <w:t>,</w:t>
      </w:r>
      <w:r w:rsidRPr="0001496F">
        <w:rPr>
          <w:rFonts w:ascii="Times New Roman" w:hAnsi="Times New Roman" w:cs="Times New Roman"/>
        </w:rPr>
        <w:t xml:space="preserve"> mais pour laquelle le ministère public n’est pas le seul acteur impliqué et dont la mise en œuvre risque d’être perturbée par le rôle joué (en amont) par ces autres acteurs (</w:t>
      </w:r>
      <w:r w:rsidRPr="0001496F">
        <w:rPr>
          <w:rFonts w:ascii="Times New Roman" w:hAnsi="Times New Roman" w:cs="Times New Roman"/>
          <w:i/>
        </w:rPr>
        <w:t>cf. supra</w:t>
      </w:r>
      <w:r w:rsidRPr="0001496F">
        <w:rPr>
          <w:rFonts w:ascii="Times New Roman" w:hAnsi="Times New Roman" w:cs="Times New Roman"/>
        </w:rPr>
        <w:t xml:space="preserve"> 2.2.2). Lors d’une promesse relative au lieu de détention, le directeur de prison pourrait décider de ne pas exécuter la promesse (et ce même après que les déclarations du collaborateur ont été faites) s’il estime que cette mise en œuvre contrevient à la discipline, l’ordre ou la sécurité au sein de la prison (</w:t>
      </w:r>
      <w:r w:rsidRPr="0001496F">
        <w:rPr>
          <w:rFonts w:ascii="Times New Roman" w:hAnsi="Times New Roman" w:cs="Times New Roman"/>
          <w:i/>
        </w:rPr>
        <w:t>cf. supra</w:t>
      </w:r>
      <w:r w:rsidRPr="0001496F">
        <w:rPr>
          <w:rFonts w:ascii="Times New Roman" w:hAnsi="Times New Roman" w:cs="Times New Roman"/>
        </w:rPr>
        <w:t xml:space="preserve"> 2.4.2.2). </w:t>
      </w:r>
    </w:p>
    <w:p w14:paraId="3C284504" w14:textId="77777777" w:rsidR="000C63D9" w:rsidRPr="0001496F" w:rsidRDefault="000C63D9" w:rsidP="0001496F">
      <w:pPr>
        <w:jc w:val="both"/>
        <w:rPr>
          <w:rFonts w:ascii="Times New Roman" w:hAnsi="Times New Roman" w:cs="Times New Roman"/>
        </w:rPr>
      </w:pPr>
    </w:p>
    <w:p w14:paraId="6FEC9047" w14:textId="62D01D26"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renonciation au droit au silence d</w:t>
      </w:r>
      <w:r w:rsidR="002D2022" w:rsidRPr="0001496F">
        <w:rPr>
          <w:rFonts w:ascii="Times New Roman" w:hAnsi="Times New Roman" w:cs="Times New Roman"/>
        </w:rPr>
        <w:t>o</w:t>
      </w:r>
      <w:r w:rsidRPr="0001496F">
        <w:rPr>
          <w:rFonts w:ascii="Times New Roman" w:hAnsi="Times New Roman" w:cs="Times New Roman"/>
        </w:rPr>
        <w:t xml:space="preserve">it être entourée de certaines garanties. </w:t>
      </w:r>
      <w:r w:rsidR="00313E9D" w:rsidRPr="0001496F">
        <w:rPr>
          <w:rFonts w:ascii="Times New Roman" w:hAnsi="Times New Roman" w:cs="Times New Roman"/>
        </w:rPr>
        <w:t>Ainsi, a-t-on</w:t>
      </w:r>
      <w:r w:rsidR="002D2022" w:rsidRPr="0001496F">
        <w:rPr>
          <w:rFonts w:ascii="Times New Roman" w:hAnsi="Times New Roman" w:cs="Times New Roman"/>
        </w:rPr>
        <w:t xml:space="preserve"> estimé </w:t>
      </w:r>
      <w:r w:rsidR="00313E9D" w:rsidRPr="0001496F">
        <w:rPr>
          <w:rFonts w:ascii="Times New Roman" w:hAnsi="Times New Roman" w:cs="Times New Roman"/>
        </w:rPr>
        <w:t xml:space="preserve">en doctrine </w:t>
      </w:r>
      <w:r w:rsidR="002D2022" w:rsidRPr="0001496F">
        <w:rPr>
          <w:rFonts w:ascii="Times New Roman" w:hAnsi="Times New Roman" w:cs="Times New Roman"/>
        </w:rPr>
        <w:t>que le</w:t>
      </w:r>
      <w:r w:rsidRPr="0001496F">
        <w:rPr>
          <w:rFonts w:ascii="Times New Roman" w:hAnsi="Times New Roman" w:cs="Times New Roman"/>
        </w:rPr>
        <w:t xml:space="preserve"> collaborateur devrait être assisté d’un avocat</w:t>
      </w:r>
      <w:r w:rsidRPr="0001496F">
        <w:rPr>
          <w:rStyle w:val="Appelnotedebasdep"/>
          <w:rFonts w:ascii="Times New Roman" w:hAnsi="Times New Roman" w:cs="Times New Roman"/>
        </w:rPr>
        <w:footnoteReference w:id="259"/>
      </w:r>
      <w:r w:rsidRPr="0001496F">
        <w:rPr>
          <w:rFonts w:ascii="Times New Roman" w:hAnsi="Times New Roman" w:cs="Times New Roman"/>
        </w:rPr>
        <w:t>. Il est heureux que la loi belge ait prévu cette assistance (</w:t>
      </w:r>
      <w:r w:rsidRPr="0001496F">
        <w:rPr>
          <w:rFonts w:ascii="Times New Roman" w:hAnsi="Times New Roman" w:cs="Times New Roman"/>
          <w:i/>
        </w:rPr>
        <w:t>cf. supra</w:t>
      </w:r>
      <w:r w:rsidRPr="0001496F">
        <w:rPr>
          <w:rFonts w:ascii="Times New Roman" w:hAnsi="Times New Roman" w:cs="Times New Roman"/>
        </w:rPr>
        <w:t xml:space="preserve"> 2.4.2.2). </w:t>
      </w:r>
      <w:r w:rsidR="00FC28AB" w:rsidRPr="0001496F">
        <w:rPr>
          <w:rFonts w:ascii="Times New Roman" w:hAnsi="Times New Roman" w:cs="Times New Roman"/>
        </w:rPr>
        <w:t xml:space="preserve">De plus, le collaborateur ne devrait pas être </w:t>
      </w:r>
      <w:r w:rsidRPr="0001496F">
        <w:rPr>
          <w:rFonts w:ascii="Times New Roman" w:hAnsi="Times New Roman" w:cs="Times New Roman"/>
        </w:rPr>
        <w:t>« condamné sur la base de son seul aveu »</w:t>
      </w:r>
      <w:r w:rsidRPr="0001496F">
        <w:rPr>
          <w:rStyle w:val="Appelnotedebasdep"/>
          <w:rFonts w:ascii="Times New Roman" w:hAnsi="Times New Roman" w:cs="Times New Roman"/>
        </w:rPr>
        <w:footnoteReference w:id="260"/>
      </w:r>
      <w:r w:rsidR="00FC28AB" w:rsidRPr="0001496F">
        <w:rPr>
          <w:rFonts w:ascii="Times New Roman" w:hAnsi="Times New Roman" w:cs="Times New Roman"/>
        </w:rPr>
        <w:t>. La loi belge prévoit</w:t>
      </w:r>
      <w:r w:rsidR="00313E9D" w:rsidRPr="0001496F">
        <w:rPr>
          <w:rFonts w:ascii="Times New Roman" w:hAnsi="Times New Roman" w:cs="Times New Roman"/>
        </w:rPr>
        <w:t xml:space="preserve"> </w:t>
      </w:r>
      <w:r w:rsidRPr="0001496F">
        <w:rPr>
          <w:rFonts w:ascii="Times New Roman" w:hAnsi="Times New Roman" w:cs="Times New Roman"/>
        </w:rPr>
        <w:t xml:space="preserve">une exigence de corroboration pour sanctionner le tiers dénoncé mais pas pour sanctionner le collaborateur. Il nous semble que cette exigence de corroboration spécifique </w:t>
      </w:r>
      <w:r w:rsidR="00CD6610" w:rsidRPr="0001496F">
        <w:rPr>
          <w:rFonts w:ascii="Times New Roman" w:hAnsi="Times New Roman" w:cs="Times New Roman"/>
        </w:rPr>
        <w:t>est</w:t>
      </w:r>
      <w:r w:rsidRPr="0001496F">
        <w:rPr>
          <w:rFonts w:ascii="Times New Roman" w:hAnsi="Times New Roman" w:cs="Times New Roman"/>
        </w:rPr>
        <w:t xml:space="preserve"> particulièrement utile lorsque le collaborateur s’accuse volontairement à tort en raison des pressions du milieu criminel. En effet, dans les autres cas, les déclarations du collaborateur permettront </w:t>
      </w:r>
      <w:r w:rsidR="00CD6610" w:rsidRPr="0001496F">
        <w:rPr>
          <w:rFonts w:ascii="Times New Roman" w:hAnsi="Times New Roman" w:cs="Times New Roman"/>
        </w:rPr>
        <w:t xml:space="preserve">plus facilement </w:t>
      </w:r>
      <w:r w:rsidRPr="0001496F">
        <w:rPr>
          <w:rFonts w:ascii="Times New Roman" w:hAnsi="Times New Roman" w:cs="Times New Roman"/>
        </w:rPr>
        <w:t>aux enquêteurs de trouver d’autres éléments de preuve</w:t>
      </w:r>
      <w:r w:rsidR="00CD6610" w:rsidRPr="0001496F">
        <w:rPr>
          <w:rFonts w:ascii="Times New Roman" w:hAnsi="Times New Roman" w:cs="Times New Roman"/>
        </w:rPr>
        <w:t xml:space="preserve">. Enfin, le législateur belge prévoit que le </w:t>
      </w:r>
      <w:r w:rsidRPr="0001496F">
        <w:rPr>
          <w:rFonts w:ascii="Times New Roman" w:hAnsi="Times New Roman" w:cs="Times New Roman"/>
        </w:rPr>
        <w:t xml:space="preserve">collaborateur </w:t>
      </w:r>
      <w:r w:rsidR="00CD6610" w:rsidRPr="0001496F">
        <w:rPr>
          <w:rFonts w:ascii="Times New Roman" w:hAnsi="Times New Roman" w:cs="Times New Roman"/>
        </w:rPr>
        <w:t>puisse</w:t>
      </w:r>
      <w:r w:rsidRPr="0001496F">
        <w:rPr>
          <w:rFonts w:ascii="Times New Roman" w:hAnsi="Times New Roman" w:cs="Times New Roman"/>
        </w:rPr>
        <w:t xml:space="preserve"> bénéficier de mesures de protection pour éviter les représailles. </w:t>
      </w:r>
      <w:r w:rsidR="002515BA" w:rsidRPr="0001496F">
        <w:rPr>
          <w:rFonts w:ascii="Times New Roman" w:hAnsi="Times New Roman" w:cs="Times New Roman"/>
        </w:rPr>
        <w:t>Il</w:t>
      </w:r>
      <w:r w:rsidR="00CD6610" w:rsidRPr="0001496F">
        <w:rPr>
          <w:rFonts w:ascii="Times New Roman" w:hAnsi="Times New Roman" w:cs="Times New Roman"/>
        </w:rPr>
        <w:t xml:space="preserve"> s’est montré</w:t>
      </w:r>
      <w:r w:rsidRPr="0001496F">
        <w:rPr>
          <w:rFonts w:ascii="Times New Roman" w:hAnsi="Times New Roman" w:cs="Times New Roman"/>
        </w:rPr>
        <w:t xml:space="preserve"> particulièrement attentif </w:t>
      </w:r>
      <w:r w:rsidR="00CD6610" w:rsidRPr="0001496F">
        <w:rPr>
          <w:rFonts w:ascii="Times New Roman" w:hAnsi="Times New Roman" w:cs="Times New Roman"/>
        </w:rPr>
        <w:t xml:space="preserve">à cette question, </w:t>
      </w:r>
      <w:r w:rsidRPr="0001496F">
        <w:rPr>
          <w:rFonts w:ascii="Times New Roman" w:hAnsi="Times New Roman" w:cs="Times New Roman"/>
        </w:rPr>
        <w:t>en prévoyant très tôt dans la procédure l’avis de la commission de protection des témoins (</w:t>
      </w:r>
      <w:r w:rsidRPr="0001496F">
        <w:rPr>
          <w:rFonts w:ascii="Times New Roman" w:hAnsi="Times New Roman" w:cs="Times New Roman"/>
          <w:i/>
        </w:rPr>
        <w:t>cf. supra</w:t>
      </w:r>
      <w:r w:rsidRPr="0001496F">
        <w:rPr>
          <w:rFonts w:ascii="Times New Roman" w:hAnsi="Times New Roman" w:cs="Times New Roman"/>
        </w:rPr>
        <w:t xml:space="preserve"> 2.4.2.2).</w:t>
      </w:r>
    </w:p>
    <w:p w14:paraId="6167EE39" w14:textId="77777777" w:rsidR="000C63D9" w:rsidRPr="0001496F" w:rsidRDefault="000C63D9" w:rsidP="0001496F">
      <w:pPr>
        <w:jc w:val="both"/>
        <w:rPr>
          <w:rFonts w:ascii="Times New Roman" w:hAnsi="Times New Roman" w:cs="Times New Roman"/>
        </w:rPr>
      </w:pPr>
    </w:p>
    <w:p w14:paraId="6B2AF96A" w14:textId="77777777" w:rsidR="000C63D9" w:rsidRPr="0001496F" w:rsidRDefault="000C63D9" w:rsidP="0001496F">
      <w:pPr>
        <w:jc w:val="both"/>
        <w:outlineLvl w:val="0"/>
        <w:rPr>
          <w:rFonts w:ascii="Times New Roman" w:hAnsi="Times New Roman" w:cs="Times New Roman"/>
          <w:i/>
        </w:rPr>
      </w:pPr>
      <w:r w:rsidRPr="0001496F">
        <w:rPr>
          <w:rFonts w:ascii="Times New Roman" w:hAnsi="Times New Roman" w:cs="Times New Roman"/>
          <w:i/>
        </w:rPr>
        <w:t>Fiabilité</w:t>
      </w:r>
    </w:p>
    <w:p w14:paraId="6AAF493F" w14:textId="77777777" w:rsidR="000C63D9" w:rsidRPr="0001496F" w:rsidRDefault="000C63D9" w:rsidP="0001496F">
      <w:pPr>
        <w:jc w:val="both"/>
        <w:rPr>
          <w:rFonts w:ascii="Times New Roman" w:hAnsi="Times New Roman" w:cs="Times New Roman"/>
        </w:rPr>
      </w:pPr>
    </w:p>
    <w:p w14:paraId="6199EBE6" w14:textId="078688D3" w:rsidR="000C63D9" w:rsidRPr="0001496F" w:rsidRDefault="000C63D9" w:rsidP="0001496F">
      <w:pPr>
        <w:jc w:val="both"/>
        <w:rPr>
          <w:rFonts w:ascii="Times New Roman" w:hAnsi="Times New Roman" w:cs="Times New Roman"/>
        </w:rPr>
      </w:pPr>
      <w:r w:rsidRPr="0001496F">
        <w:rPr>
          <w:rFonts w:ascii="Times New Roman" w:hAnsi="Times New Roman" w:cs="Times New Roman"/>
        </w:rPr>
        <w:t>Il existe plusieurs raisons de se méfier de la fiabilité des déclarations faites par le collaborateur. Un bon témoin, disait F. Gorphé, est celui qui n’est « pas intéressé, matériellement ou moralement, au procès »</w:t>
      </w:r>
      <w:r w:rsidRPr="0001496F">
        <w:rPr>
          <w:rStyle w:val="Appelnotedebasdep"/>
          <w:rFonts w:ascii="Times New Roman" w:hAnsi="Times New Roman" w:cs="Times New Roman"/>
        </w:rPr>
        <w:footnoteReference w:id="261"/>
      </w:r>
      <w:r w:rsidRPr="0001496F">
        <w:rPr>
          <w:rFonts w:ascii="Times New Roman" w:hAnsi="Times New Roman" w:cs="Times New Roman"/>
        </w:rPr>
        <w:t>. Le collaborateur ne correspond pas à cette définition. Par ailleurs, même s’il ne cherche pas consciemment à faire des déclarations mensongères, il pourrait être influencé par « ce qu’il pense qu’on souhaite (…) lui entendre dire »</w:t>
      </w:r>
      <w:r w:rsidRPr="0001496F">
        <w:rPr>
          <w:rStyle w:val="Appelnotedebasdep"/>
          <w:rFonts w:ascii="Times New Roman" w:hAnsi="Times New Roman" w:cs="Times New Roman"/>
        </w:rPr>
        <w:footnoteReference w:id="262"/>
      </w:r>
      <w:r w:rsidRPr="0001496F">
        <w:rPr>
          <w:rFonts w:ascii="Times New Roman" w:hAnsi="Times New Roman" w:cs="Times New Roman"/>
        </w:rPr>
        <w:t xml:space="preserve">. Croire que le candidat collaborateur ne va pas mentir car il n’a aucun intérêt </w:t>
      </w:r>
      <w:r w:rsidR="0084554D" w:rsidRPr="0001496F">
        <w:rPr>
          <w:rFonts w:ascii="Times New Roman" w:hAnsi="Times New Roman" w:cs="Times New Roman"/>
        </w:rPr>
        <w:t xml:space="preserve">à le faire </w:t>
      </w:r>
      <w:r w:rsidRPr="0001496F">
        <w:rPr>
          <w:rFonts w:ascii="Times New Roman" w:hAnsi="Times New Roman" w:cs="Times New Roman"/>
        </w:rPr>
        <w:t>(la menace existe d’une suppression de la réduction de peine, d’un retrait des mesures de protection…) parait douteux</w:t>
      </w:r>
      <w:r w:rsidR="0084554D" w:rsidRPr="0001496F">
        <w:rPr>
          <w:rFonts w:ascii="Times New Roman" w:hAnsi="Times New Roman" w:cs="Times New Roman"/>
        </w:rPr>
        <w:t>,</w:t>
      </w:r>
      <w:r w:rsidRPr="0001496F">
        <w:rPr>
          <w:rFonts w:ascii="Times New Roman" w:hAnsi="Times New Roman" w:cs="Times New Roman"/>
        </w:rPr>
        <w:t xml:space="preserve"> car cela suppose de croire qu’il pense être incapable d’induire la justice en erreur</w:t>
      </w:r>
      <w:r w:rsidRPr="0001496F">
        <w:rPr>
          <w:rStyle w:val="Appelnotedebasdep"/>
          <w:rFonts w:ascii="Times New Roman" w:hAnsi="Times New Roman" w:cs="Times New Roman"/>
        </w:rPr>
        <w:footnoteReference w:id="263"/>
      </w:r>
      <w:r w:rsidRPr="0001496F">
        <w:rPr>
          <w:rFonts w:ascii="Times New Roman" w:hAnsi="Times New Roman" w:cs="Times New Roman"/>
        </w:rPr>
        <w:t>. Cela étant, les problèmes de fiabilité des déclarations peuvent être réduits si le dispositif prévoit une série de garanties</w:t>
      </w:r>
      <w:r w:rsidR="0084554D" w:rsidRPr="0001496F">
        <w:rPr>
          <w:rFonts w:ascii="Times New Roman" w:hAnsi="Times New Roman" w:cs="Times New Roman"/>
        </w:rPr>
        <w:t xml:space="preserve">, </w:t>
      </w:r>
      <w:r w:rsidR="00D57764" w:rsidRPr="0001496F">
        <w:rPr>
          <w:rFonts w:ascii="Times New Roman" w:hAnsi="Times New Roman" w:cs="Times New Roman"/>
        </w:rPr>
        <w:t xml:space="preserve">telles que </w:t>
      </w:r>
      <w:r w:rsidR="00FC3EE7" w:rsidRPr="0001496F">
        <w:rPr>
          <w:rFonts w:ascii="Times New Roman" w:hAnsi="Times New Roman" w:cs="Times New Roman"/>
        </w:rPr>
        <w:t>celles énoncées ci-dessous.</w:t>
      </w:r>
    </w:p>
    <w:p w14:paraId="68FBB39D" w14:textId="77777777" w:rsidR="000C63D9" w:rsidRPr="0001496F" w:rsidRDefault="000C63D9" w:rsidP="0001496F">
      <w:pPr>
        <w:jc w:val="both"/>
        <w:rPr>
          <w:rFonts w:ascii="Times New Roman" w:hAnsi="Times New Roman" w:cs="Times New Roman"/>
        </w:rPr>
      </w:pPr>
    </w:p>
    <w:p w14:paraId="1B267ECE"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Une </w:t>
      </w:r>
      <w:r w:rsidRPr="0001496F">
        <w:rPr>
          <w:rFonts w:ascii="Times New Roman" w:hAnsi="Times New Roman" w:cs="Times New Roman"/>
          <w:i/>
        </w:rPr>
        <w:t>garantie de transparence</w:t>
      </w:r>
      <w:r w:rsidRPr="0001496F">
        <w:rPr>
          <w:rFonts w:ascii="Times New Roman" w:hAnsi="Times New Roman" w:cs="Times New Roman"/>
        </w:rPr>
        <w:t xml:space="preserve"> voudrait que le juge (chargé de l’affaire du tiers dénoncé) et la défense (du tiers dénoncé) soient informés du statut de collaborateur du témoin, du contenu de l’accord et des conditions dans lesquelles le témoignage a été obtenu. La loi belge prévoit que le statut de collaborateur soit connu du juge et de la défense. Ces deux parties ont également connaissance du contenu de l’accord puisque le mémorandum est versé au dossier répressif du tiers dénoncé (</w:t>
      </w:r>
      <w:r w:rsidRPr="0001496F">
        <w:rPr>
          <w:rFonts w:ascii="Times New Roman" w:hAnsi="Times New Roman" w:cs="Times New Roman"/>
          <w:i/>
        </w:rPr>
        <w:t>cf. supra</w:t>
      </w:r>
      <w:r w:rsidRPr="0001496F">
        <w:rPr>
          <w:rFonts w:ascii="Times New Roman" w:hAnsi="Times New Roman" w:cs="Times New Roman"/>
        </w:rPr>
        <w:t xml:space="preserve"> 2.6). Une telle transparence peut éventuellement avoir des effets pervers en termes de sécurité pour le collaborateur (par exemple si le mémorandum précise l’établissement pénitentiaire promis à ce dernier) voire pour son avocat. On pourrait s’interroger </w:t>
      </w:r>
      <w:r w:rsidRPr="0001496F">
        <w:rPr>
          <w:rFonts w:ascii="Times New Roman" w:hAnsi="Times New Roman" w:cs="Times New Roman"/>
        </w:rPr>
        <w:lastRenderedPageBreak/>
        <w:t>sur la plus-value pour les droits de la défense de connaître la teneur exacte de la promesse (si ce n’est que cela permettra progressivement à un avocat de connaître, pour ses défenses futures, les marges de manœuvre dans les négociations avec le ministère public</w:t>
      </w:r>
      <w:r w:rsidRPr="0001496F">
        <w:rPr>
          <w:rStyle w:val="Appelnotedebasdep"/>
          <w:rFonts w:ascii="Times New Roman" w:hAnsi="Times New Roman" w:cs="Times New Roman"/>
        </w:rPr>
        <w:footnoteReference w:id="264"/>
      </w:r>
      <w:r w:rsidRPr="0001496F">
        <w:rPr>
          <w:rFonts w:ascii="Times New Roman" w:hAnsi="Times New Roman" w:cs="Times New Roman"/>
        </w:rPr>
        <w:t>). Pour assurer la transparence des conditions dans lesquelles le témoignage a été obtenu, M.-A. Beernaert propose, même si elle perçoit les failles de cette précaution, que « les premières déclarations d’un collaborateur (…) fassent toujours l’objet d’un enregistrement audiovisuel », et ce pour pouvoir vérifier que celui-ci « n’a pas été soumis à des pressions indues ni à des questions trop suggestives »</w:t>
      </w:r>
      <w:r w:rsidRPr="0001496F">
        <w:rPr>
          <w:rStyle w:val="Appelnotedebasdep"/>
          <w:rFonts w:ascii="Times New Roman" w:hAnsi="Times New Roman" w:cs="Times New Roman"/>
        </w:rPr>
        <w:footnoteReference w:id="265"/>
      </w:r>
      <w:r w:rsidRPr="0001496F">
        <w:rPr>
          <w:rFonts w:ascii="Times New Roman" w:hAnsi="Times New Roman" w:cs="Times New Roman"/>
        </w:rPr>
        <w:t xml:space="preserve">. La loi belge est muette sur ce dernier point. </w:t>
      </w:r>
    </w:p>
    <w:p w14:paraId="2EDB6679" w14:textId="77777777" w:rsidR="000C63D9" w:rsidRPr="0001496F" w:rsidRDefault="000C63D9" w:rsidP="0001496F">
      <w:pPr>
        <w:jc w:val="both"/>
        <w:rPr>
          <w:rFonts w:ascii="Times New Roman" w:hAnsi="Times New Roman" w:cs="Times New Roman"/>
        </w:rPr>
      </w:pPr>
    </w:p>
    <w:p w14:paraId="31F70E4B" w14:textId="441297C8" w:rsidR="000C63D9" w:rsidRPr="0001496F" w:rsidRDefault="00FC3EE7" w:rsidP="0001496F">
      <w:pPr>
        <w:jc w:val="both"/>
        <w:rPr>
          <w:rFonts w:ascii="Times New Roman" w:hAnsi="Times New Roman" w:cs="Times New Roman"/>
        </w:rPr>
      </w:pPr>
      <w:r w:rsidRPr="0001496F">
        <w:rPr>
          <w:rFonts w:ascii="Times New Roman" w:hAnsi="Times New Roman" w:cs="Times New Roman"/>
        </w:rPr>
        <w:t>La</w:t>
      </w:r>
      <w:r w:rsidR="000C63D9" w:rsidRPr="0001496F">
        <w:rPr>
          <w:rFonts w:ascii="Times New Roman" w:hAnsi="Times New Roman" w:cs="Times New Roman"/>
        </w:rPr>
        <w:t xml:space="preserve"> </w:t>
      </w:r>
      <w:r w:rsidRPr="0001496F">
        <w:rPr>
          <w:rFonts w:ascii="Times New Roman" w:hAnsi="Times New Roman" w:cs="Times New Roman"/>
          <w:i/>
        </w:rPr>
        <w:t>garantie du contradictoire</w:t>
      </w:r>
      <w:r w:rsidR="000C63D9" w:rsidRPr="0001496F">
        <w:rPr>
          <w:rFonts w:ascii="Times New Roman" w:hAnsi="Times New Roman" w:cs="Times New Roman"/>
        </w:rPr>
        <w:t xml:space="preserve"> semble rencontrée par la loi belge. En effet, le tiers dénoncé et son avocat semblent être en mesure de contester la fiabilité des déclarations du collaborateur puisqu’ils ont accès au mémorandum, mais surtout parce que la loi interdit toute forme d’anonymat (</w:t>
      </w:r>
      <w:r w:rsidR="000C63D9" w:rsidRPr="0001496F">
        <w:rPr>
          <w:rFonts w:ascii="Times New Roman" w:hAnsi="Times New Roman" w:cs="Times New Roman"/>
          <w:i/>
        </w:rPr>
        <w:t>cf. supra</w:t>
      </w:r>
      <w:r w:rsidR="000C63D9" w:rsidRPr="0001496F">
        <w:rPr>
          <w:rFonts w:ascii="Times New Roman" w:hAnsi="Times New Roman" w:cs="Times New Roman"/>
        </w:rPr>
        <w:t xml:space="preserve"> 2.3.1). Si les besoins de protection du collaborateur sont particulièrement élevés, une « audition à distance, au travers d’une connexion audiovisuelle »</w:t>
      </w:r>
      <w:r w:rsidR="000C63D9" w:rsidRPr="0001496F">
        <w:rPr>
          <w:rStyle w:val="Appelnotedebasdep"/>
          <w:rFonts w:ascii="Times New Roman" w:hAnsi="Times New Roman" w:cs="Times New Roman"/>
        </w:rPr>
        <w:footnoteReference w:id="266"/>
      </w:r>
      <w:r w:rsidR="000C63D9" w:rsidRPr="0001496F">
        <w:rPr>
          <w:rFonts w:ascii="Times New Roman" w:hAnsi="Times New Roman" w:cs="Times New Roman"/>
        </w:rPr>
        <w:t xml:space="preserve"> semble une solution équilibrée. </w:t>
      </w:r>
    </w:p>
    <w:p w14:paraId="6DEC2105" w14:textId="77777777" w:rsidR="000C63D9" w:rsidRPr="0001496F" w:rsidRDefault="000C63D9" w:rsidP="0001496F">
      <w:pPr>
        <w:jc w:val="both"/>
        <w:rPr>
          <w:rFonts w:ascii="Times New Roman" w:hAnsi="Times New Roman" w:cs="Times New Roman"/>
        </w:rPr>
      </w:pPr>
    </w:p>
    <w:p w14:paraId="16BBAB7D" w14:textId="2904DD49" w:rsidR="000C63D9" w:rsidRPr="0001496F" w:rsidRDefault="000C63D9" w:rsidP="0001496F">
      <w:pPr>
        <w:jc w:val="both"/>
        <w:rPr>
          <w:rFonts w:ascii="Times New Roman" w:hAnsi="Times New Roman" w:cs="Times New Roman"/>
        </w:rPr>
      </w:pPr>
      <w:r w:rsidRPr="0001496F">
        <w:rPr>
          <w:rFonts w:ascii="Times New Roman" w:hAnsi="Times New Roman" w:cs="Times New Roman"/>
        </w:rPr>
        <w:t>Le principe de l</w:t>
      </w:r>
      <w:r w:rsidRPr="0001496F">
        <w:rPr>
          <w:rFonts w:ascii="Times New Roman" w:hAnsi="Times New Roman" w:cs="Times New Roman"/>
          <w:i/>
        </w:rPr>
        <w:t>’égalité des armes</w:t>
      </w:r>
      <w:r w:rsidRPr="0001496F">
        <w:rPr>
          <w:rFonts w:ascii="Times New Roman" w:hAnsi="Times New Roman" w:cs="Times New Roman"/>
        </w:rPr>
        <w:t xml:space="preserve"> pourrait être interprété comme garantissant à la défense le pouvoir de contester la fiabilité des déclarations du collaborateur en disposant des mêmes armes que le ministère public. Concrètement, cela signifierait que la défense du tiers dénoncé </w:t>
      </w:r>
      <w:r w:rsidR="00FC3EE7" w:rsidRPr="0001496F">
        <w:rPr>
          <w:rFonts w:ascii="Times New Roman" w:hAnsi="Times New Roman" w:cs="Times New Roman"/>
        </w:rPr>
        <w:t>devrait pouvoir</w:t>
      </w:r>
      <w:r w:rsidRPr="0001496F">
        <w:rPr>
          <w:rFonts w:ascii="Times New Roman" w:hAnsi="Times New Roman" w:cs="Times New Roman"/>
        </w:rPr>
        <w:t xml:space="preserve"> « faire immuniser d’éventuels témoins à décharge »</w:t>
      </w:r>
      <w:r w:rsidRPr="0001496F">
        <w:rPr>
          <w:rStyle w:val="Appelnotedebasdep"/>
          <w:rFonts w:ascii="Times New Roman" w:hAnsi="Times New Roman" w:cs="Times New Roman"/>
        </w:rPr>
        <w:footnoteReference w:id="267"/>
      </w:r>
      <w:r w:rsidRPr="0001496F">
        <w:rPr>
          <w:rFonts w:ascii="Times New Roman" w:hAnsi="Times New Roman" w:cs="Times New Roman"/>
        </w:rPr>
        <w:t>. Cette idée, sans doute difficile à mettre en œuvre, n’est pas reprise dans la loi belge.</w:t>
      </w:r>
    </w:p>
    <w:p w14:paraId="38AE98D4" w14:textId="77777777" w:rsidR="000C63D9" w:rsidRPr="0001496F" w:rsidRDefault="000C63D9" w:rsidP="0001496F">
      <w:pPr>
        <w:jc w:val="both"/>
        <w:rPr>
          <w:rFonts w:ascii="Times New Roman" w:hAnsi="Times New Roman" w:cs="Times New Roman"/>
        </w:rPr>
      </w:pPr>
    </w:p>
    <w:p w14:paraId="1D29BC42" w14:textId="1471359C"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Une </w:t>
      </w:r>
      <w:r w:rsidRPr="0001496F">
        <w:rPr>
          <w:rFonts w:ascii="Times New Roman" w:hAnsi="Times New Roman" w:cs="Times New Roman"/>
          <w:i/>
        </w:rPr>
        <w:t>garantie de corroboration</w:t>
      </w:r>
      <w:r w:rsidRPr="0001496F">
        <w:rPr>
          <w:rFonts w:ascii="Times New Roman" w:hAnsi="Times New Roman" w:cs="Times New Roman"/>
        </w:rPr>
        <w:t xml:space="preserve"> semble essentielle pour évaluer la fiabilité des déclarations. Cette garantie de corroboration, exigée par la jurisprudence de la CEDH, impose que la condamnation du tiers dénoncé ne puisse être prononcée </w:t>
      </w:r>
      <w:r w:rsidR="00C92DCF" w:rsidRPr="0001496F">
        <w:rPr>
          <w:rFonts w:ascii="Times New Roman" w:hAnsi="Times New Roman" w:cs="Times New Roman"/>
        </w:rPr>
        <w:t>sur le seul témoignage d’un</w:t>
      </w:r>
      <w:r w:rsidR="009D271E" w:rsidRPr="0001496F">
        <w:rPr>
          <w:rFonts w:ascii="Times New Roman" w:hAnsi="Times New Roman" w:cs="Times New Roman"/>
        </w:rPr>
        <w:t xml:space="preserve"> collaborateur de justice</w:t>
      </w:r>
      <w:r w:rsidR="002C7A70" w:rsidRPr="0001496F">
        <w:rPr>
          <w:rFonts w:ascii="Times New Roman" w:hAnsi="Times New Roman" w:cs="Times New Roman"/>
        </w:rPr>
        <w:t xml:space="preserve"> (</w:t>
      </w:r>
      <w:r w:rsidR="002C7A70" w:rsidRPr="0001496F">
        <w:rPr>
          <w:rFonts w:ascii="Times New Roman" w:hAnsi="Times New Roman" w:cs="Times New Roman"/>
          <w:i/>
        </w:rPr>
        <w:t>cf. supra</w:t>
      </w:r>
      <w:r w:rsidR="002C7A70" w:rsidRPr="0001496F">
        <w:rPr>
          <w:rFonts w:ascii="Times New Roman" w:hAnsi="Times New Roman" w:cs="Times New Roman"/>
        </w:rPr>
        <w:t xml:space="preserve"> 1.2)</w:t>
      </w:r>
      <w:r w:rsidRPr="0001496F">
        <w:rPr>
          <w:rFonts w:ascii="Times New Roman" w:hAnsi="Times New Roman" w:cs="Times New Roman"/>
        </w:rPr>
        <w:t>. La loi belge respecte cette garantie, en exigeant même que les déclarations soient corroborées dans une mesure déterminante par d’autres éléments de preuve de nature différente (</w:t>
      </w:r>
      <w:r w:rsidRPr="0001496F">
        <w:rPr>
          <w:rFonts w:ascii="Times New Roman" w:hAnsi="Times New Roman" w:cs="Times New Roman"/>
          <w:i/>
        </w:rPr>
        <w:t>cf. supra</w:t>
      </w:r>
      <w:r w:rsidRPr="0001496F">
        <w:rPr>
          <w:rFonts w:ascii="Times New Roman" w:hAnsi="Times New Roman" w:cs="Times New Roman"/>
        </w:rPr>
        <w:t xml:space="preserve"> 2.6). Cette garantie, même si elle limite le principe de l’intime conviction, parait nécessaire. </w:t>
      </w:r>
    </w:p>
    <w:p w14:paraId="6527EF24" w14:textId="77777777" w:rsidR="000C63D9" w:rsidRPr="0001496F" w:rsidRDefault="000C63D9" w:rsidP="0001496F">
      <w:pPr>
        <w:jc w:val="both"/>
        <w:rPr>
          <w:rFonts w:ascii="Times New Roman" w:hAnsi="Times New Roman" w:cs="Times New Roman"/>
        </w:rPr>
      </w:pPr>
    </w:p>
    <w:p w14:paraId="480E16A3"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Une </w:t>
      </w:r>
      <w:r w:rsidRPr="0001496F">
        <w:rPr>
          <w:rFonts w:ascii="Times New Roman" w:hAnsi="Times New Roman" w:cs="Times New Roman"/>
          <w:i/>
        </w:rPr>
        <w:t>garantie de motivation spécifique</w:t>
      </w:r>
      <w:r w:rsidRPr="0001496F">
        <w:rPr>
          <w:rFonts w:ascii="Times New Roman" w:hAnsi="Times New Roman" w:cs="Times New Roman"/>
        </w:rPr>
        <w:t xml:space="preserve"> pourrait réduire les risques d’erreur judiciaire</w:t>
      </w:r>
      <w:r w:rsidRPr="0001496F">
        <w:rPr>
          <w:rStyle w:val="Appelnotedebasdep"/>
          <w:rFonts w:ascii="Times New Roman" w:hAnsi="Times New Roman" w:cs="Times New Roman"/>
        </w:rPr>
        <w:footnoteReference w:id="268"/>
      </w:r>
      <w:r w:rsidRPr="0001496F">
        <w:rPr>
          <w:rFonts w:ascii="Times New Roman" w:hAnsi="Times New Roman" w:cs="Times New Roman"/>
        </w:rPr>
        <w:t>. Il s’agirait de contraindre le juge de « préciser les raisons pour lesquelles il estime devoir accorder foi aux dires du collaborateur »</w:t>
      </w:r>
      <w:r w:rsidRPr="0001496F">
        <w:rPr>
          <w:rStyle w:val="Appelnotedebasdep"/>
          <w:rFonts w:ascii="Times New Roman" w:hAnsi="Times New Roman" w:cs="Times New Roman"/>
        </w:rPr>
        <w:footnoteReference w:id="269"/>
      </w:r>
      <w:r w:rsidRPr="0001496F">
        <w:rPr>
          <w:rFonts w:ascii="Times New Roman" w:hAnsi="Times New Roman" w:cs="Times New Roman"/>
        </w:rPr>
        <w:t>. Une telle motivation spécifique n’est pas prévue par la loi belge.</w:t>
      </w:r>
    </w:p>
    <w:p w14:paraId="5F874DE5" w14:textId="77777777" w:rsidR="000C63D9" w:rsidRPr="0001496F" w:rsidRDefault="000C63D9" w:rsidP="0001496F">
      <w:pPr>
        <w:jc w:val="both"/>
        <w:rPr>
          <w:rFonts w:ascii="Times New Roman" w:hAnsi="Times New Roman" w:cs="Times New Roman"/>
        </w:rPr>
      </w:pPr>
    </w:p>
    <w:p w14:paraId="64C42C7F" w14:textId="77777777" w:rsidR="000C63D9" w:rsidRPr="0001496F" w:rsidRDefault="000C63D9" w:rsidP="0001496F">
      <w:pPr>
        <w:jc w:val="both"/>
        <w:outlineLvl w:val="0"/>
        <w:rPr>
          <w:rFonts w:ascii="Times New Roman" w:hAnsi="Times New Roman" w:cs="Times New Roman"/>
          <w:i/>
        </w:rPr>
      </w:pPr>
      <w:r w:rsidRPr="0001496F">
        <w:rPr>
          <w:rFonts w:ascii="Times New Roman" w:hAnsi="Times New Roman" w:cs="Times New Roman"/>
          <w:i/>
        </w:rPr>
        <w:t>Égalité et non-discrimination</w:t>
      </w:r>
    </w:p>
    <w:p w14:paraId="54EBE9F7" w14:textId="77777777" w:rsidR="000C63D9" w:rsidRPr="0001496F" w:rsidRDefault="000C63D9" w:rsidP="0001496F">
      <w:pPr>
        <w:jc w:val="both"/>
        <w:rPr>
          <w:rFonts w:ascii="Times New Roman" w:hAnsi="Times New Roman" w:cs="Times New Roman"/>
        </w:rPr>
      </w:pPr>
    </w:p>
    <w:p w14:paraId="797B7CCC" w14:textId="58591483" w:rsidR="000C63D9" w:rsidRPr="0001496F" w:rsidRDefault="000C63D9" w:rsidP="0001496F">
      <w:pPr>
        <w:jc w:val="both"/>
        <w:rPr>
          <w:rFonts w:ascii="Times New Roman" w:hAnsi="Times New Roman" w:cs="Times New Roman"/>
        </w:rPr>
      </w:pPr>
      <w:r w:rsidRPr="0001496F">
        <w:rPr>
          <w:rFonts w:ascii="Times New Roman" w:hAnsi="Times New Roman" w:cs="Times New Roman"/>
        </w:rPr>
        <w:t>D’une part, il faut que le dispositif de collaboration respecte une égalité « externe »</w:t>
      </w:r>
      <w:r w:rsidRPr="0001496F">
        <w:rPr>
          <w:rStyle w:val="Appelnotedebasdep"/>
          <w:rFonts w:ascii="Times New Roman" w:hAnsi="Times New Roman" w:cs="Times New Roman"/>
        </w:rPr>
        <w:footnoteReference w:id="270"/>
      </w:r>
      <w:r w:rsidRPr="0001496F">
        <w:rPr>
          <w:rFonts w:ascii="Times New Roman" w:hAnsi="Times New Roman" w:cs="Times New Roman"/>
        </w:rPr>
        <w:t xml:space="preserve">. Cette première exigence concerne le champ d’application du dispositif de la collaboration ; il faut justifier le fait que la collaboration soit autorisée pour certaines formes de criminalité et pas pour d’autres. Il nous semble important – et c’est le cas en Belgique – que ce travail de délimitation soit effectué par le législateur. Le législateur belge a choisi de prendre comme </w:t>
      </w:r>
      <w:r w:rsidRPr="0001496F">
        <w:rPr>
          <w:rFonts w:ascii="Times New Roman" w:hAnsi="Times New Roman" w:cs="Times New Roman"/>
        </w:rPr>
        <w:lastRenderedPageBreak/>
        <w:t>critère la gravité des faits en utilisant l’expression-choc des infractions « les plus déstabilisantes pour la société ». Nous avons déjà eu l’occasion de souligner le caractère discutable de l’opérationnalisation de ce critère</w:t>
      </w:r>
      <w:r w:rsidR="002E515D" w:rsidRPr="0001496F">
        <w:rPr>
          <w:rFonts w:ascii="Times New Roman" w:hAnsi="Times New Roman" w:cs="Times New Roman"/>
        </w:rPr>
        <w:t xml:space="preserve">, dès lors </w:t>
      </w:r>
      <w:r w:rsidRPr="0001496F">
        <w:rPr>
          <w:rFonts w:ascii="Times New Roman" w:hAnsi="Times New Roman" w:cs="Times New Roman"/>
        </w:rPr>
        <w:t>que le législateur reprend la liste des infractions de l’article 90</w:t>
      </w:r>
      <w:r w:rsidRPr="0001496F">
        <w:rPr>
          <w:rFonts w:ascii="Times New Roman" w:hAnsi="Times New Roman" w:cs="Times New Roman"/>
          <w:i/>
        </w:rPr>
        <w:t>ter</w:t>
      </w:r>
      <w:r w:rsidRPr="0001496F">
        <w:rPr>
          <w:rFonts w:ascii="Times New Roman" w:hAnsi="Times New Roman" w:cs="Times New Roman"/>
        </w:rPr>
        <w:t xml:space="preserve">, § 2 à 4 du C. i. cr. </w:t>
      </w:r>
      <w:proofErr w:type="gramStart"/>
      <w:r w:rsidRPr="0001496F">
        <w:rPr>
          <w:rFonts w:ascii="Times New Roman" w:hAnsi="Times New Roman" w:cs="Times New Roman"/>
        </w:rPr>
        <w:t>pour</w:t>
      </w:r>
      <w:proofErr w:type="gramEnd"/>
      <w:r w:rsidRPr="0001496F">
        <w:rPr>
          <w:rFonts w:ascii="Times New Roman" w:hAnsi="Times New Roman" w:cs="Times New Roman"/>
        </w:rPr>
        <w:t xml:space="preserve"> ce faire (</w:t>
      </w:r>
      <w:r w:rsidRPr="0001496F">
        <w:rPr>
          <w:rFonts w:ascii="Times New Roman" w:hAnsi="Times New Roman" w:cs="Times New Roman"/>
          <w:i/>
        </w:rPr>
        <w:t>cf. supra</w:t>
      </w:r>
      <w:r w:rsidRPr="0001496F">
        <w:rPr>
          <w:rFonts w:ascii="Times New Roman" w:hAnsi="Times New Roman" w:cs="Times New Roman"/>
        </w:rPr>
        <w:t xml:space="preserve"> 2.1.1). Mais, au-delà de cette critique, c’est le critère même de la gravité des faits qui pourrait être questionné. </w:t>
      </w:r>
      <w:r w:rsidR="00A05F67" w:rsidRPr="0001496F">
        <w:rPr>
          <w:rFonts w:ascii="Times New Roman" w:hAnsi="Times New Roman" w:cs="Times New Roman"/>
        </w:rPr>
        <w:t>À</w:t>
      </w:r>
      <w:r w:rsidR="001E327D" w:rsidRPr="0001496F">
        <w:rPr>
          <w:rFonts w:ascii="Times New Roman" w:hAnsi="Times New Roman" w:cs="Times New Roman"/>
        </w:rPr>
        <w:t xml:space="preserve"> cet égard, </w:t>
      </w:r>
      <w:r w:rsidRPr="0001496F">
        <w:rPr>
          <w:rFonts w:ascii="Times New Roman" w:hAnsi="Times New Roman" w:cs="Times New Roman"/>
        </w:rPr>
        <w:t>M.-A. Beernaert propose de manière convaincante le critère suivant : la collaboration ne devrait être possible que pour les contentieux « qui posent à la justice des difficultés particulières »</w:t>
      </w:r>
      <w:r w:rsidRPr="0001496F">
        <w:rPr>
          <w:rStyle w:val="Appelnotedebasdep"/>
          <w:rFonts w:ascii="Times New Roman" w:hAnsi="Times New Roman" w:cs="Times New Roman"/>
        </w:rPr>
        <w:footnoteReference w:id="271"/>
      </w:r>
      <w:r w:rsidRPr="0001496F">
        <w:rPr>
          <w:rFonts w:ascii="Times New Roman" w:hAnsi="Times New Roman" w:cs="Times New Roman"/>
        </w:rPr>
        <w:t>. Si le législateur limite le champ d’application aux seules infractions pour lesquelles la justice pénale est impuissante sans une collaboration, on respecte assurément mieux les principes d’adéquation et de nécessité. Une telle limitation serait par ailleurs porteuse d’égalité puisqu’elle permet</w:t>
      </w:r>
      <w:r w:rsidR="001E327D" w:rsidRPr="0001496F">
        <w:rPr>
          <w:rFonts w:ascii="Times New Roman" w:hAnsi="Times New Roman" w:cs="Times New Roman"/>
        </w:rPr>
        <w:t>trait</w:t>
      </w:r>
      <w:r w:rsidRPr="0001496F">
        <w:rPr>
          <w:rFonts w:ascii="Times New Roman" w:hAnsi="Times New Roman" w:cs="Times New Roman"/>
        </w:rPr>
        <w:t xml:space="preserve"> de réduire l’inégalité de départ entre les infracteurs qui peuvent devenir des tiers dénoncés (et qui sont peu punis car la justice est impuissante à leur égard) et ceux qui ne le peuvent pas (et qui sont plus régulièrement punis car la justice n’est pas impuissante à leur égard). Ce critère suppose des évaluations périodiques</w:t>
      </w:r>
      <w:r w:rsidR="001E327D" w:rsidRPr="0001496F">
        <w:rPr>
          <w:rFonts w:ascii="Times New Roman" w:hAnsi="Times New Roman" w:cs="Times New Roman"/>
        </w:rPr>
        <w:t>,</w:t>
      </w:r>
      <w:r w:rsidRPr="0001496F">
        <w:rPr>
          <w:rFonts w:ascii="Times New Roman" w:hAnsi="Times New Roman" w:cs="Times New Roman"/>
        </w:rPr>
        <w:t xml:space="preserve"> car des modifications des outils (technologiques) et des pratiques (tant du côté des acteurs judiciaires que du côté des infracteurs) pourraient nécessiter la modification de la liste des contentieux pénaux dans lesquels la collaboration s’avère nécessaire.</w:t>
      </w:r>
    </w:p>
    <w:p w14:paraId="116F96AC" w14:textId="77777777" w:rsidR="000C63D9" w:rsidRPr="0001496F" w:rsidRDefault="000C63D9" w:rsidP="0001496F">
      <w:pPr>
        <w:jc w:val="both"/>
        <w:rPr>
          <w:rFonts w:ascii="Times New Roman" w:hAnsi="Times New Roman" w:cs="Times New Roman"/>
        </w:rPr>
      </w:pPr>
    </w:p>
    <w:p w14:paraId="00F40201" w14:textId="38334894" w:rsidR="000C63D9" w:rsidRPr="0001496F" w:rsidRDefault="000C63D9" w:rsidP="0001496F">
      <w:pPr>
        <w:jc w:val="both"/>
        <w:rPr>
          <w:rFonts w:ascii="Times New Roman" w:hAnsi="Times New Roman" w:cs="Times New Roman"/>
        </w:rPr>
      </w:pPr>
      <w:r w:rsidRPr="0001496F">
        <w:rPr>
          <w:rFonts w:ascii="Times New Roman" w:hAnsi="Times New Roman" w:cs="Times New Roman"/>
        </w:rPr>
        <w:t>D’autre part, il faut que le dispositif de collaboration respecte une égalité « interne »</w:t>
      </w:r>
      <w:r w:rsidRPr="0001496F">
        <w:rPr>
          <w:rStyle w:val="Appelnotedebasdep"/>
          <w:rFonts w:ascii="Times New Roman" w:hAnsi="Times New Roman" w:cs="Times New Roman"/>
        </w:rPr>
        <w:footnoteReference w:id="272"/>
      </w:r>
      <w:r w:rsidRPr="0001496F">
        <w:rPr>
          <w:rFonts w:ascii="Times New Roman" w:hAnsi="Times New Roman" w:cs="Times New Roman"/>
        </w:rPr>
        <w:t xml:space="preserve">. Cette seconde exigence suppose que </w:t>
      </w:r>
      <w:r w:rsidR="008B3331" w:rsidRPr="0001496F">
        <w:rPr>
          <w:rFonts w:ascii="Times New Roman" w:hAnsi="Times New Roman" w:cs="Times New Roman"/>
        </w:rPr>
        <w:t xml:space="preserve">soit justifié le fait que les différents collaborateurs potentiels n’aient pas tous </w:t>
      </w:r>
      <w:r w:rsidR="00391CD8" w:rsidRPr="0001496F">
        <w:rPr>
          <w:rFonts w:ascii="Times New Roman" w:hAnsi="Times New Roman" w:cs="Times New Roman"/>
        </w:rPr>
        <w:t xml:space="preserve">d’égales possibilités </w:t>
      </w:r>
      <w:r w:rsidRPr="0001496F">
        <w:rPr>
          <w:rFonts w:ascii="Times New Roman" w:hAnsi="Times New Roman" w:cs="Times New Roman"/>
        </w:rPr>
        <w:t xml:space="preserve">de collaborer utilement. Seuls les auteurs les plus rapides (car seuls ceux-ci peuvent faire des déclarations révélatrices) sont à même de collaborer utilement. Il nous semble que le critère de la rapidité ne doit pas être interprété de manière trop stricte : un second candidat </w:t>
      </w:r>
      <w:r w:rsidR="001E327D" w:rsidRPr="0001496F">
        <w:rPr>
          <w:rFonts w:ascii="Times New Roman" w:hAnsi="Times New Roman" w:cs="Times New Roman"/>
        </w:rPr>
        <w:t xml:space="preserve">devrait </w:t>
      </w:r>
      <w:r w:rsidRPr="0001496F">
        <w:rPr>
          <w:rFonts w:ascii="Times New Roman" w:hAnsi="Times New Roman" w:cs="Times New Roman"/>
        </w:rPr>
        <w:t xml:space="preserve">encore </w:t>
      </w:r>
      <w:r w:rsidR="001E327D" w:rsidRPr="0001496F">
        <w:rPr>
          <w:rFonts w:ascii="Times New Roman" w:hAnsi="Times New Roman" w:cs="Times New Roman"/>
        </w:rPr>
        <w:t>pouvoir entrer en ligne de compte</w:t>
      </w:r>
      <w:r w:rsidRPr="0001496F">
        <w:rPr>
          <w:rFonts w:ascii="Times New Roman" w:hAnsi="Times New Roman" w:cs="Times New Roman"/>
        </w:rPr>
        <w:t xml:space="preserve"> pour collaborer et signer un mémorandum tant que le premier candidat n’a pas effectué les déclarations (prévues dans le premier mémorandum). Cette façon de procéder se justifierait d’autant plus si l’on reconnaît aux infracteurs un « droit de choisir de collaborer et celui, corrélatif, d’obtenir certains avantages en échange [d’une] collaboration »</w:t>
      </w:r>
      <w:r w:rsidRPr="0001496F">
        <w:rPr>
          <w:rStyle w:val="Appelnotedebasdep"/>
          <w:rFonts w:ascii="Times New Roman" w:hAnsi="Times New Roman" w:cs="Times New Roman"/>
        </w:rPr>
        <w:footnoteReference w:id="273"/>
      </w:r>
      <w:r w:rsidRPr="0001496F">
        <w:rPr>
          <w:rFonts w:ascii="Times New Roman" w:hAnsi="Times New Roman" w:cs="Times New Roman"/>
        </w:rPr>
        <w:t>. Cette dernière idée nous permet d’aborder l’inégalité potentielle entre les infracteurs lorsque le ministère public dispose d’une marge de manœuvre discrétionnaire dans le choix d’accepter ou non une éventuelle collaboration. Cette inégalité existe en Belgique.</w:t>
      </w:r>
    </w:p>
    <w:p w14:paraId="2BFD98B6" w14:textId="77777777" w:rsidR="000C63D9" w:rsidRPr="0001496F" w:rsidRDefault="000C63D9" w:rsidP="0001496F">
      <w:pPr>
        <w:jc w:val="both"/>
        <w:rPr>
          <w:rFonts w:ascii="Times New Roman" w:hAnsi="Times New Roman" w:cs="Times New Roman"/>
        </w:rPr>
      </w:pPr>
    </w:p>
    <w:p w14:paraId="3AD8485F" w14:textId="77777777" w:rsidR="000C63D9" w:rsidRPr="0001496F" w:rsidRDefault="000C63D9" w:rsidP="0001496F">
      <w:pPr>
        <w:jc w:val="both"/>
        <w:outlineLvl w:val="0"/>
        <w:rPr>
          <w:rFonts w:ascii="Times New Roman" w:hAnsi="Times New Roman" w:cs="Times New Roman"/>
          <w:b/>
          <w:u w:val="single"/>
        </w:rPr>
      </w:pPr>
      <w:r w:rsidRPr="0001496F">
        <w:rPr>
          <w:rFonts w:ascii="Times New Roman" w:hAnsi="Times New Roman" w:cs="Times New Roman"/>
          <w:b/>
          <w:u w:val="single"/>
        </w:rPr>
        <w:t>3. Jurisprudence actuelle</w:t>
      </w:r>
    </w:p>
    <w:p w14:paraId="165D4A14" w14:textId="77777777" w:rsidR="000C63D9" w:rsidRPr="0001496F" w:rsidRDefault="000C63D9" w:rsidP="0001496F">
      <w:pPr>
        <w:jc w:val="both"/>
        <w:rPr>
          <w:rFonts w:ascii="Times New Roman" w:hAnsi="Times New Roman" w:cs="Times New Roman"/>
        </w:rPr>
      </w:pPr>
    </w:p>
    <w:p w14:paraId="5BFAAF87" w14:textId="77777777" w:rsidR="002530C5" w:rsidRPr="0001496F" w:rsidRDefault="000C63D9" w:rsidP="0001496F">
      <w:pPr>
        <w:jc w:val="both"/>
        <w:rPr>
          <w:rFonts w:ascii="Times New Roman" w:hAnsi="Times New Roman" w:cs="Times New Roman"/>
        </w:rPr>
      </w:pPr>
      <w:r w:rsidRPr="0001496F">
        <w:rPr>
          <w:rFonts w:ascii="Times New Roman" w:hAnsi="Times New Roman" w:cs="Times New Roman"/>
        </w:rPr>
        <w:t xml:space="preserve">Vu l’entrée en vigueur récente de la loi du 22 juillet 2018, aucune jurisprudence n’a encore été publiée et nous n’avons pas connaissance d’affaires en cours qui auraient fait application du dispositif de collaboration dans des dossiers de terrorisme. </w:t>
      </w:r>
    </w:p>
    <w:p w14:paraId="3F4D6B71" w14:textId="77777777" w:rsidR="002530C5" w:rsidRPr="0001496F" w:rsidRDefault="002530C5" w:rsidP="0001496F">
      <w:pPr>
        <w:jc w:val="both"/>
        <w:rPr>
          <w:rFonts w:ascii="Times New Roman" w:hAnsi="Times New Roman" w:cs="Times New Roman"/>
        </w:rPr>
      </w:pPr>
    </w:p>
    <w:p w14:paraId="47E79625" w14:textId="02DA4C82" w:rsidR="000C63D9" w:rsidRPr="0001496F" w:rsidRDefault="002530C5" w:rsidP="0001496F">
      <w:pPr>
        <w:jc w:val="both"/>
        <w:rPr>
          <w:rFonts w:ascii="Times New Roman" w:hAnsi="Times New Roman" w:cs="Times New Roman"/>
        </w:rPr>
      </w:pPr>
      <w:r w:rsidRPr="0001496F">
        <w:rPr>
          <w:rFonts w:ascii="Times New Roman" w:hAnsi="Times New Roman" w:cs="Times New Roman"/>
        </w:rPr>
        <w:t>Toutefois, l</w:t>
      </w:r>
      <w:r w:rsidR="000C63D9" w:rsidRPr="0001496F">
        <w:rPr>
          <w:rFonts w:ascii="Times New Roman" w:hAnsi="Times New Roman" w:cs="Times New Roman"/>
        </w:rPr>
        <w:t xml:space="preserve">e dispositif </w:t>
      </w:r>
      <w:r w:rsidRPr="0001496F">
        <w:rPr>
          <w:rFonts w:ascii="Times New Roman" w:hAnsi="Times New Roman" w:cs="Times New Roman"/>
        </w:rPr>
        <w:t xml:space="preserve">de collaboration </w:t>
      </w:r>
      <w:r w:rsidR="00D2582F" w:rsidRPr="0001496F">
        <w:rPr>
          <w:rFonts w:ascii="Times New Roman" w:hAnsi="Times New Roman" w:cs="Times New Roman"/>
        </w:rPr>
        <w:t>semble</w:t>
      </w:r>
      <w:r w:rsidRPr="0001496F">
        <w:rPr>
          <w:rFonts w:ascii="Times New Roman" w:hAnsi="Times New Roman" w:cs="Times New Roman"/>
        </w:rPr>
        <w:t xml:space="preserve"> être </w:t>
      </w:r>
      <w:r w:rsidR="000C63D9" w:rsidRPr="0001496F">
        <w:rPr>
          <w:rFonts w:ascii="Times New Roman" w:hAnsi="Times New Roman" w:cs="Times New Roman"/>
        </w:rPr>
        <w:t>mobilisé dans des dossiers (en cours) concernant des faits de trafic de drogues, d’assassinat ou de criminalité organisée</w:t>
      </w:r>
      <w:r w:rsidR="000C63D9" w:rsidRPr="0001496F">
        <w:rPr>
          <w:rStyle w:val="Appelnotedebasdep"/>
          <w:rFonts w:ascii="Times New Roman" w:hAnsi="Times New Roman" w:cs="Times New Roman"/>
        </w:rPr>
        <w:footnoteReference w:id="274"/>
      </w:r>
      <w:r w:rsidR="000C63D9" w:rsidRPr="0001496F">
        <w:rPr>
          <w:rFonts w:ascii="Times New Roman" w:hAnsi="Times New Roman" w:cs="Times New Roman"/>
        </w:rPr>
        <w:t>.</w:t>
      </w:r>
      <w:r w:rsidRPr="0001496F">
        <w:rPr>
          <w:rFonts w:ascii="Times New Roman" w:hAnsi="Times New Roman" w:cs="Times New Roman"/>
        </w:rPr>
        <w:t xml:space="preserve"> En outre, l</w:t>
      </w:r>
      <w:r w:rsidR="000C63D9" w:rsidRPr="0001496F">
        <w:rPr>
          <w:rFonts w:ascii="Times New Roman" w:hAnsi="Times New Roman" w:cs="Times New Roman"/>
        </w:rPr>
        <w:t xml:space="preserve">a loi </w:t>
      </w:r>
      <w:r w:rsidRPr="0001496F">
        <w:rPr>
          <w:rFonts w:ascii="Times New Roman" w:hAnsi="Times New Roman" w:cs="Times New Roman"/>
        </w:rPr>
        <w:t xml:space="preserve">du 22 juillet 2018 </w:t>
      </w:r>
      <w:r w:rsidR="000C63D9" w:rsidRPr="0001496F">
        <w:rPr>
          <w:rFonts w:ascii="Times New Roman" w:hAnsi="Times New Roman" w:cs="Times New Roman"/>
        </w:rPr>
        <w:t xml:space="preserve">a connu un premier cas d’application, dans l’affaire, largement médiatisée et toujours en cours, du « Footgate ». Suite à une vaste enquête concernant des faits de corruption dans le milieu du football belge, une instruction a été ouverte pour des faits de </w:t>
      </w:r>
      <w:r w:rsidR="000C63D9" w:rsidRPr="0001496F">
        <w:rPr>
          <w:rFonts w:ascii="Times New Roman" w:hAnsi="Times New Roman" w:cs="Times New Roman"/>
          <w:lang w:val="fr-BE"/>
        </w:rPr>
        <w:t xml:space="preserve">participation à une organisation criminelle, blanchiment et corruption privée. </w:t>
      </w:r>
      <w:r w:rsidR="000C63D9" w:rsidRPr="0001496F">
        <w:rPr>
          <w:rFonts w:ascii="Times New Roman" w:hAnsi="Times New Roman" w:cs="Times New Roman"/>
        </w:rPr>
        <w:t xml:space="preserve">Dix-neuf personnes ont été inculpées dont neuf privées de liberté. </w:t>
      </w:r>
      <w:r w:rsidR="000C63D9" w:rsidRPr="0001496F">
        <w:rPr>
          <w:rFonts w:ascii="Times New Roman" w:hAnsi="Times New Roman" w:cs="Times New Roman"/>
          <w:bCs/>
          <w:lang w:val="fr-BE"/>
        </w:rPr>
        <w:t xml:space="preserve">L’un des principaux suspects, dont l’identité n’a pas été gardée secrète (Dejan Veljkovic), a été libéré suite à un accord conclu avec </w:t>
      </w:r>
      <w:r w:rsidR="000C63D9" w:rsidRPr="0001496F">
        <w:rPr>
          <w:rFonts w:ascii="Times New Roman" w:hAnsi="Times New Roman" w:cs="Times New Roman"/>
          <w:bCs/>
          <w:lang w:val="fr-BE"/>
        </w:rPr>
        <w:lastRenderedPageBreak/>
        <w:t>le parquet fédéral</w:t>
      </w:r>
      <w:r w:rsidRPr="0001496F">
        <w:rPr>
          <w:rFonts w:ascii="Times New Roman" w:hAnsi="Times New Roman" w:cs="Times New Roman"/>
          <w:bCs/>
          <w:lang w:val="fr-BE"/>
        </w:rPr>
        <w:t>. Ce dernier</w:t>
      </w:r>
      <w:r w:rsidR="000C63D9" w:rsidRPr="0001496F">
        <w:rPr>
          <w:rFonts w:ascii="Times New Roman" w:hAnsi="Times New Roman" w:cs="Times New Roman"/>
          <w:bCs/>
          <w:lang w:val="fr-BE"/>
        </w:rPr>
        <w:t xml:space="preserve"> peut ainsi revendiquer le titre de premier « collaborateur » en Belgique. Les autres inculpés ont également été libérés par la suite en cours d’instruction.</w:t>
      </w:r>
      <w:r w:rsidR="002A37E7" w:rsidRPr="0001496F">
        <w:rPr>
          <w:rFonts w:ascii="Times New Roman" w:hAnsi="Times New Roman" w:cs="Times New Roman"/>
          <w:bCs/>
          <w:lang w:val="fr-BE"/>
        </w:rPr>
        <w:t xml:space="preserve"> Deux de ces inculpés ont introduit un recours devant la Cour constitutionnelle qui a rendu un arrêt en date du 6 février 2020 (voy. </w:t>
      </w:r>
      <w:r w:rsidR="002A37E7" w:rsidRPr="0001496F">
        <w:rPr>
          <w:rFonts w:ascii="Times New Roman" w:hAnsi="Times New Roman" w:cs="Times New Roman"/>
          <w:bCs/>
          <w:i/>
          <w:lang w:val="fr-BE"/>
        </w:rPr>
        <w:t>supra</w:t>
      </w:r>
      <w:r w:rsidR="005B3663" w:rsidRPr="0001496F">
        <w:rPr>
          <w:rFonts w:ascii="Times New Roman" w:hAnsi="Times New Roman" w:cs="Times New Roman"/>
          <w:bCs/>
          <w:i/>
          <w:lang w:val="fr-BE"/>
        </w:rPr>
        <w:t xml:space="preserve"> </w:t>
      </w:r>
      <w:r w:rsidR="005B3663" w:rsidRPr="0001496F">
        <w:rPr>
          <w:rFonts w:ascii="Times New Roman" w:hAnsi="Times New Roman" w:cs="Times New Roman"/>
          <w:bCs/>
          <w:iCs/>
          <w:lang w:val="fr-BE"/>
        </w:rPr>
        <w:t>2.9</w:t>
      </w:r>
      <w:r w:rsidR="002A37E7" w:rsidRPr="0001496F">
        <w:rPr>
          <w:rFonts w:ascii="Times New Roman" w:hAnsi="Times New Roman" w:cs="Times New Roman"/>
          <w:bCs/>
          <w:lang w:val="fr-BE"/>
        </w:rPr>
        <w:t>).</w:t>
      </w:r>
    </w:p>
    <w:p w14:paraId="1A77ED79" w14:textId="77777777" w:rsidR="000C63D9" w:rsidRPr="0001496F" w:rsidRDefault="000C63D9" w:rsidP="0001496F">
      <w:pPr>
        <w:jc w:val="both"/>
        <w:rPr>
          <w:rFonts w:ascii="Times New Roman" w:hAnsi="Times New Roman" w:cs="Times New Roman"/>
        </w:rPr>
      </w:pPr>
    </w:p>
    <w:p w14:paraId="05DE013E" w14:textId="77777777" w:rsidR="000C63D9" w:rsidRPr="0001496F" w:rsidRDefault="000C63D9" w:rsidP="0001496F">
      <w:pPr>
        <w:jc w:val="both"/>
        <w:outlineLvl w:val="0"/>
        <w:rPr>
          <w:rFonts w:ascii="Times New Roman" w:hAnsi="Times New Roman" w:cs="Times New Roman"/>
          <w:b/>
          <w:u w:val="single"/>
        </w:rPr>
      </w:pPr>
      <w:r w:rsidRPr="0001496F">
        <w:rPr>
          <w:rFonts w:ascii="Times New Roman" w:hAnsi="Times New Roman" w:cs="Times New Roman"/>
          <w:b/>
          <w:u w:val="single"/>
        </w:rPr>
        <w:t>4. Conformité de la loi belge au regard de l’article 16 de la Directive 541/2017/EU</w:t>
      </w:r>
    </w:p>
    <w:p w14:paraId="30E26989" w14:textId="77777777" w:rsidR="000C63D9" w:rsidRPr="0001496F" w:rsidRDefault="000C63D9" w:rsidP="0001496F">
      <w:pPr>
        <w:jc w:val="both"/>
        <w:rPr>
          <w:rFonts w:ascii="Times New Roman" w:hAnsi="Times New Roman" w:cs="Times New Roman"/>
        </w:rPr>
      </w:pPr>
    </w:p>
    <w:p w14:paraId="78F78794" w14:textId="57EDAF01"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compatibilité de la loi belge avec l’article 16 de la directive (UE) 2017/541</w:t>
      </w:r>
      <w:r w:rsidR="00826751" w:rsidRPr="0001496F">
        <w:rPr>
          <w:rStyle w:val="Appelnotedebasdep"/>
          <w:rFonts w:ascii="Times New Roman" w:hAnsi="Times New Roman" w:cs="Times New Roman"/>
        </w:rPr>
        <w:footnoteReference w:id="275"/>
      </w:r>
      <w:r w:rsidRPr="0001496F">
        <w:rPr>
          <w:rFonts w:ascii="Times New Roman" w:hAnsi="Times New Roman" w:cs="Times New Roman"/>
        </w:rPr>
        <w:t xml:space="preserve"> se pose quant à la promesse relative à l’action publique (4.1) et quant aux promesses relatives à l’exécution de la peine et au lieu de détention (4.2). </w:t>
      </w:r>
    </w:p>
    <w:p w14:paraId="4B193EAA" w14:textId="77777777" w:rsidR="000C63D9" w:rsidRPr="0001496F" w:rsidRDefault="000C63D9" w:rsidP="0001496F">
      <w:pPr>
        <w:jc w:val="both"/>
        <w:rPr>
          <w:rFonts w:ascii="Times New Roman" w:hAnsi="Times New Roman" w:cs="Times New Roman"/>
        </w:rPr>
      </w:pPr>
    </w:p>
    <w:p w14:paraId="2285CA04"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4.1. Quant à la promesse relative à l’action publique</w:t>
      </w:r>
    </w:p>
    <w:p w14:paraId="6A017AD1" w14:textId="77777777" w:rsidR="002B675B" w:rsidRPr="0001496F" w:rsidRDefault="002B675B" w:rsidP="0001496F">
      <w:pPr>
        <w:jc w:val="both"/>
        <w:rPr>
          <w:rFonts w:ascii="Times New Roman" w:hAnsi="Times New Roman" w:cs="Times New Roman"/>
        </w:rPr>
      </w:pPr>
    </w:p>
    <w:p w14:paraId="7F8351BE"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L’article 16 de la directive envisage à la fois la collaboration interne (« à identifier ou à traduire en justice </w:t>
      </w:r>
      <w:r w:rsidRPr="0001496F">
        <w:rPr>
          <w:rFonts w:ascii="Times New Roman" w:hAnsi="Times New Roman" w:cs="Times New Roman"/>
          <w:i/>
        </w:rPr>
        <w:t>les autres auteurs de l’infraction</w:t>
      </w:r>
      <w:r w:rsidRPr="0001496F">
        <w:rPr>
          <w:rFonts w:ascii="Times New Roman" w:hAnsi="Times New Roman" w:cs="Times New Roman"/>
        </w:rPr>
        <w:t> »)</w:t>
      </w:r>
      <w:r w:rsidRPr="0001496F">
        <w:rPr>
          <w:rStyle w:val="Appelnotedebasdep"/>
          <w:rFonts w:ascii="Times New Roman" w:hAnsi="Times New Roman" w:cs="Times New Roman"/>
        </w:rPr>
        <w:footnoteReference w:id="276"/>
      </w:r>
      <w:r w:rsidRPr="0001496F">
        <w:rPr>
          <w:rFonts w:ascii="Times New Roman" w:hAnsi="Times New Roman" w:cs="Times New Roman"/>
        </w:rPr>
        <w:t xml:space="preserve"> et la collaboration externe (« à empêcher que </w:t>
      </w:r>
      <w:r w:rsidRPr="0001496F">
        <w:rPr>
          <w:rFonts w:ascii="Times New Roman" w:hAnsi="Times New Roman" w:cs="Times New Roman"/>
          <w:i/>
        </w:rPr>
        <w:t>d’autres infractions</w:t>
      </w:r>
      <w:r w:rsidRPr="0001496F">
        <w:rPr>
          <w:rFonts w:ascii="Times New Roman" w:hAnsi="Times New Roman" w:cs="Times New Roman"/>
        </w:rPr>
        <w:t xml:space="preserve"> visées aux articles 3 à 12 et 14 ne soient commises »)</w:t>
      </w:r>
      <w:r w:rsidRPr="0001496F">
        <w:rPr>
          <w:rStyle w:val="Appelnotedebasdep"/>
          <w:rFonts w:ascii="Times New Roman" w:hAnsi="Times New Roman" w:cs="Times New Roman"/>
        </w:rPr>
        <w:footnoteReference w:id="277"/>
      </w:r>
      <w:r w:rsidRPr="0001496F">
        <w:rPr>
          <w:rFonts w:ascii="Times New Roman" w:hAnsi="Times New Roman" w:cs="Times New Roman"/>
        </w:rPr>
        <w:t xml:space="preserve">. </w:t>
      </w:r>
    </w:p>
    <w:p w14:paraId="6BE3D969" w14:textId="77777777" w:rsidR="000C63D9" w:rsidRPr="0001496F" w:rsidRDefault="000C63D9" w:rsidP="0001496F">
      <w:pPr>
        <w:jc w:val="both"/>
        <w:rPr>
          <w:rFonts w:ascii="Times New Roman" w:hAnsi="Times New Roman" w:cs="Times New Roman"/>
        </w:rPr>
      </w:pPr>
    </w:p>
    <w:p w14:paraId="1F189266" w14:textId="4AAC9BD6" w:rsidR="000C63D9" w:rsidRPr="0001496F" w:rsidRDefault="000C63D9" w:rsidP="0001496F">
      <w:pPr>
        <w:jc w:val="both"/>
        <w:rPr>
          <w:rFonts w:ascii="Times New Roman" w:hAnsi="Times New Roman" w:cs="Times New Roman"/>
        </w:rPr>
      </w:pPr>
      <w:r w:rsidRPr="0001496F">
        <w:rPr>
          <w:rFonts w:ascii="Times New Roman" w:hAnsi="Times New Roman" w:cs="Times New Roman"/>
        </w:rPr>
        <w:t>La directive n’autorise le</w:t>
      </w:r>
      <w:r w:rsidR="0041642E" w:rsidRPr="0001496F">
        <w:rPr>
          <w:rFonts w:ascii="Times New Roman" w:hAnsi="Times New Roman" w:cs="Times New Roman"/>
        </w:rPr>
        <w:t xml:space="preserve"> recour</w:t>
      </w:r>
      <w:r w:rsidRPr="0001496F">
        <w:rPr>
          <w:rFonts w:ascii="Times New Roman" w:hAnsi="Times New Roman" w:cs="Times New Roman"/>
        </w:rPr>
        <w:t>s</w:t>
      </w:r>
      <w:r w:rsidR="0041642E" w:rsidRPr="0001496F">
        <w:rPr>
          <w:rFonts w:ascii="Times New Roman" w:hAnsi="Times New Roman" w:cs="Times New Roman"/>
        </w:rPr>
        <w:t xml:space="preserve"> aux</w:t>
      </w:r>
      <w:r w:rsidRPr="0001496F">
        <w:rPr>
          <w:rFonts w:ascii="Times New Roman" w:hAnsi="Times New Roman" w:cs="Times New Roman"/>
        </w:rPr>
        <w:t xml:space="preserve"> circonstances atténuantes, pour les collaborations externes, que si le collaborateur et le tiers dénoncé sont impliqués tous les deux dans des activités terroristes (puisque les « autres infractions visées aux articles 3 à 12 et 14 » sont bien toutes des infractions liées à une activité terroriste). La loi belge permet une collaboration dans un cas qui n’est pas repris </w:t>
      </w:r>
      <w:r w:rsidR="00FE0EA8" w:rsidRPr="0001496F">
        <w:rPr>
          <w:rFonts w:ascii="Times New Roman" w:hAnsi="Times New Roman" w:cs="Times New Roman"/>
        </w:rPr>
        <w:t>à</w:t>
      </w:r>
      <w:r w:rsidRPr="0001496F">
        <w:rPr>
          <w:rFonts w:ascii="Times New Roman" w:hAnsi="Times New Roman" w:cs="Times New Roman"/>
        </w:rPr>
        <w:t xml:space="preserve"> l’article 16 de la directive. En effet, une promesse relative à l’action publique est possible si le collaborateur est impliqué dans des activités terroristes et que le tiers dénoncé est impliqué dans infractions non liées au terrorisme, pour autant toutefois que les principes de pertinence, de subsidiarité, de proportionnalité et de pondération soient respectés. Il nous semble que l’exemple suivant illustre une situation où la loi belge autorise une circonstance atténuante</w:t>
      </w:r>
      <w:r w:rsidR="00C64F71" w:rsidRPr="0001496F">
        <w:rPr>
          <w:rFonts w:ascii="Times New Roman" w:hAnsi="Times New Roman" w:cs="Times New Roman"/>
        </w:rPr>
        <w:t xml:space="preserve"> </w:t>
      </w:r>
      <w:r w:rsidRPr="0001496F">
        <w:rPr>
          <w:rFonts w:ascii="Times New Roman" w:hAnsi="Times New Roman" w:cs="Times New Roman"/>
        </w:rPr>
        <w:t>alors que l’article 16 de la directive ne l’autorise</w:t>
      </w:r>
      <w:r w:rsidR="00F05538" w:rsidRPr="0001496F">
        <w:rPr>
          <w:rFonts w:ascii="Times New Roman" w:hAnsi="Times New Roman" w:cs="Times New Roman"/>
        </w:rPr>
        <w:t>rait</w:t>
      </w:r>
      <w:r w:rsidRPr="0001496F">
        <w:rPr>
          <w:rFonts w:ascii="Times New Roman" w:hAnsi="Times New Roman" w:cs="Times New Roman"/>
        </w:rPr>
        <w:t xml:space="preserve"> pas : le collaborateur a reçu un entrainement au terrorisme et le tiers dénoncé a commis un assassinat (non lié à des activités terroristes). </w:t>
      </w:r>
    </w:p>
    <w:p w14:paraId="0CB51346" w14:textId="77777777" w:rsidR="000C63D9" w:rsidRPr="0001496F" w:rsidRDefault="000C63D9" w:rsidP="0001496F">
      <w:pPr>
        <w:jc w:val="both"/>
        <w:rPr>
          <w:rFonts w:ascii="Times New Roman" w:hAnsi="Times New Roman" w:cs="Times New Roman"/>
        </w:rPr>
      </w:pPr>
    </w:p>
    <w:p w14:paraId="19B10B18" w14:textId="77777777" w:rsidR="000C63D9" w:rsidRPr="0001496F" w:rsidRDefault="000C63D9" w:rsidP="0001496F">
      <w:pPr>
        <w:jc w:val="both"/>
        <w:outlineLvl w:val="0"/>
        <w:rPr>
          <w:rFonts w:ascii="Times New Roman" w:hAnsi="Times New Roman" w:cs="Times New Roman"/>
        </w:rPr>
      </w:pPr>
      <w:r w:rsidRPr="0001496F">
        <w:rPr>
          <w:rFonts w:ascii="Times New Roman" w:hAnsi="Times New Roman" w:cs="Times New Roman"/>
        </w:rPr>
        <w:t>4.2. Quant aux promesses relatives à l’exécution de la peine et au lieu de détention</w:t>
      </w:r>
    </w:p>
    <w:p w14:paraId="38036712" w14:textId="77777777" w:rsidR="000C63D9" w:rsidRPr="0001496F" w:rsidRDefault="000C63D9" w:rsidP="0001496F">
      <w:pPr>
        <w:jc w:val="both"/>
        <w:rPr>
          <w:rFonts w:ascii="Times New Roman" w:hAnsi="Times New Roman" w:cs="Times New Roman"/>
        </w:rPr>
      </w:pPr>
    </w:p>
    <w:p w14:paraId="7595DEB9"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La directive n’envisage comme récompense que des réductions de peine. Se pose donc la question de savoir si les promesses relatives à l’exécution de la peine ou au lieu de détention sont compatibles avec la directive, et en particulier avec l’article 15 qui exige des « sanctions pénales effectives, proportionnées et dissuasives ». </w:t>
      </w:r>
    </w:p>
    <w:p w14:paraId="118E6076" w14:textId="77777777" w:rsidR="000C63D9" w:rsidRPr="0001496F" w:rsidRDefault="000C63D9" w:rsidP="0001496F">
      <w:pPr>
        <w:jc w:val="both"/>
        <w:rPr>
          <w:rFonts w:ascii="Times New Roman" w:hAnsi="Times New Roman" w:cs="Times New Roman"/>
        </w:rPr>
      </w:pPr>
    </w:p>
    <w:p w14:paraId="1E174F15"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 xml:space="preserve">La promesse relative au lieu de détention ne pose pas de grandes difficultés. Un tel changement de lieu de détention ne compromet pas les caractères effectif, proportionné et dissuasif de la sanction pénale. </w:t>
      </w:r>
    </w:p>
    <w:p w14:paraId="7F41A5A7" w14:textId="77777777" w:rsidR="000C63D9" w:rsidRPr="0001496F" w:rsidRDefault="000C63D9" w:rsidP="0001496F">
      <w:pPr>
        <w:jc w:val="both"/>
        <w:rPr>
          <w:rFonts w:ascii="Times New Roman" w:hAnsi="Times New Roman" w:cs="Times New Roman"/>
        </w:rPr>
      </w:pPr>
    </w:p>
    <w:p w14:paraId="147CED62" w14:textId="77777777" w:rsidR="000C63D9" w:rsidRPr="0001496F" w:rsidRDefault="000C63D9" w:rsidP="0001496F">
      <w:pPr>
        <w:jc w:val="both"/>
        <w:rPr>
          <w:rFonts w:ascii="Times New Roman" w:hAnsi="Times New Roman" w:cs="Times New Roman"/>
        </w:rPr>
      </w:pPr>
      <w:r w:rsidRPr="0001496F">
        <w:rPr>
          <w:rFonts w:ascii="Times New Roman" w:hAnsi="Times New Roman" w:cs="Times New Roman"/>
        </w:rPr>
        <w:t>En ce qui concerne la promesse relative à l’exécution de la peine, nous avons vu que la loi belge prévoit d’une part l’émission d’</w:t>
      </w:r>
      <w:r w:rsidRPr="0001496F">
        <w:rPr>
          <w:rFonts w:ascii="Times New Roman" w:hAnsi="Times New Roman" w:cs="Times New Roman"/>
          <w:lang w:val="fr-BE"/>
        </w:rPr>
        <w:t>un avis favorable à une modalité d’exécution de la peine fixée prévue par la loi du 17 mai 2006 et d’autre part la prise d’une décision favorable dans le cadre de l’exécution de la peine (</w:t>
      </w:r>
      <w:r w:rsidRPr="0001496F">
        <w:rPr>
          <w:rFonts w:ascii="Times New Roman" w:hAnsi="Times New Roman" w:cs="Times New Roman"/>
          <w:i/>
          <w:lang w:val="fr-BE"/>
        </w:rPr>
        <w:t>cf. supra</w:t>
      </w:r>
      <w:r w:rsidRPr="0001496F">
        <w:rPr>
          <w:rFonts w:ascii="Times New Roman" w:hAnsi="Times New Roman" w:cs="Times New Roman"/>
          <w:lang w:val="fr-BE"/>
        </w:rPr>
        <w:t xml:space="preserve"> 2.2.2). Le premier type d’avantage ne nous semble pas problématique. D’une part, il ne s’agit que d’un avis et d’autre part, et plus fondamentalement, </w:t>
      </w:r>
      <w:r w:rsidRPr="0001496F">
        <w:rPr>
          <w:rFonts w:ascii="Times New Roman" w:hAnsi="Times New Roman" w:cs="Times New Roman"/>
          <w:lang w:val="fr-BE"/>
        </w:rPr>
        <w:lastRenderedPageBreak/>
        <w:t>l’Union européenne a montré à de nombreuses reprises</w:t>
      </w:r>
      <w:r w:rsidRPr="0001496F">
        <w:rPr>
          <w:rStyle w:val="Appelnotedebasdep"/>
          <w:rFonts w:ascii="Times New Roman" w:hAnsi="Times New Roman" w:cs="Times New Roman"/>
          <w:lang w:val="fr-BE"/>
        </w:rPr>
        <w:footnoteReference w:id="278"/>
      </w:r>
      <w:r w:rsidRPr="0001496F">
        <w:rPr>
          <w:rFonts w:ascii="Times New Roman" w:hAnsi="Times New Roman" w:cs="Times New Roman"/>
          <w:lang w:val="fr-BE"/>
        </w:rPr>
        <w:t xml:space="preserve"> qu’elle promeut les modalités alternatives d’exécution de la peine privative de liberté et ne les considère donc pas comme remettant en cause les exigences d’effectivité, de proportionnalité et de dissuasion des sanctions pénales. Le second type d’avantage nous semble potentiellement problématique si, comme l’indiquent les travaux préparatoires, la décision favorable consiste à </w:t>
      </w:r>
      <w:r w:rsidRPr="0001496F">
        <w:rPr>
          <w:rFonts w:ascii="Times New Roman" w:hAnsi="Times New Roman" w:cs="Times New Roman"/>
        </w:rPr>
        <w:t>« ne pas procéder à l’exécution d’une peine ou surseoir à l’exécution de la peine moyennant le respect de conditions »</w:t>
      </w:r>
      <w:r w:rsidRPr="0001496F">
        <w:rPr>
          <w:rStyle w:val="Appelnotedebasdep"/>
          <w:rFonts w:ascii="Times New Roman" w:hAnsi="Times New Roman" w:cs="Times New Roman"/>
        </w:rPr>
        <w:footnoteReference w:id="279"/>
      </w:r>
      <w:r w:rsidRPr="0001496F">
        <w:rPr>
          <w:rFonts w:ascii="Times New Roman" w:hAnsi="Times New Roman" w:cs="Times New Roman"/>
        </w:rPr>
        <w:t xml:space="preserve">. En effet, dans ce cas, les caractères effectif, proportionné et dissuasif de la sanction pénale sont compromis. </w:t>
      </w:r>
    </w:p>
    <w:p w14:paraId="17AB89DE" w14:textId="77777777" w:rsidR="000C63D9" w:rsidRPr="0001496F" w:rsidRDefault="000C63D9" w:rsidP="0001496F">
      <w:pPr>
        <w:jc w:val="both"/>
        <w:rPr>
          <w:rFonts w:ascii="Times New Roman" w:hAnsi="Times New Roman" w:cs="Times New Roman"/>
          <w:u w:val="single"/>
        </w:rPr>
      </w:pPr>
    </w:p>
    <w:p w14:paraId="2AD4C525" w14:textId="77777777" w:rsidR="000C63D9" w:rsidRPr="0001496F" w:rsidRDefault="000C63D9" w:rsidP="0001496F">
      <w:pPr>
        <w:jc w:val="both"/>
        <w:outlineLvl w:val="0"/>
        <w:rPr>
          <w:rFonts w:ascii="Times New Roman" w:hAnsi="Times New Roman" w:cs="Times New Roman"/>
          <w:b/>
          <w:u w:val="single"/>
        </w:rPr>
      </w:pPr>
      <w:r w:rsidRPr="0001496F">
        <w:rPr>
          <w:rFonts w:ascii="Times New Roman" w:hAnsi="Times New Roman" w:cs="Times New Roman"/>
          <w:b/>
          <w:u w:val="single"/>
        </w:rPr>
        <w:t>Conclusion générale</w:t>
      </w:r>
    </w:p>
    <w:p w14:paraId="0142C0D0" w14:textId="77777777" w:rsidR="000C63D9" w:rsidRPr="0001496F" w:rsidRDefault="000C63D9" w:rsidP="0001496F">
      <w:pPr>
        <w:jc w:val="both"/>
        <w:rPr>
          <w:rFonts w:ascii="Times New Roman" w:hAnsi="Times New Roman" w:cs="Times New Roman"/>
        </w:rPr>
      </w:pPr>
    </w:p>
    <w:p w14:paraId="7A7B7368" w14:textId="7DB9B290" w:rsidR="003E1CF1" w:rsidRPr="0001496F" w:rsidRDefault="00D16493" w:rsidP="0001496F">
      <w:pPr>
        <w:jc w:val="both"/>
        <w:rPr>
          <w:rFonts w:ascii="Times New Roman" w:hAnsi="Times New Roman" w:cs="Times New Roman"/>
        </w:rPr>
      </w:pPr>
      <w:r w:rsidRPr="0001496F">
        <w:rPr>
          <w:rFonts w:ascii="Times New Roman" w:hAnsi="Times New Roman" w:cs="Times New Roman"/>
        </w:rPr>
        <w:t xml:space="preserve">La Belgique ne connaît un véritable « droit des repentis » que depuis l’entrée en vigueur de la loi du 22 juillet 2018. </w:t>
      </w:r>
      <w:r w:rsidR="003E1CF1" w:rsidRPr="0001496F">
        <w:rPr>
          <w:rFonts w:ascii="Times New Roman" w:hAnsi="Times New Roman" w:cs="Times New Roman"/>
        </w:rPr>
        <w:t>Avant cette loi, une récompense pénale pour collaboration n’était prévue que pour quelques infractions</w:t>
      </w:r>
      <w:r w:rsidR="000E52E7" w:rsidRPr="0001496F">
        <w:rPr>
          <w:rFonts w:ascii="Times New Roman" w:hAnsi="Times New Roman" w:cs="Times New Roman"/>
        </w:rPr>
        <w:t xml:space="preserve"> spécifiques (dont les infractions liées aux drogues)</w:t>
      </w:r>
      <w:r w:rsidR="00D033C6" w:rsidRPr="0001496F">
        <w:rPr>
          <w:rFonts w:ascii="Times New Roman" w:hAnsi="Times New Roman" w:cs="Times New Roman"/>
        </w:rPr>
        <w:t xml:space="preserve">, </w:t>
      </w:r>
      <w:r w:rsidR="003E1CF1" w:rsidRPr="0001496F">
        <w:rPr>
          <w:rFonts w:ascii="Times New Roman" w:hAnsi="Times New Roman" w:cs="Times New Roman"/>
        </w:rPr>
        <w:t xml:space="preserve">et ce </w:t>
      </w:r>
      <w:r w:rsidR="00317FCF" w:rsidRPr="0001496F">
        <w:rPr>
          <w:rFonts w:ascii="Times New Roman" w:hAnsi="Times New Roman" w:cs="Times New Roman"/>
        </w:rPr>
        <w:t>par</w:t>
      </w:r>
      <w:r w:rsidR="003E1CF1" w:rsidRPr="0001496F">
        <w:rPr>
          <w:rFonts w:ascii="Times New Roman" w:hAnsi="Times New Roman" w:cs="Times New Roman"/>
        </w:rPr>
        <w:t xml:space="preserve"> le mécanisme de la cause d’excuse</w:t>
      </w:r>
      <w:r w:rsidR="00CD102B" w:rsidRPr="0001496F">
        <w:rPr>
          <w:rFonts w:ascii="Times New Roman" w:hAnsi="Times New Roman" w:cs="Times New Roman"/>
        </w:rPr>
        <w:t>, permettant de diminuer ou de supprimer la peine applicable</w:t>
      </w:r>
      <w:r w:rsidR="003E1CF1" w:rsidRPr="0001496F">
        <w:rPr>
          <w:rFonts w:ascii="Times New Roman" w:hAnsi="Times New Roman" w:cs="Times New Roman"/>
        </w:rPr>
        <w:t xml:space="preserve">. Ce mécanisme de la cause d’excuse n’est guère mobilisé en pratique, pour les raisons exposées dans le rapport. </w:t>
      </w:r>
    </w:p>
    <w:p w14:paraId="32ECA2E8" w14:textId="00D72174" w:rsidR="002D7587" w:rsidRPr="0001496F" w:rsidRDefault="002D7587" w:rsidP="0001496F">
      <w:pPr>
        <w:jc w:val="both"/>
        <w:rPr>
          <w:rFonts w:ascii="Times New Roman" w:hAnsi="Times New Roman" w:cs="Times New Roman"/>
        </w:rPr>
      </w:pPr>
    </w:p>
    <w:p w14:paraId="582B0FC5" w14:textId="3ADC71B8" w:rsidR="003E1CF1" w:rsidRPr="0001496F" w:rsidRDefault="002D7094" w:rsidP="0001496F">
      <w:pPr>
        <w:jc w:val="both"/>
        <w:rPr>
          <w:rFonts w:ascii="Times New Roman" w:hAnsi="Times New Roman" w:cs="Times New Roman"/>
        </w:rPr>
      </w:pPr>
      <w:r w:rsidRPr="0001496F">
        <w:rPr>
          <w:rFonts w:ascii="Times New Roman" w:hAnsi="Times New Roman" w:cs="Times New Roman"/>
        </w:rPr>
        <w:t xml:space="preserve">La loi du 22 juillet 2018 ne fut pas le premier essai du législateur belge d’introduire un mécanisme plus généralisé de récompenses pour les collaborateurs de justice. </w:t>
      </w:r>
      <w:r w:rsidR="00B479E4" w:rsidRPr="0001496F">
        <w:rPr>
          <w:rFonts w:ascii="Times New Roman" w:hAnsi="Times New Roman" w:cs="Times New Roman"/>
        </w:rPr>
        <w:t xml:space="preserve">Depuis les années 1990, les projets de loi se sont multipliés. </w:t>
      </w:r>
      <w:r w:rsidR="006E0574" w:rsidRPr="0001496F">
        <w:rPr>
          <w:rFonts w:ascii="Times New Roman" w:hAnsi="Times New Roman" w:cs="Times New Roman"/>
        </w:rPr>
        <w:t>Pour justifier leurs propositions, l</w:t>
      </w:r>
      <w:r w:rsidR="00B479E4" w:rsidRPr="0001496F">
        <w:rPr>
          <w:rFonts w:ascii="Times New Roman" w:hAnsi="Times New Roman" w:cs="Times New Roman"/>
        </w:rPr>
        <w:t xml:space="preserve">es </w:t>
      </w:r>
      <w:r w:rsidR="00993642" w:rsidRPr="0001496F">
        <w:rPr>
          <w:rFonts w:ascii="Times New Roman" w:hAnsi="Times New Roman" w:cs="Times New Roman"/>
        </w:rPr>
        <w:t xml:space="preserve">promoteurs des projets (prioritairement issus du </w:t>
      </w:r>
      <w:r w:rsidR="00FE01DF" w:rsidRPr="0001496F">
        <w:rPr>
          <w:rFonts w:ascii="Times New Roman" w:hAnsi="Times New Roman" w:cs="Times New Roman"/>
        </w:rPr>
        <w:t>No</w:t>
      </w:r>
      <w:r w:rsidR="00993642" w:rsidRPr="0001496F">
        <w:rPr>
          <w:rFonts w:ascii="Times New Roman" w:hAnsi="Times New Roman" w:cs="Times New Roman"/>
        </w:rPr>
        <w:t>rd du pays)</w:t>
      </w:r>
      <w:r w:rsidR="00B479E4" w:rsidRPr="0001496F">
        <w:rPr>
          <w:rFonts w:ascii="Times New Roman" w:hAnsi="Times New Roman" w:cs="Times New Roman"/>
        </w:rPr>
        <w:t xml:space="preserve"> </w:t>
      </w:r>
      <w:r w:rsidR="006E0574" w:rsidRPr="0001496F">
        <w:rPr>
          <w:rFonts w:ascii="Times New Roman" w:hAnsi="Times New Roman" w:cs="Times New Roman"/>
        </w:rPr>
        <w:t>ont pointé les lacunes du système belge pour résoudre les tristement célèbres « tueries du Brabant Wallon »</w:t>
      </w:r>
      <w:r w:rsidR="00AA0163" w:rsidRPr="0001496F">
        <w:rPr>
          <w:rFonts w:ascii="Times New Roman" w:hAnsi="Times New Roman" w:cs="Times New Roman"/>
        </w:rPr>
        <w:t xml:space="preserve"> (1982-1985)</w:t>
      </w:r>
      <w:r w:rsidR="006E0574" w:rsidRPr="0001496F">
        <w:rPr>
          <w:rFonts w:ascii="Times New Roman" w:hAnsi="Times New Roman" w:cs="Times New Roman"/>
        </w:rPr>
        <w:t xml:space="preserve"> et de manière plus générale, les besoins des acteurs du système pénal en matière de lutte contre la criminalité organisée, le grand banditisme et le terrorisme. </w:t>
      </w:r>
    </w:p>
    <w:p w14:paraId="3AA6B372" w14:textId="77777777" w:rsidR="00D34848" w:rsidRPr="0001496F" w:rsidRDefault="00D34848" w:rsidP="0001496F">
      <w:pPr>
        <w:jc w:val="both"/>
        <w:rPr>
          <w:rFonts w:ascii="Times New Roman" w:hAnsi="Times New Roman" w:cs="Times New Roman"/>
        </w:rPr>
      </w:pPr>
    </w:p>
    <w:p w14:paraId="59CD0C76" w14:textId="5ED5C9D3" w:rsidR="005817F2" w:rsidRPr="0001496F" w:rsidRDefault="00335DF4" w:rsidP="0001496F">
      <w:pPr>
        <w:jc w:val="both"/>
        <w:rPr>
          <w:rFonts w:ascii="Times New Roman" w:hAnsi="Times New Roman" w:cs="Times New Roman"/>
        </w:rPr>
      </w:pPr>
      <w:r w:rsidRPr="0001496F">
        <w:rPr>
          <w:rFonts w:ascii="Times New Roman" w:hAnsi="Times New Roman" w:cs="Times New Roman"/>
        </w:rPr>
        <w:t xml:space="preserve">Le législateur de 2018 n’a pas limité le champ d’application du mécanisme de la collaboration à ces contentieux. En effet, le champ d’application des infractions qui peuvent être dénoncées est très large puisqu’il s’agit de toutes les infractions prévues </w:t>
      </w:r>
      <w:r w:rsidR="00CD102B" w:rsidRPr="0001496F">
        <w:rPr>
          <w:rFonts w:ascii="Times New Roman" w:hAnsi="Times New Roman" w:cs="Times New Roman"/>
        </w:rPr>
        <w:t>à</w:t>
      </w:r>
      <w:r w:rsidRPr="0001496F">
        <w:rPr>
          <w:rFonts w:ascii="Times New Roman" w:hAnsi="Times New Roman" w:cs="Times New Roman"/>
        </w:rPr>
        <w:t xml:space="preserve"> l’article 90</w:t>
      </w:r>
      <w:r w:rsidRPr="0001496F">
        <w:rPr>
          <w:rFonts w:ascii="Times New Roman" w:hAnsi="Times New Roman" w:cs="Times New Roman"/>
          <w:i/>
        </w:rPr>
        <w:t>ter</w:t>
      </w:r>
      <w:r w:rsidRPr="0001496F">
        <w:rPr>
          <w:rFonts w:ascii="Times New Roman" w:hAnsi="Times New Roman" w:cs="Times New Roman"/>
        </w:rPr>
        <w:t xml:space="preserve"> du C. i. cr. </w:t>
      </w:r>
      <w:r w:rsidR="00D31B1D" w:rsidRPr="0001496F">
        <w:rPr>
          <w:rFonts w:ascii="Times New Roman" w:hAnsi="Times New Roman" w:cs="Times New Roman"/>
        </w:rPr>
        <w:t>D</w:t>
      </w:r>
      <w:r w:rsidRPr="0001496F">
        <w:rPr>
          <w:rFonts w:ascii="Times New Roman" w:hAnsi="Times New Roman" w:cs="Times New Roman"/>
        </w:rPr>
        <w:t xml:space="preserve">eux principes </w:t>
      </w:r>
      <w:r w:rsidR="00203B23" w:rsidRPr="0001496F">
        <w:rPr>
          <w:rFonts w:ascii="Times New Roman" w:hAnsi="Times New Roman" w:cs="Times New Roman"/>
        </w:rPr>
        <w:t xml:space="preserve">sont </w:t>
      </w:r>
      <w:r w:rsidR="00D31B1D" w:rsidRPr="0001496F">
        <w:rPr>
          <w:rFonts w:ascii="Times New Roman" w:hAnsi="Times New Roman" w:cs="Times New Roman"/>
        </w:rPr>
        <w:t xml:space="preserve">prioritairement </w:t>
      </w:r>
      <w:r w:rsidR="00203B23" w:rsidRPr="0001496F">
        <w:rPr>
          <w:rFonts w:ascii="Times New Roman" w:hAnsi="Times New Roman" w:cs="Times New Roman"/>
        </w:rPr>
        <w:t>c</w:t>
      </w:r>
      <w:r w:rsidRPr="0001496F">
        <w:rPr>
          <w:rFonts w:ascii="Times New Roman" w:hAnsi="Times New Roman" w:cs="Times New Roman"/>
        </w:rPr>
        <w:t xml:space="preserve">ensés </w:t>
      </w:r>
      <w:r w:rsidR="00993642" w:rsidRPr="0001496F">
        <w:rPr>
          <w:rFonts w:ascii="Times New Roman" w:hAnsi="Times New Roman" w:cs="Times New Roman"/>
        </w:rPr>
        <w:t>tempérer</w:t>
      </w:r>
      <w:r w:rsidRPr="0001496F">
        <w:rPr>
          <w:rFonts w:ascii="Times New Roman" w:hAnsi="Times New Roman" w:cs="Times New Roman"/>
        </w:rPr>
        <w:t xml:space="preserve"> </w:t>
      </w:r>
      <w:r w:rsidR="00EE62F1" w:rsidRPr="0001496F">
        <w:rPr>
          <w:rFonts w:ascii="Times New Roman" w:hAnsi="Times New Roman" w:cs="Times New Roman"/>
        </w:rPr>
        <w:t>l’amplitude d</w:t>
      </w:r>
      <w:r w:rsidR="00D31B1D" w:rsidRPr="0001496F">
        <w:rPr>
          <w:rFonts w:ascii="Times New Roman" w:hAnsi="Times New Roman" w:cs="Times New Roman"/>
        </w:rPr>
        <w:t>’</w:t>
      </w:r>
      <w:r w:rsidR="00EE62F1" w:rsidRPr="0001496F">
        <w:rPr>
          <w:rFonts w:ascii="Times New Roman" w:hAnsi="Times New Roman" w:cs="Times New Roman"/>
        </w:rPr>
        <w:t>u</w:t>
      </w:r>
      <w:r w:rsidR="00D31B1D" w:rsidRPr="0001496F">
        <w:rPr>
          <w:rFonts w:ascii="Times New Roman" w:hAnsi="Times New Roman" w:cs="Times New Roman"/>
        </w:rPr>
        <w:t>n tel</w:t>
      </w:r>
      <w:r w:rsidR="00EE62F1" w:rsidRPr="0001496F">
        <w:rPr>
          <w:rFonts w:ascii="Times New Roman" w:hAnsi="Times New Roman" w:cs="Times New Roman"/>
        </w:rPr>
        <w:t xml:space="preserve"> champ d’</w:t>
      </w:r>
      <w:r w:rsidR="00D31B1D" w:rsidRPr="0001496F">
        <w:rPr>
          <w:rFonts w:ascii="Times New Roman" w:hAnsi="Times New Roman" w:cs="Times New Roman"/>
        </w:rPr>
        <w:t>application</w:t>
      </w:r>
      <w:r w:rsidRPr="0001496F">
        <w:rPr>
          <w:rFonts w:ascii="Times New Roman" w:hAnsi="Times New Roman" w:cs="Times New Roman"/>
        </w:rPr>
        <w:t> : d’une part, le principe de subsidiarité ne permet le recours à la collaboration que si les nécessités de l’enquête l’exigent et si les autres moyens d’investigation ne semblent pas suffire, d’autre part, l</w:t>
      </w:r>
      <w:r w:rsidR="005817F2" w:rsidRPr="0001496F">
        <w:rPr>
          <w:rFonts w:ascii="Times New Roman" w:hAnsi="Times New Roman" w:cs="Times New Roman"/>
        </w:rPr>
        <w:t>e principe de proportionnalité n’autorise pas la collaboration si la gravité de l’infraction commis</w:t>
      </w:r>
      <w:r w:rsidR="00677521" w:rsidRPr="0001496F">
        <w:rPr>
          <w:rFonts w:ascii="Times New Roman" w:hAnsi="Times New Roman" w:cs="Times New Roman"/>
        </w:rPr>
        <w:t xml:space="preserve">e </w:t>
      </w:r>
      <w:r w:rsidR="005817F2" w:rsidRPr="0001496F">
        <w:rPr>
          <w:rFonts w:ascii="Times New Roman" w:hAnsi="Times New Roman" w:cs="Times New Roman"/>
        </w:rPr>
        <w:t xml:space="preserve">par le dénonciateur est supérieure à la gravité de l’infraction dénoncée. </w:t>
      </w:r>
      <w:r w:rsidR="00EE62F1" w:rsidRPr="0001496F">
        <w:rPr>
          <w:rFonts w:ascii="Times New Roman" w:hAnsi="Times New Roman" w:cs="Times New Roman"/>
        </w:rPr>
        <w:t xml:space="preserve">Un tel </w:t>
      </w:r>
      <w:r w:rsidR="000D7A96" w:rsidRPr="0001496F">
        <w:rPr>
          <w:rFonts w:ascii="Times New Roman" w:hAnsi="Times New Roman" w:cs="Times New Roman"/>
        </w:rPr>
        <w:t xml:space="preserve">champ d’application </w:t>
      </w:r>
      <w:r w:rsidR="00CD102B" w:rsidRPr="0001496F">
        <w:rPr>
          <w:rFonts w:ascii="Times New Roman" w:hAnsi="Times New Roman" w:cs="Times New Roman"/>
        </w:rPr>
        <w:t xml:space="preserve">permet de questionner la compatibilité de la loi belge avec </w:t>
      </w:r>
      <w:r w:rsidR="000D7A96" w:rsidRPr="0001496F">
        <w:rPr>
          <w:rFonts w:ascii="Times New Roman" w:hAnsi="Times New Roman" w:cs="Times New Roman"/>
        </w:rPr>
        <w:t xml:space="preserve">l’article 16 de la </w:t>
      </w:r>
      <w:r w:rsidR="00EF1739" w:rsidRPr="0001496F">
        <w:rPr>
          <w:rFonts w:ascii="Times New Roman" w:hAnsi="Times New Roman" w:cs="Times New Roman"/>
        </w:rPr>
        <w:t>d</w:t>
      </w:r>
      <w:r w:rsidR="000D7A96" w:rsidRPr="0001496F">
        <w:rPr>
          <w:rFonts w:ascii="Times New Roman" w:hAnsi="Times New Roman" w:cs="Times New Roman"/>
        </w:rPr>
        <w:t xml:space="preserve">irective 541/2017/EU. En effet, </w:t>
      </w:r>
      <w:r w:rsidR="00EF1739" w:rsidRPr="0001496F">
        <w:rPr>
          <w:rFonts w:ascii="Times New Roman" w:hAnsi="Times New Roman" w:cs="Times New Roman"/>
        </w:rPr>
        <w:t xml:space="preserve">la loi </w:t>
      </w:r>
      <w:r w:rsidR="0098508D" w:rsidRPr="0001496F">
        <w:rPr>
          <w:rFonts w:ascii="Times New Roman" w:hAnsi="Times New Roman" w:cs="Times New Roman"/>
        </w:rPr>
        <w:t xml:space="preserve">belge </w:t>
      </w:r>
      <w:r w:rsidR="00EF1739" w:rsidRPr="0001496F">
        <w:rPr>
          <w:rFonts w:ascii="Times New Roman" w:hAnsi="Times New Roman" w:cs="Times New Roman"/>
        </w:rPr>
        <w:t xml:space="preserve">autorise une réduction de la peine lorsque le collaborateur est impliqué dans des activités terroristes et que le tiers dénoncé est impliqué dans </w:t>
      </w:r>
      <w:r w:rsidR="00CD102B" w:rsidRPr="0001496F">
        <w:rPr>
          <w:rFonts w:ascii="Times New Roman" w:hAnsi="Times New Roman" w:cs="Times New Roman"/>
        </w:rPr>
        <w:t xml:space="preserve">des </w:t>
      </w:r>
      <w:r w:rsidR="00EF1739" w:rsidRPr="0001496F">
        <w:rPr>
          <w:rFonts w:ascii="Times New Roman" w:hAnsi="Times New Roman" w:cs="Times New Roman"/>
        </w:rPr>
        <w:t xml:space="preserve">infractions non liées au terrorisme, </w:t>
      </w:r>
      <w:r w:rsidR="00CD102B" w:rsidRPr="0001496F">
        <w:rPr>
          <w:rFonts w:ascii="Times New Roman" w:hAnsi="Times New Roman" w:cs="Times New Roman"/>
        </w:rPr>
        <w:t xml:space="preserve">alors que la directive </w:t>
      </w:r>
      <w:r w:rsidR="00F05538" w:rsidRPr="0001496F">
        <w:rPr>
          <w:rFonts w:ascii="Times New Roman" w:hAnsi="Times New Roman" w:cs="Times New Roman"/>
        </w:rPr>
        <w:t>semble exclure</w:t>
      </w:r>
      <w:r w:rsidR="00CD102B" w:rsidRPr="0001496F">
        <w:rPr>
          <w:rFonts w:ascii="Times New Roman" w:hAnsi="Times New Roman" w:cs="Times New Roman"/>
        </w:rPr>
        <w:t xml:space="preserve"> l’admission de circonstances atténuantes dans ce cas de figure</w:t>
      </w:r>
      <w:r w:rsidR="00EF1739" w:rsidRPr="0001496F">
        <w:rPr>
          <w:rFonts w:ascii="Times New Roman" w:hAnsi="Times New Roman" w:cs="Times New Roman"/>
        </w:rPr>
        <w:t>.</w:t>
      </w:r>
    </w:p>
    <w:p w14:paraId="5671D81B" w14:textId="77777777" w:rsidR="005817F2" w:rsidRPr="0001496F" w:rsidRDefault="005817F2" w:rsidP="0001496F">
      <w:pPr>
        <w:jc w:val="both"/>
        <w:rPr>
          <w:rFonts w:ascii="Times New Roman" w:hAnsi="Times New Roman" w:cs="Times New Roman"/>
        </w:rPr>
      </w:pPr>
    </w:p>
    <w:p w14:paraId="3704B3EE" w14:textId="31CA4385" w:rsidR="00047F0C" w:rsidRPr="0001496F" w:rsidRDefault="001D23F6" w:rsidP="0001496F">
      <w:pPr>
        <w:jc w:val="both"/>
        <w:rPr>
          <w:rFonts w:ascii="Times New Roman" w:hAnsi="Times New Roman" w:cs="Times New Roman"/>
        </w:rPr>
      </w:pPr>
      <w:r w:rsidRPr="0001496F">
        <w:rPr>
          <w:rFonts w:ascii="Times New Roman" w:hAnsi="Times New Roman" w:cs="Times New Roman"/>
        </w:rPr>
        <w:t xml:space="preserve">La loi du 22 </w:t>
      </w:r>
      <w:r w:rsidR="002F7AD7" w:rsidRPr="0001496F">
        <w:rPr>
          <w:rFonts w:ascii="Times New Roman" w:hAnsi="Times New Roman" w:cs="Times New Roman"/>
        </w:rPr>
        <w:t>juillet 2018</w:t>
      </w:r>
      <w:r w:rsidR="00AD64B6" w:rsidRPr="0001496F">
        <w:rPr>
          <w:rFonts w:ascii="Times New Roman" w:hAnsi="Times New Roman" w:cs="Times New Roman"/>
        </w:rPr>
        <w:t xml:space="preserve"> </w:t>
      </w:r>
      <w:r w:rsidR="00596866" w:rsidRPr="0001496F">
        <w:rPr>
          <w:rFonts w:ascii="Times New Roman" w:hAnsi="Times New Roman" w:cs="Times New Roman"/>
        </w:rPr>
        <w:t xml:space="preserve">autorise le parquet à promettre </w:t>
      </w:r>
      <w:r w:rsidR="005817F2" w:rsidRPr="0001496F">
        <w:rPr>
          <w:rFonts w:ascii="Times New Roman" w:hAnsi="Times New Roman" w:cs="Times New Roman"/>
        </w:rPr>
        <w:t>trois types d’avantages. Premièrement, le collaborateur peut obt</w:t>
      </w:r>
      <w:r w:rsidR="00AD64B6" w:rsidRPr="0001496F">
        <w:rPr>
          <w:rFonts w:ascii="Times New Roman" w:hAnsi="Times New Roman" w:cs="Times New Roman"/>
        </w:rPr>
        <w:t>enir une réduction de la peine</w:t>
      </w:r>
      <w:r w:rsidR="005817F2" w:rsidRPr="0001496F">
        <w:rPr>
          <w:rFonts w:ascii="Times New Roman" w:hAnsi="Times New Roman" w:cs="Times New Roman"/>
        </w:rPr>
        <w:t>.</w:t>
      </w:r>
      <w:r w:rsidR="00DD3D88" w:rsidRPr="0001496F">
        <w:rPr>
          <w:rFonts w:ascii="Times New Roman" w:hAnsi="Times New Roman" w:cs="Times New Roman"/>
        </w:rPr>
        <w:t xml:space="preserve"> Cette réduction de la peine doit être homologué</w:t>
      </w:r>
      <w:r w:rsidR="00CF4EB1" w:rsidRPr="0001496F">
        <w:rPr>
          <w:rFonts w:ascii="Times New Roman" w:hAnsi="Times New Roman" w:cs="Times New Roman"/>
        </w:rPr>
        <w:t>e</w:t>
      </w:r>
      <w:r w:rsidR="00DD3D88" w:rsidRPr="0001496F">
        <w:rPr>
          <w:rFonts w:ascii="Times New Roman" w:hAnsi="Times New Roman" w:cs="Times New Roman"/>
        </w:rPr>
        <w:t xml:space="preserve"> par un juge.</w:t>
      </w:r>
      <w:r w:rsidR="005817F2" w:rsidRPr="0001496F">
        <w:rPr>
          <w:rFonts w:ascii="Times New Roman" w:hAnsi="Times New Roman" w:cs="Times New Roman"/>
        </w:rPr>
        <w:t xml:space="preserve"> </w:t>
      </w:r>
      <w:r w:rsidR="00F86BBA" w:rsidRPr="0001496F">
        <w:rPr>
          <w:rFonts w:ascii="Times New Roman" w:hAnsi="Times New Roman" w:cs="Times New Roman"/>
        </w:rPr>
        <w:t xml:space="preserve">L’importance de la réduction dépend de la gravité des faits commis par le collaborateur, </w:t>
      </w:r>
      <w:r w:rsidR="0094147B" w:rsidRPr="0001496F">
        <w:rPr>
          <w:rFonts w:ascii="Times New Roman" w:hAnsi="Times New Roman" w:cs="Times New Roman"/>
        </w:rPr>
        <w:t xml:space="preserve">de </w:t>
      </w:r>
      <w:r w:rsidR="00F86BBA" w:rsidRPr="0001496F">
        <w:rPr>
          <w:rFonts w:ascii="Times New Roman" w:hAnsi="Times New Roman" w:cs="Times New Roman"/>
        </w:rPr>
        <w:t xml:space="preserve">la gravité des faits dénoncés et </w:t>
      </w:r>
      <w:r w:rsidR="00DB5B2A" w:rsidRPr="0001496F">
        <w:rPr>
          <w:rFonts w:ascii="Times New Roman" w:hAnsi="Times New Roman" w:cs="Times New Roman"/>
        </w:rPr>
        <w:t xml:space="preserve">de </w:t>
      </w:r>
      <w:r w:rsidR="00F86BBA" w:rsidRPr="0001496F">
        <w:rPr>
          <w:rFonts w:ascii="Times New Roman" w:hAnsi="Times New Roman" w:cs="Times New Roman"/>
        </w:rPr>
        <w:t xml:space="preserve">la gravité des conséquences possibles des faits dénoncés. </w:t>
      </w:r>
      <w:r w:rsidR="005817F2" w:rsidRPr="0001496F">
        <w:rPr>
          <w:rFonts w:ascii="Times New Roman" w:hAnsi="Times New Roman" w:cs="Times New Roman"/>
        </w:rPr>
        <w:t xml:space="preserve">Il faut noter que le législateur a prévu des règles moins avantageuses pour le collaborateur « terroriste ». Deuxièmement, </w:t>
      </w:r>
      <w:r w:rsidR="007C3039" w:rsidRPr="0001496F">
        <w:rPr>
          <w:rFonts w:ascii="Times New Roman" w:hAnsi="Times New Roman" w:cs="Times New Roman"/>
        </w:rPr>
        <w:t xml:space="preserve">le collaborateur peut obtenir un avis ou une décision favorable dans le cadre de l’exécution de la peine. Les acteurs de terrain consultés ont fortement critiqué la loi à cet égard. Celle-ci devrait être modifiée pour </w:t>
      </w:r>
      <w:r w:rsidR="00AD64B6" w:rsidRPr="0001496F">
        <w:rPr>
          <w:rFonts w:ascii="Times New Roman" w:hAnsi="Times New Roman" w:cs="Times New Roman"/>
        </w:rPr>
        <w:t xml:space="preserve">que ce type de </w:t>
      </w:r>
      <w:r w:rsidR="00AD64B6" w:rsidRPr="0001496F">
        <w:rPr>
          <w:rFonts w:ascii="Times New Roman" w:hAnsi="Times New Roman" w:cs="Times New Roman"/>
        </w:rPr>
        <w:lastRenderedPageBreak/>
        <w:t>récompense ai</w:t>
      </w:r>
      <w:r w:rsidR="003402BC" w:rsidRPr="0001496F">
        <w:rPr>
          <w:rFonts w:ascii="Times New Roman" w:hAnsi="Times New Roman" w:cs="Times New Roman"/>
        </w:rPr>
        <w:t xml:space="preserve">t un véritable attrait pour les </w:t>
      </w:r>
      <w:r w:rsidR="00461CFC" w:rsidRPr="0001496F">
        <w:rPr>
          <w:rFonts w:ascii="Times New Roman" w:hAnsi="Times New Roman" w:cs="Times New Roman"/>
        </w:rPr>
        <w:t>candidats</w:t>
      </w:r>
      <w:r w:rsidR="003402BC" w:rsidRPr="0001496F">
        <w:rPr>
          <w:rFonts w:ascii="Times New Roman" w:hAnsi="Times New Roman" w:cs="Times New Roman"/>
        </w:rPr>
        <w:t xml:space="preserve"> collaborateurs. Troisièmement, le collaborateur peut obtenir </w:t>
      </w:r>
      <w:r w:rsidR="00461CFC" w:rsidRPr="0001496F">
        <w:rPr>
          <w:rFonts w:ascii="Times New Roman" w:hAnsi="Times New Roman" w:cs="Times New Roman"/>
        </w:rPr>
        <w:t>un placement ou un transfèrement pour exécuter sa peine privative de liberté dans la prison qu’il souhaite.</w:t>
      </w:r>
    </w:p>
    <w:p w14:paraId="65D4A9E7" w14:textId="77777777" w:rsidR="00047F0C" w:rsidRPr="0001496F" w:rsidRDefault="00047F0C" w:rsidP="0001496F">
      <w:pPr>
        <w:jc w:val="both"/>
        <w:rPr>
          <w:rFonts w:ascii="Times New Roman" w:hAnsi="Times New Roman" w:cs="Times New Roman"/>
        </w:rPr>
      </w:pPr>
    </w:p>
    <w:p w14:paraId="283EE64C" w14:textId="2B1DE64B" w:rsidR="00D34848" w:rsidRPr="0001496F" w:rsidRDefault="00047F0C" w:rsidP="0001496F">
      <w:pPr>
        <w:jc w:val="both"/>
        <w:rPr>
          <w:rFonts w:ascii="Times New Roman" w:hAnsi="Times New Roman" w:cs="Times New Roman"/>
        </w:rPr>
      </w:pPr>
      <w:r w:rsidRPr="0001496F">
        <w:rPr>
          <w:rFonts w:ascii="Times New Roman" w:hAnsi="Times New Roman" w:cs="Times New Roman"/>
        </w:rPr>
        <w:t xml:space="preserve">Pour pouvoir bénéficier de ces avantages pénaux, le collaborateur doit respecter certaines obligations. La principale </w:t>
      </w:r>
      <w:r w:rsidR="008C0E29" w:rsidRPr="0001496F">
        <w:rPr>
          <w:rFonts w:ascii="Times New Roman" w:hAnsi="Times New Roman" w:cs="Times New Roman"/>
        </w:rPr>
        <w:t xml:space="preserve">obligation </w:t>
      </w:r>
      <w:r w:rsidRPr="0001496F">
        <w:rPr>
          <w:rFonts w:ascii="Times New Roman" w:hAnsi="Times New Roman" w:cs="Times New Roman"/>
        </w:rPr>
        <w:t>est évidem</w:t>
      </w:r>
      <w:r w:rsidR="004B2896" w:rsidRPr="0001496F">
        <w:rPr>
          <w:rFonts w:ascii="Times New Roman" w:hAnsi="Times New Roman" w:cs="Times New Roman"/>
        </w:rPr>
        <w:t>me</w:t>
      </w:r>
      <w:r w:rsidRPr="0001496F">
        <w:rPr>
          <w:rFonts w:ascii="Times New Roman" w:hAnsi="Times New Roman" w:cs="Times New Roman"/>
        </w:rPr>
        <w:t>nt de procéder aux déclarat</w:t>
      </w:r>
      <w:r w:rsidR="00661300" w:rsidRPr="0001496F">
        <w:rPr>
          <w:rFonts w:ascii="Times New Roman" w:hAnsi="Times New Roman" w:cs="Times New Roman"/>
        </w:rPr>
        <w:t xml:space="preserve">ions auxquelles il s’est engagé, déclarations qu’il ne </w:t>
      </w:r>
      <w:r w:rsidR="00F95630" w:rsidRPr="0001496F">
        <w:rPr>
          <w:rFonts w:ascii="Times New Roman" w:hAnsi="Times New Roman" w:cs="Times New Roman"/>
        </w:rPr>
        <w:t xml:space="preserve">peut en aucun cas faire anonymement. </w:t>
      </w:r>
      <w:r w:rsidR="0036668A" w:rsidRPr="0001496F">
        <w:rPr>
          <w:rFonts w:ascii="Times New Roman" w:hAnsi="Times New Roman" w:cs="Times New Roman"/>
        </w:rPr>
        <w:t>Le collaborateur</w:t>
      </w:r>
      <w:r w:rsidR="00FD20D9" w:rsidRPr="0001496F">
        <w:rPr>
          <w:rFonts w:ascii="Times New Roman" w:hAnsi="Times New Roman" w:cs="Times New Roman"/>
        </w:rPr>
        <w:t xml:space="preserve"> doit également indemniser le dommage lié à sa propre infraction et ne plus commettre une autre infraction d’une certaine gravité. Si le collaborateur ne respecte pas l’une de ses obligations, </w:t>
      </w:r>
      <w:r w:rsidR="008B6FDF" w:rsidRPr="0001496F">
        <w:rPr>
          <w:rFonts w:ascii="Times New Roman" w:hAnsi="Times New Roman" w:cs="Times New Roman"/>
        </w:rPr>
        <w:t xml:space="preserve">l’accord sera révoqué et, </w:t>
      </w:r>
      <w:r w:rsidR="00661300" w:rsidRPr="0001496F">
        <w:rPr>
          <w:rFonts w:ascii="Times New Roman" w:hAnsi="Times New Roman" w:cs="Times New Roman"/>
        </w:rPr>
        <w:t>si la promesse portait sur</w:t>
      </w:r>
      <w:r w:rsidR="008B6FDF" w:rsidRPr="0001496F">
        <w:rPr>
          <w:rFonts w:ascii="Times New Roman" w:hAnsi="Times New Roman" w:cs="Times New Roman"/>
        </w:rPr>
        <w:t xml:space="preserve"> la réduction de la peine, la peine de substitution </w:t>
      </w:r>
      <w:proofErr w:type="gramStart"/>
      <w:r w:rsidR="008B6FDF" w:rsidRPr="0001496F">
        <w:rPr>
          <w:rFonts w:ascii="Times New Roman" w:hAnsi="Times New Roman" w:cs="Times New Roman"/>
        </w:rPr>
        <w:t>sera</w:t>
      </w:r>
      <w:proofErr w:type="gramEnd"/>
      <w:r w:rsidR="008B6FDF" w:rsidRPr="0001496F">
        <w:rPr>
          <w:rFonts w:ascii="Times New Roman" w:hAnsi="Times New Roman" w:cs="Times New Roman"/>
        </w:rPr>
        <w:t xml:space="preserve"> mise à exécution. </w:t>
      </w:r>
      <w:r w:rsidR="00FD20D9" w:rsidRPr="0001496F">
        <w:rPr>
          <w:rFonts w:ascii="Times New Roman" w:hAnsi="Times New Roman" w:cs="Times New Roman"/>
        </w:rPr>
        <w:t xml:space="preserve"> </w:t>
      </w:r>
    </w:p>
    <w:p w14:paraId="0C89C528" w14:textId="77777777" w:rsidR="00676742" w:rsidRPr="0001496F" w:rsidRDefault="00676742" w:rsidP="0001496F">
      <w:pPr>
        <w:jc w:val="both"/>
        <w:rPr>
          <w:rFonts w:ascii="Times New Roman" w:hAnsi="Times New Roman" w:cs="Times New Roman"/>
        </w:rPr>
      </w:pPr>
    </w:p>
    <w:p w14:paraId="5720196A" w14:textId="6871E82D" w:rsidR="001D23F6" w:rsidRPr="0001496F" w:rsidRDefault="00676742" w:rsidP="0001496F">
      <w:pPr>
        <w:jc w:val="both"/>
        <w:rPr>
          <w:rFonts w:ascii="Times New Roman" w:hAnsi="Times New Roman" w:cs="Times New Roman"/>
        </w:rPr>
      </w:pPr>
      <w:r w:rsidRPr="0001496F">
        <w:rPr>
          <w:rFonts w:ascii="Times New Roman" w:hAnsi="Times New Roman" w:cs="Times New Roman"/>
        </w:rPr>
        <w:t>Les déclarations faites par le collaborateur peuvent bien évidemment avoir des conséquences</w:t>
      </w:r>
      <w:r w:rsidR="00FA2CA8" w:rsidRPr="0001496F">
        <w:rPr>
          <w:rFonts w:ascii="Times New Roman" w:hAnsi="Times New Roman" w:cs="Times New Roman"/>
        </w:rPr>
        <w:t xml:space="preserve"> importantes </w:t>
      </w:r>
      <w:r w:rsidR="003C1936" w:rsidRPr="0001496F">
        <w:rPr>
          <w:rFonts w:ascii="Times New Roman" w:hAnsi="Times New Roman" w:cs="Times New Roman"/>
        </w:rPr>
        <w:t>pour les conditions de vie</w:t>
      </w:r>
      <w:r w:rsidR="00FA2CA8" w:rsidRPr="0001496F">
        <w:rPr>
          <w:rFonts w:ascii="Times New Roman" w:hAnsi="Times New Roman" w:cs="Times New Roman"/>
        </w:rPr>
        <w:t xml:space="preserve"> du</w:t>
      </w:r>
      <w:r w:rsidRPr="0001496F">
        <w:rPr>
          <w:rFonts w:ascii="Times New Roman" w:hAnsi="Times New Roman" w:cs="Times New Roman"/>
        </w:rPr>
        <w:t xml:space="preserve"> tiers dénoncé et pour</w:t>
      </w:r>
      <w:r w:rsidR="00FA2CA8" w:rsidRPr="0001496F">
        <w:rPr>
          <w:rFonts w:ascii="Times New Roman" w:hAnsi="Times New Roman" w:cs="Times New Roman"/>
        </w:rPr>
        <w:t xml:space="preserve"> </w:t>
      </w:r>
      <w:r w:rsidR="002431D7" w:rsidRPr="0001496F">
        <w:rPr>
          <w:rFonts w:ascii="Times New Roman" w:hAnsi="Times New Roman" w:cs="Times New Roman"/>
        </w:rPr>
        <w:t>celle</w:t>
      </w:r>
      <w:r w:rsidR="003C1936" w:rsidRPr="0001496F">
        <w:rPr>
          <w:rFonts w:ascii="Times New Roman" w:hAnsi="Times New Roman" w:cs="Times New Roman"/>
        </w:rPr>
        <w:t>s</w:t>
      </w:r>
      <w:r w:rsidR="00FA2CA8" w:rsidRPr="0001496F">
        <w:rPr>
          <w:rFonts w:ascii="Times New Roman" w:hAnsi="Times New Roman" w:cs="Times New Roman"/>
        </w:rPr>
        <w:t xml:space="preserve"> du</w:t>
      </w:r>
      <w:r w:rsidRPr="0001496F">
        <w:rPr>
          <w:rFonts w:ascii="Times New Roman" w:hAnsi="Times New Roman" w:cs="Times New Roman"/>
        </w:rPr>
        <w:t xml:space="preserve"> collaborateur lui-même (et </w:t>
      </w:r>
      <w:r w:rsidR="00FA2CA8" w:rsidRPr="0001496F">
        <w:rPr>
          <w:rFonts w:ascii="Times New Roman" w:hAnsi="Times New Roman" w:cs="Times New Roman"/>
        </w:rPr>
        <w:t xml:space="preserve">de </w:t>
      </w:r>
      <w:r w:rsidRPr="0001496F">
        <w:rPr>
          <w:rFonts w:ascii="Times New Roman" w:hAnsi="Times New Roman" w:cs="Times New Roman"/>
        </w:rPr>
        <w:t xml:space="preserve">sa famille). </w:t>
      </w:r>
      <w:r w:rsidR="00FA2CA8" w:rsidRPr="0001496F">
        <w:rPr>
          <w:rFonts w:ascii="Times New Roman" w:hAnsi="Times New Roman" w:cs="Times New Roman"/>
        </w:rPr>
        <w:t xml:space="preserve">Pour le tiers dénoncé, il est prévu que les déclarations du collaborateur ne peuvent être prises en compte comme preuve que si elles sont corroborées dans une mesure déterminante par d’autres éléments de preuve. Pour assurer les droits de la défense du tiers dénoncés, </w:t>
      </w:r>
      <w:r w:rsidR="002431D7" w:rsidRPr="0001496F">
        <w:rPr>
          <w:rFonts w:ascii="Times New Roman" w:hAnsi="Times New Roman" w:cs="Times New Roman"/>
        </w:rPr>
        <w:t>l’avocat</w:t>
      </w:r>
      <w:r w:rsidR="000600C4" w:rsidRPr="0001496F">
        <w:rPr>
          <w:rFonts w:ascii="Times New Roman" w:hAnsi="Times New Roman" w:cs="Times New Roman"/>
        </w:rPr>
        <w:t xml:space="preserve"> de celui-ci sera informé du statut de collaborateur du témoin à charge (qui pour rappel, ne pourra pas bénéficier de l’anonymat)</w:t>
      </w:r>
      <w:r w:rsidR="009C4A60" w:rsidRPr="0001496F">
        <w:rPr>
          <w:rFonts w:ascii="Times New Roman" w:hAnsi="Times New Roman" w:cs="Times New Roman"/>
        </w:rPr>
        <w:t xml:space="preserve"> et pourra contester la fiabilité du témoignage. Pour </w:t>
      </w:r>
      <w:r w:rsidR="00695234" w:rsidRPr="0001496F">
        <w:rPr>
          <w:rFonts w:ascii="Times New Roman" w:hAnsi="Times New Roman" w:cs="Times New Roman"/>
        </w:rPr>
        <w:t xml:space="preserve">éviter des mesures de représailles, le collaborateur et sa famille pourront, si cela est jugé nécessaire, bénéficier de mesures de protection. </w:t>
      </w:r>
    </w:p>
    <w:p w14:paraId="7A5A5228" w14:textId="77777777" w:rsidR="001D23F6" w:rsidRPr="0001496F" w:rsidRDefault="001D23F6" w:rsidP="0001496F">
      <w:pPr>
        <w:jc w:val="both"/>
        <w:rPr>
          <w:rFonts w:ascii="Times New Roman" w:hAnsi="Times New Roman" w:cs="Times New Roman"/>
        </w:rPr>
      </w:pPr>
    </w:p>
    <w:p w14:paraId="1C5D5751" w14:textId="5A73EDCE" w:rsidR="00676742" w:rsidRPr="0001496F" w:rsidRDefault="00050524" w:rsidP="0001496F">
      <w:pPr>
        <w:jc w:val="both"/>
        <w:rPr>
          <w:rFonts w:ascii="Times New Roman" w:hAnsi="Times New Roman" w:cs="Times New Roman"/>
        </w:rPr>
      </w:pPr>
      <w:r w:rsidRPr="0001496F">
        <w:rPr>
          <w:rFonts w:ascii="Times New Roman" w:hAnsi="Times New Roman" w:cs="Times New Roman"/>
        </w:rPr>
        <w:t>La loi du 22</w:t>
      </w:r>
      <w:r w:rsidR="00FD2A70" w:rsidRPr="0001496F">
        <w:rPr>
          <w:rFonts w:ascii="Times New Roman" w:hAnsi="Times New Roman" w:cs="Times New Roman"/>
        </w:rPr>
        <w:t xml:space="preserve"> juillet 2018</w:t>
      </w:r>
      <w:r w:rsidR="00867DE7" w:rsidRPr="0001496F">
        <w:rPr>
          <w:rFonts w:ascii="Times New Roman" w:hAnsi="Times New Roman" w:cs="Times New Roman"/>
        </w:rPr>
        <w:t xml:space="preserve">, validée par la Cour constitutionnelle </w:t>
      </w:r>
      <w:r w:rsidR="002555B3" w:rsidRPr="0001496F">
        <w:rPr>
          <w:rFonts w:ascii="Times New Roman" w:hAnsi="Times New Roman" w:cs="Times New Roman"/>
        </w:rPr>
        <w:t>dans son arrêt du 6 février 2020,</w:t>
      </w:r>
      <w:r w:rsidR="00FD2A70" w:rsidRPr="0001496F">
        <w:rPr>
          <w:rFonts w:ascii="Times New Roman" w:hAnsi="Times New Roman" w:cs="Times New Roman"/>
        </w:rPr>
        <w:t xml:space="preserve"> </w:t>
      </w:r>
      <w:r w:rsidR="00DF3FD9" w:rsidRPr="0001496F">
        <w:rPr>
          <w:rFonts w:ascii="Times New Roman" w:hAnsi="Times New Roman" w:cs="Times New Roman"/>
        </w:rPr>
        <w:t>est</w:t>
      </w:r>
      <w:r w:rsidR="00FD2A70" w:rsidRPr="0001496F">
        <w:rPr>
          <w:rFonts w:ascii="Times New Roman" w:hAnsi="Times New Roman" w:cs="Times New Roman"/>
        </w:rPr>
        <w:t xml:space="preserve"> fort récente,</w:t>
      </w:r>
      <w:r w:rsidR="00DF3FD9" w:rsidRPr="0001496F">
        <w:rPr>
          <w:rFonts w:ascii="Times New Roman" w:hAnsi="Times New Roman" w:cs="Times New Roman"/>
        </w:rPr>
        <w:t xml:space="preserve"> ce qui fait qu’il</w:t>
      </w:r>
      <w:r w:rsidR="00FD2A70" w:rsidRPr="0001496F">
        <w:rPr>
          <w:rFonts w:ascii="Times New Roman" w:hAnsi="Times New Roman" w:cs="Times New Roman"/>
        </w:rPr>
        <w:t xml:space="preserve"> </w:t>
      </w:r>
      <w:r w:rsidRPr="0001496F">
        <w:rPr>
          <w:rFonts w:ascii="Times New Roman" w:hAnsi="Times New Roman" w:cs="Times New Roman"/>
        </w:rPr>
        <w:t xml:space="preserve">n’y a pas encore de jurisprudence liée à des infractions terroristes. </w:t>
      </w:r>
      <w:r w:rsidR="00002191" w:rsidRPr="0001496F">
        <w:rPr>
          <w:rFonts w:ascii="Times New Roman" w:hAnsi="Times New Roman" w:cs="Times New Roman"/>
        </w:rPr>
        <w:t xml:space="preserve">Les acteurs de terrain interrogés ont également affirmé qu’aucun </w:t>
      </w:r>
      <w:r w:rsidR="004E3279" w:rsidRPr="0001496F">
        <w:rPr>
          <w:rFonts w:ascii="Times New Roman" w:hAnsi="Times New Roman" w:cs="Times New Roman"/>
        </w:rPr>
        <w:t>mécanisme de collaboration n’est actuellement envisagé dans un dossier</w:t>
      </w:r>
      <w:r w:rsidR="00002191" w:rsidRPr="0001496F">
        <w:rPr>
          <w:rFonts w:ascii="Times New Roman" w:hAnsi="Times New Roman" w:cs="Times New Roman"/>
        </w:rPr>
        <w:t xml:space="preserve"> « terrorisme »</w:t>
      </w:r>
      <w:r w:rsidR="004E3279" w:rsidRPr="0001496F">
        <w:rPr>
          <w:rFonts w:ascii="Times New Roman" w:hAnsi="Times New Roman" w:cs="Times New Roman"/>
        </w:rPr>
        <w:t>.</w:t>
      </w:r>
    </w:p>
    <w:p w14:paraId="0A34E9D3" w14:textId="77777777" w:rsidR="004E3279" w:rsidRPr="0001496F" w:rsidRDefault="004E3279" w:rsidP="0001496F">
      <w:pPr>
        <w:jc w:val="both"/>
        <w:rPr>
          <w:rFonts w:ascii="Times New Roman" w:hAnsi="Times New Roman" w:cs="Times New Roman"/>
          <w:lang w:eastAsia="ja-JP"/>
        </w:rPr>
      </w:pPr>
    </w:p>
    <w:sectPr w:rsidR="004E3279" w:rsidRPr="0001496F" w:rsidSect="0026587E">
      <w:footerReference w:type="even" r:id="rId7"/>
      <w:foot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17D5B" w14:textId="77777777" w:rsidR="00321143" w:rsidRDefault="00321143" w:rsidP="00C27F05">
      <w:r>
        <w:separator/>
      </w:r>
    </w:p>
  </w:endnote>
  <w:endnote w:type="continuationSeparator" w:id="0">
    <w:p w14:paraId="0CC9965A" w14:textId="77777777" w:rsidR="00321143" w:rsidRDefault="00321143" w:rsidP="00C27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56A8F" w14:textId="77777777" w:rsidR="00D13CFE" w:rsidRDefault="00D13CFE" w:rsidP="00A961BE">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9AEEEA0" w14:textId="77777777" w:rsidR="00D13CFE" w:rsidRDefault="00D13CFE" w:rsidP="00A961BE">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EC168" w14:textId="780328C9" w:rsidR="00D13CFE" w:rsidRDefault="00D13CFE" w:rsidP="00A961BE">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F157C">
      <w:rPr>
        <w:rStyle w:val="Numrodepage"/>
        <w:noProof/>
      </w:rPr>
      <w:t>1</w:t>
    </w:r>
    <w:r>
      <w:rPr>
        <w:rStyle w:val="Numrodepage"/>
      </w:rPr>
      <w:fldChar w:fldCharType="end"/>
    </w:r>
  </w:p>
  <w:p w14:paraId="648BA8FC" w14:textId="77777777" w:rsidR="00D13CFE" w:rsidRDefault="00D13CFE" w:rsidP="00A961BE">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B9613" w14:textId="77777777" w:rsidR="00321143" w:rsidRDefault="00321143" w:rsidP="00C27F05">
      <w:r>
        <w:separator/>
      </w:r>
    </w:p>
  </w:footnote>
  <w:footnote w:type="continuationSeparator" w:id="0">
    <w:p w14:paraId="50CF531F" w14:textId="77777777" w:rsidR="00321143" w:rsidRDefault="00321143" w:rsidP="00C27F05">
      <w:r>
        <w:continuationSeparator/>
      </w:r>
    </w:p>
  </w:footnote>
  <w:footnote w:id="1">
    <w:p w14:paraId="5326AA7D" w14:textId="157016FF"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Ch., 2001-2002, n°1645/1, p. 17.</w:t>
      </w:r>
    </w:p>
  </w:footnote>
  <w:footnote w:id="2">
    <w:p w14:paraId="0D67608B" w14:textId="70CAEF65"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de justice dans le système pénal : analyse comparée et critique, Bruxelles, Bruylant, 2002</w:t>
      </w:r>
      <w:r w:rsidRPr="0001496F">
        <w:rPr>
          <w:rFonts w:ascii="Times New Roman" w:hAnsi="Times New Roman" w:cs="Times New Roman"/>
          <w:sz w:val="20"/>
          <w:szCs w:val="20"/>
        </w:rPr>
        <w:t>, p.</w:t>
      </w:r>
      <w:r w:rsidRPr="0001496F">
        <w:rPr>
          <w:rFonts w:ascii="Times New Roman" w:hAnsi="Times New Roman" w:cs="Times New Roman"/>
          <w:sz w:val="20"/>
          <w:szCs w:val="20"/>
          <w:lang w:val="fr-BE"/>
        </w:rPr>
        <w:t xml:space="preserve"> 61.</w:t>
      </w:r>
    </w:p>
  </w:footnote>
  <w:footnote w:id="3">
    <w:p w14:paraId="6A3D9890" w14:textId="36B86210" w:rsidR="00D13CFE" w:rsidRPr="0001496F" w:rsidRDefault="00D13CFE" w:rsidP="0001496F">
      <w:pPr>
        <w:pStyle w:val="Notedebasdepage"/>
        <w:jc w:val="both"/>
        <w:rPr>
          <w:rFonts w:ascii="Times New Roman" w:hAnsi="Times New Roman" w:cs="Times New Roman"/>
          <w:sz w:val="20"/>
          <w:szCs w:val="20"/>
          <w:lang w:val="en-US"/>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 xml:space="preserve">C. Guillain, « Les mesures ‘alternatives’ au stade présentenciel : un quasi monopole du ministère public », </w:t>
      </w:r>
      <w:r w:rsidRPr="0001496F">
        <w:rPr>
          <w:rFonts w:ascii="Times New Roman" w:hAnsi="Times New Roman" w:cs="Times New Roman"/>
          <w:i/>
          <w:sz w:val="20"/>
          <w:szCs w:val="20"/>
          <w:lang w:val="fr-BE"/>
        </w:rPr>
        <w:t>in</w:t>
      </w:r>
      <w:r w:rsidRPr="0001496F">
        <w:rPr>
          <w:rFonts w:ascii="Times New Roman" w:hAnsi="Times New Roman" w:cs="Times New Roman"/>
          <w:sz w:val="20"/>
          <w:szCs w:val="20"/>
          <w:lang w:val="fr-BE"/>
        </w:rPr>
        <w:t xml:space="preserve"> Y. Cartuyvels, C. Guillain et T. Slingeneyer, </w:t>
      </w:r>
      <w:r w:rsidRPr="0001496F">
        <w:rPr>
          <w:rFonts w:ascii="Times New Roman" w:hAnsi="Times New Roman" w:cs="Times New Roman"/>
          <w:i/>
          <w:sz w:val="20"/>
          <w:szCs w:val="20"/>
          <w:lang w:val="fr-BE"/>
        </w:rPr>
        <w:t>Les alternatives à la détention en Belgique : un état des lieux, à l’aune du Conseil de l’Europe</w:t>
      </w:r>
      <w:r w:rsidRPr="0001496F">
        <w:rPr>
          <w:rFonts w:ascii="Times New Roman" w:hAnsi="Times New Roman" w:cs="Times New Roman"/>
          <w:sz w:val="20"/>
          <w:szCs w:val="20"/>
          <w:lang w:val="fr-BE"/>
        </w:rPr>
        <w:t xml:space="preserve">, Bruxelles, la Charte, 2017, p. 59 à 77 ; Y. Cartuyvels, C. Guillain et T. Slingeneyer, « Belgium », </w:t>
      </w:r>
      <w:r w:rsidRPr="0001496F">
        <w:rPr>
          <w:rFonts w:ascii="Times New Roman" w:hAnsi="Times New Roman" w:cs="Times New Roman"/>
          <w:i/>
          <w:sz w:val="20"/>
          <w:szCs w:val="20"/>
          <w:lang w:val="fr-BE"/>
        </w:rPr>
        <w:t>in</w:t>
      </w:r>
      <w:r w:rsidRPr="0001496F">
        <w:rPr>
          <w:rFonts w:ascii="Times New Roman" w:hAnsi="Times New Roman" w:cs="Times New Roman"/>
          <w:sz w:val="20"/>
          <w:szCs w:val="20"/>
          <w:lang w:val="fr-BE"/>
        </w:rPr>
        <w:t xml:space="preserve"> A. Bernardi, </w:t>
      </w:r>
      <w:r w:rsidRPr="0001496F">
        <w:rPr>
          <w:rFonts w:ascii="Times New Roman" w:hAnsi="Times New Roman" w:cs="Times New Roman"/>
          <w:i/>
          <w:sz w:val="20"/>
          <w:szCs w:val="20"/>
          <w:lang w:val="fr-BE"/>
        </w:rPr>
        <w:t xml:space="preserve">Prison Overcrowding and alternatives to detention. </w:t>
      </w:r>
      <w:r w:rsidRPr="0001496F">
        <w:rPr>
          <w:rFonts w:ascii="Times New Roman" w:hAnsi="Times New Roman" w:cs="Times New Roman"/>
          <w:i/>
          <w:sz w:val="20"/>
          <w:szCs w:val="20"/>
          <w:lang w:val="en-US"/>
        </w:rPr>
        <w:t>European sources and national legal systems</w:t>
      </w:r>
      <w:r w:rsidRPr="0001496F">
        <w:rPr>
          <w:rFonts w:ascii="Times New Roman" w:hAnsi="Times New Roman" w:cs="Times New Roman"/>
          <w:sz w:val="20"/>
          <w:szCs w:val="20"/>
          <w:lang w:val="en-US"/>
        </w:rPr>
        <w:t xml:space="preserve">, Napoli, Jovene, 2016, p. 125 </w:t>
      </w:r>
      <w:r w:rsidR="00272A08" w:rsidRPr="0001496F">
        <w:rPr>
          <w:rFonts w:ascii="Times New Roman" w:hAnsi="Times New Roman" w:cs="Times New Roman"/>
          <w:sz w:val="20"/>
          <w:szCs w:val="20"/>
          <w:lang w:val="en-US"/>
        </w:rPr>
        <w:t>à 142</w:t>
      </w:r>
      <w:r w:rsidRPr="0001496F">
        <w:rPr>
          <w:rFonts w:ascii="Times New Roman" w:hAnsi="Times New Roman" w:cs="Times New Roman"/>
          <w:sz w:val="20"/>
          <w:szCs w:val="20"/>
          <w:lang w:val="en-US"/>
        </w:rPr>
        <w:t>.</w:t>
      </w:r>
    </w:p>
  </w:footnote>
  <w:footnote w:id="4">
    <w:p w14:paraId="5812C8FE" w14:textId="096D0CFD"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On peut encore imaginer que le parquet négocie avec l’auteur d’une infraction au stade de son réquisitoire sur la peine ou à l’occasion de l’avis qu’il donne dans divers cas en matière d’exécution de la peine, même si l’hupothèse semble très théorique (</w:t>
      </w:r>
      <w:r w:rsidRPr="0001496F">
        <w:rPr>
          <w:rFonts w:ascii="Times New Roman" w:hAnsi="Times New Roman" w:cs="Times New Roman"/>
          <w:sz w:val="20"/>
          <w:szCs w:val="20"/>
        </w:rPr>
        <w:t xml:space="preserve">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63 à 65).</w:t>
      </w:r>
    </w:p>
  </w:footnote>
  <w:footnote w:id="5">
    <w:p w14:paraId="63B59BB4" w14:textId="0B7CE759"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Sén., 1998-1999, n°1-326/9, p. 427.</w:t>
      </w:r>
    </w:p>
  </w:footnote>
  <w:footnote w:id="6">
    <w:p w14:paraId="492323A7" w14:textId="392510C5"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Sur cette cause d’excuse spécifique, voy. M. Preumont, « Un exemple de politique criminelle : la dénonciation, cause d’excuse prévue par l’article 6 de la loi du 24 février 1921 concernant le trafic des substances vénéneuses, soporifiques, stupéfiantes, désinfectantes ou antiseptiques », in </w:t>
      </w:r>
      <w:r w:rsidRPr="0001496F">
        <w:rPr>
          <w:rFonts w:ascii="Times New Roman" w:hAnsi="Times New Roman" w:cs="Times New Roman"/>
          <w:i/>
          <w:sz w:val="20"/>
          <w:szCs w:val="20"/>
        </w:rPr>
        <w:t>Mélanges offerts à Robert Legros</w:t>
      </w:r>
      <w:r w:rsidRPr="0001496F">
        <w:rPr>
          <w:rFonts w:ascii="Times New Roman" w:hAnsi="Times New Roman" w:cs="Times New Roman"/>
          <w:sz w:val="20"/>
          <w:szCs w:val="20"/>
        </w:rPr>
        <w:t>, Bruxelles, ULB, 1985, p. 499 à 516 ; Ch. Guillain, « </w:t>
      </w:r>
      <w:r w:rsidRPr="0001496F">
        <w:rPr>
          <w:rFonts w:ascii="Times New Roman" w:eastAsia="Times New Roman" w:hAnsi="Times New Roman" w:cs="Times New Roman"/>
          <w:color w:val="000000"/>
          <w:sz w:val="20"/>
          <w:szCs w:val="20"/>
          <w:lang w:val="fr-BE"/>
        </w:rPr>
        <w:t xml:space="preserve">La cause d’excuse en matière de drogues: symptôme de l’ambivalence du système pénal », </w:t>
      </w:r>
      <w:r w:rsidRPr="0001496F">
        <w:rPr>
          <w:rFonts w:ascii="Times New Roman" w:eastAsia="Times New Roman" w:hAnsi="Times New Roman" w:cs="Times New Roman"/>
          <w:i/>
          <w:color w:val="000000"/>
          <w:sz w:val="20"/>
          <w:szCs w:val="20"/>
          <w:lang w:val="fr-BE"/>
        </w:rPr>
        <w:t>in</w:t>
      </w:r>
      <w:r w:rsidRPr="0001496F">
        <w:rPr>
          <w:rFonts w:ascii="Times New Roman" w:eastAsia="Times New Roman" w:hAnsi="Times New Roman" w:cs="Times New Roman"/>
          <w:color w:val="000000"/>
          <w:sz w:val="20"/>
          <w:szCs w:val="20"/>
          <w:lang w:val="fr-BE"/>
        </w:rPr>
        <w:t xml:space="preserve"> Fr. </w:t>
      </w:r>
      <w:r w:rsidRPr="0001496F">
        <w:rPr>
          <w:rFonts w:ascii="Times New Roman" w:hAnsi="Times New Roman" w:cs="Times New Roman"/>
          <w:smallCaps/>
          <w:sz w:val="20"/>
          <w:szCs w:val="20"/>
        </w:rPr>
        <w:t>K</w:t>
      </w:r>
      <w:r w:rsidRPr="0001496F">
        <w:rPr>
          <w:rFonts w:ascii="Times New Roman" w:hAnsi="Times New Roman" w:cs="Times New Roman"/>
          <w:sz w:val="20"/>
          <w:szCs w:val="20"/>
        </w:rPr>
        <w:t xml:space="preserve">uty et A. </w:t>
      </w:r>
      <w:r w:rsidRPr="0001496F">
        <w:rPr>
          <w:rFonts w:ascii="Times New Roman" w:hAnsi="Times New Roman" w:cs="Times New Roman"/>
          <w:smallCaps/>
          <w:sz w:val="20"/>
          <w:szCs w:val="20"/>
        </w:rPr>
        <w:t>W</w:t>
      </w:r>
      <w:r w:rsidRPr="0001496F">
        <w:rPr>
          <w:rFonts w:ascii="Times New Roman" w:hAnsi="Times New Roman" w:cs="Times New Roman"/>
          <w:sz w:val="20"/>
          <w:szCs w:val="20"/>
        </w:rPr>
        <w:t xml:space="preserve">eyenbergh (dir.), </w:t>
      </w:r>
      <w:r w:rsidRPr="0001496F">
        <w:rPr>
          <w:rFonts w:ascii="Times New Roman" w:hAnsi="Times New Roman" w:cs="Times New Roman"/>
          <w:i/>
          <w:sz w:val="20"/>
          <w:szCs w:val="20"/>
        </w:rPr>
        <w:t>La science pénale dans tous ses états. Liber amicorum Patrick Mandoux et Marc Preumont</w:t>
      </w:r>
      <w:r w:rsidRPr="0001496F">
        <w:rPr>
          <w:rFonts w:ascii="Times New Roman" w:hAnsi="Times New Roman" w:cs="Times New Roman"/>
          <w:sz w:val="20"/>
          <w:szCs w:val="20"/>
        </w:rPr>
        <w:t>, Larcier, Bruxelles, 2019, p. 271 à 290.</w:t>
      </w:r>
    </w:p>
  </w:footnote>
  <w:footnote w:id="7">
    <w:p w14:paraId="641BA0A5" w14:textId="5AD984E6"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 xml:space="preserve">Voy. </w:t>
      </w:r>
      <w:r w:rsidRPr="0001496F">
        <w:rPr>
          <w:rFonts w:ascii="Times New Roman" w:hAnsi="Times New Roman" w:cs="Times New Roman"/>
          <w:sz w:val="20"/>
          <w:szCs w:val="20"/>
        </w:rPr>
        <w:t xml:space="preserve">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xml:space="preserve">, p. 41 à 50. </w:t>
      </w:r>
    </w:p>
  </w:footnote>
  <w:footnote w:id="8">
    <w:p w14:paraId="12EED820" w14:textId="5C7FFE5B"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nl-BE"/>
        </w:rPr>
        <w:t xml:space="preserve"> </w:t>
      </w:r>
      <w:r w:rsidRPr="0001496F">
        <w:rPr>
          <w:rFonts w:ascii="Times New Roman" w:hAnsi="Times New Roman" w:cs="Times New Roman"/>
          <w:sz w:val="20"/>
          <w:szCs w:val="20"/>
          <w:lang w:val="nl-NL"/>
        </w:rPr>
        <w:t>Fr.</w:t>
      </w:r>
      <w:r w:rsidR="00272A08" w:rsidRPr="0001496F">
        <w:rPr>
          <w:rFonts w:ascii="Times New Roman" w:hAnsi="Times New Roman" w:cs="Times New Roman"/>
          <w:sz w:val="20"/>
          <w:szCs w:val="20"/>
          <w:lang w:val="nl-NL"/>
        </w:rPr>
        <w:t xml:space="preserve"> Tulkens, </w:t>
      </w:r>
      <w:r w:rsidRPr="0001496F">
        <w:rPr>
          <w:rFonts w:ascii="Times New Roman" w:hAnsi="Times New Roman" w:cs="Times New Roman"/>
          <w:sz w:val="20"/>
          <w:szCs w:val="20"/>
          <w:lang w:val="nl-NL"/>
        </w:rPr>
        <w:t xml:space="preserve">M. van de Kerchove, Y. Cartuyvels, Ch. </w:t>
      </w:r>
      <w:r w:rsidRPr="0001496F">
        <w:rPr>
          <w:rFonts w:ascii="Times New Roman" w:hAnsi="Times New Roman" w:cs="Times New Roman"/>
          <w:sz w:val="20"/>
          <w:szCs w:val="20"/>
          <w:lang w:val="fr-BE"/>
        </w:rPr>
        <w:t xml:space="preserve">Guillain, </w:t>
      </w:r>
      <w:r w:rsidRPr="0001496F">
        <w:rPr>
          <w:rFonts w:ascii="Times New Roman" w:hAnsi="Times New Roman" w:cs="Times New Roman"/>
          <w:i/>
          <w:sz w:val="20"/>
          <w:szCs w:val="20"/>
          <w:lang w:val="fr-BE"/>
        </w:rPr>
        <w:t>Introduction au droit pénal. Aspects juridiques et criminologiques</w:t>
      </w:r>
      <w:r w:rsidRPr="0001496F">
        <w:rPr>
          <w:rFonts w:ascii="Times New Roman" w:hAnsi="Times New Roman" w:cs="Times New Roman"/>
          <w:sz w:val="20"/>
          <w:szCs w:val="20"/>
          <w:lang w:val="fr-BE"/>
        </w:rPr>
        <w:t xml:space="preserve">, Diegem, Kluwer, 2014, p. 644. </w:t>
      </w:r>
    </w:p>
  </w:footnote>
  <w:footnote w:id="9">
    <w:p w14:paraId="6FE5F29A" w14:textId="6ED02875"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G.-H. Beauthier, « La délation : l’impunité dénoncée », </w:t>
      </w:r>
      <w:r w:rsidRPr="0001496F">
        <w:rPr>
          <w:rFonts w:ascii="Times New Roman" w:hAnsi="Times New Roman" w:cs="Times New Roman"/>
          <w:i/>
          <w:sz w:val="20"/>
          <w:szCs w:val="20"/>
        </w:rPr>
        <w:t>Déviance &amp; Société</w:t>
      </w:r>
      <w:r w:rsidRPr="0001496F">
        <w:rPr>
          <w:rFonts w:ascii="Times New Roman" w:hAnsi="Times New Roman" w:cs="Times New Roman"/>
          <w:sz w:val="20"/>
          <w:szCs w:val="20"/>
        </w:rPr>
        <w:t xml:space="preserve">, 1998, n°4, p. 427 à 433. </w:t>
      </w:r>
    </w:p>
  </w:footnote>
  <w:footnote w:id="10">
    <w:p w14:paraId="6398F9E0" w14:textId="3D862F3D"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nl-BE"/>
        </w:rPr>
        <w:t xml:space="preserve"> </w:t>
      </w:r>
      <w:r w:rsidRPr="0001496F">
        <w:rPr>
          <w:rFonts w:ascii="Times New Roman" w:hAnsi="Times New Roman" w:cs="Times New Roman"/>
          <w:sz w:val="20"/>
          <w:szCs w:val="20"/>
          <w:lang w:val="nl-NL"/>
        </w:rPr>
        <w:t xml:space="preserve">Fr. Tulkens, M. van de Kerchove, Y. Cartuyvels, Ch. </w:t>
      </w:r>
      <w:r w:rsidRPr="0001496F">
        <w:rPr>
          <w:rFonts w:ascii="Times New Roman" w:hAnsi="Times New Roman" w:cs="Times New Roman"/>
          <w:sz w:val="20"/>
          <w:szCs w:val="20"/>
          <w:lang w:val="fr-BE"/>
        </w:rPr>
        <w:t>Guillain,</w:t>
      </w:r>
      <w:r w:rsidRPr="0001496F">
        <w:rPr>
          <w:rFonts w:ascii="Times New Roman" w:hAnsi="Times New Roman" w:cs="Times New Roman"/>
          <w:i/>
          <w:sz w:val="20"/>
          <w:szCs w:val="20"/>
          <w:lang w:val="fr-BE"/>
        </w:rPr>
        <w:t xml:space="preserve"> op. cit.,</w:t>
      </w:r>
      <w:r w:rsidRPr="0001496F">
        <w:rPr>
          <w:rFonts w:ascii="Times New Roman" w:hAnsi="Times New Roman" w:cs="Times New Roman"/>
          <w:sz w:val="20"/>
          <w:szCs w:val="20"/>
          <w:lang w:val="fr-BE"/>
        </w:rPr>
        <w:t xml:space="preserve"> p. 644. </w:t>
      </w:r>
    </w:p>
  </w:footnote>
  <w:footnote w:id="11">
    <w:p w14:paraId="730B81D5" w14:textId="6EF0DF94" w:rsidR="00D13CFE" w:rsidRPr="0001496F" w:rsidRDefault="00D13CFE" w:rsidP="0001496F">
      <w:pPr>
        <w:pStyle w:val="Notedebasdepage"/>
        <w:jc w:val="both"/>
        <w:rPr>
          <w:rFonts w:ascii="Times New Roman" w:hAnsi="Times New Roman" w:cs="Times New Roman"/>
          <w:sz w:val="20"/>
          <w:szCs w:val="20"/>
          <w:lang w:val="nl-NL"/>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Les deux pistes ont été successivement suivies, sans succès jusqu’à présent. </w:t>
      </w:r>
      <w:r w:rsidRPr="0001496F">
        <w:rPr>
          <w:rFonts w:ascii="Times New Roman" w:hAnsi="Times New Roman" w:cs="Times New Roman"/>
          <w:sz w:val="20"/>
          <w:szCs w:val="20"/>
          <w:lang w:val="fr-BE"/>
        </w:rPr>
        <w:t xml:space="preserve">Sur les tueurs du Brabant Wallon, voy., e.a., P. Ponsaers, </w:t>
      </w:r>
      <w:r w:rsidRPr="0001496F">
        <w:rPr>
          <w:rFonts w:ascii="Times New Roman" w:hAnsi="Times New Roman" w:cs="Times New Roman"/>
          <w:i/>
          <w:sz w:val="20"/>
          <w:szCs w:val="20"/>
          <w:lang w:val="fr-BE"/>
        </w:rPr>
        <w:t xml:space="preserve">Loden jaren. </w:t>
      </w:r>
      <w:r w:rsidRPr="0001496F">
        <w:rPr>
          <w:rFonts w:ascii="Times New Roman" w:hAnsi="Times New Roman" w:cs="Times New Roman"/>
          <w:i/>
          <w:sz w:val="20"/>
          <w:szCs w:val="20"/>
          <w:lang w:val="nl-NL"/>
        </w:rPr>
        <w:t>De Bende van Nijvel gekaderd</w:t>
      </w:r>
      <w:r w:rsidRPr="0001496F">
        <w:rPr>
          <w:rFonts w:ascii="Times New Roman" w:hAnsi="Times New Roman" w:cs="Times New Roman"/>
          <w:sz w:val="20"/>
          <w:szCs w:val="20"/>
          <w:lang w:val="nl-NL"/>
        </w:rPr>
        <w:t xml:space="preserve">, Gompel &amp; Svacina, 2019. </w:t>
      </w:r>
    </w:p>
  </w:footnote>
  <w:footnote w:id="12">
    <w:p w14:paraId="1B80C30A" w14:textId="23393F99" w:rsidR="00D13CFE" w:rsidRPr="0001496F" w:rsidRDefault="00D13CFE" w:rsidP="0001496F">
      <w:pPr>
        <w:pStyle w:val="Notedebasdepage"/>
        <w:jc w:val="both"/>
        <w:rPr>
          <w:rFonts w:ascii="Times New Roman" w:hAnsi="Times New Roman" w:cs="Times New Roman"/>
          <w:sz w:val="20"/>
          <w:szCs w:val="20"/>
          <w:lang w:val="nl-NL"/>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nl-NL"/>
        </w:rPr>
        <w:t xml:space="preserve"> </w:t>
      </w:r>
      <w:r w:rsidRPr="0001496F">
        <w:rPr>
          <w:rFonts w:ascii="Times New Roman" w:hAnsi="Times New Roman" w:cs="Times New Roman"/>
          <w:i/>
          <w:sz w:val="20"/>
          <w:szCs w:val="20"/>
          <w:lang w:val="nl-NL"/>
        </w:rPr>
        <w:t>Doc.</w:t>
      </w:r>
      <w:r w:rsidRPr="0001496F">
        <w:rPr>
          <w:rFonts w:ascii="Times New Roman" w:hAnsi="Times New Roman" w:cs="Times New Roman"/>
          <w:sz w:val="20"/>
          <w:szCs w:val="20"/>
          <w:lang w:val="nl-NL"/>
        </w:rPr>
        <w:t>, Ch., 1995, n°23/1, p. 45.</w:t>
      </w:r>
    </w:p>
  </w:footnote>
  <w:footnote w:id="13">
    <w:p w14:paraId="35C71772" w14:textId="1ED3A61E"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Sén., 1995-1996, n°1-326/5, p. 30.</w:t>
      </w:r>
    </w:p>
  </w:footnote>
  <w:footnote w:id="14">
    <w:p w14:paraId="456BC965" w14:textId="7B073B9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1989-1990, n°59/8.</w:t>
      </w:r>
    </w:p>
  </w:footnote>
  <w:footnote w:id="15">
    <w:p w14:paraId="2A3A933D" w14:textId="49E6AE66"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xml:space="preserve">, Sén., 1998-1999, n° 1-326/9, p. 525. </w:t>
      </w:r>
    </w:p>
  </w:footnote>
  <w:footnote w:id="16">
    <w:p w14:paraId="242F6646" w14:textId="239FE6BC"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xml:space="preserve">, Sén., 1995-1996, n°1-403/1. </w:t>
      </w:r>
    </w:p>
  </w:footnote>
  <w:footnote w:id="17">
    <w:p w14:paraId="49736079" w14:textId="77777777"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 xml:space="preserve">En effet, le dispositif visait la dénonciation de crimes qui, par eux-mêmes ou conjointement avec d’autres crimes connexes, avaient entrainé la mort d’au moins cinq personnes et dont l’élucidation s’est avérée impossible après dix ans ou plus. </w:t>
      </w:r>
    </w:p>
  </w:footnote>
  <w:footnote w:id="18">
    <w:p w14:paraId="6A48E203" w14:textId="49C3D9F8"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1996-1997, n°880/1.</w:t>
      </w:r>
    </w:p>
  </w:footnote>
  <w:footnote w:id="19">
    <w:p w14:paraId="0913880D" w14:textId="7FADE6F1"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1997-1998, n°573/7, p. 67.</w:t>
      </w:r>
    </w:p>
  </w:footnote>
  <w:footnote w:id="20">
    <w:p w14:paraId="4D5710F8" w14:textId="58A37510"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i/>
          <w:sz w:val="20"/>
          <w:szCs w:val="20"/>
        </w:rPr>
        <w:t xml:space="preserve"> </w:t>
      </w:r>
      <w:r w:rsidRPr="0001496F">
        <w:rPr>
          <w:rFonts w:ascii="Times New Roman" w:hAnsi="Times New Roman" w:cs="Times New Roman"/>
          <w:i/>
          <w:sz w:val="20"/>
          <w:szCs w:val="20"/>
          <w:lang w:val="fr-BE"/>
        </w:rPr>
        <w:t xml:space="preserve">Ibidem, </w:t>
      </w:r>
      <w:r w:rsidRPr="0001496F">
        <w:rPr>
          <w:rFonts w:ascii="Times New Roman" w:hAnsi="Times New Roman" w:cs="Times New Roman"/>
          <w:sz w:val="20"/>
          <w:szCs w:val="20"/>
          <w:lang w:val="fr-BE"/>
        </w:rPr>
        <w:t xml:space="preserve">p. 67 et 68. </w:t>
      </w:r>
    </w:p>
  </w:footnote>
  <w:footnote w:id="21">
    <w:p w14:paraId="2032E76B" w14:textId="77777777"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 xml:space="preserve">T. De Meester, Ph. Traest, </w:t>
      </w:r>
      <w:r w:rsidRPr="0001496F">
        <w:rPr>
          <w:rFonts w:ascii="Times New Roman" w:hAnsi="Times New Roman" w:cs="Times New Roman"/>
          <w:i/>
          <w:sz w:val="20"/>
          <w:szCs w:val="20"/>
          <w:lang w:val="fr-BE"/>
        </w:rPr>
        <w:t>Rapport de recherche concernant les repentis, l’encouragement et la facilitation du témoignage dans</w:t>
      </w:r>
      <w:r w:rsidRPr="0001496F">
        <w:rPr>
          <w:rFonts w:ascii="Times New Roman" w:hAnsi="Times New Roman" w:cs="Times New Roman"/>
          <w:sz w:val="20"/>
          <w:szCs w:val="20"/>
          <w:lang w:val="fr-BE"/>
        </w:rPr>
        <w:t xml:space="preserve"> le cadre</w:t>
      </w:r>
      <w:r w:rsidRPr="0001496F">
        <w:rPr>
          <w:rFonts w:ascii="Times New Roman" w:hAnsi="Times New Roman" w:cs="Times New Roman"/>
          <w:i/>
          <w:sz w:val="20"/>
          <w:szCs w:val="20"/>
          <w:lang w:val="fr-BE"/>
        </w:rPr>
        <w:t xml:space="preserve"> de la procédure pénale et le renversement de la charge de la preuve concernant l’origine de biens dont on soupçonne qu’ils sont le produit d’une activité liée au crime organisé</w:t>
      </w:r>
      <w:r w:rsidRPr="0001496F">
        <w:rPr>
          <w:rFonts w:ascii="Times New Roman" w:hAnsi="Times New Roman" w:cs="Times New Roman"/>
          <w:sz w:val="20"/>
          <w:szCs w:val="20"/>
          <w:lang w:val="fr-BE"/>
        </w:rPr>
        <w:t xml:space="preserve">, réalisé à la demande du Ministère de la Jusitce, 1996-1997; non publié. </w:t>
      </w:r>
    </w:p>
  </w:footnote>
  <w:footnote w:id="22">
    <w:p w14:paraId="5BE4A7DF" w14:textId="1554BAEC"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Ce rapport de proportion suppose que l’on réserve l’octroi d’une prime au repenti lorsqu’il dénonce ou permet de découvrir des infractions graves et/ou des infractions au moins aussi graves que celles qu’il a commises (</w:t>
      </w:r>
      <w:r w:rsidRPr="0001496F">
        <w:rPr>
          <w:rFonts w:ascii="Times New Roman" w:hAnsi="Times New Roman" w:cs="Times New Roman"/>
          <w:i/>
          <w:sz w:val="20"/>
          <w:szCs w:val="20"/>
          <w:lang w:val="fr-BE"/>
        </w:rPr>
        <w:t>Colloque réforme droit pénal, Sénat, 8-9 octobre 1998</w:t>
      </w:r>
      <w:r w:rsidRPr="0001496F">
        <w:rPr>
          <w:rFonts w:ascii="Times New Roman" w:hAnsi="Times New Roman" w:cs="Times New Roman"/>
          <w:sz w:val="20"/>
          <w:szCs w:val="20"/>
          <w:lang w:val="fr-BE"/>
        </w:rPr>
        <w:t>, Antwerpen, Maklu, 1998, p. 130 et 131.</w:t>
      </w:r>
    </w:p>
  </w:footnote>
  <w:footnote w:id="23">
    <w:p w14:paraId="6E08F219" w14:textId="69A72821"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lang w:val="fr-BE"/>
        </w:rPr>
        <w:t>Colloque réforme droit pénal, Sénat, 8-9 octobre 1998, op. cit</w:t>
      </w:r>
      <w:r w:rsidRPr="0001496F">
        <w:rPr>
          <w:rFonts w:ascii="Times New Roman" w:hAnsi="Times New Roman" w:cs="Times New Roman"/>
          <w:sz w:val="20"/>
          <w:szCs w:val="20"/>
          <w:lang w:val="fr-BE"/>
        </w:rPr>
        <w:t>., p. 131. M.-A. Beernaert souligne qu’à son sens, les auteurs visent en fait plutôt un rapport de proportion entre l’importance des informations fournies par le repenti et les avantages qui lui sont accordés en échange (</w:t>
      </w:r>
      <w:r w:rsidRPr="0001496F">
        <w:rPr>
          <w:rFonts w:ascii="Times New Roman" w:hAnsi="Times New Roman" w:cs="Times New Roman"/>
          <w:sz w:val="20"/>
          <w:szCs w:val="20"/>
        </w:rPr>
        <w:t xml:space="preserve">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w:t>
      </w:r>
      <w:r w:rsidRPr="0001496F">
        <w:rPr>
          <w:rFonts w:ascii="Times New Roman" w:hAnsi="Times New Roman" w:cs="Times New Roman"/>
          <w:sz w:val="20"/>
          <w:szCs w:val="20"/>
          <w:lang w:val="fr-BE"/>
        </w:rPr>
        <w:t xml:space="preserve"> p. 87).</w:t>
      </w:r>
    </w:p>
  </w:footnote>
  <w:footnote w:id="24">
    <w:p w14:paraId="683C8BFC" w14:textId="44CAEC5C"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lang w:val="fr-BE"/>
        </w:rPr>
        <w:t>Colloque réforme droit pénal, Sénat, 8-9 octobre 1998, op. cit</w:t>
      </w:r>
      <w:r w:rsidRPr="0001496F">
        <w:rPr>
          <w:rFonts w:ascii="Times New Roman" w:hAnsi="Times New Roman" w:cs="Times New Roman"/>
          <w:sz w:val="20"/>
          <w:szCs w:val="20"/>
          <w:lang w:val="fr-BE"/>
        </w:rPr>
        <w:t>., p. 132.</w:t>
      </w:r>
    </w:p>
  </w:footnote>
  <w:footnote w:id="25">
    <w:p w14:paraId="75D339C1" w14:textId="193A87FD"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132.</w:t>
      </w:r>
    </w:p>
  </w:footnote>
  <w:footnote w:id="26">
    <w:p w14:paraId="435BA0F1" w14:textId="3C57BC0D"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xml:space="preserve">, p. 133 </w:t>
      </w:r>
      <w:proofErr w:type="gramStart"/>
      <w:r w:rsidRPr="0001496F">
        <w:rPr>
          <w:rFonts w:ascii="Times New Roman" w:hAnsi="Times New Roman" w:cs="Times New Roman"/>
          <w:sz w:val="20"/>
          <w:szCs w:val="20"/>
          <w:lang w:val="pt-BR"/>
        </w:rPr>
        <w:t>à</w:t>
      </w:r>
      <w:proofErr w:type="gramEnd"/>
      <w:r w:rsidRPr="0001496F">
        <w:rPr>
          <w:rFonts w:ascii="Times New Roman" w:hAnsi="Times New Roman" w:cs="Times New Roman"/>
          <w:sz w:val="20"/>
          <w:szCs w:val="20"/>
          <w:lang w:val="pt-BR"/>
        </w:rPr>
        <w:t xml:space="preserve"> 138.</w:t>
      </w:r>
    </w:p>
  </w:footnote>
  <w:footnote w:id="27">
    <w:p w14:paraId="2D3A12E5" w14:textId="0E3989D0"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140 et 141.</w:t>
      </w:r>
    </w:p>
  </w:footnote>
  <w:footnote w:id="28">
    <w:p w14:paraId="27F3B0C3" w14:textId="5ABD160B"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140 et 141.</w:t>
      </w:r>
    </w:p>
  </w:footnote>
  <w:footnote w:id="29">
    <w:p w14:paraId="4AD0ECF3" w14:textId="59CB37B8"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140 et 141.</w:t>
      </w:r>
    </w:p>
  </w:footnote>
  <w:footnote w:id="30">
    <w:p w14:paraId="4C1F0463" w14:textId="0EA2013A"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137 et 138.</w:t>
      </w:r>
    </w:p>
  </w:footnote>
  <w:footnote w:id="31">
    <w:p w14:paraId="5CF82932" w14:textId="161D1E6F"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1998-1999, n°1813/1.</w:t>
      </w:r>
    </w:p>
  </w:footnote>
  <w:footnote w:id="32">
    <w:p w14:paraId="37515E32" w14:textId="79A34580"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1.</w:t>
      </w:r>
    </w:p>
  </w:footnote>
  <w:footnote w:id="33">
    <w:p w14:paraId="479787BE" w14:textId="5E268A09"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3, 4 et 8.</w:t>
      </w:r>
    </w:p>
  </w:footnote>
  <w:footnote w:id="34">
    <w:p w14:paraId="1B3F6D3A" w14:textId="41B50741"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La gravité de l’infraction commise par le repenti doit être moindre que celle de l’infraction susceptible d’être poursuivie suite aux révélations dénoncée (art.4,3°) et certaines infractions particulièrement graves commises par le repenti seraient exclues du marchandage.</w:t>
      </w:r>
    </w:p>
  </w:footnote>
  <w:footnote w:id="35">
    <w:p w14:paraId="6B4DFE71" w14:textId="0AABFDCF"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1998-1999, n°1813/1, p. 13.</w:t>
      </w:r>
    </w:p>
  </w:footnote>
  <w:footnote w:id="36">
    <w:p w14:paraId="2A2733FB" w14:textId="1A4B77B9"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Sén., 1998-1999, n°1-326/9.</w:t>
      </w:r>
    </w:p>
  </w:footnote>
  <w:footnote w:id="37">
    <w:p w14:paraId="3D01F2A2" w14:textId="31361366"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427.</w:t>
      </w:r>
    </w:p>
  </w:footnote>
  <w:footnote w:id="38">
    <w:p w14:paraId="0EC61183" w14:textId="7C9F5CA2"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Sén., n°1-326/8, p. 129.</w:t>
      </w:r>
    </w:p>
  </w:footnote>
  <w:footnote w:id="39">
    <w:p w14:paraId="74CA3A83" w14:textId="7C84C9CD"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73.</w:t>
      </w:r>
    </w:p>
  </w:footnote>
  <w:footnote w:id="40">
    <w:p w14:paraId="474E42E6" w14:textId="15AD604F"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Sén., 1998-1999, n°1-326/9, p. 428, 429 et 525.</w:t>
      </w:r>
    </w:p>
  </w:footnote>
  <w:footnote w:id="41">
    <w:p w14:paraId="20693B83" w14:textId="63E8430D"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 xml:space="preserve">Voy. </w:t>
      </w:r>
      <w:r w:rsidRPr="0001496F">
        <w:rPr>
          <w:rFonts w:ascii="Times New Roman" w:hAnsi="Times New Roman" w:cs="Times New Roman"/>
          <w:sz w:val="20"/>
          <w:szCs w:val="20"/>
        </w:rPr>
        <w:t xml:space="preserve">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w:t>
      </w:r>
      <w:r w:rsidRPr="0001496F">
        <w:rPr>
          <w:rFonts w:ascii="Times New Roman" w:hAnsi="Times New Roman" w:cs="Times New Roman"/>
          <w:sz w:val="20"/>
          <w:szCs w:val="20"/>
          <w:lang w:val="fr-BE"/>
        </w:rPr>
        <w:t xml:space="preserve"> p. 102, notes 65 et 66.</w:t>
      </w:r>
    </w:p>
  </w:footnote>
  <w:footnote w:id="42">
    <w:p w14:paraId="001CCEC9" w14:textId="47D8B57D"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xml:space="preserve">, Ch., 2001-2002, n° 1645/1, p. 7. </w:t>
      </w:r>
    </w:p>
  </w:footnote>
  <w:footnote w:id="43">
    <w:p w14:paraId="6C359F5A" w14:textId="4D15C9A5"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 xml:space="preserve">Cette recherche a en outre été suivie d’une étude complémentaire également confiée à l’Université de Gand (N. Siron, G. Vermeulen, B. De Ruyver, P. Traest, A. Van Cauwenberghe, </w:t>
      </w:r>
      <w:r w:rsidRPr="0001496F">
        <w:rPr>
          <w:rFonts w:ascii="Times New Roman" w:hAnsi="Times New Roman" w:cs="Times New Roman"/>
          <w:i/>
          <w:sz w:val="20"/>
          <w:szCs w:val="20"/>
          <w:lang w:val="fr-BE"/>
        </w:rPr>
        <w:t>Bescherming van en samenwerking met getuigen</w:t>
      </w:r>
      <w:r w:rsidRPr="0001496F">
        <w:rPr>
          <w:rFonts w:ascii="Times New Roman" w:hAnsi="Times New Roman" w:cs="Times New Roman"/>
          <w:sz w:val="20"/>
          <w:szCs w:val="20"/>
          <w:lang w:val="fr-BE"/>
        </w:rPr>
        <w:t>, Antwerpen, Maklu, 2000.</w:t>
      </w:r>
    </w:p>
  </w:footnote>
  <w:footnote w:id="44">
    <w:p w14:paraId="602F3196" w14:textId="54B5EC55"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2001-2002, n° 1645/1.</w:t>
      </w:r>
    </w:p>
  </w:footnote>
  <w:footnote w:id="45">
    <w:p w14:paraId="0D8E3351" w14:textId="7D8E72D0"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xml:space="preserve">, p. 8. </w:t>
      </w:r>
    </w:p>
  </w:footnote>
  <w:footnote w:id="46">
    <w:p w14:paraId="23536C84" w14:textId="34EB5C62"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13.</w:t>
      </w:r>
    </w:p>
  </w:footnote>
  <w:footnote w:id="47">
    <w:p w14:paraId="5276BF5F" w14:textId="40B544B8"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xml:space="preserve"> p. 10. </w:t>
      </w:r>
    </w:p>
  </w:footnote>
  <w:footnote w:id="48">
    <w:p w14:paraId="30987AED" w14:textId="7FAA3B63"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xml:space="preserve">, p. 11. </w:t>
      </w:r>
    </w:p>
  </w:footnote>
  <w:footnote w:id="49">
    <w:p w14:paraId="670FF63D" w14:textId="0F52303A"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14.</w:t>
      </w:r>
    </w:p>
  </w:footnote>
  <w:footnote w:id="50">
    <w:p w14:paraId="6A667E9D" w14:textId="012E3ED1"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xml:space="preserve"> p. 11 </w:t>
      </w:r>
      <w:proofErr w:type="gramStart"/>
      <w:r w:rsidRPr="0001496F">
        <w:rPr>
          <w:rFonts w:ascii="Times New Roman" w:hAnsi="Times New Roman" w:cs="Times New Roman"/>
          <w:sz w:val="20"/>
          <w:szCs w:val="20"/>
          <w:lang w:val="pt-BR"/>
        </w:rPr>
        <w:t>à</w:t>
      </w:r>
      <w:proofErr w:type="gramEnd"/>
      <w:r w:rsidRPr="0001496F">
        <w:rPr>
          <w:rFonts w:ascii="Times New Roman" w:hAnsi="Times New Roman" w:cs="Times New Roman"/>
          <w:sz w:val="20"/>
          <w:szCs w:val="20"/>
          <w:lang w:val="pt-BR"/>
        </w:rPr>
        <w:t xml:space="preserve"> 13.</w:t>
      </w:r>
    </w:p>
  </w:footnote>
  <w:footnote w:id="51">
    <w:p w14:paraId="791441EC" w14:textId="582026BE"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14 et 15.</w:t>
      </w:r>
    </w:p>
  </w:footnote>
  <w:footnote w:id="52">
    <w:p w14:paraId="1931E25D" w14:textId="567033C4"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20.</w:t>
      </w:r>
    </w:p>
  </w:footnote>
  <w:footnote w:id="53">
    <w:p w14:paraId="29C5C55B" w14:textId="2B84482B"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xml:space="preserve">, p. 27 </w:t>
      </w:r>
      <w:proofErr w:type="gramStart"/>
      <w:r w:rsidRPr="0001496F">
        <w:rPr>
          <w:rFonts w:ascii="Times New Roman" w:hAnsi="Times New Roman" w:cs="Times New Roman"/>
          <w:sz w:val="20"/>
          <w:szCs w:val="20"/>
          <w:lang w:val="pt-BR"/>
        </w:rPr>
        <w:t>à</w:t>
      </w:r>
      <w:proofErr w:type="gramEnd"/>
      <w:r w:rsidRPr="0001496F">
        <w:rPr>
          <w:rFonts w:ascii="Times New Roman" w:hAnsi="Times New Roman" w:cs="Times New Roman"/>
          <w:sz w:val="20"/>
          <w:szCs w:val="20"/>
          <w:lang w:val="pt-BR"/>
        </w:rPr>
        <w:t xml:space="preserve"> 29. </w:t>
      </w:r>
    </w:p>
  </w:footnote>
  <w:footnote w:id="54">
    <w:p w14:paraId="2330F70C" w14:textId="02C78790"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37.</w:t>
      </w:r>
    </w:p>
  </w:footnote>
  <w:footnote w:id="55">
    <w:p w14:paraId="288249AC" w14:textId="674184AE"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29 et 30.</w:t>
      </w:r>
    </w:p>
  </w:footnote>
  <w:footnote w:id="56">
    <w:p w14:paraId="29511BCF" w14:textId="3EE43A44"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xml:space="preserve">, p. 50. </w:t>
      </w:r>
    </w:p>
  </w:footnote>
  <w:footnote w:id="57">
    <w:p w14:paraId="27A4A340" w14:textId="19016B42"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41.</w:t>
      </w:r>
    </w:p>
  </w:footnote>
  <w:footnote w:id="58">
    <w:p w14:paraId="09EE66C3" w14:textId="64437E32"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p. 100 et 101.</w:t>
      </w:r>
    </w:p>
  </w:footnote>
  <w:footnote w:id="59">
    <w:p w14:paraId="721799ED" w14:textId="5B8A08BF"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100 et 101.</w:t>
      </w:r>
    </w:p>
  </w:footnote>
  <w:footnote w:id="60">
    <w:p w14:paraId="0E790479" w14:textId="3552F8F3"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101.</w:t>
      </w:r>
    </w:p>
  </w:footnote>
  <w:footnote w:id="61">
    <w:p w14:paraId="53AD54AC" w14:textId="7FCC0F50"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xml:space="preserve">, Ch., 2000-2001, n°1384/1. </w:t>
      </w:r>
    </w:p>
  </w:footnote>
  <w:footnote w:id="62">
    <w:p w14:paraId="3B962599" w14:textId="3F231CB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2003-2004, n°358/1.</w:t>
      </w:r>
    </w:p>
  </w:footnote>
  <w:footnote w:id="63">
    <w:p w14:paraId="0A2D33A1" w14:textId="1ABF714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xml:space="preserve">, Ch., 2003-2004, n°399/1. </w:t>
      </w:r>
    </w:p>
  </w:footnote>
  <w:footnote w:id="64">
    <w:p w14:paraId="03226130" w14:textId="6F476F64"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xml:space="preserve">, Ch., 2010-2011, n°1631/1. </w:t>
      </w:r>
    </w:p>
  </w:footnote>
  <w:footnote w:id="65">
    <w:p w14:paraId="58F71CAB" w14:textId="6E345BEC"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xml:space="preserve">, Ch., 2014-2015, n°629/1. </w:t>
      </w:r>
    </w:p>
  </w:footnote>
  <w:footnote w:id="66">
    <w:p w14:paraId="2BCE2C45" w14:textId="0DFB481C"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M.B</w:t>
      </w:r>
      <w:r w:rsidRPr="0001496F">
        <w:rPr>
          <w:rFonts w:ascii="Times New Roman" w:hAnsi="Times New Roman" w:cs="Times New Roman"/>
          <w:sz w:val="20"/>
          <w:szCs w:val="20"/>
        </w:rPr>
        <w:t>., 29 décembre 2003.</w:t>
      </w:r>
    </w:p>
  </w:footnote>
  <w:footnote w:id="67">
    <w:p w14:paraId="4C72C45B" w14:textId="1FFDE24E"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fr-BE"/>
        </w:rPr>
        <w:t xml:space="preserve">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xml:space="preserve">., Ch., 2003-2004, n°258/3, p. 1 ;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Sén., 2003-2004, n°3-332/2, p. 1.</w:t>
      </w:r>
    </w:p>
  </w:footnote>
  <w:footnote w:id="68">
    <w:p w14:paraId="1B13A8BD" w14:textId="46265324"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Valkeneer, « Quelques réflexions à propos de la prescription de l’action publique et des ‘repentis’ ou collaborateurs de justice », </w:t>
      </w:r>
      <w:r w:rsidRPr="0001496F">
        <w:rPr>
          <w:rFonts w:ascii="Times New Roman" w:hAnsi="Times New Roman" w:cs="Times New Roman"/>
          <w:i/>
          <w:sz w:val="20"/>
          <w:szCs w:val="20"/>
        </w:rPr>
        <w:t>Rev. dr. pén. crim.</w:t>
      </w:r>
      <w:r w:rsidRPr="0001496F">
        <w:rPr>
          <w:rFonts w:ascii="Times New Roman" w:hAnsi="Times New Roman" w:cs="Times New Roman"/>
          <w:sz w:val="20"/>
          <w:szCs w:val="20"/>
        </w:rPr>
        <w:t>, 2014, p. 1083 à 1102.</w:t>
      </w:r>
    </w:p>
  </w:footnote>
  <w:footnote w:id="69">
    <w:p w14:paraId="5C3D1241" w14:textId="7282589E"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C.E.D.H., </w:t>
      </w:r>
      <w:r w:rsidRPr="0001496F">
        <w:rPr>
          <w:rFonts w:ascii="Times New Roman" w:hAnsi="Times New Roman" w:cs="Times New Roman"/>
          <w:i/>
          <w:sz w:val="20"/>
          <w:szCs w:val="20"/>
          <w:lang w:val="fr-BE"/>
        </w:rPr>
        <w:t>Cornelis c. Pays-Bas</w:t>
      </w:r>
      <w:r w:rsidRPr="0001496F">
        <w:rPr>
          <w:rFonts w:ascii="Times New Roman" w:hAnsi="Times New Roman" w:cs="Times New Roman"/>
          <w:sz w:val="20"/>
          <w:szCs w:val="20"/>
          <w:lang w:val="fr-BE"/>
        </w:rPr>
        <w:t xml:space="preserve">, 25 mai 2004, p. 15. </w:t>
      </w:r>
    </w:p>
  </w:footnote>
  <w:footnote w:id="70">
    <w:p w14:paraId="2DF23F46" w14:textId="55287CD6"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Pour une analyse de la jurisprudence de la Cour, citée par l’auteur, voy. M.-A. Beernaert, « La recevabilité des preuves en matière pénale dans la jurisprudence de la Cour européenne des droits de l’homme », </w:t>
      </w:r>
      <w:r w:rsidRPr="0001496F">
        <w:rPr>
          <w:rFonts w:ascii="Times New Roman" w:hAnsi="Times New Roman" w:cs="Times New Roman"/>
          <w:i/>
          <w:sz w:val="20"/>
          <w:szCs w:val="20"/>
        </w:rPr>
        <w:t>Revue Trimestrielle des droits de l’homme</w:t>
      </w:r>
      <w:r w:rsidRPr="0001496F">
        <w:rPr>
          <w:rFonts w:ascii="Times New Roman" w:hAnsi="Times New Roman" w:cs="Times New Roman"/>
          <w:sz w:val="20"/>
          <w:szCs w:val="20"/>
        </w:rPr>
        <w:t xml:space="preserve">, 2007, p. 88 et 89. </w:t>
      </w:r>
    </w:p>
  </w:footnote>
  <w:footnote w:id="71">
    <w:p w14:paraId="41723D57" w14:textId="6E2BE197" w:rsidR="00D13CFE" w:rsidRPr="0001496F" w:rsidRDefault="00D13CFE" w:rsidP="0001496F">
      <w:pPr>
        <w:pStyle w:val="Notedebasdepage"/>
        <w:jc w:val="both"/>
        <w:rPr>
          <w:rFonts w:ascii="Times New Roman" w:hAnsi="Times New Roman" w:cs="Times New Roman"/>
          <w:color w:val="FF0000"/>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 xml:space="preserve">Ch. De Valkeneer, </w:t>
      </w:r>
      <w:r w:rsidRPr="0001496F">
        <w:rPr>
          <w:rFonts w:ascii="Times New Roman" w:hAnsi="Times New Roman" w:cs="Times New Roman"/>
          <w:sz w:val="20"/>
          <w:szCs w:val="20"/>
        </w:rPr>
        <w:t xml:space="preserve">« Quelques réflexions… », </w:t>
      </w:r>
      <w:r w:rsidRPr="0001496F">
        <w:rPr>
          <w:rFonts w:ascii="Times New Roman" w:hAnsi="Times New Roman" w:cs="Times New Roman"/>
          <w:i/>
          <w:sz w:val="20"/>
          <w:szCs w:val="20"/>
        </w:rPr>
        <w:t xml:space="preserve">op. </w:t>
      </w:r>
      <w:proofErr w:type="gramStart"/>
      <w:r w:rsidRPr="0001496F">
        <w:rPr>
          <w:rFonts w:ascii="Times New Roman" w:hAnsi="Times New Roman" w:cs="Times New Roman"/>
          <w:i/>
          <w:sz w:val="20"/>
          <w:szCs w:val="20"/>
        </w:rPr>
        <w:t>cit</w:t>
      </w:r>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p. 1101.</w:t>
      </w:r>
    </w:p>
  </w:footnote>
  <w:footnote w:id="72">
    <w:p w14:paraId="3F9BD876"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Loi du 24 février 1921 c</w:t>
      </w:r>
      <w:r w:rsidRPr="0001496F">
        <w:rPr>
          <w:rFonts w:ascii="Times New Roman" w:hAnsi="Times New Roman" w:cs="Times New Roman"/>
          <w:bCs/>
          <w:color w:val="000000"/>
          <w:sz w:val="20"/>
          <w:szCs w:val="20"/>
        </w:rPr>
        <w:t>oncernant le trafic des substances vénéneuses, soporifiques, stupéfiantes, psychotropes, désinfectantes ou antiseptiques et des substances pouvant servir à la fabrication illicite de substances stupéfiantes et psychotropes.</w:t>
      </w:r>
    </w:p>
  </w:footnote>
  <w:footnote w:id="73">
    <w:p w14:paraId="58CBED4C" w14:textId="500E467A"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Sén., 1970-1971, n° 290, p. 5.</w:t>
      </w:r>
    </w:p>
  </w:footnote>
  <w:footnote w:id="74">
    <w:p w14:paraId="5F7AE33A" w14:textId="773B4D75"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Guillain, </w:t>
      </w:r>
      <w:r w:rsidRPr="0001496F">
        <w:rPr>
          <w:rFonts w:ascii="Times New Roman" w:hAnsi="Times New Roman" w:cs="Times New Roman"/>
          <w:i/>
          <w:sz w:val="20"/>
          <w:szCs w:val="20"/>
        </w:rPr>
        <w:t xml:space="preserve">op. </w:t>
      </w:r>
      <w:proofErr w:type="gramStart"/>
      <w:r w:rsidRPr="0001496F">
        <w:rPr>
          <w:rFonts w:ascii="Times New Roman" w:hAnsi="Times New Roman" w:cs="Times New Roman"/>
          <w:i/>
          <w:sz w:val="20"/>
          <w:szCs w:val="20"/>
        </w:rPr>
        <w:t>cit</w:t>
      </w:r>
      <w:proofErr w:type="gramEnd"/>
      <w:r w:rsidRPr="0001496F">
        <w:rPr>
          <w:rFonts w:ascii="Times New Roman" w:hAnsi="Times New Roman" w:cs="Times New Roman"/>
          <w:sz w:val="20"/>
          <w:szCs w:val="20"/>
        </w:rPr>
        <w:t>., p. 285 à 288.</w:t>
      </w:r>
    </w:p>
  </w:footnote>
  <w:footnote w:id="75">
    <w:p w14:paraId="225B72EC" w14:textId="0F73C834"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Gand, 31 janvier 1994, cité par Cass., 26 avril 1994, </w:t>
      </w:r>
      <w:r w:rsidRPr="0001496F">
        <w:rPr>
          <w:rFonts w:ascii="Times New Roman" w:hAnsi="Times New Roman" w:cs="Times New Roman"/>
          <w:i/>
          <w:sz w:val="20"/>
          <w:szCs w:val="20"/>
        </w:rPr>
        <w:t>Pas</w:t>
      </w:r>
      <w:r w:rsidRPr="0001496F">
        <w:rPr>
          <w:rFonts w:ascii="Times New Roman" w:hAnsi="Times New Roman" w:cs="Times New Roman"/>
          <w:sz w:val="20"/>
          <w:szCs w:val="20"/>
        </w:rPr>
        <w:t>., 1994, I, p. 408.</w:t>
      </w:r>
    </w:p>
  </w:footnote>
  <w:footnote w:id="76">
    <w:p w14:paraId="29549A4F" w14:textId="4EB29E3F" w:rsidR="00D13CFE" w:rsidRPr="0001496F" w:rsidRDefault="00D13CFE" w:rsidP="0001496F">
      <w:pPr>
        <w:pStyle w:val="Notedebasdepage"/>
        <w:jc w:val="both"/>
        <w:rPr>
          <w:rFonts w:ascii="Times New Roman" w:eastAsia="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Cass., 20 juin 1977, </w:t>
      </w:r>
      <w:r w:rsidRPr="0001496F">
        <w:rPr>
          <w:rFonts w:ascii="Times New Roman" w:hAnsi="Times New Roman" w:cs="Times New Roman"/>
          <w:i/>
          <w:sz w:val="20"/>
          <w:szCs w:val="20"/>
        </w:rPr>
        <w:t>Pas.,</w:t>
      </w:r>
      <w:r w:rsidRPr="0001496F">
        <w:rPr>
          <w:rFonts w:ascii="Times New Roman" w:hAnsi="Times New Roman" w:cs="Times New Roman"/>
          <w:sz w:val="20"/>
          <w:szCs w:val="20"/>
        </w:rPr>
        <w:t xml:space="preserve"> 1977, I, p. 1070 ; Anvers, 2 décembre 1977, </w:t>
      </w:r>
      <w:r w:rsidRPr="0001496F">
        <w:rPr>
          <w:rFonts w:ascii="Times New Roman" w:hAnsi="Times New Roman" w:cs="Times New Roman"/>
          <w:i/>
          <w:sz w:val="20"/>
          <w:szCs w:val="20"/>
        </w:rPr>
        <w:t>Pas.</w:t>
      </w:r>
      <w:r w:rsidRPr="0001496F">
        <w:rPr>
          <w:rFonts w:ascii="Times New Roman" w:hAnsi="Times New Roman" w:cs="Times New Roman"/>
          <w:sz w:val="20"/>
          <w:szCs w:val="20"/>
        </w:rPr>
        <w:t xml:space="preserve">, 1978, II, p. 46, Cass., 26 avril 1994, </w:t>
      </w:r>
      <w:r w:rsidRPr="0001496F">
        <w:rPr>
          <w:rFonts w:ascii="Times New Roman" w:eastAsia="Times New Roman" w:hAnsi="Times New Roman" w:cs="Times New Roman"/>
          <w:i/>
          <w:color w:val="000000"/>
          <w:sz w:val="20"/>
          <w:szCs w:val="20"/>
          <w:shd w:val="clear" w:color="auto" w:fill="FFFFFF"/>
          <w:lang w:val="fr-BE"/>
        </w:rPr>
        <w:t>Pas</w:t>
      </w:r>
      <w:r w:rsidRPr="0001496F">
        <w:rPr>
          <w:rFonts w:ascii="Times New Roman" w:eastAsia="Times New Roman" w:hAnsi="Times New Roman" w:cs="Times New Roman"/>
          <w:color w:val="000000"/>
          <w:sz w:val="20"/>
          <w:szCs w:val="20"/>
          <w:shd w:val="clear" w:color="auto" w:fill="FFFFFF"/>
          <w:lang w:val="fr-BE"/>
        </w:rPr>
        <w:t xml:space="preserve">. </w:t>
      </w:r>
      <w:r w:rsidRPr="0001496F">
        <w:rPr>
          <w:rFonts w:ascii="Times New Roman" w:eastAsia="Times New Roman" w:hAnsi="Times New Roman" w:cs="Times New Roman"/>
          <w:color w:val="000000"/>
          <w:sz w:val="20"/>
          <w:szCs w:val="20"/>
          <w:shd w:val="clear" w:color="auto" w:fill="FFFFFF"/>
          <w:lang w:val="fr-BE"/>
        </w:rPr>
        <w:t>1994, I, p. 408.</w:t>
      </w:r>
    </w:p>
  </w:footnote>
  <w:footnote w:id="77">
    <w:p w14:paraId="2DB0829F"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Cass., 7 mars 1978, </w:t>
      </w:r>
      <w:r w:rsidRPr="0001496F">
        <w:rPr>
          <w:rFonts w:ascii="Times New Roman" w:hAnsi="Times New Roman" w:cs="Times New Roman"/>
          <w:i/>
          <w:sz w:val="20"/>
          <w:szCs w:val="20"/>
        </w:rPr>
        <w:t>Pas.</w:t>
      </w:r>
      <w:r w:rsidRPr="0001496F">
        <w:rPr>
          <w:rFonts w:ascii="Times New Roman" w:hAnsi="Times New Roman" w:cs="Times New Roman"/>
          <w:sz w:val="20"/>
          <w:szCs w:val="20"/>
        </w:rPr>
        <w:t xml:space="preserve">, 1978, I, p. 765. </w:t>
      </w:r>
    </w:p>
  </w:footnote>
  <w:footnote w:id="78">
    <w:p w14:paraId="678FD0E5"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Anvers, 2 décembre 1977, </w:t>
      </w:r>
      <w:r w:rsidRPr="0001496F">
        <w:rPr>
          <w:rFonts w:ascii="Times New Roman" w:hAnsi="Times New Roman" w:cs="Times New Roman"/>
          <w:i/>
          <w:sz w:val="20"/>
          <w:szCs w:val="20"/>
        </w:rPr>
        <w:t>Pas</w:t>
      </w:r>
      <w:r w:rsidRPr="0001496F">
        <w:rPr>
          <w:rFonts w:ascii="Times New Roman" w:hAnsi="Times New Roman" w:cs="Times New Roman"/>
          <w:sz w:val="20"/>
          <w:szCs w:val="20"/>
        </w:rPr>
        <w:t>., 1978, II, p. 46.</w:t>
      </w:r>
    </w:p>
  </w:footnote>
  <w:footnote w:id="79">
    <w:p w14:paraId="134DD7CE" w14:textId="062BD0C4"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Cass., 18 janvier 2017, n°P.16.1128., </w:t>
      </w:r>
      <w:r w:rsidRPr="0001496F">
        <w:rPr>
          <w:rFonts w:ascii="Times New Roman" w:hAnsi="Times New Roman" w:cs="Times New Roman"/>
          <w:sz w:val="20"/>
          <w:szCs w:val="20"/>
          <w:lang w:val="fr-BE"/>
        </w:rPr>
        <w:t xml:space="preserve">concl. </w:t>
      </w:r>
      <w:r w:rsidRPr="0001496F">
        <w:rPr>
          <w:rFonts w:ascii="Times New Roman" w:hAnsi="Times New Roman" w:cs="Times New Roman"/>
          <w:sz w:val="20"/>
          <w:szCs w:val="20"/>
          <w:lang w:val="fr-BE"/>
        </w:rPr>
        <w:t>av. gén. N. de Brauwere</w:t>
      </w:r>
      <w:r w:rsidRPr="0001496F">
        <w:rPr>
          <w:rFonts w:ascii="Times New Roman" w:hAnsi="Times New Roman" w:cs="Times New Roman"/>
          <w:sz w:val="20"/>
          <w:szCs w:val="20"/>
        </w:rPr>
        <w:t xml:space="preserve"> (disponible sur Juridat).</w:t>
      </w:r>
    </w:p>
  </w:footnote>
  <w:footnote w:id="80">
    <w:p w14:paraId="2C5CC1EB" w14:textId="7AF44A71" w:rsidR="00D13CFE" w:rsidRPr="0001496F" w:rsidRDefault="00D13CFE" w:rsidP="0001496F">
      <w:pPr>
        <w:pStyle w:val="Notedebasdepage"/>
        <w:jc w:val="both"/>
        <w:rPr>
          <w:rFonts w:ascii="Times New Roman" w:hAnsi="Times New Roman" w:cs="Times New Roman"/>
          <w:color w:val="FF00FF"/>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Bruxelles, 14 octobre 2008, </w:t>
      </w:r>
      <w:r w:rsidRPr="0001496F">
        <w:rPr>
          <w:rFonts w:ascii="Times New Roman" w:hAnsi="Times New Roman" w:cs="Times New Roman"/>
          <w:i/>
          <w:sz w:val="20"/>
          <w:szCs w:val="20"/>
        </w:rPr>
        <w:t>T. Strafr</w:t>
      </w:r>
      <w:r w:rsidRPr="0001496F">
        <w:rPr>
          <w:rFonts w:ascii="Times New Roman" w:hAnsi="Times New Roman" w:cs="Times New Roman"/>
          <w:sz w:val="20"/>
          <w:szCs w:val="20"/>
        </w:rPr>
        <w:t xml:space="preserve">., 2009, p. 318 et note ; Cass., 8 septembre 1987, </w:t>
      </w:r>
      <w:r w:rsidRPr="0001496F">
        <w:rPr>
          <w:rFonts w:ascii="Times New Roman" w:hAnsi="Times New Roman" w:cs="Times New Roman"/>
          <w:i/>
          <w:sz w:val="20"/>
          <w:szCs w:val="20"/>
        </w:rPr>
        <w:t>Pas</w:t>
      </w:r>
      <w:r w:rsidRPr="0001496F">
        <w:rPr>
          <w:rFonts w:ascii="Times New Roman" w:hAnsi="Times New Roman" w:cs="Times New Roman"/>
          <w:sz w:val="20"/>
          <w:szCs w:val="20"/>
        </w:rPr>
        <w:t xml:space="preserve">., 1988, I, p. 25 ; Cass., 8 décembre 1992, </w:t>
      </w:r>
      <w:r w:rsidRPr="0001496F">
        <w:rPr>
          <w:rFonts w:ascii="Times New Roman" w:hAnsi="Times New Roman" w:cs="Times New Roman"/>
          <w:i/>
          <w:sz w:val="20"/>
          <w:szCs w:val="20"/>
        </w:rPr>
        <w:t>Pas</w:t>
      </w:r>
      <w:r w:rsidRPr="0001496F">
        <w:rPr>
          <w:rFonts w:ascii="Times New Roman" w:hAnsi="Times New Roman" w:cs="Times New Roman"/>
          <w:sz w:val="20"/>
          <w:szCs w:val="20"/>
        </w:rPr>
        <w:t xml:space="preserve">., 1992, I, p. 1354. </w:t>
      </w:r>
    </w:p>
  </w:footnote>
  <w:footnote w:id="81">
    <w:p w14:paraId="7D88242B"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Cass., 8 février 1984, </w:t>
      </w:r>
      <w:r w:rsidRPr="0001496F">
        <w:rPr>
          <w:rFonts w:ascii="Times New Roman" w:hAnsi="Times New Roman" w:cs="Times New Roman"/>
          <w:i/>
          <w:sz w:val="20"/>
          <w:szCs w:val="20"/>
        </w:rPr>
        <w:t>Rev. dr. pén.,</w:t>
      </w:r>
      <w:r w:rsidRPr="0001496F">
        <w:rPr>
          <w:rFonts w:ascii="Times New Roman" w:hAnsi="Times New Roman" w:cs="Times New Roman"/>
          <w:sz w:val="20"/>
          <w:szCs w:val="20"/>
        </w:rPr>
        <w:t xml:space="preserve"> 1984, p. 598.</w:t>
      </w:r>
    </w:p>
  </w:footnote>
  <w:footnote w:id="82">
    <w:p w14:paraId="6AE0709E"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Anvers, 7 février 2001, </w:t>
      </w:r>
      <w:r w:rsidRPr="0001496F">
        <w:rPr>
          <w:rFonts w:ascii="Times New Roman" w:hAnsi="Times New Roman" w:cs="Times New Roman"/>
          <w:i/>
          <w:sz w:val="20"/>
          <w:szCs w:val="20"/>
        </w:rPr>
        <w:t>Vigiles</w:t>
      </w:r>
      <w:r w:rsidRPr="0001496F">
        <w:rPr>
          <w:rFonts w:ascii="Times New Roman" w:hAnsi="Times New Roman" w:cs="Times New Roman"/>
          <w:sz w:val="20"/>
          <w:szCs w:val="20"/>
        </w:rPr>
        <w:t xml:space="preserve">, 2001, p. 190 et note F. </w:t>
      </w:r>
      <w:r w:rsidRPr="0001496F">
        <w:rPr>
          <w:rFonts w:ascii="Times New Roman" w:hAnsi="Times New Roman" w:cs="Times New Roman"/>
          <w:smallCaps/>
          <w:sz w:val="20"/>
          <w:szCs w:val="20"/>
        </w:rPr>
        <w:t>V</w:t>
      </w:r>
      <w:r w:rsidRPr="0001496F">
        <w:rPr>
          <w:rFonts w:ascii="Times New Roman" w:hAnsi="Times New Roman" w:cs="Times New Roman"/>
          <w:sz w:val="20"/>
          <w:szCs w:val="20"/>
        </w:rPr>
        <w:t>erspeelt, « Les exploitants de dancing et les stupéfiants ».</w:t>
      </w:r>
    </w:p>
  </w:footnote>
  <w:footnote w:id="83">
    <w:p w14:paraId="3F4D45EC" w14:textId="77777777" w:rsidR="00D13CFE" w:rsidRPr="0001496F" w:rsidRDefault="00D13CFE" w:rsidP="0001496F">
      <w:pPr>
        <w:pStyle w:val="Notedebasdepage"/>
        <w:jc w:val="both"/>
        <w:rPr>
          <w:rFonts w:ascii="Times New Roman" w:eastAsia="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Cass., 7 mars 1978, </w:t>
      </w:r>
      <w:r w:rsidRPr="0001496F">
        <w:rPr>
          <w:rFonts w:ascii="Times New Roman" w:hAnsi="Times New Roman" w:cs="Times New Roman"/>
          <w:i/>
          <w:sz w:val="20"/>
          <w:szCs w:val="20"/>
        </w:rPr>
        <w:t>Pas.</w:t>
      </w:r>
      <w:r w:rsidRPr="0001496F">
        <w:rPr>
          <w:rFonts w:ascii="Times New Roman" w:hAnsi="Times New Roman" w:cs="Times New Roman"/>
          <w:sz w:val="20"/>
          <w:szCs w:val="20"/>
        </w:rPr>
        <w:t>, 1978, I, p. 766.</w:t>
      </w:r>
    </w:p>
  </w:footnote>
  <w:footnote w:id="84">
    <w:p w14:paraId="12805790" w14:textId="77777777"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 xml:space="preserve">Cass., 24 février 1998, </w:t>
      </w:r>
      <w:r w:rsidRPr="0001496F">
        <w:rPr>
          <w:rFonts w:ascii="Times New Roman" w:hAnsi="Times New Roman" w:cs="Times New Roman"/>
          <w:i/>
          <w:iCs/>
          <w:sz w:val="20"/>
          <w:szCs w:val="20"/>
          <w:lang w:val="fr-BE"/>
        </w:rPr>
        <w:t>Pas.</w:t>
      </w:r>
      <w:r w:rsidRPr="0001496F">
        <w:rPr>
          <w:rFonts w:ascii="Times New Roman" w:hAnsi="Times New Roman" w:cs="Times New Roman"/>
          <w:sz w:val="20"/>
          <w:szCs w:val="20"/>
          <w:lang w:val="fr-BE"/>
        </w:rPr>
        <w:t>, 1998, I, p. 106.</w:t>
      </w:r>
    </w:p>
  </w:footnote>
  <w:footnote w:id="85">
    <w:p w14:paraId="60ABE735"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Corr. Liège, 13 novembre 1981, </w:t>
      </w:r>
      <w:r w:rsidRPr="0001496F">
        <w:rPr>
          <w:rFonts w:ascii="Times New Roman" w:hAnsi="Times New Roman" w:cs="Times New Roman"/>
          <w:i/>
          <w:sz w:val="20"/>
          <w:szCs w:val="20"/>
        </w:rPr>
        <w:t>J.L.</w:t>
      </w:r>
      <w:r w:rsidRPr="0001496F">
        <w:rPr>
          <w:rFonts w:ascii="Times New Roman" w:hAnsi="Times New Roman" w:cs="Times New Roman"/>
          <w:sz w:val="20"/>
          <w:szCs w:val="20"/>
        </w:rPr>
        <w:t>, 1982, p. 317.</w:t>
      </w:r>
    </w:p>
  </w:footnote>
  <w:footnote w:id="86">
    <w:p w14:paraId="3DD1C96D"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Bruxelles, 16 avril 1997, </w:t>
      </w:r>
      <w:r w:rsidRPr="0001496F">
        <w:rPr>
          <w:rFonts w:ascii="Times New Roman" w:hAnsi="Times New Roman" w:cs="Times New Roman"/>
          <w:i/>
          <w:sz w:val="20"/>
          <w:szCs w:val="20"/>
        </w:rPr>
        <w:t>R.W</w:t>
      </w:r>
      <w:r w:rsidRPr="0001496F">
        <w:rPr>
          <w:rFonts w:ascii="Times New Roman" w:hAnsi="Times New Roman" w:cs="Times New Roman"/>
          <w:sz w:val="20"/>
          <w:szCs w:val="20"/>
        </w:rPr>
        <w:t xml:space="preserve">., 1997-1998, p. 1506 et note W. </w:t>
      </w:r>
      <w:r w:rsidRPr="0001496F">
        <w:rPr>
          <w:rFonts w:ascii="Times New Roman" w:hAnsi="Times New Roman" w:cs="Times New Roman"/>
          <w:smallCaps/>
          <w:sz w:val="20"/>
          <w:szCs w:val="20"/>
        </w:rPr>
        <w:t>M</w:t>
      </w:r>
      <w:r w:rsidRPr="0001496F">
        <w:rPr>
          <w:rFonts w:ascii="Times New Roman" w:hAnsi="Times New Roman" w:cs="Times New Roman"/>
          <w:sz w:val="20"/>
          <w:szCs w:val="20"/>
        </w:rPr>
        <w:t>ahieu</w:t>
      </w:r>
      <w:r w:rsidRPr="0001496F">
        <w:rPr>
          <w:rFonts w:ascii="Times New Roman" w:hAnsi="Times New Roman" w:cs="Times New Roman"/>
          <w:smallCaps/>
          <w:sz w:val="20"/>
          <w:szCs w:val="20"/>
        </w:rPr>
        <w:t>.</w:t>
      </w:r>
    </w:p>
  </w:footnote>
  <w:footnote w:id="87">
    <w:p w14:paraId="34292707"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Cass., 14 septembre 1982, </w:t>
      </w:r>
      <w:r w:rsidRPr="0001496F">
        <w:rPr>
          <w:rFonts w:ascii="Times New Roman" w:hAnsi="Times New Roman" w:cs="Times New Roman"/>
          <w:i/>
          <w:sz w:val="20"/>
          <w:szCs w:val="20"/>
        </w:rPr>
        <w:t>Rev. dr. pén.</w:t>
      </w:r>
      <w:r w:rsidRPr="0001496F">
        <w:rPr>
          <w:rFonts w:ascii="Times New Roman" w:hAnsi="Times New Roman" w:cs="Times New Roman"/>
          <w:sz w:val="20"/>
          <w:szCs w:val="20"/>
        </w:rPr>
        <w:t>, 1983, p. 385.</w:t>
      </w:r>
    </w:p>
  </w:footnote>
  <w:footnote w:id="88">
    <w:p w14:paraId="29CAF583"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Cass., 7 mars 1978, </w:t>
      </w:r>
      <w:r w:rsidRPr="0001496F">
        <w:rPr>
          <w:rFonts w:ascii="Times New Roman" w:hAnsi="Times New Roman" w:cs="Times New Roman"/>
          <w:i/>
          <w:sz w:val="20"/>
          <w:szCs w:val="20"/>
        </w:rPr>
        <w:t>Pas.</w:t>
      </w:r>
      <w:r w:rsidRPr="0001496F">
        <w:rPr>
          <w:rFonts w:ascii="Times New Roman" w:hAnsi="Times New Roman" w:cs="Times New Roman"/>
          <w:sz w:val="20"/>
          <w:szCs w:val="20"/>
        </w:rPr>
        <w:t>, 1978, I, p. 766.</w:t>
      </w:r>
    </w:p>
  </w:footnote>
  <w:footnote w:id="89">
    <w:p w14:paraId="6A395E61" w14:textId="3A0B0D42"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fr-BE"/>
        </w:rPr>
        <w:t xml:space="preserve"> </w:t>
      </w:r>
      <w:r w:rsidRPr="0001496F">
        <w:rPr>
          <w:rFonts w:ascii="Times New Roman" w:hAnsi="Times New Roman" w:cs="Times New Roman"/>
          <w:sz w:val="20"/>
          <w:szCs w:val="20"/>
          <w:lang w:val="fr-BE"/>
        </w:rPr>
        <w:t xml:space="preserve">R. </w:t>
      </w:r>
      <w:r w:rsidRPr="0001496F">
        <w:rPr>
          <w:rFonts w:ascii="Times New Roman" w:hAnsi="Times New Roman" w:cs="Times New Roman"/>
          <w:smallCaps/>
          <w:sz w:val="20"/>
          <w:szCs w:val="20"/>
          <w:lang w:val="fr-BE"/>
        </w:rPr>
        <w:t>L</w:t>
      </w:r>
      <w:r w:rsidRPr="0001496F">
        <w:rPr>
          <w:rFonts w:ascii="Times New Roman" w:hAnsi="Times New Roman" w:cs="Times New Roman"/>
          <w:sz w:val="20"/>
          <w:szCs w:val="20"/>
          <w:lang w:val="fr-BE"/>
        </w:rPr>
        <w:t xml:space="preserve">allemand, </w:t>
      </w:r>
      <w:r w:rsidRPr="0001496F">
        <w:rPr>
          <w:rFonts w:ascii="Times New Roman" w:hAnsi="Times New Roman" w:cs="Times New Roman"/>
          <w:sz w:val="20"/>
          <w:szCs w:val="20"/>
        </w:rPr>
        <w:t xml:space="preserve">« Les aspects légaux et idéologiques de la problématique des drogues. ‘La drogue contre le droit moderne ?’ », </w:t>
      </w:r>
      <w:r w:rsidRPr="0001496F">
        <w:rPr>
          <w:rFonts w:ascii="Times New Roman" w:hAnsi="Times New Roman" w:cs="Times New Roman"/>
          <w:i/>
          <w:sz w:val="20"/>
          <w:szCs w:val="20"/>
        </w:rPr>
        <w:t>in Drogues et Prisons</w:t>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Les Dossiers de la Revue de droit pénal et de criminologie</w:t>
      </w:r>
      <w:r w:rsidRPr="0001496F">
        <w:rPr>
          <w:rFonts w:ascii="Times New Roman" w:hAnsi="Times New Roman" w:cs="Times New Roman"/>
          <w:sz w:val="20"/>
          <w:szCs w:val="20"/>
        </w:rPr>
        <w:t>, La Charte, 1995,</w:t>
      </w:r>
      <w:r w:rsidRPr="0001496F">
        <w:rPr>
          <w:rFonts w:ascii="Times New Roman" w:hAnsi="Times New Roman" w:cs="Times New Roman"/>
          <w:sz w:val="20"/>
          <w:szCs w:val="20"/>
          <w:lang w:val="fr-BE"/>
        </w:rPr>
        <w:t xml:space="preserve"> p. </w:t>
      </w:r>
      <w:proofErr w:type="gramStart"/>
      <w:r w:rsidRPr="0001496F">
        <w:rPr>
          <w:rFonts w:ascii="Times New Roman" w:hAnsi="Times New Roman" w:cs="Times New Roman"/>
          <w:sz w:val="20"/>
          <w:szCs w:val="20"/>
          <w:lang w:val="fr-BE"/>
        </w:rPr>
        <w:t>10;</w:t>
      </w:r>
      <w:proofErr w:type="gramEnd"/>
      <w:r w:rsidRPr="0001496F">
        <w:rPr>
          <w:rFonts w:ascii="Times New Roman" w:hAnsi="Times New Roman" w:cs="Times New Roman"/>
          <w:sz w:val="20"/>
          <w:szCs w:val="20"/>
          <w:lang w:val="fr-BE"/>
        </w:rPr>
        <w:t xml:space="preserve"> Ch. Guillain, </w:t>
      </w:r>
      <w:r w:rsidRPr="0001496F">
        <w:rPr>
          <w:rFonts w:ascii="Times New Roman" w:hAnsi="Times New Roman" w:cs="Times New Roman"/>
          <w:i/>
          <w:sz w:val="20"/>
          <w:szCs w:val="20"/>
          <w:lang w:val="fr-BE"/>
        </w:rPr>
        <w:t>op. cit</w:t>
      </w:r>
      <w:r w:rsidRPr="0001496F">
        <w:rPr>
          <w:rFonts w:ascii="Times New Roman" w:hAnsi="Times New Roman" w:cs="Times New Roman"/>
          <w:sz w:val="20"/>
          <w:szCs w:val="20"/>
          <w:lang w:val="fr-BE"/>
        </w:rPr>
        <w:t>., p. 288 à 290.</w:t>
      </w:r>
    </w:p>
  </w:footnote>
  <w:footnote w:id="90">
    <w:p w14:paraId="35E6AD7E"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 </w:t>
      </w:r>
      <w:r w:rsidRPr="0001496F">
        <w:rPr>
          <w:rFonts w:ascii="Times New Roman" w:hAnsi="Times New Roman" w:cs="Times New Roman"/>
          <w:smallCaps/>
          <w:sz w:val="20"/>
          <w:szCs w:val="20"/>
        </w:rPr>
        <w:t>P</w:t>
      </w:r>
      <w:r w:rsidRPr="0001496F">
        <w:rPr>
          <w:rFonts w:ascii="Times New Roman" w:hAnsi="Times New Roman" w:cs="Times New Roman"/>
          <w:sz w:val="20"/>
          <w:szCs w:val="20"/>
        </w:rPr>
        <w:t xml:space="preserve">reumont, </w:t>
      </w:r>
      <w:r w:rsidRPr="0001496F">
        <w:rPr>
          <w:rFonts w:ascii="Times New Roman" w:hAnsi="Times New Roman" w:cs="Times New Roman"/>
          <w:i/>
          <w:sz w:val="20"/>
          <w:szCs w:val="20"/>
        </w:rPr>
        <w:t xml:space="preserve">op. </w:t>
      </w:r>
      <w:proofErr w:type="gramStart"/>
      <w:r w:rsidRPr="0001496F">
        <w:rPr>
          <w:rFonts w:ascii="Times New Roman" w:hAnsi="Times New Roman" w:cs="Times New Roman"/>
          <w:i/>
          <w:sz w:val="20"/>
          <w:szCs w:val="20"/>
        </w:rPr>
        <w:t>cit</w:t>
      </w:r>
      <w:proofErr w:type="gramEnd"/>
      <w:r w:rsidRPr="0001496F">
        <w:rPr>
          <w:rFonts w:ascii="Times New Roman" w:hAnsi="Times New Roman" w:cs="Times New Roman"/>
          <w:sz w:val="20"/>
          <w:szCs w:val="20"/>
        </w:rPr>
        <w:t>., p. 514.</w:t>
      </w:r>
    </w:p>
  </w:footnote>
  <w:footnote w:id="91">
    <w:p w14:paraId="6D9A9715" w14:textId="77777777" w:rsidR="00D13CFE" w:rsidRPr="0001496F" w:rsidRDefault="00D13CFE" w:rsidP="0001496F">
      <w:pPr>
        <w:pStyle w:val="Notedebasdepage"/>
        <w:jc w:val="both"/>
        <w:rPr>
          <w:rFonts w:ascii="Times New Roman" w:hAnsi="Times New Roman" w:cs="Times New Roman"/>
          <w:sz w:val="20"/>
          <w:szCs w:val="20"/>
          <w:lang w:val="en-US"/>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 </w:t>
      </w:r>
      <w:r w:rsidRPr="0001496F">
        <w:rPr>
          <w:rFonts w:ascii="Times New Roman" w:hAnsi="Times New Roman" w:cs="Times New Roman"/>
          <w:smallCaps/>
          <w:sz w:val="20"/>
          <w:szCs w:val="20"/>
        </w:rPr>
        <w:t>N</w:t>
      </w:r>
      <w:r w:rsidRPr="0001496F">
        <w:rPr>
          <w:rFonts w:ascii="Times New Roman" w:hAnsi="Times New Roman" w:cs="Times New Roman"/>
          <w:sz w:val="20"/>
          <w:szCs w:val="20"/>
        </w:rPr>
        <w:t xml:space="preserve">ève, note sous Corr. Liège, 13 décembre 1989, </w:t>
      </w:r>
      <w:r w:rsidRPr="0001496F">
        <w:rPr>
          <w:rFonts w:ascii="Times New Roman" w:hAnsi="Times New Roman" w:cs="Times New Roman"/>
          <w:i/>
          <w:sz w:val="20"/>
          <w:szCs w:val="20"/>
        </w:rPr>
        <w:t>J.L.M.B.</w:t>
      </w:r>
      <w:r w:rsidRPr="0001496F">
        <w:rPr>
          <w:rFonts w:ascii="Times New Roman" w:hAnsi="Times New Roman" w:cs="Times New Roman"/>
          <w:sz w:val="20"/>
          <w:szCs w:val="20"/>
        </w:rPr>
        <w:t xml:space="preserve">, 1991, p. 247. </w:t>
      </w:r>
      <w:r w:rsidRPr="0001496F">
        <w:rPr>
          <w:rFonts w:ascii="Times New Roman" w:hAnsi="Times New Roman" w:cs="Times New Roman"/>
          <w:sz w:val="20"/>
          <w:szCs w:val="20"/>
          <w:lang w:val="en-US"/>
        </w:rPr>
        <w:t xml:space="preserve">Voy., dans le même sens, E. </w:t>
      </w:r>
      <w:r w:rsidRPr="0001496F">
        <w:rPr>
          <w:rFonts w:ascii="Times New Roman" w:hAnsi="Times New Roman" w:cs="Times New Roman"/>
          <w:smallCaps/>
          <w:sz w:val="20"/>
          <w:szCs w:val="20"/>
          <w:lang w:val="en-US"/>
        </w:rPr>
        <w:t>B</w:t>
      </w:r>
      <w:r w:rsidRPr="0001496F">
        <w:rPr>
          <w:rFonts w:ascii="Times New Roman" w:hAnsi="Times New Roman" w:cs="Times New Roman"/>
          <w:sz w:val="20"/>
          <w:szCs w:val="20"/>
          <w:lang w:val="en-US"/>
        </w:rPr>
        <w:t>outmans</w:t>
      </w:r>
      <w:r w:rsidRPr="0001496F">
        <w:rPr>
          <w:rFonts w:ascii="Times New Roman" w:hAnsi="Times New Roman" w:cs="Times New Roman"/>
          <w:smallCaps/>
          <w:sz w:val="20"/>
          <w:szCs w:val="20"/>
          <w:lang w:val="en-US"/>
        </w:rPr>
        <w:t>,</w:t>
      </w:r>
      <w:r w:rsidRPr="0001496F">
        <w:rPr>
          <w:rFonts w:ascii="Times New Roman" w:hAnsi="Times New Roman" w:cs="Times New Roman"/>
          <w:sz w:val="20"/>
          <w:szCs w:val="20"/>
          <w:lang w:val="en-US"/>
        </w:rPr>
        <w:t xml:space="preserve"> « The situation in Belgium », </w:t>
      </w:r>
      <w:r w:rsidRPr="0001496F">
        <w:rPr>
          <w:rFonts w:ascii="Times New Roman" w:hAnsi="Times New Roman" w:cs="Times New Roman"/>
          <w:i/>
          <w:sz w:val="20"/>
          <w:szCs w:val="20"/>
          <w:lang w:val="en-US"/>
        </w:rPr>
        <w:t xml:space="preserve">in e.a. </w:t>
      </w:r>
      <w:r w:rsidRPr="0001496F">
        <w:rPr>
          <w:rFonts w:ascii="Times New Roman" w:hAnsi="Times New Roman" w:cs="Times New Roman"/>
          <w:smallCaps/>
          <w:sz w:val="20"/>
          <w:szCs w:val="20"/>
          <w:lang w:val="en-US"/>
        </w:rPr>
        <w:t>A</w:t>
      </w:r>
      <w:r w:rsidRPr="0001496F">
        <w:rPr>
          <w:rFonts w:ascii="Times New Roman" w:hAnsi="Times New Roman" w:cs="Times New Roman"/>
          <w:sz w:val="20"/>
          <w:szCs w:val="20"/>
          <w:lang w:val="en-US"/>
        </w:rPr>
        <w:t>lbrecht</w:t>
      </w:r>
      <w:r w:rsidRPr="0001496F">
        <w:rPr>
          <w:rFonts w:ascii="Times New Roman" w:hAnsi="Times New Roman" w:cs="Times New Roman"/>
          <w:smallCaps/>
          <w:sz w:val="20"/>
          <w:szCs w:val="20"/>
          <w:lang w:val="en-US"/>
        </w:rPr>
        <w:t>, H.-J</w:t>
      </w:r>
      <w:r w:rsidRPr="0001496F">
        <w:rPr>
          <w:rFonts w:ascii="Times New Roman" w:hAnsi="Times New Roman" w:cs="Times New Roman"/>
          <w:sz w:val="20"/>
          <w:szCs w:val="20"/>
          <w:lang w:val="en-US"/>
        </w:rPr>
        <w:t>. (Ed.)</w:t>
      </w:r>
      <w:r w:rsidRPr="0001496F">
        <w:rPr>
          <w:rFonts w:ascii="Times New Roman" w:hAnsi="Times New Roman" w:cs="Times New Roman"/>
          <w:i/>
          <w:sz w:val="20"/>
          <w:szCs w:val="20"/>
          <w:lang w:val="en-US"/>
        </w:rPr>
        <w:t>, Drugs Policies in Western Europe</w:t>
      </w:r>
      <w:r w:rsidRPr="0001496F">
        <w:rPr>
          <w:rFonts w:ascii="Times New Roman" w:hAnsi="Times New Roman" w:cs="Times New Roman"/>
          <w:sz w:val="20"/>
          <w:szCs w:val="20"/>
          <w:lang w:val="en-US"/>
        </w:rPr>
        <w:t xml:space="preserve">, Freiburg, </w:t>
      </w:r>
      <w:hyperlink r:id="rId1" w:history="1">
        <w:r w:rsidRPr="0001496F">
          <w:rPr>
            <w:rFonts w:ascii="Times New Roman" w:hAnsi="Times New Roman" w:cs="Times New Roman"/>
            <w:sz w:val="20"/>
            <w:szCs w:val="20"/>
            <w:lang w:val="en-US"/>
          </w:rPr>
          <w:t xml:space="preserve">Max Planck </w:t>
        </w:r>
        <w:proofErr w:type="spellStart"/>
        <w:r w:rsidRPr="0001496F">
          <w:rPr>
            <w:rFonts w:ascii="Times New Roman" w:hAnsi="Times New Roman" w:cs="Times New Roman"/>
            <w:sz w:val="20"/>
            <w:szCs w:val="20"/>
            <w:lang w:val="en-US"/>
          </w:rPr>
          <w:t>Institut</w:t>
        </w:r>
        <w:proofErr w:type="spellEnd"/>
      </w:hyperlink>
      <w:r w:rsidRPr="0001496F">
        <w:rPr>
          <w:rFonts w:ascii="Times New Roman" w:hAnsi="Times New Roman" w:cs="Times New Roman"/>
          <w:sz w:val="20"/>
          <w:szCs w:val="20"/>
          <w:lang w:val="en-US"/>
        </w:rPr>
        <w:t xml:space="preserve">, 1989, p. 96 : « The latter clause has contributed very little to the dismantlement of major narcotic gangs, but it certainly has allowed the police to arrest lots of drug users and </w:t>
      </w:r>
      <w:proofErr w:type="spellStart"/>
      <w:r w:rsidRPr="0001496F">
        <w:rPr>
          <w:rFonts w:ascii="Times New Roman" w:hAnsi="Times New Roman" w:cs="Times New Roman"/>
          <w:sz w:val="20"/>
          <w:szCs w:val="20"/>
          <w:lang w:val="en-US"/>
        </w:rPr>
        <w:t>sreet</w:t>
      </w:r>
      <w:proofErr w:type="spellEnd"/>
      <w:r w:rsidRPr="0001496F">
        <w:rPr>
          <w:rFonts w:ascii="Times New Roman" w:hAnsi="Times New Roman" w:cs="Times New Roman"/>
          <w:sz w:val="20"/>
          <w:szCs w:val="20"/>
          <w:lang w:val="en-US"/>
        </w:rPr>
        <w:t xml:space="preserve"> pushers ».</w:t>
      </w:r>
    </w:p>
  </w:footnote>
  <w:footnote w:id="92">
    <w:p w14:paraId="5EA2F870" w14:textId="2D5A1AEB"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 </w:t>
      </w:r>
      <w:proofErr w:type="spellStart"/>
      <w:r w:rsidRPr="0001496F">
        <w:rPr>
          <w:rFonts w:ascii="Times New Roman" w:hAnsi="Times New Roman" w:cs="Times New Roman"/>
          <w:smallCaps/>
          <w:sz w:val="20"/>
          <w:szCs w:val="20"/>
        </w:rPr>
        <w:t>P</w:t>
      </w:r>
      <w:r w:rsidRPr="0001496F">
        <w:rPr>
          <w:rFonts w:ascii="Times New Roman" w:hAnsi="Times New Roman" w:cs="Times New Roman"/>
          <w:sz w:val="20"/>
          <w:szCs w:val="20"/>
        </w:rPr>
        <w:t>reumont</w:t>
      </w:r>
      <w:proofErr w:type="spellEnd"/>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sz w:val="20"/>
          <w:szCs w:val="20"/>
        </w:rPr>
        <w:t>., p. 514. Les travaux préparatoires de la loi du 22 juillet 2018 expliquent ce faible recours des causes d’excuse d’une manière partiellement différente : l’absence de négociation préalable entre le ministère public et le repenti ; des garanties insuffisantes pour le repenti qu’il bénéficiera du privilège accordé ; des conditions parfois trop strictes en matière de dénonciation ; l’absence de mesures de protection suffisantes pour assurer la sécurité du repenti et de ses proches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12).</w:t>
      </w:r>
    </w:p>
  </w:footnote>
  <w:footnote w:id="93">
    <w:p w14:paraId="2D21CB9D"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Cass., 9 octobre 1990, </w:t>
      </w:r>
      <w:r w:rsidRPr="0001496F">
        <w:rPr>
          <w:rFonts w:ascii="Times New Roman" w:hAnsi="Times New Roman" w:cs="Times New Roman"/>
          <w:i/>
          <w:iCs/>
          <w:sz w:val="20"/>
          <w:szCs w:val="20"/>
        </w:rPr>
        <w:t>Pas</w:t>
      </w:r>
      <w:r w:rsidRPr="0001496F">
        <w:rPr>
          <w:rFonts w:ascii="Times New Roman" w:hAnsi="Times New Roman" w:cs="Times New Roman"/>
          <w:sz w:val="20"/>
          <w:szCs w:val="20"/>
        </w:rPr>
        <w:t>., 1991, I, p. 139.</w:t>
      </w:r>
    </w:p>
  </w:footnote>
  <w:footnote w:id="94">
    <w:p w14:paraId="048D013C"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Par opposition au système de la preuve légale dans lequel la force probante des preuves est fixée par la loi.</w:t>
      </w:r>
    </w:p>
  </w:footnote>
  <w:footnote w:id="95">
    <w:p w14:paraId="3074FAF1" w14:textId="570B1C26"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Cass., 30 mars 2011, </w:t>
      </w:r>
      <w:r w:rsidRPr="0001496F">
        <w:rPr>
          <w:rFonts w:ascii="Times New Roman" w:hAnsi="Times New Roman" w:cs="Times New Roman"/>
          <w:i/>
          <w:sz w:val="20"/>
          <w:szCs w:val="20"/>
        </w:rPr>
        <w:t>J.L.M.B</w:t>
      </w:r>
      <w:r w:rsidRPr="0001496F">
        <w:rPr>
          <w:rFonts w:ascii="Times New Roman" w:hAnsi="Times New Roman" w:cs="Times New Roman"/>
          <w:sz w:val="20"/>
          <w:szCs w:val="20"/>
        </w:rPr>
        <w:t>., 2011, n° 31, p. 1508 et s. et note A. Masset.</w:t>
      </w:r>
    </w:p>
  </w:footnote>
  <w:footnote w:id="96">
    <w:p w14:paraId="12CBC678" w14:textId="4103F001"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proofErr w:type="spellStart"/>
      <w:r w:rsidRPr="0001496F">
        <w:rPr>
          <w:rFonts w:ascii="Times New Roman" w:hAnsi="Times New Roman" w:cs="Times New Roman"/>
          <w:sz w:val="20"/>
          <w:szCs w:val="20"/>
        </w:rPr>
        <w:t>Voy</w:t>
      </w:r>
      <w:proofErr w:type="spellEnd"/>
      <w:r w:rsidRPr="0001496F">
        <w:rPr>
          <w:rFonts w:ascii="Times New Roman" w:hAnsi="Times New Roman" w:cs="Times New Roman"/>
          <w:sz w:val="20"/>
          <w:szCs w:val="20"/>
        </w:rPr>
        <w:t xml:space="preserve">. </w:t>
      </w:r>
      <w:proofErr w:type="gramStart"/>
      <w:r w:rsidRPr="0001496F">
        <w:rPr>
          <w:rFonts w:ascii="Times New Roman" w:hAnsi="Times New Roman" w:cs="Times New Roman"/>
          <w:sz w:val="20"/>
          <w:szCs w:val="20"/>
        </w:rPr>
        <w:t>l’article</w:t>
      </w:r>
      <w:proofErr w:type="gramEnd"/>
      <w:r w:rsidRPr="0001496F">
        <w:rPr>
          <w:rFonts w:ascii="Times New Roman" w:hAnsi="Times New Roman" w:cs="Times New Roman"/>
          <w:sz w:val="20"/>
          <w:szCs w:val="20"/>
        </w:rPr>
        <w:t xml:space="preserve"> 86</w:t>
      </w:r>
      <w:r w:rsidRPr="0001496F">
        <w:rPr>
          <w:rFonts w:ascii="Times New Roman" w:hAnsi="Times New Roman" w:cs="Times New Roman"/>
          <w:i/>
          <w:sz w:val="20"/>
          <w:szCs w:val="20"/>
        </w:rPr>
        <w:t xml:space="preserve">quinquies </w:t>
      </w:r>
      <w:r w:rsidRPr="0001496F">
        <w:rPr>
          <w:rFonts w:ascii="Times New Roman" w:hAnsi="Times New Roman" w:cs="Times New Roman"/>
          <w:sz w:val="20"/>
          <w:szCs w:val="20"/>
        </w:rPr>
        <w:t xml:space="preserve">du C. i. </w:t>
      </w:r>
      <w:proofErr w:type="spellStart"/>
      <w:r w:rsidRPr="0001496F">
        <w:rPr>
          <w:rFonts w:ascii="Times New Roman" w:hAnsi="Times New Roman" w:cs="Times New Roman"/>
          <w:sz w:val="20"/>
          <w:szCs w:val="20"/>
        </w:rPr>
        <w:t>cr</w:t>
      </w:r>
      <w:proofErr w:type="spellEnd"/>
      <w:r w:rsidRPr="0001496F">
        <w:rPr>
          <w:rFonts w:ascii="Times New Roman" w:hAnsi="Times New Roman" w:cs="Times New Roman"/>
          <w:sz w:val="20"/>
          <w:szCs w:val="20"/>
        </w:rPr>
        <w:t>. : « les témoignages qui ont été obtenus en application des articles 86</w:t>
      </w:r>
      <w:r w:rsidRPr="0001496F">
        <w:rPr>
          <w:rFonts w:ascii="Times New Roman" w:hAnsi="Times New Roman" w:cs="Times New Roman"/>
          <w:i/>
          <w:sz w:val="20"/>
          <w:szCs w:val="20"/>
        </w:rPr>
        <w:t xml:space="preserve">bis </w:t>
      </w:r>
      <w:r w:rsidRPr="0001496F">
        <w:rPr>
          <w:rFonts w:ascii="Times New Roman" w:hAnsi="Times New Roman" w:cs="Times New Roman"/>
          <w:sz w:val="20"/>
          <w:szCs w:val="20"/>
        </w:rPr>
        <w:t>et 86</w:t>
      </w:r>
      <w:r w:rsidRPr="0001496F">
        <w:rPr>
          <w:rFonts w:ascii="Times New Roman" w:hAnsi="Times New Roman" w:cs="Times New Roman"/>
          <w:i/>
          <w:sz w:val="20"/>
          <w:szCs w:val="20"/>
        </w:rPr>
        <w:t xml:space="preserve">ter </w:t>
      </w:r>
      <w:r w:rsidRPr="0001496F">
        <w:rPr>
          <w:rFonts w:ascii="Times New Roman" w:hAnsi="Times New Roman" w:cs="Times New Roman"/>
          <w:sz w:val="20"/>
          <w:szCs w:val="20"/>
        </w:rPr>
        <w:t>, ne peuvent être pris en considération que comme preuves d'une infraction visée à l'article 90</w:t>
      </w:r>
      <w:r w:rsidRPr="0001496F">
        <w:rPr>
          <w:rFonts w:ascii="Times New Roman" w:hAnsi="Times New Roman" w:cs="Times New Roman"/>
          <w:i/>
          <w:sz w:val="20"/>
          <w:szCs w:val="20"/>
        </w:rPr>
        <w:t xml:space="preserve">ter </w:t>
      </w:r>
      <w:r w:rsidRPr="0001496F">
        <w:rPr>
          <w:rFonts w:ascii="Times New Roman" w:hAnsi="Times New Roman" w:cs="Times New Roman"/>
          <w:sz w:val="20"/>
          <w:szCs w:val="20"/>
        </w:rPr>
        <w:t>, §§ 2 a 4, ou d'une infraction commise dans le cadre d'une organisation criminelle, visée à l'article 324</w:t>
      </w:r>
      <w:r w:rsidRPr="0001496F">
        <w:rPr>
          <w:rFonts w:ascii="Times New Roman" w:hAnsi="Times New Roman" w:cs="Times New Roman"/>
          <w:i/>
          <w:sz w:val="20"/>
          <w:szCs w:val="20"/>
        </w:rPr>
        <w:t>bis</w:t>
      </w:r>
      <w:r w:rsidRPr="0001496F">
        <w:rPr>
          <w:rFonts w:ascii="Times New Roman" w:hAnsi="Times New Roman" w:cs="Times New Roman"/>
          <w:sz w:val="20"/>
          <w:szCs w:val="20"/>
        </w:rPr>
        <w:t xml:space="preserve"> du Code pénal ».</w:t>
      </w:r>
    </w:p>
  </w:footnote>
  <w:footnote w:id="97">
    <w:p w14:paraId="2E89B80C" w14:textId="37152A8B"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Cass., 25 septembre 2002, </w:t>
      </w:r>
      <w:r w:rsidRPr="0001496F">
        <w:rPr>
          <w:rFonts w:ascii="Times New Roman" w:hAnsi="Times New Roman" w:cs="Times New Roman"/>
          <w:i/>
          <w:iCs/>
          <w:sz w:val="20"/>
          <w:szCs w:val="20"/>
        </w:rPr>
        <w:t>Pas</w:t>
      </w:r>
      <w:r w:rsidRPr="0001496F">
        <w:rPr>
          <w:rFonts w:ascii="Times New Roman" w:hAnsi="Times New Roman" w:cs="Times New Roman"/>
          <w:sz w:val="20"/>
          <w:szCs w:val="20"/>
        </w:rPr>
        <w:t xml:space="preserve">., 2002, p. 1740 ; Cass., 6 novembre 2002, </w:t>
      </w:r>
      <w:r w:rsidRPr="0001496F">
        <w:rPr>
          <w:rFonts w:ascii="Times New Roman" w:hAnsi="Times New Roman" w:cs="Times New Roman"/>
          <w:i/>
          <w:iCs/>
          <w:sz w:val="20"/>
          <w:szCs w:val="20"/>
        </w:rPr>
        <w:t>Pas</w:t>
      </w:r>
      <w:r w:rsidRPr="0001496F">
        <w:rPr>
          <w:rFonts w:ascii="Times New Roman" w:hAnsi="Times New Roman" w:cs="Times New Roman"/>
          <w:sz w:val="20"/>
          <w:szCs w:val="20"/>
        </w:rPr>
        <w:t xml:space="preserve">., 2002, p. 2120. </w:t>
      </w:r>
    </w:p>
  </w:footnote>
  <w:footnote w:id="98">
    <w:p w14:paraId="74665EA7" w14:textId="269D6CD1"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 Assises de Bruxelles, 28 septembre 2010 et 30 septembre 2010 ; Cass., 19 mars 2008, 30 septembre 2009, et 30 mars 2011.</w:t>
      </w:r>
    </w:p>
  </w:footnote>
  <w:footnote w:id="99">
    <w:p w14:paraId="2A51851B" w14:textId="0DA5B10D"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Les </w:t>
      </w:r>
      <w:r w:rsidRPr="0001496F">
        <w:rPr>
          <w:rFonts w:ascii="Times New Roman" w:hAnsi="Times New Roman" w:cs="Times New Roman"/>
          <w:sz w:val="20"/>
          <w:szCs w:val="20"/>
          <w:lang w:eastAsia="ja-JP"/>
        </w:rPr>
        <w:t>prévenus ont fait valoir « qu’une déposition ne peut être prise en considération, dans le cadre du droit à un procès équitable, que si elle émane d’un citoyen soucieux de participer à l’œuvre de justice et non d’une personne qui témoigne par intérêt personnel » (</w:t>
      </w:r>
      <w:r w:rsidRPr="0001496F">
        <w:rPr>
          <w:rFonts w:ascii="Times New Roman" w:hAnsi="Times New Roman" w:cs="Times New Roman"/>
          <w:sz w:val="20"/>
          <w:szCs w:val="20"/>
        </w:rPr>
        <w:t xml:space="preserve">Cass., 30 mars 2011, </w:t>
      </w:r>
      <w:r w:rsidRPr="0001496F">
        <w:rPr>
          <w:rFonts w:ascii="Times New Roman" w:hAnsi="Times New Roman" w:cs="Times New Roman"/>
          <w:i/>
          <w:sz w:val="20"/>
          <w:szCs w:val="20"/>
        </w:rPr>
        <w:t>J.L.M.B</w:t>
      </w:r>
      <w:r w:rsidRPr="0001496F">
        <w:rPr>
          <w:rFonts w:ascii="Times New Roman" w:hAnsi="Times New Roman" w:cs="Times New Roman"/>
          <w:sz w:val="20"/>
          <w:szCs w:val="20"/>
        </w:rPr>
        <w:t>., 2011, n°31, p. 1508 et 1509).</w:t>
      </w:r>
    </w:p>
  </w:footnote>
  <w:footnote w:id="100">
    <w:p w14:paraId="146C16E2" w14:textId="68B59042"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Cass., 30 mars 2011, </w:t>
      </w:r>
      <w:r w:rsidRPr="0001496F">
        <w:rPr>
          <w:rFonts w:ascii="Times New Roman" w:hAnsi="Times New Roman" w:cs="Times New Roman"/>
          <w:i/>
          <w:sz w:val="20"/>
          <w:szCs w:val="20"/>
        </w:rPr>
        <w:t>J.L.M.B</w:t>
      </w:r>
      <w:r w:rsidRPr="0001496F">
        <w:rPr>
          <w:rFonts w:ascii="Times New Roman" w:hAnsi="Times New Roman" w:cs="Times New Roman"/>
          <w:sz w:val="20"/>
          <w:szCs w:val="20"/>
        </w:rPr>
        <w:t>., 2011, n°31, p. 1508, note A. Masset.</w:t>
      </w:r>
    </w:p>
  </w:footnote>
  <w:footnote w:id="101">
    <w:p w14:paraId="5381C504" w14:textId="75498C35" w:rsidR="00D13CFE" w:rsidRPr="0001496F" w:rsidRDefault="00D13CFE" w:rsidP="0001496F">
      <w:pPr>
        <w:pStyle w:val="Notedebasdepage"/>
        <w:jc w:val="both"/>
        <w:rPr>
          <w:rFonts w:ascii="Times New Roman" w:hAnsi="Times New Roman" w:cs="Times New Roman"/>
          <w:sz w:val="20"/>
          <w:szCs w:val="20"/>
          <w:lang w:val="en-US"/>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en-US"/>
        </w:rPr>
        <w:t xml:space="preserve"> </w:t>
      </w:r>
      <w:proofErr w:type="spellStart"/>
      <w:r w:rsidRPr="0001496F">
        <w:rPr>
          <w:rFonts w:ascii="Times New Roman" w:hAnsi="Times New Roman" w:cs="Times New Roman"/>
          <w:i/>
          <w:sz w:val="20"/>
          <w:szCs w:val="20"/>
          <w:lang w:val="en-US"/>
        </w:rPr>
        <w:t>Ibidem</w:t>
      </w:r>
      <w:proofErr w:type="spellEnd"/>
      <w:r w:rsidRPr="0001496F">
        <w:rPr>
          <w:rFonts w:ascii="Times New Roman" w:hAnsi="Times New Roman" w:cs="Times New Roman"/>
          <w:sz w:val="20"/>
          <w:szCs w:val="20"/>
          <w:lang w:val="en-US"/>
        </w:rPr>
        <w:t xml:space="preserve">, p. 1509. </w:t>
      </w:r>
    </w:p>
  </w:footnote>
  <w:footnote w:id="102">
    <w:p w14:paraId="0A2C58F8" w14:textId="6B482A76" w:rsidR="00D13CFE" w:rsidRPr="0001496F" w:rsidRDefault="00D13CFE" w:rsidP="0001496F">
      <w:pPr>
        <w:pStyle w:val="Notedebasdepage"/>
        <w:jc w:val="both"/>
        <w:rPr>
          <w:rFonts w:ascii="Times New Roman" w:hAnsi="Times New Roman" w:cs="Times New Roman"/>
          <w:sz w:val="20"/>
          <w:szCs w:val="20"/>
          <w:lang w:val="en-US"/>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en-US"/>
        </w:rPr>
        <w:t xml:space="preserve"> </w:t>
      </w:r>
      <w:proofErr w:type="spellStart"/>
      <w:r w:rsidRPr="0001496F">
        <w:rPr>
          <w:rFonts w:ascii="Times New Roman" w:hAnsi="Times New Roman" w:cs="Times New Roman"/>
          <w:i/>
          <w:sz w:val="20"/>
          <w:szCs w:val="20"/>
          <w:lang w:val="en-US"/>
        </w:rPr>
        <w:t>Ibidem</w:t>
      </w:r>
      <w:proofErr w:type="spellEnd"/>
      <w:r w:rsidRPr="0001496F">
        <w:rPr>
          <w:rFonts w:ascii="Times New Roman" w:hAnsi="Times New Roman" w:cs="Times New Roman"/>
          <w:sz w:val="20"/>
          <w:szCs w:val="20"/>
          <w:lang w:val="en-US"/>
        </w:rPr>
        <w:t>, p. 1509.</w:t>
      </w:r>
    </w:p>
  </w:footnote>
  <w:footnote w:id="103">
    <w:p w14:paraId="3CBFE222" w14:textId="5A618227" w:rsidR="00D13CFE" w:rsidRPr="0001496F" w:rsidRDefault="00D13CFE" w:rsidP="0001496F">
      <w:pPr>
        <w:pStyle w:val="Notedebasdepage"/>
        <w:jc w:val="both"/>
        <w:rPr>
          <w:rFonts w:ascii="Times New Roman" w:hAnsi="Times New Roman" w:cs="Times New Roman"/>
          <w:sz w:val="20"/>
          <w:szCs w:val="20"/>
          <w:lang w:val="en-US"/>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en-US"/>
        </w:rPr>
        <w:t xml:space="preserve"> </w:t>
      </w:r>
      <w:proofErr w:type="spellStart"/>
      <w:r w:rsidRPr="0001496F">
        <w:rPr>
          <w:rFonts w:ascii="Times New Roman" w:hAnsi="Times New Roman" w:cs="Times New Roman"/>
          <w:i/>
          <w:sz w:val="20"/>
          <w:szCs w:val="20"/>
          <w:lang w:val="en-US"/>
        </w:rPr>
        <w:t>Ibidem</w:t>
      </w:r>
      <w:proofErr w:type="spellEnd"/>
      <w:r w:rsidRPr="0001496F">
        <w:rPr>
          <w:rFonts w:ascii="Times New Roman" w:hAnsi="Times New Roman" w:cs="Times New Roman"/>
          <w:sz w:val="20"/>
          <w:szCs w:val="20"/>
          <w:lang w:val="en-US"/>
        </w:rPr>
        <w:t>, p. 1509.</w:t>
      </w:r>
    </w:p>
  </w:footnote>
  <w:footnote w:id="104">
    <w:p w14:paraId="1CE61854" w14:textId="2925F664"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1510.</w:t>
      </w:r>
    </w:p>
  </w:footnote>
  <w:footnote w:id="105">
    <w:p w14:paraId="11B686D0" w14:textId="13CE3414"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C.E.D.H., 17 janvier 2017, </w:t>
      </w:r>
      <w:proofErr w:type="spellStart"/>
      <w:r w:rsidRPr="0001496F">
        <w:rPr>
          <w:rFonts w:ascii="Times New Roman" w:hAnsi="Times New Roman" w:cs="Times New Roman"/>
          <w:i/>
          <w:sz w:val="20"/>
          <w:szCs w:val="20"/>
        </w:rPr>
        <w:t>Habran</w:t>
      </w:r>
      <w:proofErr w:type="spellEnd"/>
      <w:r w:rsidRPr="0001496F">
        <w:rPr>
          <w:rFonts w:ascii="Times New Roman" w:hAnsi="Times New Roman" w:cs="Times New Roman"/>
          <w:i/>
          <w:sz w:val="20"/>
          <w:szCs w:val="20"/>
        </w:rPr>
        <w:t xml:space="preserve"> et </w:t>
      </w:r>
      <w:proofErr w:type="spellStart"/>
      <w:r w:rsidRPr="0001496F">
        <w:rPr>
          <w:rFonts w:ascii="Times New Roman" w:hAnsi="Times New Roman" w:cs="Times New Roman"/>
          <w:i/>
          <w:sz w:val="20"/>
          <w:szCs w:val="20"/>
        </w:rPr>
        <w:t>Dalem</w:t>
      </w:r>
      <w:proofErr w:type="spellEnd"/>
      <w:r w:rsidRPr="0001496F">
        <w:rPr>
          <w:rFonts w:ascii="Times New Roman" w:hAnsi="Times New Roman" w:cs="Times New Roman"/>
          <w:i/>
          <w:sz w:val="20"/>
          <w:szCs w:val="20"/>
        </w:rPr>
        <w:t xml:space="preserve"> c. Belgique</w:t>
      </w:r>
      <w:r w:rsidRPr="0001496F">
        <w:rPr>
          <w:rFonts w:ascii="Times New Roman" w:hAnsi="Times New Roman" w:cs="Times New Roman"/>
          <w:sz w:val="20"/>
          <w:szCs w:val="20"/>
        </w:rPr>
        <w:t>.</w:t>
      </w:r>
    </w:p>
  </w:footnote>
  <w:footnote w:id="106">
    <w:p w14:paraId="225EA192" w14:textId="73691DEC"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 105.</w:t>
      </w:r>
    </w:p>
  </w:footnote>
  <w:footnote w:id="107">
    <w:p w14:paraId="236926DF" w14:textId="0348051C"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 100.</w:t>
      </w:r>
    </w:p>
  </w:footnote>
  <w:footnote w:id="108">
    <w:p w14:paraId="140501C5" w14:textId="6CDCEBF8"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 103.</w:t>
      </w:r>
    </w:p>
  </w:footnote>
  <w:footnote w:id="109">
    <w:p w14:paraId="1F21A45B" w14:textId="523CAB80"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 101.</w:t>
      </w:r>
    </w:p>
  </w:footnote>
  <w:footnote w:id="110">
    <w:p w14:paraId="68AAFCF7" w14:textId="5D739661"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Nous empruntons cette formule au titre d’une contribution déjà ancienne de M.-A. Beernaert (« De l’irrésistible ascension des ‘repentis’ et ‘collaborateurs de justice’ dans le système pénal », </w:t>
      </w:r>
      <w:r w:rsidRPr="0001496F">
        <w:rPr>
          <w:rFonts w:ascii="Times New Roman" w:hAnsi="Times New Roman" w:cs="Times New Roman"/>
          <w:i/>
          <w:sz w:val="20"/>
          <w:szCs w:val="20"/>
        </w:rPr>
        <w:t>Déviance &amp; Société</w:t>
      </w:r>
      <w:r w:rsidRPr="0001496F">
        <w:rPr>
          <w:rFonts w:ascii="Times New Roman" w:hAnsi="Times New Roman" w:cs="Times New Roman"/>
          <w:sz w:val="20"/>
          <w:szCs w:val="20"/>
        </w:rPr>
        <w:t xml:space="preserve">, 2003, n°1, p. 77 à 91). </w:t>
      </w:r>
    </w:p>
  </w:footnote>
  <w:footnote w:id="111">
    <w:p w14:paraId="02B77BA2" w14:textId="42F41143"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La loi du 22 juillet 2018 modifiant le Code d’instruction criminelle en ce qui concerne les promesses relatives à l’action publique, à l’exécution de la peine ou à la détention consenties à la suite d’une déclaration dans le cadre de la lutte contre la criminalité organisée et le terrorisme (</w:t>
      </w:r>
      <w:r w:rsidRPr="0001496F">
        <w:rPr>
          <w:rFonts w:ascii="Times New Roman" w:hAnsi="Times New Roman" w:cs="Times New Roman"/>
          <w:i/>
          <w:sz w:val="20"/>
          <w:szCs w:val="20"/>
        </w:rPr>
        <w:t>M.B.</w:t>
      </w:r>
      <w:r w:rsidRPr="0001496F">
        <w:rPr>
          <w:rFonts w:ascii="Times New Roman" w:hAnsi="Times New Roman" w:cs="Times New Roman"/>
          <w:sz w:val="20"/>
          <w:szCs w:val="20"/>
        </w:rPr>
        <w:t xml:space="preserve">, 7 août 2018) a introduit dans le Code d’instruction criminelle (C. i. </w:t>
      </w:r>
      <w:proofErr w:type="spellStart"/>
      <w:r w:rsidRPr="0001496F">
        <w:rPr>
          <w:rFonts w:ascii="Times New Roman" w:hAnsi="Times New Roman" w:cs="Times New Roman"/>
          <w:sz w:val="20"/>
          <w:szCs w:val="20"/>
        </w:rPr>
        <w:t>cr</w:t>
      </w:r>
      <w:proofErr w:type="spellEnd"/>
      <w:r w:rsidRPr="0001496F">
        <w:rPr>
          <w:rFonts w:ascii="Times New Roman" w:hAnsi="Times New Roman" w:cs="Times New Roman"/>
          <w:sz w:val="20"/>
          <w:szCs w:val="20"/>
        </w:rPr>
        <w:t>.) les articles 216/1 à 216/8.</w:t>
      </w:r>
    </w:p>
  </w:footnote>
  <w:footnote w:id="112">
    <w:p w14:paraId="540E988B"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dans le système pénal : analyse comparée et critique</w:t>
      </w:r>
      <w:r w:rsidRPr="0001496F">
        <w:rPr>
          <w:rFonts w:ascii="Times New Roman" w:hAnsi="Times New Roman" w:cs="Times New Roman"/>
          <w:sz w:val="20"/>
          <w:szCs w:val="20"/>
        </w:rPr>
        <w:t>, Bruxelles, Bruylant, 2002, p. 22 et 23.</w:t>
      </w:r>
    </w:p>
  </w:footnote>
  <w:footnote w:id="113">
    <w:p w14:paraId="4EFEEA29" w14:textId="64444CD2"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23.</w:t>
      </w:r>
    </w:p>
  </w:footnote>
  <w:footnote w:id="114">
    <w:p w14:paraId="2469F353" w14:textId="6D1AFFB8"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398 et 399.</w:t>
      </w:r>
    </w:p>
  </w:footnote>
  <w:footnote w:id="115">
    <w:p w14:paraId="0FA8751F" w14:textId="574A0528"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xml:space="preserve">, p. 395 </w:t>
      </w:r>
      <w:proofErr w:type="gramStart"/>
      <w:r w:rsidRPr="0001496F">
        <w:rPr>
          <w:rFonts w:ascii="Times New Roman" w:hAnsi="Times New Roman" w:cs="Times New Roman"/>
          <w:sz w:val="20"/>
          <w:szCs w:val="20"/>
          <w:lang w:val="pt-BR"/>
        </w:rPr>
        <w:t>à</w:t>
      </w:r>
      <w:proofErr w:type="gramEnd"/>
      <w:r w:rsidRPr="0001496F">
        <w:rPr>
          <w:rFonts w:ascii="Times New Roman" w:hAnsi="Times New Roman" w:cs="Times New Roman"/>
          <w:sz w:val="20"/>
          <w:szCs w:val="20"/>
          <w:lang w:val="pt-BR"/>
        </w:rPr>
        <w:t xml:space="preserve"> 397.</w:t>
      </w:r>
    </w:p>
  </w:footnote>
  <w:footnote w:id="116">
    <w:p w14:paraId="4CA1E20E"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R. Merle et A. Vitu, </w:t>
      </w:r>
      <w:r w:rsidRPr="0001496F">
        <w:rPr>
          <w:rFonts w:ascii="Times New Roman" w:hAnsi="Times New Roman" w:cs="Times New Roman"/>
          <w:i/>
          <w:sz w:val="20"/>
          <w:szCs w:val="20"/>
        </w:rPr>
        <w:t>Traité de droit criminel</w:t>
      </w:r>
      <w:r w:rsidRPr="0001496F">
        <w:rPr>
          <w:rFonts w:ascii="Times New Roman" w:hAnsi="Times New Roman" w:cs="Times New Roman"/>
          <w:sz w:val="20"/>
          <w:szCs w:val="20"/>
        </w:rPr>
        <w:t xml:space="preserve">, t. I, 7éd., Paris, Cujas, 1997, p. 606, cité par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10.</w:t>
      </w:r>
    </w:p>
  </w:footnote>
  <w:footnote w:id="117">
    <w:p w14:paraId="796A0AF9"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xml:space="preserve">, p. 396. Certaines dispositions pénales en droit belge incriminent ce type d’actes en matière de terrorisme (association structurée en vue de commettre des infractions terroristes, financement d’un groupe terroriste, diffusion de messages incitant à la commission d’infractions terroristes, recrutement…). Dans une telle collaboration préservative, « le collaborateur fait plus que simplement coopérer à l’administration de la preuve, puisqu’il empêche la réalisation de tout dommage »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537).</w:t>
      </w:r>
    </w:p>
  </w:footnote>
  <w:footnote w:id="118">
    <w:p w14:paraId="7433F521"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Certaines infractions terroristes en droit belge entrent dans cette catégorie d’infractions (prise d’otage, enlèvement de mineurs…).</w:t>
      </w:r>
    </w:p>
  </w:footnote>
  <w:footnote w:id="119">
    <w:p w14:paraId="084FEACD" w14:textId="77777777" w:rsidR="00D13CFE" w:rsidRPr="0001496F" w:rsidRDefault="00D13CFE" w:rsidP="0001496F">
      <w:pPr>
        <w:pStyle w:val="Notedebasdepage"/>
        <w:jc w:val="both"/>
        <w:rPr>
          <w:rFonts w:ascii="Times New Roman" w:hAnsi="Times New Roman" w:cs="Times New Roman"/>
          <w:sz w:val="20"/>
          <w:szCs w:val="20"/>
          <w:lang w:val="en-US"/>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en-US"/>
        </w:rPr>
        <w:t xml:space="preserve"> </w:t>
      </w:r>
      <w:r w:rsidRPr="0001496F">
        <w:rPr>
          <w:rFonts w:ascii="Times New Roman" w:hAnsi="Times New Roman" w:cs="Times New Roman"/>
          <w:i/>
          <w:sz w:val="20"/>
          <w:szCs w:val="20"/>
          <w:lang w:val="en-US"/>
        </w:rPr>
        <w:t>Doc.</w:t>
      </w:r>
      <w:r w:rsidRPr="0001496F">
        <w:rPr>
          <w:rFonts w:ascii="Times New Roman" w:hAnsi="Times New Roman" w:cs="Times New Roman"/>
          <w:sz w:val="20"/>
          <w:szCs w:val="20"/>
          <w:lang w:val="en-US"/>
        </w:rPr>
        <w:t>, Ch., 2017-2018, n°3016/1, p. 24.</w:t>
      </w:r>
    </w:p>
  </w:footnote>
  <w:footnote w:id="120">
    <w:p w14:paraId="7CEF7F07" w14:textId="68BACF0D"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en-US"/>
        </w:rPr>
        <w:t xml:space="preserve"> </w:t>
      </w:r>
      <w:r w:rsidRPr="0001496F">
        <w:rPr>
          <w:rFonts w:ascii="Times New Roman" w:hAnsi="Times New Roman" w:cs="Times New Roman"/>
          <w:i/>
          <w:sz w:val="20"/>
          <w:szCs w:val="20"/>
          <w:lang w:val="en-US"/>
        </w:rPr>
        <w:t>Doc.</w:t>
      </w:r>
      <w:r w:rsidRPr="0001496F">
        <w:rPr>
          <w:rFonts w:ascii="Times New Roman" w:hAnsi="Times New Roman" w:cs="Times New Roman"/>
          <w:sz w:val="20"/>
          <w:szCs w:val="20"/>
          <w:lang w:val="en-US"/>
        </w:rPr>
        <w:t xml:space="preserve">, Ch., 2017-2018, n°3016/4, p. 10. </w:t>
      </w:r>
      <w:r w:rsidRPr="0001496F">
        <w:rPr>
          <w:rFonts w:ascii="Times New Roman" w:hAnsi="Times New Roman" w:cs="Times New Roman"/>
          <w:sz w:val="20"/>
          <w:szCs w:val="20"/>
          <w:lang w:val="fr-BE"/>
        </w:rPr>
        <w:t>Lors du Focus group organisé le 23 octobre 2019 à l’USL-B, certains acteurs (des avocats, des magistrats et des professeurs) ont critiqué le champ d’application trop large de la loi. Lors de cette même rencontre d’autres acteurs (un policier et un magistrat) ont défendu l’utilisation de l’article 90</w:t>
      </w:r>
      <w:r w:rsidRPr="0001496F">
        <w:rPr>
          <w:rFonts w:ascii="Times New Roman" w:hAnsi="Times New Roman" w:cs="Times New Roman"/>
          <w:i/>
          <w:sz w:val="20"/>
          <w:szCs w:val="20"/>
          <w:lang w:val="fr-BE"/>
        </w:rPr>
        <w:t>ter</w:t>
      </w:r>
      <w:r w:rsidRPr="0001496F">
        <w:rPr>
          <w:rFonts w:ascii="Times New Roman" w:hAnsi="Times New Roman" w:cs="Times New Roman"/>
          <w:sz w:val="20"/>
          <w:szCs w:val="20"/>
          <w:lang w:val="fr-BE"/>
        </w:rPr>
        <w:t xml:space="preserve"> du C. i. </w:t>
      </w:r>
      <w:proofErr w:type="spellStart"/>
      <w:r w:rsidRPr="0001496F">
        <w:rPr>
          <w:rFonts w:ascii="Times New Roman" w:hAnsi="Times New Roman" w:cs="Times New Roman"/>
          <w:sz w:val="20"/>
          <w:szCs w:val="20"/>
          <w:lang w:val="fr-BE"/>
        </w:rPr>
        <w:t>cr</w:t>
      </w:r>
      <w:proofErr w:type="spellEnd"/>
      <w:r w:rsidRPr="0001496F">
        <w:rPr>
          <w:rFonts w:ascii="Times New Roman" w:hAnsi="Times New Roman" w:cs="Times New Roman"/>
          <w:sz w:val="20"/>
          <w:szCs w:val="20"/>
          <w:lang w:val="fr-BE"/>
        </w:rPr>
        <w:t xml:space="preserve">. </w:t>
      </w:r>
      <w:r w:rsidRPr="0001496F">
        <w:rPr>
          <w:rFonts w:ascii="Times New Roman" w:hAnsi="Times New Roman" w:cs="Times New Roman"/>
          <w:sz w:val="20"/>
          <w:szCs w:val="20"/>
        </w:rPr>
        <w:t>Ce Focus group a été réalisé dans le cadre de la présente recherche et a permis de récolter les avis et commentaires de magistrats, de policiers et d’académiques.</w:t>
      </w:r>
    </w:p>
  </w:footnote>
  <w:footnote w:id="121">
    <w:p w14:paraId="0AE93777"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fr-BE"/>
        </w:rPr>
        <w:t xml:space="preserve">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Ch., 2017-2018, n°3016/1, p. 62</w:t>
      </w:r>
      <w:r w:rsidRPr="0001496F">
        <w:rPr>
          <w:rFonts w:ascii="Times New Roman" w:hAnsi="Times New Roman" w:cs="Times New Roman"/>
          <w:sz w:val="20"/>
          <w:szCs w:val="20"/>
        </w:rPr>
        <w:t>.</w:t>
      </w:r>
    </w:p>
  </w:footnote>
  <w:footnote w:id="122">
    <w:p w14:paraId="46927888" w14:textId="54A3698C" w:rsidR="00D13CFE" w:rsidRPr="0001496F" w:rsidRDefault="00D13CFE" w:rsidP="0001496F">
      <w:pPr>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Il nous semble qu’une collaboration ne serait pas particulièrement « efficace » pour démontrer la culpabilité d’un « harceleur » (</w:t>
      </w:r>
      <w:proofErr w:type="spellStart"/>
      <w:r w:rsidRPr="0001496F">
        <w:rPr>
          <w:rFonts w:ascii="Times New Roman" w:hAnsi="Times New Roman" w:cs="Times New Roman"/>
          <w:sz w:val="20"/>
          <w:szCs w:val="20"/>
        </w:rPr>
        <w:t>Voy</w:t>
      </w:r>
      <w:proofErr w:type="spellEnd"/>
      <w:r w:rsidRPr="0001496F">
        <w:rPr>
          <w:rFonts w:ascii="Times New Roman" w:hAnsi="Times New Roman" w:cs="Times New Roman"/>
          <w:sz w:val="20"/>
          <w:szCs w:val="20"/>
        </w:rPr>
        <w:t xml:space="preserve">. </w:t>
      </w:r>
      <w:proofErr w:type="gramStart"/>
      <w:r w:rsidRPr="0001496F">
        <w:rPr>
          <w:rFonts w:ascii="Times New Roman" w:hAnsi="Times New Roman" w:cs="Times New Roman"/>
          <w:sz w:val="20"/>
          <w:szCs w:val="20"/>
        </w:rPr>
        <w:t>également</w:t>
      </w:r>
      <w:proofErr w:type="gramEnd"/>
      <w:r w:rsidRPr="0001496F">
        <w:rPr>
          <w:rFonts w:ascii="Times New Roman" w:hAnsi="Times New Roman" w:cs="Times New Roman"/>
          <w:sz w:val="20"/>
          <w:szCs w:val="20"/>
        </w:rPr>
        <w:t xml:space="preserve">,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Ch., 2017-2018, n°3016/4, p. 10 et 80).</w:t>
      </w:r>
    </w:p>
  </w:footnote>
  <w:footnote w:id="123">
    <w:p w14:paraId="300196E4"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xml:space="preserve"> p. 442.</w:t>
      </w:r>
    </w:p>
  </w:footnote>
  <w:footnote w:id="124">
    <w:p w14:paraId="48066751" w14:textId="2AC92588"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xml:space="preserve"> p. 564.</w:t>
      </w:r>
    </w:p>
  </w:footnote>
  <w:footnote w:id="125">
    <w:p w14:paraId="38B67AFF" w14:textId="2820C784"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442.</w:t>
      </w:r>
    </w:p>
  </w:footnote>
  <w:footnote w:id="126">
    <w:p w14:paraId="4B996A0B" w14:textId="797F315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444.</w:t>
      </w:r>
    </w:p>
  </w:footnote>
  <w:footnote w:id="127">
    <w:p w14:paraId="578606EE"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26.</w:t>
      </w:r>
    </w:p>
  </w:footnote>
  <w:footnote w:id="128">
    <w:p w14:paraId="4BC4B79F"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xml:space="preserve">, p. 86 et 263 ;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n°3016/4, p. 59.</w:t>
      </w:r>
    </w:p>
  </w:footnote>
  <w:footnote w:id="129">
    <w:p w14:paraId="54C51C76"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dans le paysage pénal belge : le repenti. Analyse de la loi du 22 juillet 2018 concernant les promesses relatives à l’action publique, à l’exécution de la peine ou à la détention consenties à la suite d’une déclaration et considérations critiques concernant le régime des repentis », </w:t>
      </w:r>
      <w:r w:rsidRPr="0001496F">
        <w:rPr>
          <w:rFonts w:ascii="Times New Roman" w:hAnsi="Times New Roman" w:cs="Times New Roman"/>
          <w:i/>
          <w:sz w:val="20"/>
          <w:szCs w:val="20"/>
        </w:rPr>
        <w:t xml:space="preserve">La Science pénale dans tous ses États. Liber </w:t>
      </w:r>
      <w:proofErr w:type="spellStart"/>
      <w:r w:rsidRPr="0001496F">
        <w:rPr>
          <w:rFonts w:ascii="Times New Roman" w:hAnsi="Times New Roman" w:cs="Times New Roman"/>
          <w:i/>
          <w:sz w:val="20"/>
          <w:szCs w:val="20"/>
        </w:rPr>
        <w:t>amicorum</w:t>
      </w:r>
      <w:proofErr w:type="spellEnd"/>
      <w:r w:rsidRPr="0001496F">
        <w:rPr>
          <w:rFonts w:ascii="Times New Roman" w:hAnsi="Times New Roman" w:cs="Times New Roman"/>
          <w:i/>
          <w:sz w:val="20"/>
          <w:szCs w:val="20"/>
        </w:rPr>
        <w:t xml:space="preserve"> Patrick </w:t>
      </w:r>
      <w:proofErr w:type="spellStart"/>
      <w:r w:rsidRPr="0001496F">
        <w:rPr>
          <w:rFonts w:ascii="Times New Roman" w:hAnsi="Times New Roman" w:cs="Times New Roman"/>
          <w:i/>
          <w:sz w:val="20"/>
          <w:szCs w:val="20"/>
        </w:rPr>
        <w:t>Mandoux</w:t>
      </w:r>
      <w:proofErr w:type="spellEnd"/>
      <w:r w:rsidRPr="0001496F">
        <w:rPr>
          <w:rFonts w:ascii="Times New Roman" w:hAnsi="Times New Roman" w:cs="Times New Roman"/>
          <w:i/>
          <w:sz w:val="20"/>
          <w:szCs w:val="20"/>
        </w:rPr>
        <w:t xml:space="preserve"> et Marc </w:t>
      </w:r>
      <w:proofErr w:type="spellStart"/>
      <w:r w:rsidRPr="0001496F">
        <w:rPr>
          <w:rFonts w:ascii="Times New Roman" w:hAnsi="Times New Roman" w:cs="Times New Roman"/>
          <w:i/>
          <w:sz w:val="20"/>
          <w:szCs w:val="20"/>
        </w:rPr>
        <w:t>Preumont</w:t>
      </w:r>
      <w:proofErr w:type="spellEnd"/>
      <w:r w:rsidRPr="0001496F">
        <w:rPr>
          <w:rFonts w:ascii="Times New Roman" w:hAnsi="Times New Roman" w:cs="Times New Roman"/>
          <w:sz w:val="20"/>
          <w:szCs w:val="20"/>
        </w:rPr>
        <w:t xml:space="preserve">, p. 380 ;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n°3016/4, p. 58.</w:t>
      </w:r>
    </w:p>
  </w:footnote>
  <w:footnote w:id="130">
    <w:p w14:paraId="28E1C292"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283.</w:t>
      </w:r>
    </w:p>
  </w:footnote>
  <w:footnote w:id="131">
    <w:p w14:paraId="77F21D7F" w14:textId="75EBBB76"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Position tenue par un magistrat et des avocats lors du Focus group du 23 octobre 2019. </w:t>
      </w:r>
    </w:p>
  </w:footnote>
  <w:footnote w:id="132">
    <w:p w14:paraId="1E6295C3"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443 et 444.</w:t>
      </w:r>
    </w:p>
  </w:footnote>
  <w:footnote w:id="133">
    <w:p w14:paraId="471820CC" w14:textId="2B357E0E"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24.</w:t>
      </w:r>
    </w:p>
  </w:footnote>
  <w:footnote w:id="134">
    <w:p w14:paraId="5514C528" w14:textId="1D2FF930"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Parfois, on précise proportionnalité « externe », ce qui permet de ne pas le confondre avec le principe de proportionnalité « interne », </w:t>
      </w:r>
      <w:r w:rsidRPr="0001496F">
        <w:rPr>
          <w:rFonts w:ascii="Times New Roman" w:hAnsi="Times New Roman" w:cs="Times New Roman"/>
          <w:i/>
          <w:sz w:val="20"/>
          <w:szCs w:val="20"/>
        </w:rPr>
        <w:t>cf. infra</w:t>
      </w:r>
      <w:r w:rsidRPr="0001496F">
        <w:rPr>
          <w:rFonts w:ascii="Times New Roman" w:hAnsi="Times New Roman" w:cs="Times New Roman"/>
          <w:sz w:val="20"/>
          <w:szCs w:val="20"/>
        </w:rPr>
        <w:t xml:space="preserve"> 2.2.1.</w:t>
      </w:r>
    </w:p>
  </w:footnote>
  <w:footnote w:id="135">
    <w:p w14:paraId="03AF0C7A"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24.</w:t>
      </w:r>
    </w:p>
  </w:footnote>
  <w:footnote w:id="136">
    <w:p w14:paraId="6D7E5A0B"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Lors de son audition à la Chambre,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illustre ce principe de proportionnalité en indiquant qu’il ne doit pas être possible à un candidat collaborateur qui a commis un viol de faire une déclaration concernant un blanchiment d’argent (</w:t>
      </w:r>
      <w:r w:rsidRPr="0001496F">
        <w:rPr>
          <w:rFonts w:ascii="Times New Roman" w:hAnsi="Times New Roman" w:cs="Times New Roman"/>
          <w:i/>
          <w:sz w:val="20"/>
          <w:szCs w:val="20"/>
        </w:rPr>
        <w:t>Doc.</w:t>
      </w:r>
      <w:r w:rsidRPr="0001496F">
        <w:rPr>
          <w:rFonts w:ascii="Times New Roman" w:hAnsi="Times New Roman" w:cs="Times New Roman"/>
          <w:sz w:val="20"/>
          <w:szCs w:val="20"/>
        </w:rPr>
        <w:t xml:space="preserve">, Ch., 2017-2018, n°3016/4, p. 59). </w:t>
      </w:r>
    </w:p>
  </w:footnote>
  <w:footnote w:id="137">
    <w:p w14:paraId="23513AE7"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p. 380.</w:t>
      </w:r>
    </w:p>
  </w:footnote>
  <w:footnote w:id="138">
    <w:p w14:paraId="7E4D80C3"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28, nous soulignons.</w:t>
      </w:r>
    </w:p>
  </w:footnote>
  <w:footnote w:id="139">
    <w:p w14:paraId="7E51B8AA"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p. 380.</w:t>
      </w:r>
    </w:p>
  </w:footnote>
  <w:footnote w:id="140">
    <w:p w14:paraId="20264D77"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Ainsi, un collaborateur récidiviste poursuivi pour faux en écriture (peine maximale de 15 ans) pourrait faire des déclarations à propos d’un vol avec violence (peine maximale de 10 ans) et ce en raison de « la gravité des conséquences de l’infraction »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46 et 47).</w:t>
      </w:r>
    </w:p>
  </w:footnote>
  <w:footnote w:id="141">
    <w:p w14:paraId="7876A3DF"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xml:space="preserve">, Ch., 2017-2018, n°3016/1, p. 27, nous soulignons. Une « attention particulière doit être accordée à la gravité des conséquences de l’infraction révélée par le repenti, </w:t>
      </w:r>
      <w:r w:rsidRPr="0001496F">
        <w:rPr>
          <w:rFonts w:ascii="Times New Roman" w:hAnsi="Times New Roman" w:cs="Times New Roman"/>
          <w:i/>
          <w:sz w:val="20"/>
          <w:szCs w:val="20"/>
        </w:rPr>
        <w:t>plutôt qu’à la peine intrinsèque</w:t>
      </w:r>
      <w:r w:rsidRPr="0001496F">
        <w:rPr>
          <w:rFonts w:ascii="Times New Roman" w:hAnsi="Times New Roman" w:cs="Times New Roman"/>
          <w:sz w:val="20"/>
          <w:szCs w:val="20"/>
        </w:rPr>
        <w:t> »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46, nous soulignons).</w:t>
      </w:r>
    </w:p>
  </w:footnote>
  <w:footnote w:id="142">
    <w:p w14:paraId="7A799373" w14:textId="77777777" w:rsidR="00D13CFE" w:rsidRPr="0001496F" w:rsidRDefault="00D13CFE" w:rsidP="0001496F">
      <w:pPr>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En termes de valeurs, la collaboration remet en cause l’interdit moral de la délation (et les valeurs de loyauté et de solidarité ; </w:t>
      </w:r>
      <w:r w:rsidRPr="0001496F">
        <w:rPr>
          <w:rFonts w:ascii="Times New Roman" w:hAnsi="Times New Roman" w:cs="Times New Roman"/>
          <w:i/>
          <w:sz w:val="20"/>
          <w:szCs w:val="20"/>
        </w:rPr>
        <w:t>cf. infra</w:t>
      </w:r>
      <w:r w:rsidRPr="0001496F">
        <w:rPr>
          <w:rFonts w:ascii="Times New Roman" w:hAnsi="Times New Roman" w:cs="Times New Roman"/>
          <w:sz w:val="20"/>
          <w:szCs w:val="20"/>
        </w:rPr>
        <w:t xml:space="preserve"> 2.8.2.1). Elle peut représenter une pression importante pour renoncer au droit au silence. Elle peut également conduire à la condamnation d’innocents (si la non-fiabilité des informations n’a pas été repérée ; </w:t>
      </w:r>
      <w:r w:rsidRPr="0001496F">
        <w:rPr>
          <w:rFonts w:ascii="Times New Roman" w:hAnsi="Times New Roman" w:cs="Times New Roman"/>
          <w:i/>
          <w:sz w:val="20"/>
          <w:szCs w:val="20"/>
        </w:rPr>
        <w:t>cf. infra</w:t>
      </w:r>
      <w:r w:rsidRPr="0001496F">
        <w:rPr>
          <w:rFonts w:ascii="Times New Roman" w:hAnsi="Times New Roman" w:cs="Times New Roman"/>
          <w:sz w:val="20"/>
          <w:szCs w:val="20"/>
        </w:rPr>
        <w:t xml:space="preserve"> 2.8.2.3). Quant aux valeurs sauvegardées grâce à la collaboration procédurale, il semble que celles relatives à la dignité de l’homme et à son intégrité physique et morale sont centrales.</w:t>
      </w:r>
    </w:p>
  </w:footnote>
  <w:footnote w:id="143">
    <w:p w14:paraId="251AA348"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441.</w:t>
      </w:r>
    </w:p>
  </w:footnote>
  <w:footnote w:id="144">
    <w:p w14:paraId="09F6C86B" w14:textId="1259E740"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565.</w:t>
      </w:r>
    </w:p>
  </w:footnote>
  <w:footnote w:id="145">
    <w:p w14:paraId="5B735A61"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n°3016/1, p. 46.</w:t>
      </w:r>
    </w:p>
  </w:footnote>
  <w:footnote w:id="146">
    <w:p w14:paraId="735F2D34" w14:textId="633C4848"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36.</w:t>
      </w:r>
    </w:p>
  </w:footnote>
  <w:footnote w:id="147">
    <w:p w14:paraId="2556084C" w14:textId="1C96B7D9"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32, 33 et 39.</w:t>
      </w:r>
    </w:p>
  </w:footnote>
  <w:footnote w:id="148">
    <w:p w14:paraId="70890E5E" w14:textId="420DF31C"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Cette possibilité a été régulièrement évoquée par les auteurs des différentes propositions de loi antérieures (</w:t>
      </w:r>
      <w:r w:rsidRPr="0001496F">
        <w:rPr>
          <w:rFonts w:ascii="Times New Roman" w:hAnsi="Times New Roman" w:cs="Times New Roman"/>
          <w:i/>
          <w:sz w:val="20"/>
          <w:szCs w:val="20"/>
        </w:rPr>
        <w:t>cf. supra</w:t>
      </w:r>
      <w:r w:rsidRPr="0001496F">
        <w:rPr>
          <w:rFonts w:ascii="Times New Roman" w:hAnsi="Times New Roman" w:cs="Times New Roman"/>
          <w:sz w:val="20"/>
          <w:szCs w:val="20"/>
        </w:rPr>
        <w:t xml:space="preserve"> 1).</w:t>
      </w:r>
    </w:p>
  </w:footnote>
  <w:footnote w:id="149">
    <w:p w14:paraId="54F92648"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60.</w:t>
      </w:r>
    </w:p>
  </w:footnote>
  <w:footnote w:id="150">
    <w:p w14:paraId="753E74FD"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n°3016/4, p. 16.</w:t>
      </w:r>
    </w:p>
  </w:footnote>
  <w:footnote w:id="151">
    <w:p w14:paraId="781B1022"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Les travaux préparatoires précisent que le dispositif de la collaboration est accessible aux personnes morales (</w:t>
      </w:r>
      <w:r w:rsidRPr="0001496F">
        <w:rPr>
          <w:rFonts w:ascii="Times New Roman" w:hAnsi="Times New Roman" w:cs="Times New Roman"/>
          <w:i/>
          <w:sz w:val="20"/>
          <w:szCs w:val="20"/>
        </w:rPr>
        <w:t>Doc.</w:t>
      </w:r>
      <w:r w:rsidRPr="0001496F">
        <w:rPr>
          <w:rFonts w:ascii="Times New Roman" w:hAnsi="Times New Roman" w:cs="Times New Roman"/>
          <w:sz w:val="20"/>
          <w:szCs w:val="20"/>
        </w:rPr>
        <w:t xml:space="preserve">, Ch., 2017-2018, n°3016/1, p. 37) mais ces travaux comme la loi sont muets quant aux réductions de peine qui concerneraient les peines spécifiques de ces personnes morales. </w:t>
      </w:r>
    </w:p>
  </w:footnote>
  <w:footnote w:id="152">
    <w:p w14:paraId="4146DCDE" w14:textId="6481257F"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En droit belge, les peines privatives de liberté pour les « crimes » sont punies d’une réclusion allant de cinq ans à la perpétuité (C. </w:t>
      </w:r>
      <w:proofErr w:type="spellStart"/>
      <w:r w:rsidRPr="0001496F">
        <w:rPr>
          <w:rFonts w:ascii="Times New Roman" w:hAnsi="Times New Roman" w:cs="Times New Roman"/>
          <w:sz w:val="20"/>
          <w:szCs w:val="20"/>
        </w:rPr>
        <w:t>pén</w:t>
      </w:r>
      <w:proofErr w:type="spellEnd"/>
      <w:r w:rsidRPr="0001496F">
        <w:rPr>
          <w:rFonts w:ascii="Times New Roman" w:hAnsi="Times New Roman" w:cs="Times New Roman"/>
          <w:sz w:val="20"/>
          <w:szCs w:val="20"/>
        </w:rPr>
        <w:t>., art. 8 à 11).</w:t>
      </w:r>
    </w:p>
  </w:footnote>
  <w:footnote w:id="153">
    <w:p w14:paraId="0E7506FB" w14:textId="6AFCA43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Ces sont les articles relatifs à l’admission des circonstances atténuantes en matière criminelle. </w:t>
      </w:r>
    </w:p>
  </w:footnote>
  <w:footnote w:id="154">
    <w:p w14:paraId="5693F582" w14:textId="5D10F24B"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En droit belge, les peines privatives de liberté pour les « délits » sont de huit jours au moins et de cinq ans au plus, sauf pour les crimes « correctionnalisés » qui peuvent emporter une peine allant jusqu’à vingt ans d’emprisonnement (C. </w:t>
      </w:r>
      <w:proofErr w:type="spellStart"/>
      <w:r w:rsidRPr="0001496F">
        <w:rPr>
          <w:rFonts w:ascii="Times New Roman" w:hAnsi="Times New Roman" w:cs="Times New Roman"/>
          <w:sz w:val="20"/>
          <w:szCs w:val="20"/>
        </w:rPr>
        <w:t>pén</w:t>
      </w:r>
      <w:proofErr w:type="spellEnd"/>
      <w:r w:rsidRPr="0001496F">
        <w:rPr>
          <w:rFonts w:ascii="Times New Roman" w:hAnsi="Times New Roman" w:cs="Times New Roman"/>
          <w:sz w:val="20"/>
          <w:szCs w:val="20"/>
        </w:rPr>
        <w:t>., art. 25).</w:t>
      </w:r>
    </w:p>
  </w:footnote>
  <w:footnote w:id="155">
    <w:p w14:paraId="492E4B1C" w14:textId="7FF02109"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C’est l’article relatif à l’admission des circonstances atténuantes en matière correctionnelle. </w:t>
      </w:r>
    </w:p>
  </w:footnote>
  <w:footnote w:id="156">
    <w:p w14:paraId="053E534C" w14:textId="0ED64960"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F. </w:t>
      </w:r>
      <w:proofErr w:type="spellStart"/>
      <w:r w:rsidRPr="0001496F">
        <w:rPr>
          <w:rFonts w:ascii="Times New Roman" w:hAnsi="Times New Roman" w:cs="Times New Roman"/>
          <w:sz w:val="20"/>
          <w:szCs w:val="20"/>
        </w:rPr>
        <w:t>Lugentz</w:t>
      </w:r>
      <w:proofErr w:type="spellEnd"/>
      <w:r w:rsidRPr="0001496F">
        <w:rPr>
          <w:rFonts w:ascii="Times New Roman" w:hAnsi="Times New Roman" w:cs="Times New Roman"/>
          <w:sz w:val="20"/>
          <w:szCs w:val="20"/>
        </w:rPr>
        <w:t xml:space="preserve"> et D. </w:t>
      </w:r>
      <w:proofErr w:type="spellStart"/>
      <w:r w:rsidRPr="0001496F">
        <w:rPr>
          <w:rFonts w:ascii="Times New Roman" w:hAnsi="Times New Roman" w:cs="Times New Roman"/>
          <w:sz w:val="20"/>
          <w:szCs w:val="20"/>
        </w:rPr>
        <w:t>Vandermeersch</w:t>
      </w:r>
      <w:proofErr w:type="spellEnd"/>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Saisie et confiscation en matière pénale</w:t>
      </w:r>
      <w:r w:rsidRPr="0001496F">
        <w:rPr>
          <w:rFonts w:ascii="Times New Roman" w:hAnsi="Times New Roman" w:cs="Times New Roman"/>
          <w:sz w:val="20"/>
          <w:szCs w:val="20"/>
        </w:rPr>
        <w:t xml:space="preserve">, Bruxelles, Bruylant, 2015, p. 17. M. </w:t>
      </w:r>
      <w:proofErr w:type="spellStart"/>
      <w:r w:rsidRPr="0001496F">
        <w:rPr>
          <w:rFonts w:ascii="Times New Roman" w:hAnsi="Times New Roman" w:cs="Times New Roman"/>
          <w:sz w:val="20"/>
          <w:szCs w:val="20"/>
        </w:rPr>
        <w:t>Töller</w:t>
      </w:r>
      <w:proofErr w:type="spellEnd"/>
      <w:r w:rsidRPr="0001496F">
        <w:rPr>
          <w:rFonts w:ascii="Times New Roman" w:hAnsi="Times New Roman" w:cs="Times New Roman"/>
          <w:sz w:val="20"/>
          <w:szCs w:val="20"/>
        </w:rPr>
        <w:t xml:space="preserve">, « Un régime des repentis, enfin ? », </w:t>
      </w:r>
      <w:r w:rsidRPr="0001496F">
        <w:rPr>
          <w:rFonts w:ascii="Times New Roman" w:hAnsi="Times New Roman" w:cs="Times New Roman"/>
          <w:i/>
          <w:sz w:val="20"/>
          <w:szCs w:val="20"/>
        </w:rPr>
        <w:t>Actualités de droit pénal et de procédure pénale</w:t>
      </w:r>
      <w:r w:rsidRPr="0001496F">
        <w:rPr>
          <w:rFonts w:ascii="Times New Roman" w:hAnsi="Times New Roman" w:cs="Times New Roman"/>
          <w:sz w:val="20"/>
          <w:szCs w:val="20"/>
        </w:rPr>
        <w:t xml:space="preserve">, V. </w:t>
      </w:r>
      <w:proofErr w:type="spellStart"/>
      <w:r w:rsidRPr="0001496F">
        <w:rPr>
          <w:rFonts w:ascii="Times New Roman" w:hAnsi="Times New Roman" w:cs="Times New Roman"/>
          <w:sz w:val="20"/>
          <w:szCs w:val="20"/>
        </w:rPr>
        <w:t>Franssen</w:t>
      </w:r>
      <w:proofErr w:type="spellEnd"/>
      <w:r w:rsidRPr="0001496F">
        <w:rPr>
          <w:rFonts w:ascii="Times New Roman" w:hAnsi="Times New Roman" w:cs="Times New Roman"/>
          <w:sz w:val="20"/>
          <w:szCs w:val="20"/>
        </w:rPr>
        <w:t xml:space="preserve"> et A. </w:t>
      </w:r>
      <w:proofErr w:type="spellStart"/>
      <w:r w:rsidRPr="0001496F">
        <w:rPr>
          <w:rFonts w:ascii="Times New Roman" w:hAnsi="Times New Roman" w:cs="Times New Roman"/>
          <w:sz w:val="20"/>
          <w:szCs w:val="20"/>
        </w:rPr>
        <w:t>Masset</w:t>
      </w:r>
      <w:proofErr w:type="spellEnd"/>
      <w:r w:rsidRPr="0001496F">
        <w:rPr>
          <w:rFonts w:ascii="Times New Roman" w:hAnsi="Times New Roman" w:cs="Times New Roman"/>
          <w:sz w:val="20"/>
          <w:szCs w:val="20"/>
        </w:rPr>
        <w:t xml:space="preserve"> (</w:t>
      </w:r>
      <w:proofErr w:type="spellStart"/>
      <w:r w:rsidRPr="0001496F">
        <w:rPr>
          <w:rFonts w:ascii="Times New Roman" w:hAnsi="Times New Roman" w:cs="Times New Roman"/>
          <w:sz w:val="20"/>
          <w:szCs w:val="20"/>
        </w:rPr>
        <w:t>dir</w:t>
      </w:r>
      <w:proofErr w:type="spellEnd"/>
      <w:r w:rsidRPr="0001496F">
        <w:rPr>
          <w:rFonts w:ascii="Times New Roman" w:hAnsi="Times New Roman" w:cs="Times New Roman"/>
          <w:sz w:val="20"/>
          <w:szCs w:val="20"/>
        </w:rPr>
        <w:t xml:space="preserve">.), Liège, </w:t>
      </w:r>
      <w:proofErr w:type="spellStart"/>
      <w:r w:rsidRPr="0001496F">
        <w:rPr>
          <w:rFonts w:ascii="Times New Roman" w:hAnsi="Times New Roman" w:cs="Times New Roman"/>
          <w:sz w:val="20"/>
          <w:szCs w:val="20"/>
        </w:rPr>
        <w:t>Anthemis</w:t>
      </w:r>
      <w:proofErr w:type="spellEnd"/>
      <w:r w:rsidRPr="0001496F">
        <w:rPr>
          <w:rFonts w:ascii="Times New Roman" w:hAnsi="Times New Roman" w:cs="Times New Roman"/>
          <w:sz w:val="20"/>
          <w:szCs w:val="20"/>
        </w:rPr>
        <w:t>, 2019, p. 222.</w:t>
      </w:r>
    </w:p>
  </w:footnote>
  <w:footnote w:id="157">
    <w:p w14:paraId="430E40A2"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La loi ne le précise pas mais nous pensons que le législateur fait référence à la peine privative de liberté.</w:t>
      </w:r>
    </w:p>
  </w:footnote>
  <w:footnote w:id="158">
    <w:p w14:paraId="14D25F45"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xml:space="preserve">, p. 384 ;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32 et 33.</w:t>
      </w:r>
    </w:p>
  </w:footnote>
  <w:footnote w:id="159">
    <w:p w14:paraId="659D9A6E"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Nous empruntons le concept de « principe de pondération » à M.-A. Beernaert. Cette auteure justifie son choix terminologique de la manière suivante : il ne s’agit « pas à proprement parler de proportionnalité (…) dans la mesure où l’on n’est pas amené à effectuer une mise en balance entre différentes valeurs en présence »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26).</w:t>
      </w:r>
    </w:p>
  </w:footnote>
  <w:footnote w:id="160">
    <w:p w14:paraId="6A3A48EC"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514 et 515.</w:t>
      </w:r>
    </w:p>
  </w:footnote>
  <w:footnote w:id="161">
    <w:p w14:paraId="590C7334" w14:textId="47135FF9"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Il y a quelque chose de paradoxal dans ce raisonnement, puisque dénoncer des faits dont l’incrimination est critiquable voire contestée (en effet, ne sont alors présents que des « actes préparatoires » ou de « simples résolutions criminelles extériorisées » ; </w:t>
      </w:r>
      <w:r w:rsidRPr="0001496F">
        <w:rPr>
          <w:rFonts w:ascii="Times New Roman" w:hAnsi="Times New Roman" w:cs="Times New Roman"/>
          <w:i/>
          <w:sz w:val="20"/>
          <w:szCs w:val="20"/>
        </w:rPr>
        <w:t>cf. supra</w:t>
      </w:r>
      <w:r w:rsidRPr="0001496F">
        <w:rPr>
          <w:rFonts w:ascii="Times New Roman" w:hAnsi="Times New Roman" w:cs="Times New Roman"/>
          <w:sz w:val="20"/>
          <w:szCs w:val="20"/>
        </w:rPr>
        <w:t xml:space="preserve"> 2.1.4) permet une plus grande réduction de peine. Il nous semble que ce paradoxe se dissipe lorsqu’on prend conscience du glissement d’une logique pénale vers des logiques de prévention et de renseignement (et ce même si les travaux préparatoires affirment que « la finalité est (…) strictement judiciaire » ;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38).</w:t>
      </w:r>
    </w:p>
  </w:footnote>
  <w:footnote w:id="162">
    <w:p w14:paraId="4DAC7A31"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49. Cette affirmation, non justifiée dans les travaux préparatoires, est-elle liée à la plus grande facilité d’accès aux informations (si c’est plus facile, on gagne moins !) ou plus classiquement liée à la volonté d’aggraver la situation pénale du récidiviste (car il est moralement plus coupable) ?</w:t>
      </w:r>
    </w:p>
  </w:footnote>
  <w:footnote w:id="163">
    <w:p w14:paraId="6CD87DA5"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266.</w:t>
      </w:r>
    </w:p>
  </w:footnote>
  <w:footnote w:id="164">
    <w:p w14:paraId="48590699" w14:textId="77777777"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Il s’agit d</w:t>
      </w:r>
      <w:proofErr w:type="gramStart"/>
      <w:r w:rsidRPr="0001496F">
        <w:rPr>
          <w:rFonts w:ascii="Times New Roman" w:hAnsi="Times New Roman" w:cs="Times New Roman"/>
          <w:sz w:val="20"/>
          <w:szCs w:val="20"/>
        </w:rPr>
        <w:t>’«</w:t>
      </w:r>
      <w:proofErr w:type="gramEnd"/>
      <w:r w:rsidRPr="0001496F">
        <w:rPr>
          <w:rFonts w:ascii="Times New Roman" w:hAnsi="Times New Roman" w:cs="Times New Roman"/>
          <w:sz w:val="20"/>
          <w:szCs w:val="20"/>
        </w:rPr>
        <w:t> un mode d’exécution de la peine privative de liberté qui permet au condamné de quitter, de manière régulière, l’établissement pénitentiaire pour une durée de maximum seize heures par jour » (loi du 17 mai 2006, art. 21).</w:t>
      </w:r>
    </w:p>
  </w:footnote>
  <w:footnote w:id="165">
    <w:p w14:paraId="1A5EE58A"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n°3016/1, p. 53.</w:t>
      </w:r>
    </w:p>
  </w:footnote>
  <w:footnote w:id="166">
    <w:p w14:paraId="45989D53"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n°3016/4, p. 6.</w:t>
      </w:r>
    </w:p>
  </w:footnote>
  <w:footnote w:id="167">
    <w:p w14:paraId="0AD849DB"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proofErr w:type="spellStart"/>
      <w:r w:rsidRPr="0001496F">
        <w:rPr>
          <w:rFonts w:ascii="Times New Roman" w:hAnsi="Times New Roman" w:cs="Times New Roman"/>
          <w:sz w:val="20"/>
          <w:szCs w:val="20"/>
        </w:rPr>
        <w:t>Voy</w:t>
      </w:r>
      <w:proofErr w:type="spellEnd"/>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65.</w:t>
      </w:r>
    </w:p>
  </w:footnote>
  <w:footnote w:id="168">
    <w:p w14:paraId="2695FBBA"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 </w:t>
      </w:r>
      <w:proofErr w:type="spellStart"/>
      <w:r w:rsidRPr="0001496F">
        <w:rPr>
          <w:rFonts w:ascii="Times New Roman" w:hAnsi="Times New Roman" w:cs="Times New Roman"/>
          <w:sz w:val="20"/>
          <w:szCs w:val="20"/>
        </w:rPr>
        <w:t>Verdussen</w:t>
      </w:r>
      <w:proofErr w:type="spellEnd"/>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Contours et enjeux du droit constitutionnel pénal</w:t>
      </w:r>
      <w:r w:rsidRPr="0001496F">
        <w:rPr>
          <w:rFonts w:ascii="Times New Roman" w:hAnsi="Times New Roman" w:cs="Times New Roman"/>
          <w:sz w:val="20"/>
          <w:szCs w:val="20"/>
        </w:rPr>
        <w:t xml:space="preserve">, Bruxelles, Bruylant, 1995, p. 469. </w:t>
      </w:r>
      <w:proofErr w:type="spellStart"/>
      <w:r w:rsidRPr="0001496F">
        <w:rPr>
          <w:rFonts w:ascii="Times New Roman" w:hAnsi="Times New Roman" w:cs="Times New Roman"/>
          <w:sz w:val="20"/>
          <w:szCs w:val="20"/>
        </w:rPr>
        <w:t>Voy</w:t>
      </w:r>
      <w:proofErr w:type="spellEnd"/>
      <w:r w:rsidRPr="0001496F">
        <w:rPr>
          <w:rFonts w:ascii="Times New Roman" w:hAnsi="Times New Roman" w:cs="Times New Roman"/>
          <w:sz w:val="20"/>
          <w:szCs w:val="20"/>
        </w:rPr>
        <w:t xml:space="preserve">. </w:t>
      </w:r>
      <w:proofErr w:type="gramStart"/>
      <w:r w:rsidRPr="0001496F">
        <w:rPr>
          <w:rFonts w:ascii="Times New Roman" w:hAnsi="Times New Roman" w:cs="Times New Roman"/>
          <w:sz w:val="20"/>
          <w:szCs w:val="20"/>
        </w:rPr>
        <w:t>dans</w:t>
      </w:r>
      <w:proofErr w:type="gramEnd"/>
      <w:r w:rsidRPr="0001496F">
        <w:rPr>
          <w:rFonts w:ascii="Times New Roman" w:hAnsi="Times New Roman" w:cs="Times New Roman"/>
          <w:sz w:val="20"/>
          <w:szCs w:val="20"/>
        </w:rPr>
        <w:t xml:space="preserve"> le même sens, la position de Fr. Verbruggen lors de son audition à la Chambre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n°3016/4, p. 78).</w:t>
      </w:r>
    </w:p>
  </w:footnote>
  <w:footnote w:id="169">
    <w:p w14:paraId="62E6C5A4"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proofErr w:type="gramStart"/>
      <w:r w:rsidRPr="0001496F">
        <w:rPr>
          <w:rFonts w:ascii="Times New Roman" w:hAnsi="Times New Roman" w:cs="Times New Roman"/>
          <w:sz w:val="20"/>
          <w:szCs w:val="20"/>
        </w:rPr>
        <w:t>Rec(</w:t>
      </w:r>
      <w:proofErr w:type="gramEnd"/>
      <w:r w:rsidRPr="0001496F">
        <w:rPr>
          <w:rFonts w:ascii="Times New Roman" w:hAnsi="Times New Roman" w:cs="Times New Roman"/>
          <w:sz w:val="20"/>
          <w:szCs w:val="20"/>
        </w:rPr>
        <w:t>2000)19, art. 19.</w:t>
      </w:r>
    </w:p>
  </w:footnote>
  <w:footnote w:id="170">
    <w:p w14:paraId="4A3911D3"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Par exemple, l’exécution de la peine de </w:t>
      </w:r>
      <w:r w:rsidRPr="0001496F">
        <w:rPr>
          <w:rFonts w:ascii="Times New Roman" w:hAnsi="Times New Roman" w:cs="Times New Roman"/>
          <w:i/>
          <w:sz w:val="20"/>
          <w:szCs w:val="20"/>
        </w:rPr>
        <w:t>surveillance électronique</w:t>
      </w:r>
      <w:r w:rsidRPr="0001496F">
        <w:rPr>
          <w:rFonts w:ascii="Times New Roman" w:hAnsi="Times New Roman" w:cs="Times New Roman"/>
          <w:sz w:val="20"/>
          <w:szCs w:val="20"/>
        </w:rPr>
        <w:t xml:space="preserve"> est confiée au « service compétent pour la surveillance électronique » (tenu informé de la décision passée en force de chose jugée par le greffier) (C. </w:t>
      </w:r>
      <w:proofErr w:type="spellStart"/>
      <w:r w:rsidRPr="0001496F">
        <w:rPr>
          <w:rFonts w:ascii="Times New Roman" w:hAnsi="Times New Roman" w:cs="Times New Roman"/>
          <w:sz w:val="20"/>
          <w:szCs w:val="20"/>
        </w:rPr>
        <w:t>pén</w:t>
      </w:r>
      <w:proofErr w:type="spellEnd"/>
      <w:r w:rsidRPr="0001496F">
        <w:rPr>
          <w:rFonts w:ascii="Times New Roman" w:hAnsi="Times New Roman" w:cs="Times New Roman"/>
          <w:sz w:val="20"/>
          <w:szCs w:val="20"/>
        </w:rPr>
        <w:t>., art. 37</w:t>
      </w:r>
      <w:r w:rsidRPr="0001496F">
        <w:rPr>
          <w:rFonts w:ascii="Times New Roman" w:hAnsi="Times New Roman" w:cs="Times New Roman"/>
          <w:i/>
          <w:sz w:val="20"/>
          <w:szCs w:val="20"/>
        </w:rPr>
        <w:t>quater</w:t>
      </w:r>
      <w:r w:rsidRPr="0001496F">
        <w:rPr>
          <w:rFonts w:ascii="Times New Roman" w:hAnsi="Times New Roman" w:cs="Times New Roman"/>
          <w:sz w:val="20"/>
          <w:szCs w:val="20"/>
        </w:rPr>
        <w:t xml:space="preserve">). Ce n’est que lorsque la peine de surveillance électronique n’est pas exécutée conformément à la loi que le ministère public peut « décider de procéder à l’exécution de la peine d’emprisonnement fixée dans la décision judiciaire » (C. </w:t>
      </w:r>
      <w:proofErr w:type="spellStart"/>
      <w:r w:rsidRPr="0001496F">
        <w:rPr>
          <w:rFonts w:ascii="Times New Roman" w:hAnsi="Times New Roman" w:cs="Times New Roman"/>
          <w:sz w:val="20"/>
          <w:szCs w:val="20"/>
        </w:rPr>
        <w:t>pén</w:t>
      </w:r>
      <w:proofErr w:type="spellEnd"/>
      <w:r w:rsidRPr="0001496F">
        <w:rPr>
          <w:rFonts w:ascii="Times New Roman" w:hAnsi="Times New Roman" w:cs="Times New Roman"/>
          <w:sz w:val="20"/>
          <w:szCs w:val="20"/>
        </w:rPr>
        <w:t>., art. 37</w:t>
      </w:r>
      <w:r w:rsidRPr="0001496F">
        <w:rPr>
          <w:rFonts w:ascii="Times New Roman" w:hAnsi="Times New Roman" w:cs="Times New Roman"/>
          <w:i/>
          <w:sz w:val="20"/>
          <w:szCs w:val="20"/>
        </w:rPr>
        <w:t>quater</w:t>
      </w:r>
      <w:r w:rsidRPr="0001496F">
        <w:rPr>
          <w:rFonts w:ascii="Times New Roman" w:hAnsi="Times New Roman" w:cs="Times New Roman"/>
          <w:sz w:val="20"/>
          <w:szCs w:val="20"/>
        </w:rPr>
        <w:t>, §3).</w:t>
      </w:r>
    </w:p>
  </w:footnote>
  <w:footnote w:id="171">
    <w:p w14:paraId="0A6D9F0D"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n°3016/1, p. 36.</w:t>
      </w:r>
    </w:p>
  </w:footnote>
  <w:footnote w:id="172">
    <w:p w14:paraId="2A7B6F92" w14:textId="748569FE"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55.</w:t>
      </w:r>
    </w:p>
  </w:footnote>
  <w:footnote w:id="173">
    <w:p w14:paraId="5C73F034" w14:textId="1EF47263"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Lors du Focus group du 23 octobre 2019, un magistrat a indiqué qu’une circulaire est en préparation mais qu’elle sera confidentielle.</w:t>
      </w:r>
    </w:p>
  </w:footnote>
  <w:footnote w:id="174">
    <w:p w14:paraId="66D2F59F"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36.</w:t>
      </w:r>
    </w:p>
  </w:footnote>
  <w:footnote w:id="175">
    <w:p w14:paraId="4625C2D5"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Lors du Focus group du 23 octobre 2019, un magistrat a indiqué que si une déclaration concerne un fait rentrant dans la liste de l’article 90</w:t>
      </w:r>
      <w:r w:rsidRPr="0001496F">
        <w:rPr>
          <w:rFonts w:ascii="Times New Roman" w:hAnsi="Times New Roman" w:cs="Times New Roman"/>
          <w:i/>
          <w:sz w:val="20"/>
          <w:szCs w:val="20"/>
        </w:rPr>
        <w:t>ter</w:t>
      </w:r>
      <w:r w:rsidRPr="0001496F">
        <w:rPr>
          <w:rFonts w:ascii="Times New Roman" w:hAnsi="Times New Roman" w:cs="Times New Roman"/>
          <w:sz w:val="20"/>
          <w:szCs w:val="20"/>
        </w:rPr>
        <w:t xml:space="preserve"> du C. i. </w:t>
      </w:r>
      <w:proofErr w:type="spellStart"/>
      <w:r w:rsidRPr="0001496F">
        <w:rPr>
          <w:rFonts w:ascii="Times New Roman" w:hAnsi="Times New Roman" w:cs="Times New Roman"/>
          <w:sz w:val="20"/>
          <w:szCs w:val="20"/>
        </w:rPr>
        <w:t>cr</w:t>
      </w:r>
      <w:proofErr w:type="spellEnd"/>
      <w:r w:rsidRPr="0001496F">
        <w:rPr>
          <w:rFonts w:ascii="Times New Roman" w:hAnsi="Times New Roman" w:cs="Times New Roman"/>
          <w:sz w:val="20"/>
          <w:szCs w:val="20"/>
        </w:rPr>
        <w:t xml:space="preserve">., cela permet que la déclaration puisse porter également sur des « faits connexes » même si ces faits ne sont pas repris dans cette liste (sans quoi les déclarations du candidat collaborateur ne seraient pas considérées comme honnêtes et complètes). Les avocats et certains magistrats ne partageaient pas cette position. </w:t>
      </w:r>
    </w:p>
  </w:footnote>
  <w:footnote w:id="176">
    <w:p w14:paraId="31B038B3"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n°3016/1, p. 24 et 38.</w:t>
      </w:r>
    </w:p>
  </w:footnote>
  <w:footnote w:id="177">
    <w:p w14:paraId="507C0444"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n°3016/4, p. 66.</w:t>
      </w:r>
    </w:p>
  </w:footnote>
  <w:footnote w:id="178">
    <w:p w14:paraId="40BC8B5B"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n°3016/1, p. 39.</w:t>
      </w:r>
    </w:p>
  </w:footnote>
  <w:footnote w:id="179">
    <w:p w14:paraId="1C3AF60E" w14:textId="43F22180"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en-US"/>
        </w:rPr>
        <w:t xml:space="preserve"> </w:t>
      </w:r>
      <w:proofErr w:type="spellStart"/>
      <w:r w:rsidRPr="0001496F">
        <w:rPr>
          <w:rFonts w:ascii="Times New Roman" w:hAnsi="Times New Roman" w:cs="Times New Roman"/>
          <w:i/>
          <w:sz w:val="20"/>
          <w:szCs w:val="20"/>
          <w:lang w:val="en-US"/>
        </w:rPr>
        <w:t>Ibidem</w:t>
      </w:r>
      <w:proofErr w:type="spellEnd"/>
      <w:r w:rsidRPr="0001496F">
        <w:rPr>
          <w:rFonts w:ascii="Times New Roman" w:hAnsi="Times New Roman" w:cs="Times New Roman"/>
          <w:sz w:val="20"/>
          <w:szCs w:val="20"/>
          <w:lang w:val="en-US"/>
        </w:rPr>
        <w:t xml:space="preserve">, p. 39. </w:t>
      </w:r>
      <w:r w:rsidRPr="0001496F">
        <w:rPr>
          <w:rFonts w:ascii="Times New Roman" w:hAnsi="Times New Roman" w:cs="Times New Roman"/>
          <w:sz w:val="20"/>
          <w:szCs w:val="20"/>
          <w:lang w:val="fr-BE"/>
        </w:rPr>
        <w:t xml:space="preserve">Lors du Focus group du 23 octobre 2019, un magistrat a insisté sur le fait que tant les déclarations relatives aux faits commis par le tiers dénoncé que celles relatives aux faits commis par le collaborateur devaient être complètes. Un autre magistrat et un professeur estimaient en revanche que l’exigence de complétude et de sincérité devait se limiter aux faits commis par le tiers dénoncé (et ce pour maintenir le respect du droit au silence). </w:t>
      </w:r>
    </w:p>
  </w:footnote>
  <w:footnote w:id="180">
    <w:p w14:paraId="1CFE4251" w14:textId="7AAB54E1"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86.</w:t>
      </w:r>
    </w:p>
  </w:footnote>
  <w:footnote w:id="181">
    <w:p w14:paraId="6142DEFD"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n°3016/4, p. 76.</w:t>
      </w:r>
    </w:p>
  </w:footnote>
  <w:footnote w:id="182">
    <w:p w14:paraId="5D716746" w14:textId="77777777" w:rsidR="00D13CFE" w:rsidRPr="0001496F" w:rsidRDefault="00D13CFE" w:rsidP="0001496F">
      <w:pPr>
        <w:pStyle w:val="Notedebasdepage"/>
        <w:jc w:val="both"/>
        <w:rPr>
          <w:rFonts w:ascii="Times New Roman" w:hAnsi="Times New Roman" w:cs="Times New Roman"/>
          <w:sz w:val="20"/>
          <w:szCs w:val="20"/>
          <w:lang w:val="en-US"/>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en-US"/>
        </w:rPr>
        <w:t xml:space="preserve"> </w:t>
      </w:r>
      <w:r w:rsidRPr="0001496F">
        <w:rPr>
          <w:rFonts w:ascii="Times New Roman" w:hAnsi="Times New Roman" w:cs="Times New Roman"/>
          <w:i/>
          <w:sz w:val="20"/>
          <w:szCs w:val="20"/>
          <w:lang w:val="en-US"/>
        </w:rPr>
        <w:t>Doc.</w:t>
      </w:r>
      <w:r w:rsidRPr="0001496F">
        <w:rPr>
          <w:rFonts w:ascii="Times New Roman" w:hAnsi="Times New Roman" w:cs="Times New Roman"/>
          <w:sz w:val="20"/>
          <w:szCs w:val="20"/>
          <w:lang w:val="en-US"/>
        </w:rPr>
        <w:t>, Ch., 2017-2018, n°3016/4, p. 58.</w:t>
      </w:r>
    </w:p>
  </w:footnote>
  <w:footnote w:id="183">
    <w:p w14:paraId="6293E0B0"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xml:space="preserve">, Ch., 2017-2018, n°3016/1, p. </w:t>
      </w:r>
      <w:proofErr w:type="gramStart"/>
      <w:r w:rsidRPr="0001496F">
        <w:rPr>
          <w:rFonts w:ascii="Times New Roman" w:hAnsi="Times New Roman" w:cs="Times New Roman"/>
          <w:sz w:val="20"/>
          <w:szCs w:val="20"/>
          <w:lang w:val="pt-BR"/>
        </w:rPr>
        <w:t>28 ;</w:t>
      </w:r>
      <w:proofErr w:type="gramEnd"/>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n°3016/4, p. 81.</w:t>
      </w:r>
    </w:p>
  </w:footnote>
  <w:footnote w:id="184">
    <w:p w14:paraId="5E1FAE3B"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Comme le souligne le Collège des procureurs généraux dans leur avis, le terme « procureur du Roi » devrait être remplacé par le terme « magistrat du ministère public » puisque « le recours aux repentis peut s’envisager au niveau de toutes les entités du ministère public »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Ch., 2017-2018, n°3016/1, p. 151).</w:t>
      </w:r>
      <w:r w:rsidRPr="0001496F">
        <w:rPr>
          <w:rFonts w:ascii="Times New Roman" w:hAnsi="Times New Roman" w:cs="Times New Roman"/>
          <w:sz w:val="20"/>
          <w:szCs w:val="20"/>
        </w:rPr>
        <w:t xml:space="preserve"> De plus, </w:t>
      </w:r>
      <w:r w:rsidRPr="0001496F">
        <w:rPr>
          <w:rFonts w:ascii="Times New Roman" w:hAnsi="Times New Roman" w:cs="Times New Roman"/>
          <w:i/>
          <w:sz w:val="20"/>
          <w:szCs w:val="20"/>
        </w:rPr>
        <w:t>plusieurs</w:t>
      </w:r>
      <w:r w:rsidRPr="0001496F">
        <w:rPr>
          <w:rFonts w:ascii="Times New Roman" w:hAnsi="Times New Roman" w:cs="Times New Roman"/>
          <w:sz w:val="20"/>
          <w:szCs w:val="20"/>
        </w:rPr>
        <w:t xml:space="preserve"> magistrats du ministère public peuvent être concernés (si le collaborateur dénonce plusieurs faits commis par différentes personnes et à différents endroits).</w:t>
      </w:r>
    </w:p>
  </w:footnote>
  <w:footnote w:id="185">
    <w:p w14:paraId="006BF5AA"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iCs/>
          <w:sz w:val="20"/>
          <w:szCs w:val="20"/>
        </w:rPr>
        <w:t>P</w:t>
      </w:r>
      <w:r w:rsidRPr="0001496F">
        <w:rPr>
          <w:rFonts w:ascii="Times New Roman" w:hAnsi="Times New Roman" w:cs="Times New Roman"/>
          <w:i/>
          <w:sz w:val="20"/>
          <w:szCs w:val="20"/>
        </w:rPr>
        <w:t>lusieurs</w:t>
      </w:r>
      <w:r w:rsidRPr="0001496F">
        <w:rPr>
          <w:rFonts w:ascii="Times New Roman" w:hAnsi="Times New Roman" w:cs="Times New Roman"/>
          <w:sz w:val="20"/>
          <w:szCs w:val="20"/>
        </w:rPr>
        <w:t xml:space="preserve"> magistrats du ministère public peuvent être concernés (si le collaborateur a commis différents faits à différents endroits).</w:t>
      </w:r>
    </w:p>
  </w:footnote>
  <w:footnote w:id="186">
    <w:p w14:paraId="48BC2145"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L’article art. 216/2, § 1</w:t>
      </w:r>
      <w:r w:rsidRPr="0001496F">
        <w:rPr>
          <w:rFonts w:ascii="Times New Roman" w:hAnsi="Times New Roman" w:cs="Times New Roman"/>
          <w:sz w:val="20"/>
          <w:szCs w:val="20"/>
          <w:vertAlign w:val="superscript"/>
        </w:rPr>
        <w:t>er</w:t>
      </w:r>
      <w:r w:rsidRPr="0001496F">
        <w:rPr>
          <w:rFonts w:ascii="Times New Roman" w:hAnsi="Times New Roman" w:cs="Times New Roman"/>
          <w:sz w:val="20"/>
          <w:szCs w:val="20"/>
        </w:rPr>
        <w:t xml:space="preserve">, 4° du C. i. </w:t>
      </w:r>
      <w:proofErr w:type="spellStart"/>
      <w:r w:rsidRPr="0001496F">
        <w:rPr>
          <w:rFonts w:ascii="Times New Roman" w:hAnsi="Times New Roman" w:cs="Times New Roman"/>
          <w:sz w:val="20"/>
          <w:szCs w:val="20"/>
        </w:rPr>
        <w:t>cr</w:t>
      </w:r>
      <w:proofErr w:type="spellEnd"/>
      <w:r w:rsidRPr="0001496F">
        <w:rPr>
          <w:rFonts w:ascii="Times New Roman" w:hAnsi="Times New Roman" w:cs="Times New Roman"/>
          <w:sz w:val="20"/>
          <w:szCs w:val="20"/>
        </w:rPr>
        <w:t xml:space="preserve">. </w:t>
      </w:r>
      <w:proofErr w:type="gramStart"/>
      <w:r w:rsidRPr="0001496F">
        <w:rPr>
          <w:rFonts w:ascii="Times New Roman" w:hAnsi="Times New Roman" w:cs="Times New Roman"/>
          <w:sz w:val="20"/>
          <w:szCs w:val="20"/>
        </w:rPr>
        <w:t>précise</w:t>
      </w:r>
      <w:proofErr w:type="gramEnd"/>
      <w:r w:rsidRPr="0001496F">
        <w:rPr>
          <w:rFonts w:ascii="Times New Roman" w:hAnsi="Times New Roman" w:cs="Times New Roman"/>
          <w:sz w:val="20"/>
          <w:szCs w:val="20"/>
        </w:rPr>
        <w:t xml:space="preserve"> que les six dernières mentions doivent faire l’objet d’une indication « précise et détaillée ». </w:t>
      </w:r>
    </w:p>
  </w:footnote>
  <w:footnote w:id="187">
    <w:p w14:paraId="74553BD7"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p. 391.</w:t>
      </w:r>
    </w:p>
  </w:footnote>
  <w:footnote w:id="188">
    <w:p w14:paraId="04E5A25E"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Pour que la teneur de la promesse soit précise et détaillée, il aurait pu être intéressant de nommer l’établissement concerné par le placement ou le transfèrement. Cependant, il ne faut pas oublier que le tiers dénoncé a accès au mémorandum (</w:t>
      </w:r>
      <w:r w:rsidRPr="0001496F">
        <w:rPr>
          <w:rFonts w:ascii="Times New Roman" w:hAnsi="Times New Roman" w:cs="Times New Roman"/>
          <w:i/>
          <w:sz w:val="20"/>
          <w:szCs w:val="20"/>
        </w:rPr>
        <w:t>cf. infra</w:t>
      </w:r>
      <w:r w:rsidRPr="0001496F">
        <w:rPr>
          <w:rFonts w:ascii="Times New Roman" w:hAnsi="Times New Roman" w:cs="Times New Roman"/>
          <w:sz w:val="20"/>
          <w:szCs w:val="20"/>
        </w:rPr>
        <w:t xml:space="preserve"> 2.6). Cette information pourrait donc faciliter les mesures de représailles. </w:t>
      </w:r>
    </w:p>
  </w:footnote>
  <w:footnote w:id="189">
    <w:p w14:paraId="78929BFA"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Pour la détermination de ces quatre conditions générales, l’article 216/2, §1</w:t>
      </w:r>
      <w:r w:rsidRPr="0001496F">
        <w:rPr>
          <w:rFonts w:ascii="Times New Roman" w:hAnsi="Times New Roman" w:cs="Times New Roman"/>
          <w:sz w:val="20"/>
          <w:szCs w:val="20"/>
          <w:vertAlign w:val="superscript"/>
        </w:rPr>
        <w:t>er</w:t>
      </w:r>
      <w:r w:rsidRPr="0001496F">
        <w:rPr>
          <w:rFonts w:ascii="Times New Roman" w:hAnsi="Times New Roman" w:cs="Times New Roman"/>
          <w:sz w:val="20"/>
          <w:szCs w:val="20"/>
        </w:rPr>
        <w:t xml:space="preserve">, 4°, d) du C. i. </w:t>
      </w:r>
      <w:proofErr w:type="spellStart"/>
      <w:r w:rsidRPr="0001496F">
        <w:rPr>
          <w:rFonts w:ascii="Times New Roman" w:hAnsi="Times New Roman" w:cs="Times New Roman"/>
          <w:sz w:val="20"/>
          <w:szCs w:val="20"/>
        </w:rPr>
        <w:t>cr</w:t>
      </w:r>
      <w:proofErr w:type="spellEnd"/>
      <w:r w:rsidRPr="0001496F">
        <w:rPr>
          <w:rFonts w:ascii="Times New Roman" w:hAnsi="Times New Roman" w:cs="Times New Roman"/>
          <w:sz w:val="20"/>
          <w:szCs w:val="20"/>
        </w:rPr>
        <w:t xml:space="preserve">. </w:t>
      </w:r>
      <w:proofErr w:type="gramStart"/>
      <w:r w:rsidRPr="0001496F">
        <w:rPr>
          <w:rFonts w:ascii="Times New Roman" w:hAnsi="Times New Roman" w:cs="Times New Roman"/>
          <w:sz w:val="20"/>
          <w:szCs w:val="20"/>
        </w:rPr>
        <w:t>renvoie</w:t>
      </w:r>
      <w:proofErr w:type="gramEnd"/>
      <w:r w:rsidRPr="0001496F">
        <w:rPr>
          <w:rFonts w:ascii="Times New Roman" w:hAnsi="Times New Roman" w:cs="Times New Roman"/>
          <w:sz w:val="20"/>
          <w:szCs w:val="20"/>
        </w:rPr>
        <w:t xml:space="preserve"> à l’article 216/3, §1</w:t>
      </w:r>
      <w:r w:rsidRPr="0001496F">
        <w:rPr>
          <w:rFonts w:ascii="Times New Roman" w:hAnsi="Times New Roman" w:cs="Times New Roman"/>
          <w:sz w:val="20"/>
          <w:szCs w:val="20"/>
          <w:vertAlign w:val="superscript"/>
        </w:rPr>
        <w:t>er</w:t>
      </w:r>
      <w:r w:rsidRPr="0001496F">
        <w:rPr>
          <w:rFonts w:ascii="Times New Roman" w:hAnsi="Times New Roman" w:cs="Times New Roman"/>
          <w:sz w:val="20"/>
          <w:szCs w:val="20"/>
        </w:rPr>
        <w:t xml:space="preserve"> , 2° à 5° du même code.</w:t>
      </w:r>
    </w:p>
  </w:footnote>
  <w:footnote w:id="190">
    <w:p w14:paraId="2B76CFFD" w14:textId="77777777"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Ch., 2017-2018, n°3016/1, p. 40 et 87.</w:t>
      </w:r>
    </w:p>
  </w:footnote>
  <w:footnote w:id="191">
    <w:p w14:paraId="0815F4A8" w14:textId="65AB2966"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lang w:val="fr-BE"/>
        </w:rPr>
        <w:t>, p. 92.</w:t>
      </w:r>
    </w:p>
  </w:footnote>
  <w:footnote w:id="192">
    <w:p w14:paraId="4D57790B" w14:textId="68CD6300"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43 et 44.</w:t>
      </w:r>
    </w:p>
  </w:footnote>
  <w:footnote w:id="193">
    <w:p w14:paraId="2FCB74B0"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p. 392.</w:t>
      </w:r>
    </w:p>
  </w:footnote>
  <w:footnote w:id="194">
    <w:p w14:paraId="2B4847AD"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Ch., 2017-2018, n°3016/1, p. 151.</w:t>
      </w:r>
      <w:r w:rsidRPr="0001496F">
        <w:rPr>
          <w:rFonts w:ascii="Times New Roman" w:hAnsi="Times New Roman" w:cs="Times New Roman"/>
          <w:sz w:val="20"/>
          <w:szCs w:val="20"/>
        </w:rPr>
        <w:t xml:space="preserve"> Il nous semble que dans certaines situations, plus de deux magistrats pourraient être impliqués (le collaborateur a commis plusieurs infractions et il dénonce plusieurs tiers qui eux-mêmes ont commis plusieurs infractions).</w:t>
      </w:r>
    </w:p>
  </w:footnote>
  <w:footnote w:id="195">
    <w:p w14:paraId="0EF2731F"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Positions tenues par les intervenants du Focus group du 23 octobre 2019.</w:t>
      </w:r>
    </w:p>
  </w:footnote>
  <w:footnote w:id="196">
    <w:p w14:paraId="06371361"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Positions tenues par les avocats et des magistrats du Focus group du 23 octobre 2019. Un magistrat estime cependant que si le mémorandum n’est pas signé, les informations récoltées pourraient être utilisées par lui. </w:t>
      </w:r>
    </w:p>
  </w:footnote>
  <w:footnote w:id="197">
    <w:p w14:paraId="09EF1CAD"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Le Collège des procureurs généraux estime qu’en cas de collaboration externe, les avis négatifs viendront majoritairement du « procureur général du ressort où la promesse devra être exécutée » (</w:t>
      </w:r>
      <w:r w:rsidRPr="0001496F">
        <w:rPr>
          <w:rFonts w:ascii="Times New Roman" w:hAnsi="Times New Roman" w:cs="Times New Roman"/>
          <w:i/>
          <w:sz w:val="20"/>
          <w:szCs w:val="20"/>
        </w:rPr>
        <w:t>Doc.</w:t>
      </w:r>
      <w:r w:rsidRPr="0001496F">
        <w:rPr>
          <w:rFonts w:ascii="Times New Roman" w:hAnsi="Times New Roman" w:cs="Times New Roman"/>
          <w:sz w:val="20"/>
          <w:szCs w:val="20"/>
        </w:rPr>
        <w:t xml:space="preserve">, Ch., 2017-2018, n°3016/4, p. 52). L’exigence d’un consensus permet donc d’éviter que la promesse soit mise en œuvre par le ministère public qui s’y oppose, ce qui aurait été problématique pour la politique criminelle du ressort concerné. </w:t>
      </w:r>
    </w:p>
  </w:footnote>
  <w:footnote w:id="198">
    <w:p w14:paraId="352BC14F"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p. 389.</w:t>
      </w:r>
    </w:p>
  </w:footnote>
  <w:footnote w:id="199">
    <w:p w14:paraId="6AA3D0D5" w14:textId="2016F1E4" w:rsidR="00D13CFE" w:rsidRPr="0001496F" w:rsidRDefault="00D13CFE" w:rsidP="0001496F">
      <w:pPr>
        <w:pStyle w:val="Notedebasdepage"/>
        <w:jc w:val="both"/>
        <w:rPr>
          <w:rFonts w:ascii="Times New Roman" w:hAnsi="Times New Roman" w:cs="Times New Roman"/>
          <w:sz w:val="20"/>
          <w:szCs w:val="20"/>
          <w:lang w:val="en-US"/>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en-US"/>
        </w:rPr>
        <w:t xml:space="preserve"> </w:t>
      </w:r>
      <w:bookmarkStart w:id="2" w:name="_Hlk19175995"/>
      <w:proofErr w:type="spellStart"/>
      <w:r w:rsidRPr="0001496F">
        <w:rPr>
          <w:rFonts w:ascii="Times New Roman" w:hAnsi="Times New Roman" w:cs="Times New Roman"/>
          <w:i/>
          <w:sz w:val="20"/>
          <w:szCs w:val="20"/>
          <w:lang w:val="en-US"/>
        </w:rPr>
        <w:t>Ibidem</w:t>
      </w:r>
      <w:proofErr w:type="spellEnd"/>
      <w:r w:rsidRPr="0001496F">
        <w:rPr>
          <w:rFonts w:ascii="Times New Roman" w:hAnsi="Times New Roman" w:cs="Times New Roman"/>
          <w:sz w:val="20"/>
          <w:szCs w:val="20"/>
          <w:lang w:val="en-US"/>
        </w:rPr>
        <w:t xml:space="preserve">, p. </w:t>
      </w:r>
      <w:bookmarkEnd w:id="2"/>
      <w:proofErr w:type="gramStart"/>
      <w:r w:rsidRPr="0001496F">
        <w:rPr>
          <w:rFonts w:ascii="Times New Roman" w:hAnsi="Times New Roman" w:cs="Times New Roman"/>
          <w:sz w:val="20"/>
          <w:szCs w:val="20"/>
          <w:lang w:val="en-US"/>
        </w:rPr>
        <w:t>389 ;</w:t>
      </w:r>
      <w:proofErr w:type="gramEnd"/>
      <w:r w:rsidRPr="0001496F">
        <w:rPr>
          <w:rFonts w:ascii="Times New Roman" w:hAnsi="Times New Roman" w:cs="Times New Roman"/>
          <w:sz w:val="20"/>
          <w:szCs w:val="20"/>
          <w:lang w:val="en-US"/>
        </w:rPr>
        <w:t xml:space="preserve"> </w:t>
      </w:r>
      <w:r w:rsidRPr="0001496F">
        <w:rPr>
          <w:rFonts w:ascii="Times New Roman" w:hAnsi="Times New Roman" w:cs="Times New Roman"/>
          <w:i/>
          <w:sz w:val="20"/>
          <w:szCs w:val="20"/>
          <w:lang w:val="en-US"/>
        </w:rPr>
        <w:t>Doc.</w:t>
      </w:r>
      <w:r w:rsidRPr="0001496F">
        <w:rPr>
          <w:rFonts w:ascii="Times New Roman" w:hAnsi="Times New Roman" w:cs="Times New Roman"/>
          <w:sz w:val="20"/>
          <w:szCs w:val="20"/>
          <w:lang w:val="en-US"/>
        </w:rPr>
        <w:t>, Ch., 2017-2018, n°3016/1, p. 29.</w:t>
      </w:r>
    </w:p>
  </w:footnote>
  <w:footnote w:id="200">
    <w:p w14:paraId="298F731E"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bookmarkStart w:id="3" w:name="_Hlk20383062"/>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Ch., 2017-2018, n°3016/1, p.</w:t>
      </w:r>
      <w:bookmarkEnd w:id="3"/>
      <w:r w:rsidRPr="0001496F">
        <w:rPr>
          <w:rFonts w:ascii="Times New Roman" w:hAnsi="Times New Roman" w:cs="Times New Roman"/>
          <w:sz w:val="20"/>
          <w:szCs w:val="20"/>
          <w:lang w:val="fr-BE"/>
        </w:rPr>
        <w:t xml:space="preserve"> 29.</w:t>
      </w:r>
    </w:p>
  </w:footnote>
  <w:footnote w:id="201">
    <w:p w14:paraId="7F400369"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p. 389 et 390.</w:t>
      </w:r>
    </w:p>
  </w:footnote>
  <w:footnote w:id="202">
    <w:p w14:paraId="55CFD837"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xml:space="preserve">, Ch., 2017-2018, n°3016/4, p. 23 et 36. </w:t>
      </w:r>
      <w:r w:rsidRPr="0001496F">
        <w:rPr>
          <w:rFonts w:ascii="Times New Roman" w:hAnsi="Times New Roman" w:cs="Times New Roman"/>
          <w:sz w:val="20"/>
          <w:szCs w:val="20"/>
        </w:rPr>
        <w:t>Cet avis du juge d’instruction serait utile si l’on souhaite que le principe de pondération permette une plus importante réduction de peine si, sans l’auto-incrimination du collaborateur, celui-ci n’aurait probablement pas été poursuivi et condamné faute de preuves.</w:t>
      </w:r>
    </w:p>
  </w:footnote>
  <w:footnote w:id="203">
    <w:p w14:paraId="21A6A69A"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n°3016/4, p. 12.</w:t>
      </w:r>
    </w:p>
  </w:footnote>
  <w:footnote w:id="204">
    <w:p w14:paraId="115215A6"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n°3016/1, p. 56.</w:t>
      </w:r>
    </w:p>
  </w:footnote>
  <w:footnote w:id="205">
    <w:p w14:paraId="15154185" w14:textId="6384642B"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56.</w:t>
      </w:r>
    </w:p>
  </w:footnote>
  <w:footnote w:id="206">
    <w:p w14:paraId="6B7F5857" w14:textId="4478459D"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Lors du Focus group du 23 octobre 2019, un magistrat a indiqué que si le parquet réalise que les conditions prévues au mémorandum ne sont pas respectées, il ne va pas demander l’homologation de celui-ci. Cette position a été critiquée par d’autres magistrats, des avocats et des professeurs puisque dans ce cas le parquet serait juge et partie. </w:t>
      </w:r>
    </w:p>
  </w:footnote>
  <w:footnote w:id="207">
    <w:p w14:paraId="0F6CF752"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Les travaux préparatoires ont fait référence à l’arrêt de la Cour constitutionnelle concernant la transaction pénale pour justifier la nécessité de ce contrôle juridictionnel (</w:t>
      </w:r>
      <w:r w:rsidRPr="0001496F">
        <w:rPr>
          <w:rFonts w:ascii="Times New Roman" w:hAnsi="Times New Roman" w:cs="Times New Roman"/>
          <w:i/>
          <w:sz w:val="20"/>
          <w:szCs w:val="20"/>
        </w:rPr>
        <w:t>Doc</w:t>
      </w:r>
      <w:r w:rsidRPr="0001496F">
        <w:rPr>
          <w:rFonts w:ascii="Times New Roman" w:hAnsi="Times New Roman" w:cs="Times New Roman"/>
          <w:sz w:val="20"/>
          <w:szCs w:val="20"/>
        </w:rPr>
        <w:t xml:space="preserve">., Ch., 2017-2018, n°3016/1, p. 35 ; C.C., 2 juin 2016, n°83/2016, cons. B.11. </w:t>
      </w:r>
      <w:proofErr w:type="gramStart"/>
      <w:r w:rsidRPr="0001496F">
        <w:rPr>
          <w:rFonts w:ascii="Times New Roman" w:hAnsi="Times New Roman" w:cs="Times New Roman"/>
          <w:sz w:val="20"/>
          <w:szCs w:val="20"/>
        </w:rPr>
        <w:t>et</w:t>
      </w:r>
      <w:proofErr w:type="gramEnd"/>
      <w:r w:rsidRPr="0001496F">
        <w:rPr>
          <w:rFonts w:ascii="Times New Roman" w:hAnsi="Times New Roman" w:cs="Times New Roman"/>
          <w:sz w:val="20"/>
          <w:szCs w:val="20"/>
        </w:rPr>
        <w:t xml:space="preserve"> B.12.4.).</w:t>
      </w:r>
    </w:p>
  </w:footnote>
  <w:footnote w:id="208">
    <w:p w14:paraId="6258C60D"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p. 393. La loi du 22 juillet 2018 s’est calquée sur la procédure d’homologation prévue dans le cadre de la transaction, de la médiation et de la reconnaissance préalable de culpabilité.</w:t>
      </w:r>
    </w:p>
  </w:footnote>
  <w:footnote w:id="209">
    <w:p w14:paraId="02B2C295"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Dans la pratique, il semble que la chambre du conseil sera amenée à homologuer la majorité des accords (position tenue par des magistrats lors du Focus group du 23 octobre 2019).</w:t>
      </w:r>
    </w:p>
  </w:footnote>
  <w:footnote w:id="210">
    <w:p w14:paraId="1EDF8A26"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xml:space="preserve">, p. 393 ;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n°3016/4, p. 83.</w:t>
      </w:r>
    </w:p>
  </w:footnote>
  <w:footnote w:id="211">
    <w:p w14:paraId="00C39A3E"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En ce qui concerne la promesse relative à l’action publique, il est difficile d’envisager un « niveau inférieur » à une mesure à durée indéterminée. </w:t>
      </w:r>
    </w:p>
  </w:footnote>
  <w:footnote w:id="212">
    <w:p w14:paraId="6B00FD1C"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p. 394.</w:t>
      </w:r>
    </w:p>
  </w:footnote>
  <w:footnote w:id="213">
    <w:p w14:paraId="1FFB0B0B"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35 et 50.</w:t>
      </w:r>
    </w:p>
  </w:footnote>
  <w:footnote w:id="214">
    <w:p w14:paraId="7CE36B5A" w14:textId="5815CE8C"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Si la promesse a été homologuée par la juridiction d’instruction, celle-ci renvoie l’affaire devant le tribunal ou la cour compétent(e) (C. i.cr., art. 216/5, § 3, al. 2). Le cas échéant, le tribunal ou la cour statue sur les intérêts civils (C. i.cr., art. 216/5, § 4).</w:t>
      </w:r>
    </w:p>
  </w:footnote>
  <w:footnote w:id="215">
    <w:p w14:paraId="50DEEB6A"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n°3016/1, p. 85.</w:t>
      </w:r>
    </w:p>
  </w:footnote>
  <w:footnote w:id="216">
    <w:p w14:paraId="6EF89871" w14:textId="5F611B3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85.</w:t>
      </w:r>
    </w:p>
  </w:footnote>
  <w:footnote w:id="217">
    <w:p w14:paraId="6B1AA471" w14:textId="44578FAB"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51.</w:t>
      </w:r>
    </w:p>
  </w:footnote>
  <w:footnote w:id="218">
    <w:p w14:paraId="293D957A"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Position tenue par un magistrat et critiquée par un avocat lors du Focus group du 23 octobre 2019.</w:t>
      </w:r>
    </w:p>
  </w:footnote>
  <w:footnote w:id="219">
    <w:p w14:paraId="3A9C30CD"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n°3016/4, p. 83.</w:t>
      </w:r>
    </w:p>
  </w:footnote>
  <w:footnote w:id="220">
    <w:p w14:paraId="15090D41" w14:textId="4B3A215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29 et 43.</w:t>
      </w:r>
    </w:p>
  </w:footnote>
  <w:footnote w:id="221">
    <w:p w14:paraId="174E35DB"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Selon les travaux préparatoires, la promesse est toujours assortie d’une « condition résolutoire »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33).</w:t>
      </w:r>
    </w:p>
  </w:footnote>
  <w:footnote w:id="222">
    <w:p w14:paraId="2E74D1B9"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n°3016/4, p. 53. Si l’absence d’indemnisation découle d’une de ces circonstances, il serait pertinent d’envisager l’intervention du Fonds spécial d’aide aux victimes d’actes intentionnels de violence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n°3016/4, p. 77).</w:t>
      </w:r>
    </w:p>
  </w:footnote>
  <w:footnote w:id="223">
    <w:p w14:paraId="529E84C4"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n°3016/1, p. 91.</w:t>
      </w:r>
    </w:p>
  </w:footnote>
  <w:footnote w:id="224">
    <w:p w14:paraId="265835E3" w14:textId="6626DC5A"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52.</w:t>
      </w:r>
    </w:p>
  </w:footnote>
  <w:footnote w:id="225">
    <w:p w14:paraId="21180169"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Est-il satisfaisant de prévoir que si la promesse a été faite par une juridiction d’instruction, ce soit celle-ci qui entende les protagonistes mais que la décision de révocation soit prise par la cour ou le tribunal ? Les protagonistes n’auraient-ils pas dû être entendus par cette cour ou ce tribunal ? </w:t>
      </w:r>
    </w:p>
  </w:footnote>
  <w:footnote w:id="226">
    <w:p w14:paraId="30FAD89C" w14:textId="77777777"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Il aurait été plus adéquat de prévoir l’audition de la victime uniquement si ce sont les conditions qui ont été imposées dans son intérêt qui ont été violées.</w:t>
      </w:r>
    </w:p>
  </w:footnote>
  <w:footnote w:id="227">
    <w:p w14:paraId="2254ACBE"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Nous supposons que ce délai débute à la date de la signature du mémorandum. </w:t>
      </w:r>
    </w:p>
  </w:footnote>
  <w:footnote w:id="228">
    <w:p w14:paraId="2573C739" w14:textId="77777777"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Ch., 2017-2018, n°3016/1, p. 44, nous soulignons.</w:t>
      </w:r>
    </w:p>
  </w:footnote>
  <w:footnote w:id="229">
    <w:p w14:paraId="65AE9325" w14:textId="77777777"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Si l’homologation a été faite par une Cour d’assises, cette « cour, sans jury, se prononce de manière motivée sur l’application » de la peine de substitution </w:t>
      </w:r>
      <w:r w:rsidRPr="0001496F">
        <w:rPr>
          <w:rFonts w:ascii="Times New Roman" w:hAnsi="Times New Roman" w:cs="Times New Roman"/>
          <w:sz w:val="20"/>
          <w:szCs w:val="20"/>
          <w:lang w:val="fr-BE"/>
        </w:rPr>
        <w:t xml:space="preserve">(C. i. </w:t>
      </w:r>
      <w:proofErr w:type="spellStart"/>
      <w:r w:rsidRPr="0001496F">
        <w:rPr>
          <w:rFonts w:ascii="Times New Roman" w:hAnsi="Times New Roman" w:cs="Times New Roman"/>
          <w:sz w:val="20"/>
          <w:szCs w:val="20"/>
          <w:lang w:val="fr-BE"/>
        </w:rPr>
        <w:t>cr</w:t>
      </w:r>
      <w:proofErr w:type="spellEnd"/>
      <w:r w:rsidRPr="0001496F">
        <w:rPr>
          <w:rFonts w:ascii="Times New Roman" w:hAnsi="Times New Roman" w:cs="Times New Roman"/>
          <w:sz w:val="20"/>
          <w:szCs w:val="20"/>
          <w:lang w:val="fr-BE"/>
        </w:rPr>
        <w:t>., art. 346/1).</w:t>
      </w:r>
    </w:p>
  </w:footnote>
  <w:footnote w:id="230">
    <w:p w14:paraId="754FF08B"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n°3016/1, p. 46.</w:t>
      </w:r>
    </w:p>
  </w:footnote>
  <w:footnote w:id="231">
    <w:p w14:paraId="16CBF93D" w14:textId="65CFAEA8"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45.</w:t>
      </w:r>
    </w:p>
  </w:footnote>
  <w:footnote w:id="232">
    <w:p w14:paraId="2A254CA3" w14:textId="327F07A6"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xml:space="preserve">, p. </w:t>
      </w:r>
      <w:proofErr w:type="gramStart"/>
      <w:r w:rsidRPr="0001496F">
        <w:rPr>
          <w:rFonts w:ascii="Times New Roman" w:hAnsi="Times New Roman" w:cs="Times New Roman"/>
          <w:sz w:val="20"/>
          <w:szCs w:val="20"/>
          <w:lang w:val="pt-BR"/>
        </w:rPr>
        <w:t>45 ;</w:t>
      </w:r>
      <w:proofErr w:type="gramEnd"/>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xml:space="preserve">., Ch., 2017-2018, n°3016/4, p. 23. </w:t>
      </w:r>
      <w:proofErr w:type="spellStart"/>
      <w:r w:rsidRPr="0001496F">
        <w:rPr>
          <w:rFonts w:ascii="Times New Roman" w:hAnsi="Times New Roman" w:cs="Times New Roman"/>
          <w:sz w:val="20"/>
          <w:szCs w:val="20"/>
        </w:rPr>
        <w:t>Voy</w:t>
      </w:r>
      <w:proofErr w:type="spellEnd"/>
      <w:r w:rsidRPr="0001496F">
        <w:rPr>
          <w:rFonts w:ascii="Times New Roman" w:hAnsi="Times New Roman" w:cs="Times New Roman"/>
          <w:sz w:val="20"/>
          <w:szCs w:val="20"/>
        </w:rPr>
        <w:t xml:space="preserve">. </w:t>
      </w:r>
      <w:proofErr w:type="gramStart"/>
      <w:r w:rsidRPr="0001496F">
        <w:rPr>
          <w:rFonts w:ascii="Times New Roman" w:hAnsi="Times New Roman" w:cs="Times New Roman"/>
          <w:sz w:val="20"/>
          <w:szCs w:val="20"/>
        </w:rPr>
        <w:t>dans</w:t>
      </w:r>
      <w:proofErr w:type="gramEnd"/>
      <w:r w:rsidRPr="0001496F">
        <w:rPr>
          <w:rFonts w:ascii="Times New Roman" w:hAnsi="Times New Roman" w:cs="Times New Roman"/>
          <w:sz w:val="20"/>
          <w:szCs w:val="20"/>
        </w:rPr>
        <w:t xml:space="preserve"> le même sens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Quelques réflexions à propos de la prescription de l’action publique et des ‘repentis’ ou collaborateurs de justice », </w:t>
      </w:r>
      <w:proofErr w:type="spellStart"/>
      <w:r w:rsidRPr="0001496F">
        <w:rPr>
          <w:rFonts w:ascii="Times New Roman" w:hAnsi="Times New Roman" w:cs="Times New Roman"/>
          <w:i/>
          <w:sz w:val="20"/>
          <w:szCs w:val="20"/>
        </w:rPr>
        <w:t>Rev</w:t>
      </w:r>
      <w:proofErr w:type="spellEnd"/>
      <w:r w:rsidRPr="0001496F">
        <w:rPr>
          <w:rFonts w:ascii="Times New Roman" w:hAnsi="Times New Roman" w:cs="Times New Roman"/>
          <w:i/>
          <w:sz w:val="20"/>
          <w:szCs w:val="20"/>
        </w:rPr>
        <w:t xml:space="preserve">. </w:t>
      </w:r>
      <w:proofErr w:type="spellStart"/>
      <w:r w:rsidRPr="0001496F">
        <w:rPr>
          <w:rFonts w:ascii="Times New Roman" w:hAnsi="Times New Roman" w:cs="Times New Roman"/>
          <w:i/>
          <w:sz w:val="20"/>
          <w:szCs w:val="20"/>
        </w:rPr>
        <w:t>dr</w:t>
      </w:r>
      <w:proofErr w:type="spellEnd"/>
      <w:r w:rsidRPr="0001496F">
        <w:rPr>
          <w:rFonts w:ascii="Times New Roman" w:hAnsi="Times New Roman" w:cs="Times New Roman"/>
          <w:i/>
          <w:sz w:val="20"/>
          <w:szCs w:val="20"/>
        </w:rPr>
        <w:t xml:space="preserve">. </w:t>
      </w:r>
      <w:proofErr w:type="spellStart"/>
      <w:r w:rsidRPr="0001496F">
        <w:rPr>
          <w:rFonts w:ascii="Times New Roman" w:hAnsi="Times New Roman" w:cs="Times New Roman"/>
          <w:i/>
          <w:sz w:val="20"/>
          <w:szCs w:val="20"/>
        </w:rPr>
        <w:t>pén</w:t>
      </w:r>
      <w:proofErr w:type="spellEnd"/>
      <w:r w:rsidRPr="0001496F">
        <w:rPr>
          <w:rFonts w:ascii="Times New Roman" w:hAnsi="Times New Roman" w:cs="Times New Roman"/>
          <w:i/>
          <w:sz w:val="20"/>
          <w:szCs w:val="20"/>
        </w:rPr>
        <w:t xml:space="preserve">. </w:t>
      </w:r>
      <w:proofErr w:type="spellStart"/>
      <w:r w:rsidRPr="0001496F">
        <w:rPr>
          <w:rFonts w:ascii="Times New Roman" w:hAnsi="Times New Roman" w:cs="Times New Roman"/>
          <w:i/>
          <w:sz w:val="20"/>
          <w:szCs w:val="20"/>
        </w:rPr>
        <w:t>crim</w:t>
      </w:r>
      <w:proofErr w:type="spellEnd"/>
      <w:r w:rsidRPr="0001496F">
        <w:rPr>
          <w:rFonts w:ascii="Times New Roman" w:hAnsi="Times New Roman" w:cs="Times New Roman"/>
          <w:i/>
          <w:sz w:val="20"/>
          <w:szCs w:val="20"/>
        </w:rPr>
        <w:t>.</w:t>
      </w:r>
      <w:r w:rsidRPr="0001496F">
        <w:rPr>
          <w:rFonts w:ascii="Times New Roman" w:hAnsi="Times New Roman" w:cs="Times New Roman"/>
          <w:sz w:val="20"/>
          <w:szCs w:val="20"/>
        </w:rPr>
        <w:t>, 2014, p. 1102.</w:t>
      </w:r>
    </w:p>
  </w:footnote>
  <w:footnote w:id="233">
    <w:p w14:paraId="73F9DAE2"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lang w:val="fr-BE"/>
        </w:rPr>
        <w:t>Doc</w:t>
      </w:r>
      <w:r w:rsidRPr="0001496F">
        <w:rPr>
          <w:rFonts w:ascii="Times New Roman" w:hAnsi="Times New Roman" w:cs="Times New Roman"/>
          <w:sz w:val="20"/>
          <w:szCs w:val="20"/>
          <w:lang w:val="fr-BE"/>
        </w:rPr>
        <w:t>., Ch., 2017-2018, n°3016/1, p. 31 et 42.</w:t>
      </w:r>
    </w:p>
  </w:footnote>
  <w:footnote w:id="234">
    <w:p w14:paraId="534F0FDA" w14:textId="390DE552"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lang w:val="fr-BE"/>
        </w:rPr>
        <w:t xml:space="preserve">, p. 31. </w:t>
      </w:r>
      <w:r w:rsidRPr="0001496F">
        <w:rPr>
          <w:rFonts w:ascii="Times New Roman" w:hAnsi="Times New Roman" w:cs="Times New Roman"/>
          <w:sz w:val="20"/>
          <w:szCs w:val="20"/>
          <w:lang w:val="fr-BE"/>
        </w:rPr>
        <w:t xml:space="preserve">Lors du Focus group du 23 octobre 2019, des avocats ont indiqué que le fait que le contenu du mémorandum soit accessible au tiers dénoncé allait réduire le nombre des candidats collaborateurs. Lors de cette même rencontre, un magistrat a indiqué que le mémorandum sera déposé au dossier dès la signature de celui-ci (sans attendre qu’il soit homologué). </w:t>
      </w:r>
    </w:p>
  </w:footnote>
  <w:footnote w:id="235">
    <w:p w14:paraId="1B2012DC"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Ch. De </w:t>
      </w:r>
      <w:proofErr w:type="spellStart"/>
      <w:r w:rsidRPr="0001496F">
        <w:rPr>
          <w:rFonts w:ascii="Times New Roman" w:hAnsi="Times New Roman" w:cs="Times New Roman"/>
          <w:sz w:val="20"/>
          <w:szCs w:val="20"/>
        </w:rPr>
        <w:t>Valkeneer</w:t>
      </w:r>
      <w:proofErr w:type="spellEnd"/>
      <w:r w:rsidRPr="0001496F">
        <w:rPr>
          <w:rFonts w:ascii="Times New Roman" w:hAnsi="Times New Roman" w:cs="Times New Roman"/>
          <w:sz w:val="20"/>
          <w:szCs w:val="20"/>
        </w:rPr>
        <w:t xml:space="preserve">, « Une nouvelle figure… », </w:t>
      </w:r>
      <w:r w:rsidRPr="0001496F">
        <w:rPr>
          <w:rFonts w:ascii="Times New Roman" w:hAnsi="Times New Roman" w:cs="Times New Roman"/>
          <w:i/>
          <w:sz w:val="20"/>
          <w:szCs w:val="20"/>
        </w:rPr>
        <w:t xml:space="preserve">op. </w:t>
      </w:r>
      <w:proofErr w:type="spellStart"/>
      <w:proofErr w:type="gramStart"/>
      <w:r w:rsidRPr="0001496F">
        <w:rPr>
          <w:rFonts w:ascii="Times New Roman" w:hAnsi="Times New Roman" w:cs="Times New Roman"/>
          <w:i/>
          <w:sz w:val="20"/>
          <w:szCs w:val="20"/>
        </w:rPr>
        <w:t>cit</w:t>
      </w:r>
      <w:proofErr w:type="spellEnd"/>
      <w:proofErr w:type="gramEnd"/>
      <w:r w:rsidRPr="0001496F">
        <w:rPr>
          <w:rFonts w:ascii="Times New Roman" w:hAnsi="Times New Roman" w:cs="Times New Roman"/>
          <w:i/>
          <w:sz w:val="20"/>
          <w:szCs w:val="20"/>
        </w:rPr>
        <w:t>.</w:t>
      </w:r>
      <w:r w:rsidRPr="0001496F">
        <w:rPr>
          <w:rFonts w:ascii="Times New Roman" w:hAnsi="Times New Roman" w:cs="Times New Roman"/>
          <w:sz w:val="20"/>
          <w:szCs w:val="20"/>
        </w:rPr>
        <w:t>, p. 399.</w:t>
      </w:r>
    </w:p>
  </w:footnote>
  <w:footnote w:id="236">
    <w:p w14:paraId="388054A5"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40 et 56 à 61. L’élargissement des mesures de protection à l’avocat du collaborateur est défendu par Fr. Verbruggen lors de son audition à la Chambre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n°3016/4, p. 77).</w:t>
      </w:r>
    </w:p>
  </w:footnote>
  <w:footnote w:id="237">
    <w:p w14:paraId="2E3C05CD"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Ces mesures spéciales sont possibles lorsque les déclarations concernent une infraction visée à l’article 90</w:t>
      </w:r>
      <w:r w:rsidRPr="0001496F">
        <w:rPr>
          <w:rFonts w:ascii="Times New Roman" w:hAnsi="Times New Roman" w:cs="Times New Roman"/>
          <w:i/>
          <w:sz w:val="20"/>
          <w:szCs w:val="20"/>
        </w:rPr>
        <w:t>ter</w:t>
      </w:r>
      <w:r w:rsidRPr="0001496F">
        <w:rPr>
          <w:rFonts w:ascii="Times New Roman" w:hAnsi="Times New Roman" w:cs="Times New Roman"/>
          <w:sz w:val="20"/>
          <w:szCs w:val="20"/>
        </w:rPr>
        <w:t xml:space="preserve">, § 2 à 4 du C. i. </w:t>
      </w:r>
      <w:proofErr w:type="spellStart"/>
      <w:r w:rsidRPr="0001496F">
        <w:rPr>
          <w:rFonts w:ascii="Times New Roman" w:hAnsi="Times New Roman" w:cs="Times New Roman"/>
          <w:sz w:val="20"/>
          <w:szCs w:val="20"/>
        </w:rPr>
        <w:t>cr</w:t>
      </w:r>
      <w:proofErr w:type="spellEnd"/>
      <w:r w:rsidRPr="0001496F">
        <w:rPr>
          <w:rFonts w:ascii="Times New Roman" w:hAnsi="Times New Roman" w:cs="Times New Roman"/>
          <w:sz w:val="20"/>
          <w:szCs w:val="20"/>
        </w:rPr>
        <w:t xml:space="preserve">. </w:t>
      </w:r>
      <w:proofErr w:type="gramStart"/>
      <w:r w:rsidRPr="0001496F">
        <w:rPr>
          <w:rFonts w:ascii="Times New Roman" w:hAnsi="Times New Roman" w:cs="Times New Roman"/>
          <w:sz w:val="20"/>
          <w:szCs w:val="20"/>
        </w:rPr>
        <w:t>ou</w:t>
      </w:r>
      <w:proofErr w:type="gramEnd"/>
      <w:r w:rsidRPr="0001496F">
        <w:rPr>
          <w:rFonts w:ascii="Times New Roman" w:hAnsi="Times New Roman" w:cs="Times New Roman"/>
          <w:sz w:val="20"/>
          <w:szCs w:val="20"/>
        </w:rPr>
        <w:t xml:space="preserve"> une infraction commise dans le cadre d’une organisation criminelle. Elles peuvent donc s’appliquer aux collaborateurs. </w:t>
      </w:r>
    </w:p>
  </w:footnote>
  <w:footnote w:id="238">
    <w:p w14:paraId="4FB7445E"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Ces mesures se justifient car « on constate (…) actuellement que lorsqu’un témoin reçoit une nouvelle identité, d’innombrables problèmes administratifs se posent en matière d’octroi de salaires (…), de pensions, d’allocations »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57).</w:t>
      </w:r>
    </w:p>
  </w:footnote>
  <w:footnote w:id="239">
    <w:p w14:paraId="44C69B25"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xml:space="preserve">, Ch., 2017-2018, n°3016/1, p. </w:t>
      </w:r>
      <w:proofErr w:type="gramStart"/>
      <w:r w:rsidRPr="0001496F">
        <w:rPr>
          <w:rFonts w:ascii="Times New Roman" w:hAnsi="Times New Roman" w:cs="Times New Roman"/>
          <w:sz w:val="20"/>
          <w:szCs w:val="20"/>
          <w:lang w:val="pt-BR"/>
        </w:rPr>
        <w:t>58 ;</w:t>
      </w:r>
      <w:proofErr w:type="gramEnd"/>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n°3016/4, p. 25 et 95.</w:t>
      </w:r>
    </w:p>
  </w:footnote>
  <w:footnote w:id="240">
    <w:p w14:paraId="123AC1D8"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58, nous soulignons.</w:t>
      </w:r>
    </w:p>
  </w:footnote>
  <w:footnote w:id="241">
    <w:p w14:paraId="732B486B"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Le sens de cette protection systémique et managériale n’est pas explicité par les travaux préparatoires. </w:t>
      </w:r>
    </w:p>
  </w:footnote>
  <w:footnote w:id="242">
    <w:p w14:paraId="5E861F9D" w14:textId="77777777"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xml:space="preserve">., Ch., 2017-2018, n°3016/1, p. </w:t>
      </w:r>
      <w:proofErr w:type="gramStart"/>
      <w:r w:rsidRPr="0001496F">
        <w:rPr>
          <w:rFonts w:ascii="Times New Roman" w:hAnsi="Times New Roman" w:cs="Times New Roman"/>
          <w:sz w:val="20"/>
          <w:szCs w:val="20"/>
          <w:lang w:val="pt-BR"/>
        </w:rPr>
        <w:t>58 ;</w:t>
      </w:r>
      <w:proofErr w:type="gramEnd"/>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Doc.</w:t>
      </w:r>
      <w:r w:rsidRPr="0001496F">
        <w:rPr>
          <w:rFonts w:ascii="Times New Roman" w:hAnsi="Times New Roman" w:cs="Times New Roman"/>
          <w:sz w:val="20"/>
          <w:szCs w:val="20"/>
          <w:lang w:val="pt-BR"/>
        </w:rPr>
        <w:t>, Ch., 2017-2018, n°3016/4, p. 25.</w:t>
      </w:r>
    </w:p>
  </w:footnote>
  <w:footnote w:id="243">
    <w:p w14:paraId="5A77B5DB"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Dans cette hypothèse, le retrait des mesures de protection est obligatoire.</w:t>
      </w:r>
    </w:p>
  </w:footnote>
  <w:footnote w:id="244">
    <w:p w14:paraId="3D887B02"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Il s’agit du mémorandum spécifique aux témoins menacés prévu à l’article 107 du C. i. </w:t>
      </w:r>
      <w:proofErr w:type="spellStart"/>
      <w:r w:rsidRPr="0001496F">
        <w:rPr>
          <w:rFonts w:ascii="Times New Roman" w:hAnsi="Times New Roman" w:cs="Times New Roman"/>
          <w:sz w:val="20"/>
          <w:szCs w:val="20"/>
        </w:rPr>
        <w:t>cr</w:t>
      </w:r>
      <w:proofErr w:type="spellEnd"/>
      <w:r w:rsidRPr="0001496F">
        <w:rPr>
          <w:rFonts w:ascii="Times New Roman" w:hAnsi="Times New Roman" w:cs="Times New Roman"/>
          <w:sz w:val="20"/>
          <w:szCs w:val="20"/>
        </w:rPr>
        <w:t xml:space="preserve">. Il est donc différent du mémorandum prévu à l’article 216/1 du C. i. </w:t>
      </w:r>
      <w:proofErr w:type="spellStart"/>
      <w:r w:rsidRPr="0001496F">
        <w:rPr>
          <w:rFonts w:ascii="Times New Roman" w:hAnsi="Times New Roman" w:cs="Times New Roman"/>
          <w:sz w:val="20"/>
          <w:szCs w:val="20"/>
        </w:rPr>
        <w:t>cr</w:t>
      </w:r>
      <w:proofErr w:type="spellEnd"/>
      <w:r w:rsidRPr="0001496F">
        <w:rPr>
          <w:rFonts w:ascii="Times New Roman" w:hAnsi="Times New Roman" w:cs="Times New Roman"/>
          <w:sz w:val="20"/>
          <w:szCs w:val="20"/>
        </w:rPr>
        <w:t xml:space="preserve">. </w:t>
      </w:r>
      <w:proofErr w:type="gramStart"/>
      <w:r w:rsidRPr="0001496F">
        <w:rPr>
          <w:rFonts w:ascii="Times New Roman" w:hAnsi="Times New Roman" w:cs="Times New Roman"/>
          <w:sz w:val="20"/>
          <w:szCs w:val="20"/>
        </w:rPr>
        <w:t>que</w:t>
      </w:r>
      <w:proofErr w:type="gramEnd"/>
      <w:r w:rsidRPr="0001496F">
        <w:rPr>
          <w:rFonts w:ascii="Times New Roman" w:hAnsi="Times New Roman" w:cs="Times New Roman"/>
          <w:sz w:val="20"/>
          <w:szCs w:val="20"/>
        </w:rPr>
        <w:t xml:space="preserve"> nous avons abordé précédemment (</w:t>
      </w:r>
      <w:r w:rsidRPr="0001496F">
        <w:rPr>
          <w:rFonts w:ascii="Times New Roman" w:hAnsi="Times New Roman" w:cs="Times New Roman"/>
          <w:i/>
          <w:sz w:val="20"/>
          <w:szCs w:val="20"/>
        </w:rPr>
        <w:t>cf. supra</w:t>
      </w:r>
      <w:r w:rsidRPr="0001496F">
        <w:rPr>
          <w:rFonts w:ascii="Times New Roman" w:hAnsi="Times New Roman" w:cs="Times New Roman"/>
          <w:sz w:val="20"/>
          <w:szCs w:val="20"/>
        </w:rPr>
        <w:t xml:space="preserve"> 2.4).</w:t>
      </w:r>
    </w:p>
  </w:footnote>
  <w:footnote w:id="245">
    <w:p w14:paraId="37E3DD82"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 L. </w:t>
      </w:r>
      <w:proofErr w:type="spellStart"/>
      <w:r w:rsidRPr="0001496F">
        <w:rPr>
          <w:rFonts w:ascii="Times New Roman" w:hAnsi="Times New Roman" w:cs="Times New Roman"/>
          <w:sz w:val="20"/>
          <w:szCs w:val="20"/>
        </w:rPr>
        <w:t>Cesoni</w:t>
      </w:r>
      <w:proofErr w:type="spellEnd"/>
      <w:r w:rsidRPr="0001496F">
        <w:rPr>
          <w:rFonts w:ascii="Times New Roman" w:hAnsi="Times New Roman" w:cs="Times New Roman"/>
          <w:sz w:val="20"/>
          <w:szCs w:val="20"/>
        </w:rPr>
        <w:t xml:space="preserve"> (</w:t>
      </w:r>
      <w:proofErr w:type="spellStart"/>
      <w:r w:rsidRPr="0001496F">
        <w:rPr>
          <w:rFonts w:ascii="Times New Roman" w:hAnsi="Times New Roman" w:cs="Times New Roman"/>
          <w:sz w:val="20"/>
          <w:szCs w:val="20"/>
        </w:rPr>
        <w:t>dir</w:t>
      </w:r>
      <w:proofErr w:type="spellEnd"/>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Les nouvelles méthodes de lutte contre la criminalité : la normalisation de l’exception</w:t>
      </w:r>
      <w:r w:rsidRPr="0001496F">
        <w:rPr>
          <w:rFonts w:ascii="Times New Roman" w:hAnsi="Times New Roman" w:cs="Times New Roman"/>
          <w:sz w:val="20"/>
          <w:szCs w:val="20"/>
        </w:rPr>
        <w:t xml:space="preserve">, Bruxelles, Bruylant, 2007. </w:t>
      </w:r>
    </w:p>
  </w:footnote>
  <w:footnote w:id="246">
    <w:p w14:paraId="3BB59FA4" w14:textId="77777777"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sz w:val="20"/>
          <w:szCs w:val="20"/>
          <w:lang w:val="fr-BE"/>
        </w:rPr>
        <w:t xml:space="preserve">Le concept de « personnes concernées » n’est pas satisfaisant : faut-il uniquement compter les collaborateurs ou également les tiers dénoncés ? Si ces deux types d’acteurs sont concernés par les statistiques, ne faudrait-il pas qu’ils soient présentés dans deux variables séparées ? Sans ces distinctions les statistiques risquent d’être inutilisables. </w:t>
      </w:r>
    </w:p>
  </w:footnote>
  <w:footnote w:id="247">
    <w:p w14:paraId="41BA2122" w14:textId="77777777" w:rsidR="00D13CFE" w:rsidRPr="0001496F" w:rsidRDefault="00D13CFE" w:rsidP="0001496F">
      <w:pPr>
        <w:pStyle w:val="Notedebasdepage"/>
        <w:jc w:val="both"/>
        <w:rPr>
          <w:rFonts w:ascii="Times New Roman" w:hAnsi="Times New Roman" w:cs="Times New Roman"/>
          <w:sz w:val="20"/>
          <w:szCs w:val="20"/>
          <w:lang w:val="fr-BE"/>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2001-2002, n°1483/4, p. 7.</w:t>
      </w:r>
    </w:p>
  </w:footnote>
  <w:footnote w:id="248">
    <w:p w14:paraId="18F22DE8"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M.B.</w:t>
      </w:r>
      <w:r w:rsidRPr="0001496F">
        <w:rPr>
          <w:rFonts w:ascii="Times New Roman" w:hAnsi="Times New Roman" w:cs="Times New Roman"/>
          <w:sz w:val="20"/>
          <w:szCs w:val="20"/>
        </w:rPr>
        <w:t>, 12 mars 2019, p. 25925.</w:t>
      </w:r>
    </w:p>
  </w:footnote>
  <w:footnote w:id="249">
    <w:p w14:paraId="0CBE2C1C" w14:textId="7463BF0D" w:rsidR="00D13CFE" w:rsidRPr="0001496F" w:rsidRDefault="00D13CFE" w:rsidP="0001496F">
      <w:pPr>
        <w:pStyle w:val="Titre5"/>
        <w:spacing w:before="0"/>
        <w:jc w:val="both"/>
        <w:rPr>
          <w:rFonts w:ascii="Times New Roman" w:hAnsi="Times New Roman" w:cs="Times New Roman"/>
          <w:color w:val="000000" w:themeColor="text1"/>
          <w:sz w:val="20"/>
          <w:szCs w:val="20"/>
          <w:lang w:eastAsia="zh-CN"/>
        </w:rPr>
      </w:pPr>
      <w:r w:rsidRPr="0001496F">
        <w:rPr>
          <w:rStyle w:val="Appelnotedebasdep"/>
          <w:rFonts w:ascii="Times New Roman" w:hAnsi="Times New Roman" w:cs="Times New Roman"/>
          <w:color w:val="000000" w:themeColor="text1"/>
          <w:sz w:val="20"/>
          <w:szCs w:val="20"/>
        </w:rPr>
        <w:footnoteRef/>
      </w:r>
      <w:r w:rsidRPr="0001496F">
        <w:rPr>
          <w:rFonts w:ascii="Times New Roman" w:hAnsi="Times New Roman" w:cs="Times New Roman"/>
          <w:color w:val="000000" w:themeColor="text1"/>
          <w:sz w:val="20"/>
          <w:szCs w:val="20"/>
        </w:rPr>
        <w:t xml:space="preserve"> Cour constitutionnelle, 16 février 2020, n° 16/2020, </w:t>
      </w:r>
      <w:proofErr w:type="spellStart"/>
      <w:r w:rsidRPr="0001496F">
        <w:rPr>
          <w:rFonts w:ascii="Times New Roman" w:hAnsi="Times New Roman" w:cs="Times New Roman"/>
          <w:i/>
          <w:iCs/>
          <w:color w:val="000000" w:themeColor="text1"/>
          <w:sz w:val="20"/>
          <w:szCs w:val="20"/>
        </w:rPr>
        <w:t>Nieuw</w:t>
      </w:r>
      <w:proofErr w:type="spellEnd"/>
      <w:r w:rsidRPr="0001496F">
        <w:rPr>
          <w:rFonts w:ascii="Times New Roman" w:hAnsi="Times New Roman" w:cs="Times New Roman"/>
          <w:i/>
          <w:iCs/>
          <w:color w:val="000000" w:themeColor="text1"/>
          <w:sz w:val="20"/>
          <w:szCs w:val="20"/>
        </w:rPr>
        <w:t xml:space="preserve"> </w:t>
      </w:r>
      <w:proofErr w:type="spellStart"/>
      <w:r w:rsidRPr="0001496F">
        <w:rPr>
          <w:rFonts w:ascii="Times New Roman" w:hAnsi="Times New Roman" w:cs="Times New Roman"/>
          <w:i/>
          <w:iCs/>
          <w:color w:val="000000" w:themeColor="text1"/>
          <w:sz w:val="20"/>
          <w:szCs w:val="20"/>
        </w:rPr>
        <w:t>Juridisch</w:t>
      </w:r>
      <w:proofErr w:type="spellEnd"/>
      <w:r w:rsidRPr="0001496F">
        <w:rPr>
          <w:rFonts w:ascii="Times New Roman" w:hAnsi="Times New Roman" w:cs="Times New Roman"/>
          <w:i/>
          <w:iCs/>
          <w:color w:val="000000" w:themeColor="text1"/>
          <w:sz w:val="20"/>
          <w:szCs w:val="20"/>
        </w:rPr>
        <w:t xml:space="preserve"> </w:t>
      </w:r>
      <w:proofErr w:type="spellStart"/>
      <w:r w:rsidRPr="0001496F">
        <w:rPr>
          <w:rFonts w:ascii="Times New Roman" w:hAnsi="Times New Roman" w:cs="Times New Roman"/>
          <w:i/>
          <w:iCs/>
          <w:color w:val="000000" w:themeColor="text1"/>
          <w:sz w:val="20"/>
          <w:szCs w:val="20"/>
        </w:rPr>
        <w:t>Weekblad</w:t>
      </w:r>
      <w:proofErr w:type="spellEnd"/>
      <w:r w:rsidRPr="0001496F">
        <w:rPr>
          <w:rFonts w:ascii="Times New Roman" w:hAnsi="Times New Roman" w:cs="Times New Roman"/>
          <w:color w:val="000000" w:themeColor="text1"/>
          <w:sz w:val="20"/>
          <w:szCs w:val="20"/>
        </w:rPr>
        <w:t xml:space="preserve">, 2020, n° 423, p. 454 et note S. </w:t>
      </w:r>
      <w:proofErr w:type="spellStart"/>
      <w:r w:rsidRPr="0001496F">
        <w:rPr>
          <w:rFonts w:ascii="Times New Roman" w:hAnsi="Times New Roman" w:cs="Times New Roman"/>
          <w:color w:val="000000" w:themeColor="text1"/>
          <w:sz w:val="20"/>
          <w:szCs w:val="20"/>
        </w:rPr>
        <w:t>Careel</w:t>
      </w:r>
      <w:proofErr w:type="spellEnd"/>
      <w:r w:rsidRPr="0001496F">
        <w:rPr>
          <w:rFonts w:ascii="Times New Roman" w:hAnsi="Times New Roman" w:cs="Times New Roman"/>
          <w:color w:val="000000" w:themeColor="text1"/>
          <w:sz w:val="20"/>
          <w:szCs w:val="20"/>
        </w:rPr>
        <w:t>, « </w:t>
      </w:r>
      <w:hyperlink r:id="rId2" w:tooltip="Spijtoptantenregeling: incoherent, maar grondwetsconform" w:history="1">
        <w:proofErr w:type="spellStart"/>
        <w:r w:rsidRPr="00EF157C">
          <w:rPr>
            <w:rStyle w:val="Lienhypertexte"/>
            <w:rFonts w:ascii="Times New Roman" w:hAnsi="Times New Roman" w:cs="Times New Roman"/>
            <w:color w:val="000000" w:themeColor="text1"/>
            <w:sz w:val="20"/>
            <w:szCs w:val="20"/>
            <w:u w:val="none"/>
          </w:rPr>
          <w:t>Spijtoptantenregeling</w:t>
        </w:r>
        <w:proofErr w:type="spellEnd"/>
        <w:r w:rsidRPr="00EF157C">
          <w:rPr>
            <w:rStyle w:val="Lienhypertexte"/>
            <w:rFonts w:ascii="Times New Roman" w:hAnsi="Times New Roman" w:cs="Times New Roman"/>
            <w:color w:val="000000" w:themeColor="text1"/>
            <w:sz w:val="20"/>
            <w:szCs w:val="20"/>
            <w:u w:val="none"/>
          </w:rPr>
          <w:t xml:space="preserve">: </w:t>
        </w:r>
        <w:proofErr w:type="spellStart"/>
        <w:r w:rsidRPr="00EF157C">
          <w:rPr>
            <w:rStyle w:val="Lienhypertexte"/>
            <w:rFonts w:ascii="Times New Roman" w:hAnsi="Times New Roman" w:cs="Times New Roman"/>
            <w:color w:val="000000" w:themeColor="text1"/>
            <w:sz w:val="20"/>
            <w:szCs w:val="20"/>
            <w:u w:val="none"/>
          </w:rPr>
          <w:t>incoherent</w:t>
        </w:r>
        <w:proofErr w:type="spellEnd"/>
        <w:r w:rsidRPr="00EF157C">
          <w:rPr>
            <w:rStyle w:val="Lienhypertexte"/>
            <w:rFonts w:ascii="Times New Roman" w:hAnsi="Times New Roman" w:cs="Times New Roman"/>
            <w:color w:val="000000" w:themeColor="text1"/>
            <w:sz w:val="20"/>
            <w:szCs w:val="20"/>
            <w:u w:val="none"/>
          </w:rPr>
          <w:t xml:space="preserve">, </w:t>
        </w:r>
        <w:proofErr w:type="spellStart"/>
        <w:r w:rsidRPr="00EF157C">
          <w:rPr>
            <w:rStyle w:val="Lienhypertexte"/>
            <w:rFonts w:ascii="Times New Roman" w:hAnsi="Times New Roman" w:cs="Times New Roman"/>
            <w:color w:val="000000" w:themeColor="text1"/>
            <w:sz w:val="20"/>
            <w:szCs w:val="20"/>
            <w:u w:val="none"/>
          </w:rPr>
          <w:t>maar</w:t>
        </w:r>
        <w:proofErr w:type="spellEnd"/>
        <w:r w:rsidRPr="00EF157C">
          <w:rPr>
            <w:rStyle w:val="Lienhypertexte"/>
            <w:rFonts w:ascii="Times New Roman" w:hAnsi="Times New Roman" w:cs="Times New Roman"/>
            <w:color w:val="000000" w:themeColor="text1"/>
            <w:sz w:val="20"/>
            <w:szCs w:val="20"/>
            <w:u w:val="none"/>
          </w:rPr>
          <w:t xml:space="preserve"> </w:t>
        </w:r>
        <w:proofErr w:type="spellStart"/>
        <w:r w:rsidRPr="00EF157C">
          <w:rPr>
            <w:rStyle w:val="Lienhypertexte"/>
            <w:rFonts w:ascii="Times New Roman" w:hAnsi="Times New Roman" w:cs="Times New Roman"/>
            <w:color w:val="000000" w:themeColor="text1"/>
            <w:sz w:val="20"/>
            <w:szCs w:val="20"/>
            <w:u w:val="none"/>
          </w:rPr>
          <w:t>grondwetsconform</w:t>
        </w:r>
        <w:proofErr w:type="spellEnd"/>
      </w:hyperlink>
      <w:r w:rsidRPr="0001496F">
        <w:rPr>
          <w:rFonts w:ascii="Times New Roman" w:hAnsi="Times New Roman" w:cs="Times New Roman"/>
          <w:color w:val="000000" w:themeColor="text1"/>
          <w:sz w:val="20"/>
          <w:szCs w:val="20"/>
        </w:rPr>
        <w:t> ».</w:t>
      </w:r>
    </w:p>
    <w:p w14:paraId="7B91AE5C" w14:textId="76AEDAC0" w:rsidR="00D13CFE" w:rsidRPr="0001496F" w:rsidRDefault="00D13CFE" w:rsidP="0001496F">
      <w:pPr>
        <w:pStyle w:val="Titre1"/>
        <w:spacing w:before="150" w:after="300"/>
        <w:jc w:val="both"/>
        <w:rPr>
          <w:rFonts w:ascii="Times New Roman" w:hAnsi="Times New Roman" w:cs="Times New Roman"/>
          <w:color w:val="000000" w:themeColor="text1"/>
          <w:sz w:val="20"/>
          <w:szCs w:val="20"/>
          <w:lang w:eastAsia="zh-CN"/>
        </w:rPr>
      </w:pPr>
    </w:p>
    <w:p w14:paraId="1DD7CA9E" w14:textId="1EDAED45" w:rsidR="00D13CFE" w:rsidRPr="0001496F" w:rsidRDefault="00D13CFE" w:rsidP="0001496F">
      <w:pPr>
        <w:pStyle w:val="Notedebasdepage"/>
        <w:jc w:val="both"/>
        <w:rPr>
          <w:rFonts w:ascii="Times New Roman" w:hAnsi="Times New Roman" w:cs="Times New Roman"/>
          <w:sz w:val="20"/>
          <w:szCs w:val="20"/>
        </w:rPr>
      </w:pPr>
    </w:p>
  </w:footnote>
  <w:footnote w:id="250">
    <w:p w14:paraId="3D7C2E31"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xml:space="preserve"> p. 432.</w:t>
      </w:r>
    </w:p>
  </w:footnote>
  <w:footnote w:id="251">
    <w:p w14:paraId="0A8847C0" w14:textId="1C7B950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565.</w:t>
      </w:r>
    </w:p>
  </w:footnote>
  <w:footnote w:id="252">
    <w:p w14:paraId="6004DC53" w14:textId="7A6A3C53"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xml:space="preserve"> p. 454, 457 et 461.</w:t>
      </w:r>
    </w:p>
  </w:footnote>
  <w:footnote w:id="253">
    <w:p w14:paraId="358543C7"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K. </w:t>
      </w:r>
      <w:proofErr w:type="spellStart"/>
      <w:r w:rsidRPr="0001496F">
        <w:rPr>
          <w:rFonts w:ascii="Times New Roman" w:hAnsi="Times New Roman" w:cs="Times New Roman"/>
          <w:sz w:val="20"/>
          <w:szCs w:val="20"/>
        </w:rPr>
        <w:t>Beyens</w:t>
      </w:r>
      <w:proofErr w:type="spellEnd"/>
      <w:r w:rsidRPr="0001496F">
        <w:rPr>
          <w:rFonts w:ascii="Times New Roman" w:hAnsi="Times New Roman" w:cs="Times New Roman"/>
          <w:sz w:val="20"/>
          <w:szCs w:val="20"/>
        </w:rPr>
        <w:t xml:space="preserve">, </w:t>
      </w:r>
      <w:proofErr w:type="spellStart"/>
      <w:r w:rsidRPr="0001496F">
        <w:rPr>
          <w:rFonts w:ascii="Times New Roman" w:hAnsi="Times New Roman" w:cs="Times New Roman"/>
          <w:i/>
          <w:sz w:val="20"/>
          <w:szCs w:val="20"/>
        </w:rPr>
        <w:t>Straffen</w:t>
      </w:r>
      <w:proofErr w:type="spellEnd"/>
      <w:r w:rsidRPr="0001496F">
        <w:rPr>
          <w:rFonts w:ascii="Times New Roman" w:hAnsi="Times New Roman" w:cs="Times New Roman"/>
          <w:i/>
          <w:sz w:val="20"/>
          <w:szCs w:val="20"/>
        </w:rPr>
        <w:t xml:space="preserve"> </w:t>
      </w:r>
      <w:proofErr w:type="spellStart"/>
      <w:r w:rsidRPr="0001496F">
        <w:rPr>
          <w:rFonts w:ascii="Times New Roman" w:hAnsi="Times New Roman" w:cs="Times New Roman"/>
          <w:i/>
          <w:sz w:val="20"/>
          <w:szCs w:val="20"/>
        </w:rPr>
        <w:t>als</w:t>
      </w:r>
      <w:proofErr w:type="spellEnd"/>
      <w:r w:rsidRPr="0001496F">
        <w:rPr>
          <w:rFonts w:ascii="Times New Roman" w:hAnsi="Times New Roman" w:cs="Times New Roman"/>
          <w:i/>
          <w:sz w:val="20"/>
          <w:szCs w:val="20"/>
        </w:rPr>
        <w:t xml:space="preserve"> sociale </w:t>
      </w:r>
      <w:proofErr w:type="spellStart"/>
      <w:r w:rsidRPr="0001496F">
        <w:rPr>
          <w:rFonts w:ascii="Times New Roman" w:hAnsi="Times New Roman" w:cs="Times New Roman"/>
          <w:i/>
          <w:sz w:val="20"/>
          <w:szCs w:val="20"/>
        </w:rPr>
        <w:t>praktijk</w:t>
      </w:r>
      <w:proofErr w:type="spellEnd"/>
      <w:r w:rsidRPr="0001496F">
        <w:rPr>
          <w:rFonts w:ascii="Times New Roman" w:hAnsi="Times New Roman" w:cs="Times New Roman"/>
          <w:sz w:val="20"/>
          <w:szCs w:val="20"/>
        </w:rPr>
        <w:t xml:space="preserve">, Bruxelles, VUB </w:t>
      </w:r>
      <w:proofErr w:type="spellStart"/>
      <w:r w:rsidRPr="0001496F">
        <w:rPr>
          <w:rFonts w:ascii="Times New Roman" w:hAnsi="Times New Roman" w:cs="Times New Roman"/>
          <w:sz w:val="20"/>
          <w:szCs w:val="20"/>
        </w:rPr>
        <w:t>Press</w:t>
      </w:r>
      <w:proofErr w:type="spellEnd"/>
      <w:r w:rsidRPr="0001496F">
        <w:rPr>
          <w:rFonts w:ascii="Times New Roman" w:hAnsi="Times New Roman" w:cs="Times New Roman"/>
          <w:sz w:val="20"/>
          <w:szCs w:val="20"/>
        </w:rPr>
        <w:t xml:space="preserve">, 2000, p. 390, cité par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xml:space="preserve"> p. 459.</w:t>
      </w:r>
    </w:p>
  </w:footnote>
  <w:footnote w:id="254">
    <w:p w14:paraId="54860B26"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xml:space="preserve"> p. 459.</w:t>
      </w:r>
    </w:p>
  </w:footnote>
  <w:footnote w:id="255">
    <w:p w14:paraId="35669330" w14:textId="15A0CB1D"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xml:space="preserve"> p. 464 à 466.</w:t>
      </w:r>
    </w:p>
  </w:footnote>
  <w:footnote w:id="256">
    <w:p w14:paraId="3B295EDF" w14:textId="17568B5B"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proofErr w:type="spellStart"/>
      <w:r w:rsidRPr="0001496F">
        <w:rPr>
          <w:rFonts w:ascii="Times New Roman" w:hAnsi="Times New Roman" w:cs="Times New Roman"/>
          <w:sz w:val="20"/>
          <w:szCs w:val="20"/>
        </w:rPr>
        <w:t>Voy</w:t>
      </w:r>
      <w:proofErr w:type="spellEnd"/>
      <w:r w:rsidRPr="0001496F">
        <w:rPr>
          <w:rFonts w:ascii="Times New Roman" w:hAnsi="Times New Roman" w:cs="Times New Roman"/>
          <w:sz w:val="20"/>
          <w:szCs w:val="20"/>
        </w:rPr>
        <w:t>. C.E.D.H., arrêt Brusco c. France du 14 octobre 2010.</w:t>
      </w:r>
    </w:p>
  </w:footnote>
  <w:footnote w:id="257">
    <w:p w14:paraId="3D2960F6"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465, 466 et 570.</w:t>
      </w:r>
    </w:p>
  </w:footnote>
  <w:footnote w:id="258">
    <w:p w14:paraId="77798FEF" w14:textId="2063E9E6"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465.</w:t>
      </w:r>
    </w:p>
  </w:footnote>
  <w:footnote w:id="259">
    <w:p w14:paraId="0D93CA79" w14:textId="06EF333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466 et 570.</w:t>
      </w:r>
    </w:p>
  </w:footnote>
  <w:footnote w:id="260">
    <w:p w14:paraId="79CB472A" w14:textId="26886012"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467, 505 et 572.</w:t>
      </w:r>
    </w:p>
  </w:footnote>
  <w:footnote w:id="261">
    <w:p w14:paraId="067613D7"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F. </w:t>
      </w:r>
      <w:proofErr w:type="spellStart"/>
      <w:r w:rsidRPr="0001496F">
        <w:rPr>
          <w:rFonts w:ascii="Times New Roman" w:hAnsi="Times New Roman" w:cs="Times New Roman"/>
          <w:sz w:val="20"/>
          <w:szCs w:val="20"/>
        </w:rPr>
        <w:t>Gorphé</w:t>
      </w:r>
      <w:proofErr w:type="spellEnd"/>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La critique du témoignage</w:t>
      </w:r>
      <w:r w:rsidRPr="0001496F">
        <w:rPr>
          <w:rFonts w:ascii="Times New Roman" w:hAnsi="Times New Roman" w:cs="Times New Roman"/>
          <w:sz w:val="20"/>
          <w:szCs w:val="20"/>
        </w:rPr>
        <w:t>, 2</w:t>
      </w:r>
      <w:r w:rsidRPr="0001496F">
        <w:rPr>
          <w:rFonts w:ascii="Times New Roman" w:hAnsi="Times New Roman" w:cs="Times New Roman"/>
          <w:sz w:val="20"/>
          <w:szCs w:val="20"/>
          <w:vertAlign w:val="superscript"/>
        </w:rPr>
        <w:t>e</w:t>
      </w:r>
      <w:r w:rsidRPr="0001496F">
        <w:rPr>
          <w:rFonts w:ascii="Times New Roman" w:hAnsi="Times New Roman" w:cs="Times New Roman"/>
          <w:sz w:val="20"/>
          <w:szCs w:val="20"/>
        </w:rPr>
        <w:t xml:space="preserve"> éd., Paris, Dalloz, 1927, p. 192, cité par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471.</w:t>
      </w:r>
    </w:p>
  </w:footnote>
  <w:footnote w:id="262">
    <w:p w14:paraId="7AE3E310"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472.</w:t>
      </w:r>
    </w:p>
  </w:footnote>
  <w:footnote w:id="263">
    <w:p w14:paraId="138AD35A" w14:textId="4E31DA46"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474.</w:t>
      </w:r>
    </w:p>
  </w:footnote>
  <w:footnote w:id="264">
    <w:p w14:paraId="4FDAE4F5"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En ce qui concerne le tiers dénoncé lui-même, il nous semble que cette information sur la teneur précise de la promesse ne pourra que renforcer une envie de vengeance </w:t>
      </w:r>
      <w:bookmarkStart w:id="6" w:name="_Hlk23421536"/>
      <w:r w:rsidRPr="0001496F">
        <w:rPr>
          <w:rFonts w:ascii="Times New Roman" w:hAnsi="Times New Roman" w:cs="Times New Roman"/>
          <w:sz w:val="20"/>
          <w:szCs w:val="20"/>
        </w:rPr>
        <w:t>sans que cela ne puisse être compensé par un effet positif important sur l’exercice de ses droits de la défense.</w:t>
      </w:r>
    </w:p>
    <w:bookmarkEnd w:id="6"/>
  </w:footnote>
  <w:footnote w:id="265">
    <w:p w14:paraId="1B8E6CDD"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M.-A. Beernaert, </w:t>
      </w:r>
      <w:r w:rsidRPr="0001496F">
        <w:rPr>
          <w:rFonts w:ascii="Times New Roman" w:hAnsi="Times New Roman" w:cs="Times New Roman"/>
          <w:i/>
          <w:sz w:val="20"/>
          <w:szCs w:val="20"/>
        </w:rPr>
        <w:t>Repentis et collaborateurs…, op.cit.</w:t>
      </w:r>
      <w:r w:rsidRPr="0001496F">
        <w:rPr>
          <w:rFonts w:ascii="Times New Roman" w:hAnsi="Times New Roman" w:cs="Times New Roman"/>
          <w:sz w:val="20"/>
          <w:szCs w:val="20"/>
        </w:rPr>
        <w:t>, p. 482 et 483.</w:t>
      </w:r>
    </w:p>
  </w:footnote>
  <w:footnote w:id="266">
    <w:p w14:paraId="41F3164E" w14:textId="414FFC39"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494.</w:t>
      </w:r>
    </w:p>
  </w:footnote>
  <w:footnote w:id="267">
    <w:p w14:paraId="25AB74C5" w14:textId="77B4BB3C"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497.</w:t>
      </w:r>
    </w:p>
  </w:footnote>
  <w:footnote w:id="268">
    <w:p w14:paraId="76618F85" w14:textId="25357070"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502.</w:t>
      </w:r>
    </w:p>
  </w:footnote>
  <w:footnote w:id="269">
    <w:p w14:paraId="17CBE7F7" w14:textId="15005D71"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502.</w:t>
      </w:r>
    </w:p>
  </w:footnote>
  <w:footnote w:id="270">
    <w:p w14:paraId="048EB1F2" w14:textId="033005B2"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542.</w:t>
      </w:r>
    </w:p>
  </w:footnote>
  <w:footnote w:id="271">
    <w:p w14:paraId="714D41C4" w14:textId="025AE8DB" w:rsidR="00D13CFE" w:rsidRPr="0001496F" w:rsidRDefault="00D13CFE" w:rsidP="0001496F">
      <w:pPr>
        <w:pStyle w:val="Notedebasdepage"/>
        <w:jc w:val="both"/>
        <w:rPr>
          <w:rFonts w:ascii="Times New Roman" w:hAnsi="Times New Roman" w:cs="Times New Roman"/>
          <w:sz w:val="20"/>
          <w:szCs w:val="20"/>
          <w:lang w:val="pt-BR"/>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lang w:val="pt-BR"/>
        </w:rPr>
        <w:t xml:space="preserve"> </w:t>
      </w:r>
      <w:r w:rsidRPr="0001496F">
        <w:rPr>
          <w:rFonts w:ascii="Times New Roman" w:hAnsi="Times New Roman" w:cs="Times New Roman"/>
          <w:i/>
          <w:sz w:val="20"/>
          <w:szCs w:val="20"/>
          <w:lang w:val="pt-BR"/>
        </w:rPr>
        <w:t>Ibidem</w:t>
      </w:r>
      <w:r w:rsidRPr="0001496F">
        <w:rPr>
          <w:rFonts w:ascii="Times New Roman" w:hAnsi="Times New Roman" w:cs="Times New Roman"/>
          <w:sz w:val="20"/>
          <w:szCs w:val="20"/>
          <w:lang w:val="pt-BR"/>
        </w:rPr>
        <w:t>, p. 546.</w:t>
      </w:r>
    </w:p>
  </w:footnote>
  <w:footnote w:id="272">
    <w:p w14:paraId="3BE0E687" w14:textId="2274183B"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541 et 548.</w:t>
      </w:r>
    </w:p>
  </w:footnote>
  <w:footnote w:id="273">
    <w:p w14:paraId="3DF8994B" w14:textId="1FAFE66C"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Ibidem</w:t>
      </w:r>
      <w:r w:rsidRPr="0001496F">
        <w:rPr>
          <w:rFonts w:ascii="Times New Roman" w:hAnsi="Times New Roman" w:cs="Times New Roman"/>
          <w:sz w:val="20"/>
          <w:szCs w:val="20"/>
        </w:rPr>
        <w:t>, p. 552.</w:t>
      </w:r>
    </w:p>
  </w:footnote>
  <w:footnote w:id="274">
    <w:p w14:paraId="051D9A55"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Cette information a été fournie par un magistrat lors du Focus group du 23 octobre 2019. </w:t>
      </w:r>
    </w:p>
  </w:footnote>
  <w:footnote w:id="275">
    <w:p w14:paraId="545FA269" w14:textId="086B54C8"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Directive (UE) 2017/541 du 15 mars 2017 relative à la lutte contre le terrorisme et remplaçant la décision-cadre 2002/475/JAI du Conseil et modifiant la décision 2005/671/JAI du Conseil.</w:t>
      </w:r>
    </w:p>
  </w:footnote>
  <w:footnote w:id="276">
    <w:p w14:paraId="5BB65850"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Nous soulignons. </w:t>
      </w:r>
    </w:p>
  </w:footnote>
  <w:footnote w:id="277">
    <w:p w14:paraId="7D66E00F"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Nous soulignons.</w:t>
      </w:r>
    </w:p>
  </w:footnote>
  <w:footnote w:id="278">
    <w:p w14:paraId="6EAE87F9"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proofErr w:type="spellStart"/>
      <w:r w:rsidRPr="0001496F">
        <w:rPr>
          <w:rFonts w:ascii="Times New Roman" w:hAnsi="Times New Roman" w:cs="Times New Roman"/>
          <w:sz w:val="20"/>
          <w:szCs w:val="20"/>
        </w:rPr>
        <w:t>Voy</w:t>
      </w:r>
      <w:proofErr w:type="spellEnd"/>
      <w:r w:rsidRPr="0001496F">
        <w:rPr>
          <w:rFonts w:ascii="Times New Roman" w:hAnsi="Times New Roman" w:cs="Times New Roman"/>
          <w:sz w:val="20"/>
          <w:szCs w:val="20"/>
        </w:rPr>
        <w:t xml:space="preserve">. </w:t>
      </w:r>
      <w:proofErr w:type="gramStart"/>
      <w:r w:rsidRPr="0001496F">
        <w:rPr>
          <w:rFonts w:ascii="Times New Roman" w:hAnsi="Times New Roman" w:cs="Times New Roman"/>
          <w:sz w:val="20"/>
          <w:szCs w:val="20"/>
        </w:rPr>
        <w:t>par</w:t>
      </w:r>
      <w:proofErr w:type="gramEnd"/>
      <w:r w:rsidRPr="0001496F">
        <w:rPr>
          <w:rFonts w:ascii="Times New Roman" w:hAnsi="Times New Roman" w:cs="Times New Roman"/>
          <w:sz w:val="20"/>
          <w:szCs w:val="20"/>
        </w:rPr>
        <w:t xml:space="preserve"> exemple les décisions-cadres 2008/909/JAI, 2008/947/JAI et 2009/829/JAI.</w:t>
      </w:r>
    </w:p>
  </w:footnote>
  <w:footnote w:id="279">
    <w:p w14:paraId="38A34448" w14:textId="77777777" w:rsidR="00D13CFE" w:rsidRPr="0001496F" w:rsidRDefault="00D13CFE" w:rsidP="0001496F">
      <w:pPr>
        <w:pStyle w:val="Notedebasdepage"/>
        <w:jc w:val="both"/>
        <w:rPr>
          <w:rFonts w:ascii="Times New Roman" w:hAnsi="Times New Roman" w:cs="Times New Roman"/>
          <w:sz w:val="20"/>
          <w:szCs w:val="20"/>
        </w:rPr>
      </w:pPr>
      <w:r w:rsidRPr="0001496F">
        <w:rPr>
          <w:rStyle w:val="Appelnotedebasdep"/>
          <w:rFonts w:ascii="Times New Roman" w:hAnsi="Times New Roman" w:cs="Times New Roman"/>
          <w:sz w:val="20"/>
          <w:szCs w:val="20"/>
        </w:rPr>
        <w:footnoteRef/>
      </w:r>
      <w:r w:rsidRPr="0001496F">
        <w:rPr>
          <w:rFonts w:ascii="Times New Roman" w:hAnsi="Times New Roman" w:cs="Times New Roman"/>
          <w:sz w:val="20"/>
          <w:szCs w:val="20"/>
        </w:rPr>
        <w:t xml:space="preserve"> </w:t>
      </w:r>
      <w:r w:rsidRPr="0001496F">
        <w:rPr>
          <w:rFonts w:ascii="Times New Roman" w:hAnsi="Times New Roman" w:cs="Times New Roman"/>
          <w:i/>
          <w:sz w:val="20"/>
          <w:szCs w:val="20"/>
        </w:rPr>
        <w:t>Doc.</w:t>
      </w:r>
      <w:r w:rsidRPr="0001496F">
        <w:rPr>
          <w:rFonts w:ascii="Times New Roman" w:hAnsi="Times New Roman" w:cs="Times New Roman"/>
          <w:sz w:val="20"/>
          <w:szCs w:val="20"/>
        </w:rPr>
        <w:t>, Ch., 2017-2018, n°3016/1, p. 53.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F05"/>
    <w:rsid w:val="00002191"/>
    <w:rsid w:val="00005F60"/>
    <w:rsid w:val="00006F83"/>
    <w:rsid w:val="00014331"/>
    <w:rsid w:val="0001496F"/>
    <w:rsid w:val="000155CF"/>
    <w:rsid w:val="000301CC"/>
    <w:rsid w:val="000333B7"/>
    <w:rsid w:val="00033D2C"/>
    <w:rsid w:val="000357B4"/>
    <w:rsid w:val="00040CDE"/>
    <w:rsid w:val="00042C55"/>
    <w:rsid w:val="00044E4E"/>
    <w:rsid w:val="00047F0C"/>
    <w:rsid w:val="00050524"/>
    <w:rsid w:val="000600C4"/>
    <w:rsid w:val="000646FA"/>
    <w:rsid w:val="00071BB2"/>
    <w:rsid w:val="00082FD6"/>
    <w:rsid w:val="0008601A"/>
    <w:rsid w:val="00096545"/>
    <w:rsid w:val="000A3670"/>
    <w:rsid w:val="000A54C3"/>
    <w:rsid w:val="000B1B38"/>
    <w:rsid w:val="000C00D4"/>
    <w:rsid w:val="000C1864"/>
    <w:rsid w:val="000C4723"/>
    <w:rsid w:val="000C63D9"/>
    <w:rsid w:val="000C6DEE"/>
    <w:rsid w:val="000D067D"/>
    <w:rsid w:val="000D13BC"/>
    <w:rsid w:val="000D78D1"/>
    <w:rsid w:val="000D7A96"/>
    <w:rsid w:val="000D7BE1"/>
    <w:rsid w:val="000E3D53"/>
    <w:rsid w:val="000E52E7"/>
    <w:rsid w:val="000F426F"/>
    <w:rsid w:val="00101E8D"/>
    <w:rsid w:val="00103331"/>
    <w:rsid w:val="0011235B"/>
    <w:rsid w:val="001204E3"/>
    <w:rsid w:val="00124471"/>
    <w:rsid w:val="001315B9"/>
    <w:rsid w:val="001334E2"/>
    <w:rsid w:val="0013580B"/>
    <w:rsid w:val="00140853"/>
    <w:rsid w:val="0014271F"/>
    <w:rsid w:val="001468B2"/>
    <w:rsid w:val="001502CA"/>
    <w:rsid w:val="00150BEF"/>
    <w:rsid w:val="00150CB6"/>
    <w:rsid w:val="001514C3"/>
    <w:rsid w:val="00152D46"/>
    <w:rsid w:val="001704C2"/>
    <w:rsid w:val="00175EFC"/>
    <w:rsid w:val="00181FE7"/>
    <w:rsid w:val="001831D6"/>
    <w:rsid w:val="00187254"/>
    <w:rsid w:val="0019666E"/>
    <w:rsid w:val="001A2124"/>
    <w:rsid w:val="001A61E8"/>
    <w:rsid w:val="001A6801"/>
    <w:rsid w:val="001A74DE"/>
    <w:rsid w:val="001B0398"/>
    <w:rsid w:val="001B2570"/>
    <w:rsid w:val="001B553F"/>
    <w:rsid w:val="001B7EE5"/>
    <w:rsid w:val="001C017A"/>
    <w:rsid w:val="001C1D0A"/>
    <w:rsid w:val="001D23F6"/>
    <w:rsid w:val="001D438C"/>
    <w:rsid w:val="001E1DA9"/>
    <w:rsid w:val="001E327D"/>
    <w:rsid w:val="001F61E3"/>
    <w:rsid w:val="001F7B04"/>
    <w:rsid w:val="00203B23"/>
    <w:rsid w:val="00205D40"/>
    <w:rsid w:val="00210AD5"/>
    <w:rsid w:val="00227DED"/>
    <w:rsid w:val="00232AAC"/>
    <w:rsid w:val="002372B3"/>
    <w:rsid w:val="00240F84"/>
    <w:rsid w:val="002431D7"/>
    <w:rsid w:val="00243E6B"/>
    <w:rsid w:val="002443EC"/>
    <w:rsid w:val="0025057D"/>
    <w:rsid w:val="002515BA"/>
    <w:rsid w:val="002530C5"/>
    <w:rsid w:val="0025316F"/>
    <w:rsid w:val="002555B3"/>
    <w:rsid w:val="002624AD"/>
    <w:rsid w:val="0026587E"/>
    <w:rsid w:val="00266FDE"/>
    <w:rsid w:val="00272A08"/>
    <w:rsid w:val="002759D7"/>
    <w:rsid w:val="0028051B"/>
    <w:rsid w:val="0028135D"/>
    <w:rsid w:val="00287F44"/>
    <w:rsid w:val="002965AD"/>
    <w:rsid w:val="00297309"/>
    <w:rsid w:val="002A37E7"/>
    <w:rsid w:val="002A5135"/>
    <w:rsid w:val="002B034B"/>
    <w:rsid w:val="002B3D5E"/>
    <w:rsid w:val="002B4DCC"/>
    <w:rsid w:val="002B618F"/>
    <w:rsid w:val="002B675B"/>
    <w:rsid w:val="002B71EB"/>
    <w:rsid w:val="002B7B0B"/>
    <w:rsid w:val="002C4307"/>
    <w:rsid w:val="002C5FEC"/>
    <w:rsid w:val="002C6CCC"/>
    <w:rsid w:val="002C7A70"/>
    <w:rsid w:val="002D2022"/>
    <w:rsid w:val="002D6BD8"/>
    <w:rsid w:val="002D7094"/>
    <w:rsid w:val="002D7587"/>
    <w:rsid w:val="002E112F"/>
    <w:rsid w:val="002E39BA"/>
    <w:rsid w:val="002E3A03"/>
    <w:rsid w:val="002E515D"/>
    <w:rsid w:val="002E6AC9"/>
    <w:rsid w:val="002F36EA"/>
    <w:rsid w:val="002F4DEF"/>
    <w:rsid w:val="002F72B4"/>
    <w:rsid w:val="002F7AD7"/>
    <w:rsid w:val="00300A43"/>
    <w:rsid w:val="003070D5"/>
    <w:rsid w:val="00313DFA"/>
    <w:rsid w:val="00313E9D"/>
    <w:rsid w:val="00317FCF"/>
    <w:rsid w:val="00320835"/>
    <w:rsid w:val="00321143"/>
    <w:rsid w:val="0032349F"/>
    <w:rsid w:val="00323A43"/>
    <w:rsid w:val="0032656D"/>
    <w:rsid w:val="00335DF4"/>
    <w:rsid w:val="003402BC"/>
    <w:rsid w:val="00341CC0"/>
    <w:rsid w:val="00343DEA"/>
    <w:rsid w:val="00346A97"/>
    <w:rsid w:val="00353D23"/>
    <w:rsid w:val="0035756E"/>
    <w:rsid w:val="003576D0"/>
    <w:rsid w:val="00361AE4"/>
    <w:rsid w:val="0036286C"/>
    <w:rsid w:val="00363EDA"/>
    <w:rsid w:val="003641B4"/>
    <w:rsid w:val="0036668A"/>
    <w:rsid w:val="00377C86"/>
    <w:rsid w:val="0038356A"/>
    <w:rsid w:val="00390BE0"/>
    <w:rsid w:val="00390EFE"/>
    <w:rsid w:val="003918FE"/>
    <w:rsid w:val="00391993"/>
    <w:rsid w:val="00391CD8"/>
    <w:rsid w:val="003959BE"/>
    <w:rsid w:val="00395FA4"/>
    <w:rsid w:val="003A789E"/>
    <w:rsid w:val="003B01B3"/>
    <w:rsid w:val="003B14D4"/>
    <w:rsid w:val="003B5825"/>
    <w:rsid w:val="003C1936"/>
    <w:rsid w:val="003C21F5"/>
    <w:rsid w:val="003D185E"/>
    <w:rsid w:val="003D25D8"/>
    <w:rsid w:val="003D5BC5"/>
    <w:rsid w:val="003E00B5"/>
    <w:rsid w:val="003E0A03"/>
    <w:rsid w:val="003E1CF1"/>
    <w:rsid w:val="003E60A6"/>
    <w:rsid w:val="003F32ED"/>
    <w:rsid w:val="003F7CCC"/>
    <w:rsid w:val="00403177"/>
    <w:rsid w:val="0041418C"/>
    <w:rsid w:val="0041642E"/>
    <w:rsid w:val="00416EB5"/>
    <w:rsid w:val="00417528"/>
    <w:rsid w:val="00423A6F"/>
    <w:rsid w:val="00425346"/>
    <w:rsid w:val="0042685C"/>
    <w:rsid w:val="0043371C"/>
    <w:rsid w:val="00443C4F"/>
    <w:rsid w:val="004568C9"/>
    <w:rsid w:val="00461CFC"/>
    <w:rsid w:val="0047377B"/>
    <w:rsid w:val="00480F0A"/>
    <w:rsid w:val="00481232"/>
    <w:rsid w:val="0048668B"/>
    <w:rsid w:val="00491B80"/>
    <w:rsid w:val="004954BE"/>
    <w:rsid w:val="00496BB0"/>
    <w:rsid w:val="004A5F8E"/>
    <w:rsid w:val="004A7AE3"/>
    <w:rsid w:val="004B2896"/>
    <w:rsid w:val="004B54EB"/>
    <w:rsid w:val="004D70F5"/>
    <w:rsid w:val="004E3279"/>
    <w:rsid w:val="004F0974"/>
    <w:rsid w:val="00501896"/>
    <w:rsid w:val="0050273D"/>
    <w:rsid w:val="00503E4F"/>
    <w:rsid w:val="005159C7"/>
    <w:rsid w:val="0052132A"/>
    <w:rsid w:val="00523007"/>
    <w:rsid w:val="0052417C"/>
    <w:rsid w:val="00525139"/>
    <w:rsid w:val="00526197"/>
    <w:rsid w:val="00527576"/>
    <w:rsid w:val="00540529"/>
    <w:rsid w:val="005413ED"/>
    <w:rsid w:val="005417C2"/>
    <w:rsid w:val="00542607"/>
    <w:rsid w:val="00542A07"/>
    <w:rsid w:val="0055326C"/>
    <w:rsid w:val="005557A3"/>
    <w:rsid w:val="005610A8"/>
    <w:rsid w:val="0056504E"/>
    <w:rsid w:val="00570568"/>
    <w:rsid w:val="00570DBC"/>
    <w:rsid w:val="00572B89"/>
    <w:rsid w:val="00572E08"/>
    <w:rsid w:val="00573C16"/>
    <w:rsid w:val="00577A50"/>
    <w:rsid w:val="00577FA8"/>
    <w:rsid w:val="005817F2"/>
    <w:rsid w:val="00581F5E"/>
    <w:rsid w:val="005867A0"/>
    <w:rsid w:val="0059400F"/>
    <w:rsid w:val="00596225"/>
    <w:rsid w:val="00596866"/>
    <w:rsid w:val="005A0E7E"/>
    <w:rsid w:val="005A341B"/>
    <w:rsid w:val="005B0560"/>
    <w:rsid w:val="005B0D1B"/>
    <w:rsid w:val="005B15F4"/>
    <w:rsid w:val="005B3637"/>
    <w:rsid w:val="005B3663"/>
    <w:rsid w:val="005B6A01"/>
    <w:rsid w:val="005C41C5"/>
    <w:rsid w:val="005C4C8F"/>
    <w:rsid w:val="005D489B"/>
    <w:rsid w:val="005E11BB"/>
    <w:rsid w:val="005E721E"/>
    <w:rsid w:val="005E7422"/>
    <w:rsid w:val="005F6D17"/>
    <w:rsid w:val="006109A9"/>
    <w:rsid w:val="0061331D"/>
    <w:rsid w:val="0061352F"/>
    <w:rsid w:val="00614779"/>
    <w:rsid w:val="00624D16"/>
    <w:rsid w:val="00635A65"/>
    <w:rsid w:val="00642D6F"/>
    <w:rsid w:val="006472FF"/>
    <w:rsid w:val="006560F3"/>
    <w:rsid w:val="00661300"/>
    <w:rsid w:val="00662E94"/>
    <w:rsid w:val="006649EF"/>
    <w:rsid w:val="006676DA"/>
    <w:rsid w:val="006718A0"/>
    <w:rsid w:val="0067252E"/>
    <w:rsid w:val="00676742"/>
    <w:rsid w:val="00677521"/>
    <w:rsid w:val="00682E3F"/>
    <w:rsid w:val="00686844"/>
    <w:rsid w:val="00695234"/>
    <w:rsid w:val="00695D3A"/>
    <w:rsid w:val="006A0B61"/>
    <w:rsid w:val="006A1F6E"/>
    <w:rsid w:val="006A7E92"/>
    <w:rsid w:val="006B2E6A"/>
    <w:rsid w:val="006B3970"/>
    <w:rsid w:val="006B705F"/>
    <w:rsid w:val="006C4565"/>
    <w:rsid w:val="006D791A"/>
    <w:rsid w:val="006E0574"/>
    <w:rsid w:val="006E0F3D"/>
    <w:rsid w:val="006E4150"/>
    <w:rsid w:val="006F0BA9"/>
    <w:rsid w:val="006F16E1"/>
    <w:rsid w:val="006F3F86"/>
    <w:rsid w:val="006F661C"/>
    <w:rsid w:val="007029D6"/>
    <w:rsid w:val="00702BEC"/>
    <w:rsid w:val="00702C49"/>
    <w:rsid w:val="00704330"/>
    <w:rsid w:val="00706D32"/>
    <w:rsid w:val="00714DB9"/>
    <w:rsid w:val="00714E90"/>
    <w:rsid w:val="00715544"/>
    <w:rsid w:val="007206E8"/>
    <w:rsid w:val="007209CF"/>
    <w:rsid w:val="00722BFB"/>
    <w:rsid w:val="00725B08"/>
    <w:rsid w:val="00731F14"/>
    <w:rsid w:val="00735F15"/>
    <w:rsid w:val="00740397"/>
    <w:rsid w:val="007404A8"/>
    <w:rsid w:val="0074161D"/>
    <w:rsid w:val="0074343F"/>
    <w:rsid w:val="0074720B"/>
    <w:rsid w:val="00750DA0"/>
    <w:rsid w:val="00751902"/>
    <w:rsid w:val="007522A8"/>
    <w:rsid w:val="00757C5D"/>
    <w:rsid w:val="007712F7"/>
    <w:rsid w:val="007726F2"/>
    <w:rsid w:val="00786BD6"/>
    <w:rsid w:val="00790993"/>
    <w:rsid w:val="007937AA"/>
    <w:rsid w:val="00794CB8"/>
    <w:rsid w:val="00797B8A"/>
    <w:rsid w:val="007A58AE"/>
    <w:rsid w:val="007B3E26"/>
    <w:rsid w:val="007B5180"/>
    <w:rsid w:val="007B60ED"/>
    <w:rsid w:val="007B7F0A"/>
    <w:rsid w:val="007C170B"/>
    <w:rsid w:val="007C3039"/>
    <w:rsid w:val="007C7C97"/>
    <w:rsid w:val="007D2D4F"/>
    <w:rsid w:val="007D3A2A"/>
    <w:rsid w:val="007D4286"/>
    <w:rsid w:val="007E529B"/>
    <w:rsid w:val="007F2A5B"/>
    <w:rsid w:val="007F44F8"/>
    <w:rsid w:val="007F4F6C"/>
    <w:rsid w:val="00800DF6"/>
    <w:rsid w:val="00802C99"/>
    <w:rsid w:val="00811DF9"/>
    <w:rsid w:val="00823EB5"/>
    <w:rsid w:val="00824021"/>
    <w:rsid w:val="00826751"/>
    <w:rsid w:val="00832EE4"/>
    <w:rsid w:val="0084114B"/>
    <w:rsid w:val="008424C5"/>
    <w:rsid w:val="00842560"/>
    <w:rsid w:val="008433C8"/>
    <w:rsid w:val="0084554D"/>
    <w:rsid w:val="00847AC4"/>
    <w:rsid w:val="00847F5C"/>
    <w:rsid w:val="008533B8"/>
    <w:rsid w:val="00853DA0"/>
    <w:rsid w:val="008562EE"/>
    <w:rsid w:val="00861D07"/>
    <w:rsid w:val="00864D5F"/>
    <w:rsid w:val="00867DE7"/>
    <w:rsid w:val="008705E7"/>
    <w:rsid w:val="00871741"/>
    <w:rsid w:val="00877FC0"/>
    <w:rsid w:val="00882878"/>
    <w:rsid w:val="00885550"/>
    <w:rsid w:val="00892BA5"/>
    <w:rsid w:val="008970FC"/>
    <w:rsid w:val="008A1DF7"/>
    <w:rsid w:val="008B0B00"/>
    <w:rsid w:val="008B14D1"/>
    <w:rsid w:val="008B3331"/>
    <w:rsid w:val="008B6F97"/>
    <w:rsid w:val="008B6FDF"/>
    <w:rsid w:val="008C0E29"/>
    <w:rsid w:val="008C190B"/>
    <w:rsid w:val="008C2C7C"/>
    <w:rsid w:val="008C5FC3"/>
    <w:rsid w:val="008D2CD1"/>
    <w:rsid w:val="008D41F1"/>
    <w:rsid w:val="008E3371"/>
    <w:rsid w:val="0090095E"/>
    <w:rsid w:val="00902BE2"/>
    <w:rsid w:val="00914334"/>
    <w:rsid w:val="0091486C"/>
    <w:rsid w:val="009224A6"/>
    <w:rsid w:val="00925B8E"/>
    <w:rsid w:val="009267A5"/>
    <w:rsid w:val="00926E7E"/>
    <w:rsid w:val="0093036D"/>
    <w:rsid w:val="00930DFA"/>
    <w:rsid w:val="00934D72"/>
    <w:rsid w:val="009374B8"/>
    <w:rsid w:val="0094147B"/>
    <w:rsid w:val="009438E6"/>
    <w:rsid w:val="009457F1"/>
    <w:rsid w:val="00965D70"/>
    <w:rsid w:val="00971E6E"/>
    <w:rsid w:val="00972988"/>
    <w:rsid w:val="00972D14"/>
    <w:rsid w:val="00974574"/>
    <w:rsid w:val="0098508D"/>
    <w:rsid w:val="00993642"/>
    <w:rsid w:val="00993BCB"/>
    <w:rsid w:val="009944F1"/>
    <w:rsid w:val="009A2A4A"/>
    <w:rsid w:val="009A30E8"/>
    <w:rsid w:val="009B04E7"/>
    <w:rsid w:val="009B730A"/>
    <w:rsid w:val="009C0CB1"/>
    <w:rsid w:val="009C3972"/>
    <w:rsid w:val="009C4A60"/>
    <w:rsid w:val="009D09BC"/>
    <w:rsid w:val="009D0DB7"/>
    <w:rsid w:val="009D271E"/>
    <w:rsid w:val="009D345B"/>
    <w:rsid w:val="009E6A25"/>
    <w:rsid w:val="009F226C"/>
    <w:rsid w:val="00A00CD7"/>
    <w:rsid w:val="00A0341D"/>
    <w:rsid w:val="00A05F67"/>
    <w:rsid w:val="00A0697D"/>
    <w:rsid w:val="00A140D7"/>
    <w:rsid w:val="00A247C2"/>
    <w:rsid w:val="00A336E9"/>
    <w:rsid w:val="00A34E15"/>
    <w:rsid w:val="00A370F6"/>
    <w:rsid w:val="00A43338"/>
    <w:rsid w:val="00A43C73"/>
    <w:rsid w:val="00A44A2D"/>
    <w:rsid w:val="00A47ABD"/>
    <w:rsid w:val="00A51547"/>
    <w:rsid w:val="00A544BA"/>
    <w:rsid w:val="00A55D46"/>
    <w:rsid w:val="00A70FBE"/>
    <w:rsid w:val="00A76C7C"/>
    <w:rsid w:val="00A961BE"/>
    <w:rsid w:val="00AA0163"/>
    <w:rsid w:val="00AA578C"/>
    <w:rsid w:val="00AB3468"/>
    <w:rsid w:val="00AC7500"/>
    <w:rsid w:val="00AC75CB"/>
    <w:rsid w:val="00AD3C4E"/>
    <w:rsid w:val="00AD64B6"/>
    <w:rsid w:val="00AD69B2"/>
    <w:rsid w:val="00AF2FE6"/>
    <w:rsid w:val="00AF31AA"/>
    <w:rsid w:val="00B00CA2"/>
    <w:rsid w:val="00B0301C"/>
    <w:rsid w:val="00B073BA"/>
    <w:rsid w:val="00B10BD6"/>
    <w:rsid w:val="00B11A9B"/>
    <w:rsid w:val="00B14629"/>
    <w:rsid w:val="00B16520"/>
    <w:rsid w:val="00B179B9"/>
    <w:rsid w:val="00B2182A"/>
    <w:rsid w:val="00B244F2"/>
    <w:rsid w:val="00B31950"/>
    <w:rsid w:val="00B34320"/>
    <w:rsid w:val="00B354AB"/>
    <w:rsid w:val="00B44FEF"/>
    <w:rsid w:val="00B479E4"/>
    <w:rsid w:val="00B52840"/>
    <w:rsid w:val="00B60A43"/>
    <w:rsid w:val="00B63FA7"/>
    <w:rsid w:val="00B67FD7"/>
    <w:rsid w:val="00B749D3"/>
    <w:rsid w:val="00B81595"/>
    <w:rsid w:val="00B843C0"/>
    <w:rsid w:val="00B8633D"/>
    <w:rsid w:val="00BA125A"/>
    <w:rsid w:val="00BA19EF"/>
    <w:rsid w:val="00BB5090"/>
    <w:rsid w:val="00BB5905"/>
    <w:rsid w:val="00BB668F"/>
    <w:rsid w:val="00BC0628"/>
    <w:rsid w:val="00BC11B9"/>
    <w:rsid w:val="00BC3CD6"/>
    <w:rsid w:val="00BD2623"/>
    <w:rsid w:val="00BE0393"/>
    <w:rsid w:val="00BE06FA"/>
    <w:rsid w:val="00BE186C"/>
    <w:rsid w:val="00BE75EE"/>
    <w:rsid w:val="00BF0124"/>
    <w:rsid w:val="00BF2E86"/>
    <w:rsid w:val="00C11506"/>
    <w:rsid w:val="00C15617"/>
    <w:rsid w:val="00C23B09"/>
    <w:rsid w:val="00C268AA"/>
    <w:rsid w:val="00C27F05"/>
    <w:rsid w:val="00C27F99"/>
    <w:rsid w:val="00C40029"/>
    <w:rsid w:val="00C4030A"/>
    <w:rsid w:val="00C40466"/>
    <w:rsid w:val="00C42C7B"/>
    <w:rsid w:val="00C502AE"/>
    <w:rsid w:val="00C50899"/>
    <w:rsid w:val="00C60A8F"/>
    <w:rsid w:val="00C62322"/>
    <w:rsid w:val="00C63E74"/>
    <w:rsid w:val="00C64F71"/>
    <w:rsid w:val="00C7493F"/>
    <w:rsid w:val="00C75B16"/>
    <w:rsid w:val="00C838F9"/>
    <w:rsid w:val="00C83DA4"/>
    <w:rsid w:val="00C92DCF"/>
    <w:rsid w:val="00C94B1C"/>
    <w:rsid w:val="00CA2F8E"/>
    <w:rsid w:val="00CA71E1"/>
    <w:rsid w:val="00CB1422"/>
    <w:rsid w:val="00CC0121"/>
    <w:rsid w:val="00CC0B67"/>
    <w:rsid w:val="00CC4C05"/>
    <w:rsid w:val="00CC5EBC"/>
    <w:rsid w:val="00CC7C58"/>
    <w:rsid w:val="00CD102B"/>
    <w:rsid w:val="00CD1C94"/>
    <w:rsid w:val="00CD426C"/>
    <w:rsid w:val="00CD6610"/>
    <w:rsid w:val="00CE1C11"/>
    <w:rsid w:val="00CF4EB1"/>
    <w:rsid w:val="00D007D1"/>
    <w:rsid w:val="00D01144"/>
    <w:rsid w:val="00D033C6"/>
    <w:rsid w:val="00D06814"/>
    <w:rsid w:val="00D074D4"/>
    <w:rsid w:val="00D13CFE"/>
    <w:rsid w:val="00D16493"/>
    <w:rsid w:val="00D2361E"/>
    <w:rsid w:val="00D23D34"/>
    <w:rsid w:val="00D23DEF"/>
    <w:rsid w:val="00D2582F"/>
    <w:rsid w:val="00D309C0"/>
    <w:rsid w:val="00D31B1D"/>
    <w:rsid w:val="00D31DEA"/>
    <w:rsid w:val="00D3445A"/>
    <w:rsid w:val="00D34848"/>
    <w:rsid w:val="00D34CE5"/>
    <w:rsid w:val="00D35C7D"/>
    <w:rsid w:val="00D474A0"/>
    <w:rsid w:val="00D5683B"/>
    <w:rsid w:val="00D57764"/>
    <w:rsid w:val="00D577FE"/>
    <w:rsid w:val="00D674FB"/>
    <w:rsid w:val="00D7075B"/>
    <w:rsid w:val="00D73F11"/>
    <w:rsid w:val="00D76418"/>
    <w:rsid w:val="00D777D8"/>
    <w:rsid w:val="00D8312D"/>
    <w:rsid w:val="00D837E5"/>
    <w:rsid w:val="00D905E2"/>
    <w:rsid w:val="00D92074"/>
    <w:rsid w:val="00D93912"/>
    <w:rsid w:val="00DA0256"/>
    <w:rsid w:val="00DA0D2F"/>
    <w:rsid w:val="00DA59B8"/>
    <w:rsid w:val="00DB0C46"/>
    <w:rsid w:val="00DB5B2A"/>
    <w:rsid w:val="00DB6BF2"/>
    <w:rsid w:val="00DC07A1"/>
    <w:rsid w:val="00DC173B"/>
    <w:rsid w:val="00DC5358"/>
    <w:rsid w:val="00DD30BE"/>
    <w:rsid w:val="00DD3D88"/>
    <w:rsid w:val="00DD7E25"/>
    <w:rsid w:val="00DE286A"/>
    <w:rsid w:val="00DE350A"/>
    <w:rsid w:val="00DE4AC1"/>
    <w:rsid w:val="00DF20F7"/>
    <w:rsid w:val="00DF31B2"/>
    <w:rsid w:val="00DF3263"/>
    <w:rsid w:val="00DF3FD9"/>
    <w:rsid w:val="00DF7BF9"/>
    <w:rsid w:val="00E03267"/>
    <w:rsid w:val="00E079A8"/>
    <w:rsid w:val="00E12C9A"/>
    <w:rsid w:val="00E16726"/>
    <w:rsid w:val="00E176D4"/>
    <w:rsid w:val="00E26567"/>
    <w:rsid w:val="00E276EB"/>
    <w:rsid w:val="00E33B47"/>
    <w:rsid w:val="00E417BC"/>
    <w:rsid w:val="00E56196"/>
    <w:rsid w:val="00E6205D"/>
    <w:rsid w:val="00E64738"/>
    <w:rsid w:val="00E650BF"/>
    <w:rsid w:val="00E70524"/>
    <w:rsid w:val="00E74647"/>
    <w:rsid w:val="00E81D3B"/>
    <w:rsid w:val="00E82E5F"/>
    <w:rsid w:val="00E83231"/>
    <w:rsid w:val="00E83CA2"/>
    <w:rsid w:val="00E92AB5"/>
    <w:rsid w:val="00E963E5"/>
    <w:rsid w:val="00E97D48"/>
    <w:rsid w:val="00EA6F01"/>
    <w:rsid w:val="00EB1959"/>
    <w:rsid w:val="00EB2323"/>
    <w:rsid w:val="00EB461A"/>
    <w:rsid w:val="00EB59BF"/>
    <w:rsid w:val="00EC0273"/>
    <w:rsid w:val="00EC23B9"/>
    <w:rsid w:val="00ED3F79"/>
    <w:rsid w:val="00ED6016"/>
    <w:rsid w:val="00EE62F1"/>
    <w:rsid w:val="00EE733E"/>
    <w:rsid w:val="00EF157C"/>
    <w:rsid w:val="00EF1739"/>
    <w:rsid w:val="00EF1B18"/>
    <w:rsid w:val="00EF2FD0"/>
    <w:rsid w:val="00EF4CF8"/>
    <w:rsid w:val="00F03D2C"/>
    <w:rsid w:val="00F05538"/>
    <w:rsid w:val="00F06C80"/>
    <w:rsid w:val="00F12B4C"/>
    <w:rsid w:val="00F15DC8"/>
    <w:rsid w:val="00F30427"/>
    <w:rsid w:val="00F34293"/>
    <w:rsid w:val="00F35DD0"/>
    <w:rsid w:val="00F4707D"/>
    <w:rsid w:val="00F51E76"/>
    <w:rsid w:val="00F5343B"/>
    <w:rsid w:val="00F60667"/>
    <w:rsid w:val="00F71771"/>
    <w:rsid w:val="00F72AC7"/>
    <w:rsid w:val="00F74EAD"/>
    <w:rsid w:val="00F841CF"/>
    <w:rsid w:val="00F86BBA"/>
    <w:rsid w:val="00F95630"/>
    <w:rsid w:val="00FA2CA8"/>
    <w:rsid w:val="00FA2CF2"/>
    <w:rsid w:val="00FA3FE9"/>
    <w:rsid w:val="00FB0737"/>
    <w:rsid w:val="00FC24F0"/>
    <w:rsid w:val="00FC28AB"/>
    <w:rsid w:val="00FC3EE7"/>
    <w:rsid w:val="00FC46E4"/>
    <w:rsid w:val="00FC5C74"/>
    <w:rsid w:val="00FC5E9F"/>
    <w:rsid w:val="00FD20D9"/>
    <w:rsid w:val="00FD2200"/>
    <w:rsid w:val="00FD2A70"/>
    <w:rsid w:val="00FD3DE1"/>
    <w:rsid w:val="00FE01DF"/>
    <w:rsid w:val="00FE0EA8"/>
    <w:rsid w:val="00FE1F4A"/>
    <w:rsid w:val="00FE585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5061F43"/>
  <w14:defaultImageDpi w14:val="300"/>
  <w15:docId w15:val="{012BC764-CFC0-4E6E-8A45-34A89836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fr-FR"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27F05"/>
    <w:rPr>
      <w:rFonts w:asciiTheme="minorHAnsi" w:hAnsiTheme="minorHAnsi" w:cstheme="minorBidi"/>
      <w:sz w:val="24"/>
      <w:szCs w:val="24"/>
      <w:lang w:eastAsia="fr-FR"/>
    </w:rPr>
  </w:style>
  <w:style w:type="paragraph" w:styleId="Titre1">
    <w:name w:val="heading 1"/>
    <w:basedOn w:val="Normal"/>
    <w:next w:val="Normal"/>
    <w:link w:val="Titre1Car"/>
    <w:uiPriority w:val="9"/>
    <w:qFormat/>
    <w:rsid w:val="001C01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unhideWhenUsed/>
    <w:qFormat/>
    <w:rsid w:val="000C63D9"/>
    <w:pPr>
      <w:keepNext/>
      <w:keepLines/>
      <w:spacing w:before="40"/>
      <w:outlineLvl w:val="2"/>
    </w:pPr>
    <w:rPr>
      <w:rFonts w:asciiTheme="majorHAnsi" w:eastAsiaTheme="majorEastAsia" w:hAnsiTheme="majorHAnsi" w:cstheme="majorBidi"/>
      <w:color w:val="243F60" w:themeColor="accent1" w:themeShade="7F"/>
    </w:rPr>
  </w:style>
  <w:style w:type="paragraph" w:styleId="Titre5">
    <w:name w:val="heading 5"/>
    <w:basedOn w:val="Normal"/>
    <w:next w:val="Normal"/>
    <w:link w:val="Titre5Car"/>
    <w:uiPriority w:val="9"/>
    <w:semiHidden/>
    <w:unhideWhenUsed/>
    <w:qFormat/>
    <w:rsid w:val="001C017A"/>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E21F54"/>
    <w:rPr>
      <w:rFonts w:ascii="Lucida Grande" w:hAnsi="Lucida Grande" w:cs="Times New Roman"/>
      <w:sz w:val="18"/>
      <w:szCs w:val="18"/>
    </w:rPr>
  </w:style>
  <w:style w:type="character" w:customStyle="1" w:styleId="TextedebullesCar">
    <w:name w:val="Texte de bulles Car"/>
    <w:basedOn w:val="Policepardfaut"/>
    <w:link w:val="Textedebulles"/>
    <w:uiPriority w:val="99"/>
    <w:semiHidden/>
    <w:rsid w:val="000C63D9"/>
    <w:rPr>
      <w:rFonts w:ascii="Lucida Grande" w:hAnsi="Lucida Grande"/>
      <w:sz w:val="18"/>
      <w:szCs w:val="18"/>
      <w:lang w:eastAsia="fr-FR"/>
    </w:rPr>
  </w:style>
  <w:style w:type="paragraph" w:styleId="Notedebasdepage">
    <w:name w:val="footnote text"/>
    <w:aliases w:val="fn,footnote text,Footnotes,Footnote ak Car,Footnote,footnotes,Note de bas de page Car Car Car,Note de bas de page Car Car Car Car Car Car Car Car,Note de bas de page Car Car Car Car Car Car Car,Footnote Text Char,FA,FA Fußnotentext,C"/>
    <w:basedOn w:val="Normal"/>
    <w:link w:val="NotedebasdepageCar"/>
    <w:unhideWhenUsed/>
    <w:qFormat/>
    <w:rsid w:val="00C27F05"/>
  </w:style>
  <w:style w:type="character" w:customStyle="1" w:styleId="NotedebasdepageCar">
    <w:name w:val="Note de bas de page Car"/>
    <w:aliases w:val="fn Car,footnote text Car,Footnotes Car,Footnote ak Car Car,Footnote Car,footnotes Car,Note de bas de page Car Car Car Car,Note de bas de page Car Car Car Car Car Car Car Car Car,Footnote Text Char Car,FA Car,FA Fußnotentext Car"/>
    <w:basedOn w:val="Policepardfaut"/>
    <w:link w:val="Notedebasdepage"/>
    <w:rsid w:val="00C27F05"/>
    <w:rPr>
      <w:rFonts w:asciiTheme="minorHAnsi" w:hAnsiTheme="minorHAnsi" w:cstheme="minorBidi"/>
      <w:sz w:val="24"/>
      <w:szCs w:val="24"/>
      <w:lang w:eastAsia="fr-FR"/>
    </w:rPr>
  </w:style>
  <w:style w:type="character" w:styleId="Appelnotedebasdep">
    <w:name w:val="footnote reference"/>
    <w:aliases w:val="4_G,Footnote number,Footnote Reference 1,Ref,de nota al pie,bkVoetnootmarkering,appel de note bas de page,fr,Appel note de bas de page,callout,de nota a,Footnote Refernece,Footnotes refss,Footnote Reference Superscript,BVI fnr,FZ"/>
    <w:basedOn w:val="Policepardfaut"/>
    <w:uiPriority w:val="99"/>
    <w:unhideWhenUsed/>
    <w:rsid w:val="00C27F05"/>
    <w:rPr>
      <w:vertAlign w:val="superscript"/>
    </w:rPr>
  </w:style>
  <w:style w:type="character" w:customStyle="1" w:styleId="Titre3Car">
    <w:name w:val="Titre 3 Car"/>
    <w:basedOn w:val="Policepardfaut"/>
    <w:link w:val="Titre3"/>
    <w:uiPriority w:val="9"/>
    <w:rsid w:val="000C63D9"/>
    <w:rPr>
      <w:rFonts w:asciiTheme="majorHAnsi" w:eastAsiaTheme="majorEastAsia" w:hAnsiTheme="majorHAnsi" w:cstheme="majorBidi"/>
      <w:color w:val="243F60" w:themeColor="accent1" w:themeShade="7F"/>
      <w:sz w:val="24"/>
      <w:szCs w:val="24"/>
      <w:lang w:eastAsia="fr-FR"/>
    </w:rPr>
  </w:style>
  <w:style w:type="character" w:customStyle="1" w:styleId="PieddepageCar">
    <w:name w:val="Pied de page Car"/>
    <w:basedOn w:val="Policepardfaut"/>
    <w:link w:val="Pieddepage"/>
    <w:uiPriority w:val="99"/>
    <w:rsid w:val="000C63D9"/>
    <w:rPr>
      <w:rFonts w:asciiTheme="minorHAnsi" w:hAnsiTheme="minorHAnsi" w:cstheme="minorBidi"/>
      <w:sz w:val="24"/>
      <w:szCs w:val="24"/>
      <w:lang w:eastAsia="fr-FR"/>
    </w:rPr>
  </w:style>
  <w:style w:type="paragraph" w:styleId="Pieddepage">
    <w:name w:val="footer"/>
    <w:basedOn w:val="Normal"/>
    <w:link w:val="PieddepageCar"/>
    <w:uiPriority w:val="99"/>
    <w:unhideWhenUsed/>
    <w:rsid w:val="000C63D9"/>
    <w:pPr>
      <w:tabs>
        <w:tab w:val="center" w:pos="4536"/>
        <w:tab w:val="right" w:pos="9072"/>
      </w:tabs>
    </w:pPr>
  </w:style>
  <w:style w:type="character" w:customStyle="1" w:styleId="ExplorateurdedocumentsCar">
    <w:name w:val="Explorateur de documents Car"/>
    <w:basedOn w:val="Policepardfaut"/>
    <w:link w:val="Explorateurdedocuments"/>
    <w:uiPriority w:val="99"/>
    <w:semiHidden/>
    <w:rsid w:val="000C63D9"/>
    <w:rPr>
      <w:sz w:val="24"/>
      <w:szCs w:val="24"/>
      <w:lang w:eastAsia="fr-FR"/>
    </w:rPr>
  </w:style>
  <w:style w:type="paragraph" w:styleId="Explorateurdedocuments">
    <w:name w:val="Document Map"/>
    <w:basedOn w:val="Normal"/>
    <w:link w:val="ExplorateurdedocumentsCar"/>
    <w:uiPriority w:val="99"/>
    <w:semiHidden/>
    <w:unhideWhenUsed/>
    <w:rsid w:val="000C63D9"/>
    <w:rPr>
      <w:rFonts w:ascii="Times New Roman" w:hAnsi="Times New Roman" w:cs="Times New Roman"/>
    </w:rPr>
  </w:style>
  <w:style w:type="character" w:customStyle="1" w:styleId="En-tteCar">
    <w:name w:val="En-tête Car"/>
    <w:basedOn w:val="Policepardfaut"/>
    <w:link w:val="En-tte"/>
    <w:uiPriority w:val="99"/>
    <w:rsid w:val="000C63D9"/>
    <w:rPr>
      <w:rFonts w:asciiTheme="minorHAnsi" w:hAnsiTheme="minorHAnsi" w:cstheme="minorBidi"/>
      <w:sz w:val="24"/>
      <w:szCs w:val="24"/>
      <w:lang w:eastAsia="fr-FR"/>
    </w:rPr>
  </w:style>
  <w:style w:type="paragraph" w:styleId="En-tte">
    <w:name w:val="header"/>
    <w:basedOn w:val="Normal"/>
    <w:link w:val="En-tteCar"/>
    <w:uiPriority w:val="99"/>
    <w:unhideWhenUsed/>
    <w:rsid w:val="000C63D9"/>
    <w:pPr>
      <w:tabs>
        <w:tab w:val="center" w:pos="4536"/>
        <w:tab w:val="right" w:pos="9072"/>
      </w:tabs>
    </w:pPr>
  </w:style>
  <w:style w:type="character" w:styleId="Numrodepage">
    <w:name w:val="page number"/>
    <w:basedOn w:val="Policepardfaut"/>
    <w:uiPriority w:val="99"/>
    <w:semiHidden/>
    <w:unhideWhenUsed/>
    <w:rsid w:val="00A961BE"/>
  </w:style>
  <w:style w:type="paragraph" w:styleId="Rvision">
    <w:name w:val="Revision"/>
    <w:hidden/>
    <w:uiPriority w:val="99"/>
    <w:semiHidden/>
    <w:rsid w:val="005867A0"/>
    <w:rPr>
      <w:rFonts w:asciiTheme="minorHAnsi" w:hAnsiTheme="minorHAnsi" w:cstheme="minorBidi"/>
      <w:sz w:val="24"/>
      <w:szCs w:val="24"/>
      <w:lang w:eastAsia="fr-FR"/>
    </w:rPr>
  </w:style>
  <w:style w:type="character" w:customStyle="1" w:styleId="Titre1Car">
    <w:name w:val="Titre 1 Car"/>
    <w:basedOn w:val="Policepardfaut"/>
    <w:link w:val="Titre1"/>
    <w:uiPriority w:val="9"/>
    <w:rsid w:val="001C017A"/>
    <w:rPr>
      <w:rFonts w:asciiTheme="majorHAnsi" w:eastAsiaTheme="majorEastAsia" w:hAnsiTheme="majorHAnsi" w:cstheme="majorBidi"/>
      <w:color w:val="365F91" w:themeColor="accent1" w:themeShade="BF"/>
      <w:sz w:val="32"/>
      <w:szCs w:val="32"/>
      <w:lang w:eastAsia="fr-FR"/>
    </w:rPr>
  </w:style>
  <w:style w:type="character" w:customStyle="1" w:styleId="Titre5Car">
    <w:name w:val="Titre 5 Car"/>
    <w:basedOn w:val="Policepardfaut"/>
    <w:link w:val="Titre5"/>
    <w:uiPriority w:val="9"/>
    <w:semiHidden/>
    <w:rsid w:val="001C017A"/>
    <w:rPr>
      <w:rFonts w:asciiTheme="majorHAnsi" w:eastAsiaTheme="majorEastAsia" w:hAnsiTheme="majorHAnsi" w:cstheme="majorBidi"/>
      <w:color w:val="365F91" w:themeColor="accent1" w:themeShade="BF"/>
      <w:sz w:val="24"/>
      <w:szCs w:val="24"/>
      <w:lang w:eastAsia="fr-FR"/>
    </w:rPr>
  </w:style>
  <w:style w:type="character" w:styleId="Lienhypertexte">
    <w:name w:val="Hyperlink"/>
    <w:basedOn w:val="Policepardfaut"/>
    <w:uiPriority w:val="99"/>
    <w:semiHidden/>
    <w:unhideWhenUsed/>
    <w:rsid w:val="001C01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13846">
      <w:bodyDiv w:val="1"/>
      <w:marLeft w:val="0"/>
      <w:marRight w:val="0"/>
      <w:marTop w:val="0"/>
      <w:marBottom w:val="0"/>
      <w:divBdr>
        <w:top w:val="none" w:sz="0" w:space="0" w:color="auto"/>
        <w:left w:val="none" w:sz="0" w:space="0" w:color="auto"/>
        <w:bottom w:val="none" w:sz="0" w:space="0" w:color="auto"/>
        <w:right w:val="none" w:sz="0" w:space="0" w:color="auto"/>
      </w:divBdr>
    </w:div>
    <w:div w:id="708333633">
      <w:bodyDiv w:val="1"/>
      <w:marLeft w:val="0"/>
      <w:marRight w:val="0"/>
      <w:marTop w:val="0"/>
      <w:marBottom w:val="0"/>
      <w:divBdr>
        <w:top w:val="none" w:sz="0" w:space="0" w:color="auto"/>
        <w:left w:val="none" w:sz="0" w:space="0" w:color="auto"/>
        <w:bottom w:val="none" w:sz="0" w:space="0" w:color="auto"/>
        <w:right w:val="none" w:sz="0" w:space="0" w:color="auto"/>
      </w:divBdr>
    </w:div>
    <w:div w:id="850920400">
      <w:bodyDiv w:val="1"/>
      <w:marLeft w:val="0"/>
      <w:marRight w:val="0"/>
      <w:marTop w:val="0"/>
      <w:marBottom w:val="0"/>
      <w:divBdr>
        <w:top w:val="none" w:sz="0" w:space="0" w:color="auto"/>
        <w:left w:val="none" w:sz="0" w:space="0" w:color="auto"/>
        <w:bottom w:val="none" w:sz="0" w:space="0" w:color="auto"/>
        <w:right w:val="none" w:sz="0" w:space="0" w:color="auto"/>
      </w:divBdr>
    </w:div>
    <w:div w:id="20872196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bib.fusl.ac.be:80/cgi/chameleon?sessionid=2009031412292618464&amp;skin=wboreal&amp;lng=fr-be&amp;inst=consortium&amp;search=KEYWORD&amp;function=INITREQ&amp;sourcescreen=CARDSCR&amp;elementcount=1&amp;t1=Max-Planck-Institut%20,&amp;u1=1018&amp;f1=1&amp;pos=1&amp;rootsearch=HEADING&amp;beginsrch=1" TargetMode="External"/><Relationship Id="rId2" Type="http://schemas.openxmlformats.org/officeDocument/2006/relationships/hyperlink" Target="https://www.jurisquare.be/fr/journal/njw/2020-423/spijtoptantenregeling-incoherent-maar-grondwetsconform/shop/index.ht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C72D5CB-35CE-0B4B-BA52-23952FDF6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49</Pages>
  <Words>22785</Words>
  <Characters>125322</Characters>
  <Application>Microsoft Macintosh Word</Application>
  <DocSecurity>0</DocSecurity>
  <Lines>1044</Lines>
  <Paragraphs>295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sinfo fusl</dc:creator>
  <cp:keywords/>
  <dc:description/>
  <cp:lastModifiedBy>Thibaut Slingeneyer</cp:lastModifiedBy>
  <cp:revision>26</cp:revision>
  <cp:lastPrinted>2020-06-19T07:38:00Z</cp:lastPrinted>
  <dcterms:created xsi:type="dcterms:W3CDTF">2020-08-06T12:27:00Z</dcterms:created>
  <dcterms:modified xsi:type="dcterms:W3CDTF">2020-08-10T15:00:00Z</dcterms:modified>
</cp:coreProperties>
</file>