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E245D" w14:textId="6904115D" w:rsidR="000567FA" w:rsidRPr="003304E0" w:rsidRDefault="00FD4A2F" w:rsidP="00FD4A2F">
      <w:pPr>
        <w:jc w:val="center"/>
        <w:rPr>
          <w:b/>
          <w:bCs/>
          <w:sz w:val="28"/>
          <w:szCs w:val="28"/>
        </w:rPr>
      </w:pPr>
      <w:r w:rsidRPr="003304E0">
        <w:rPr>
          <w:b/>
          <w:bCs/>
          <w:sz w:val="28"/>
          <w:szCs w:val="28"/>
        </w:rPr>
        <w:t xml:space="preserve">Le droit international et européen des états d’exception : « cadre » ou nuage ? </w:t>
      </w:r>
    </w:p>
    <w:p w14:paraId="2528FFA1" w14:textId="30E38C18" w:rsidR="00FD4A2F" w:rsidRPr="00121CD4" w:rsidRDefault="00FD4A2F" w:rsidP="00FD4A2F">
      <w:pPr>
        <w:jc w:val="center"/>
      </w:pPr>
    </w:p>
    <w:p w14:paraId="24824EEF" w14:textId="05D65292" w:rsidR="00FD4A2F" w:rsidRPr="00121CD4" w:rsidRDefault="00FD4A2F" w:rsidP="00FD4A2F">
      <w:pPr>
        <w:jc w:val="center"/>
      </w:pPr>
      <w:r w:rsidRPr="00121CD4">
        <w:t>Sébastien Van Drooghenbroeck</w:t>
      </w:r>
    </w:p>
    <w:p w14:paraId="0A2A5454" w14:textId="15BDF5D9" w:rsidR="00FD4A2F" w:rsidRPr="00121CD4" w:rsidRDefault="00FD4A2F" w:rsidP="00FD4A2F">
      <w:pPr>
        <w:jc w:val="center"/>
      </w:pPr>
      <w:r w:rsidRPr="00121CD4">
        <w:t>Professeur ordinaire  à l’Université Saint-Louis-Bruxelles</w:t>
      </w:r>
    </w:p>
    <w:p w14:paraId="338D3770" w14:textId="01A601D4" w:rsidR="00FD4A2F" w:rsidRPr="00121CD4" w:rsidRDefault="00FD4A2F" w:rsidP="00FD4A2F">
      <w:pPr>
        <w:jc w:val="center"/>
      </w:pPr>
      <w:r w:rsidRPr="00121CD4">
        <w:t>Professeur invité à l’Université Paris 2 (Panthéon-Assas)</w:t>
      </w:r>
    </w:p>
    <w:p w14:paraId="58A0C169" w14:textId="77557F1F" w:rsidR="00FD4A2F" w:rsidRPr="00121CD4" w:rsidRDefault="00FD4A2F" w:rsidP="00FD4A2F">
      <w:pPr>
        <w:jc w:val="center"/>
      </w:pPr>
      <w:r w:rsidRPr="00121CD4">
        <w:t>Assesseur au Conseil d’état</w:t>
      </w:r>
    </w:p>
    <w:p w14:paraId="25FAB715" w14:textId="1E4E6CFC" w:rsidR="00FD4A2F" w:rsidRPr="00121CD4" w:rsidRDefault="00FD4A2F" w:rsidP="00FD4A2F">
      <w:pPr>
        <w:jc w:val="center"/>
      </w:pPr>
    </w:p>
    <w:p w14:paraId="41B7B68B" w14:textId="13952440" w:rsidR="00FD4A2F" w:rsidRPr="00121CD4" w:rsidRDefault="00FD4A2F" w:rsidP="00FD4A2F">
      <w:pPr>
        <w:jc w:val="center"/>
      </w:pPr>
      <w:r w:rsidRPr="00121CD4">
        <w:t xml:space="preserve">&amp; </w:t>
      </w:r>
    </w:p>
    <w:p w14:paraId="5B9C6B03" w14:textId="1AC24209" w:rsidR="00FD4A2F" w:rsidRPr="00121CD4" w:rsidRDefault="00FD4A2F" w:rsidP="00FD4A2F">
      <w:pPr>
        <w:jc w:val="center"/>
      </w:pPr>
    </w:p>
    <w:p w14:paraId="296C14FC" w14:textId="2F0D927E" w:rsidR="00FD4A2F" w:rsidRPr="00121CD4" w:rsidRDefault="00FD4A2F" w:rsidP="00FD4A2F">
      <w:pPr>
        <w:jc w:val="center"/>
      </w:pPr>
      <w:r w:rsidRPr="00121CD4">
        <w:t>Antoine Herinckx</w:t>
      </w:r>
    </w:p>
    <w:p w14:paraId="36B9BBA6" w14:textId="1F83FF84" w:rsidR="00FD4A2F" w:rsidRPr="00121CD4" w:rsidRDefault="00FD4A2F" w:rsidP="00FD4A2F">
      <w:pPr>
        <w:jc w:val="center"/>
      </w:pPr>
      <w:r w:rsidRPr="00121CD4">
        <w:t>Avocat</w:t>
      </w:r>
    </w:p>
    <w:p w14:paraId="25EE210E" w14:textId="10D759C0" w:rsidR="00FD4A2F" w:rsidRPr="00121CD4" w:rsidRDefault="00FD4A2F" w:rsidP="00FD4A2F">
      <w:pPr>
        <w:jc w:val="center"/>
      </w:pPr>
      <w:r w:rsidRPr="00121CD4">
        <w:t>Assistant à l’Université Saint-Louis-Bruxelles</w:t>
      </w:r>
    </w:p>
    <w:p w14:paraId="309AD56C" w14:textId="3EFA4C54" w:rsidR="00FD4A2F" w:rsidRPr="00121CD4" w:rsidRDefault="00FD4A2F" w:rsidP="00FD4A2F">
      <w:pPr>
        <w:jc w:val="center"/>
      </w:pPr>
    </w:p>
    <w:p w14:paraId="234EFFEB" w14:textId="1F712CB9" w:rsidR="00FD4A2F" w:rsidRPr="003304E0" w:rsidRDefault="00674D53" w:rsidP="00674D53">
      <w:pPr>
        <w:pStyle w:val="Paragraphedeliste"/>
        <w:numPr>
          <w:ilvl w:val="0"/>
          <w:numId w:val="3"/>
        </w:numPr>
        <w:jc w:val="both"/>
        <w:rPr>
          <w:b/>
          <w:bCs/>
          <w:sz w:val="28"/>
          <w:szCs w:val="28"/>
        </w:rPr>
      </w:pPr>
      <w:r w:rsidRPr="003304E0">
        <w:rPr>
          <w:b/>
          <w:bCs/>
          <w:sz w:val="28"/>
          <w:szCs w:val="28"/>
        </w:rPr>
        <w:t>Mise en contexte</w:t>
      </w:r>
      <w:r w:rsidR="003304E0">
        <w:rPr>
          <w:rStyle w:val="Appelnotedebasdep"/>
          <w:b/>
          <w:bCs/>
          <w:sz w:val="28"/>
          <w:szCs w:val="28"/>
        </w:rPr>
        <w:footnoteReference w:id="1"/>
      </w:r>
    </w:p>
    <w:p w14:paraId="2950AD4D" w14:textId="77777777" w:rsidR="00674D53" w:rsidRPr="00674D53" w:rsidRDefault="00674D53" w:rsidP="00674D53">
      <w:pPr>
        <w:pStyle w:val="Paragraphedeliste"/>
        <w:jc w:val="both"/>
      </w:pPr>
    </w:p>
    <w:p w14:paraId="1A65861A" w14:textId="2B2D4C6B" w:rsidR="008D4BD5" w:rsidRPr="00121CD4" w:rsidRDefault="008D4BD5" w:rsidP="001358BC">
      <w:pPr>
        <w:jc w:val="both"/>
        <w:rPr>
          <w:color w:val="231F20"/>
          <w:shd w:val="clear" w:color="auto" w:fill="FFFFFF"/>
        </w:rPr>
      </w:pPr>
      <w:r w:rsidRPr="003304E0">
        <w:rPr>
          <w:b/>
          <w:iCs/>
        </w:rPr>
        <w:t>1.</w:t>
      </w:r>
      <w:r w:rsidRPr="00121CD4">
        <w:rPr>
          <w:iCs/>
        </w:rPr>
        <w:tab/>
        <w:t xml:space="preserve">Selon la </w:t>
      </w:r>
      <w:r w:rsidR="00F718B2">
        <w:rPr>
          <w:iCs/>
        </w:rPr>
        <w:t>Commission européenne pour la démocratie par le droit, dite « </w:t>
      </w:r>
      <w:r w:rsidRPr="00121CD4">
        <w:rPr>
          <w:iCs/>
        </w:rPr>
        <w:t>Commission de Venise</w:t>
      </w:r>
      <w:r w:rsidR="00F718B2">
        <w:rPr>
          <w:iCs/>
        </w:rPr>
        <w:t> »</w:t>
      </w:r>
      <w:r w:rsidR="003304E0">
        <w:rPr>
          <w:iCs/>
        </w:rPr>
        <w:t>, l’ « état d’urgence » se définit comme</w:t>
      </w:r>
      <w:r w:rsidRPr="00121CD4">
        <w:rPr>
          <w:iCs/>
        </w:rPr>
        <w:t xml:space="preserve"> « l</w:t>
      </w:r>
      <w:r w:rsidRPr="00121CD4">
        <w:t xml:space="preserve">’octroi – temporaire – de pouvoirs exceptionnels à l’exécutif, assorti de règles exceptionnelles, en vue de traiter et de surmonter une situation extraordinaire qui représente une menace fondamentale pour le pays. </w:t>
      </w:r>
      <w:r w:rsidRPr="00121CD4">
        <w:rPr>
          <w:bCs/>
        </w:rPr>
        <w:t>Cette</w:t>
      </w:r>
      <w:r w:rsidRPr="00121CD4">
        <w:t xml:space="preserve"> situation peut être de différentes natures : catastrophe naturelle, troubles civils, épidémie, attentats terroristes de grande ampleur, crise économique, guerre et menaces militaires, par exemple. L’existence de l’état d’urgence repose sur une dichotomie entre la norme/normalité d’une part, l’exception d’autre part</w:t>
      </w:r>
      <w:r w:rsidR="001358BC" w:rsidRPr="00121CD4">
        <w:t> »</w:t>
      </w:r>
      <w:r w:rsidR="001358BC" w:rsidRPr="00121CD4">
        <w:rPr>
          <w:rStyle w:val="Appelnotedebasdep"/>
        </w:rPr>
        <w:footnoteReference w:id="2"/>
      </w:r>
      <w:r w:rsidR="00EF5273">
        <w:t>.</w:t>
      </w:r>
      <w:r w:rsidRPr="00121CD4">
        <w:t xml:space="preserve"> Fort proche</w:t>
      </w:r>
      <w:r w:rsidR="00EB5D3E" w:rsidRPr="00121CD4">
        <w:rPr>
          <w:rStyle w:val="Appelnotedebasdep"/>
        </w:rPr>
        <w:footnoteReference w:id="3"/>
      </w:r>
      <w:r w:rsidRPr="00121CD4">
        <w:t xml:space="preserve">, </w:t>
      </w:r>
      <w:r w:rsidRPr="00121CD4">
        <w:rPr>
          <w:color w:val="000000"/>
        </w:rPr>
        <w:t xml:space="preserve">la notion d’ « état d’exception » vise quant à elle </w:t>
      </w:r>
      <w:r w:rsidRPr="000E5DE3">
        <w:t xml:space="preserve">« la situation dans laquelle se trouve </w:t>
      </w:r>
      <w:bookmarkStart w:id="0" w:name="i_680"/>
      <w:bookmarkEnd w:id="0"/>
      <w:r w:rsidRPr="000E5DE3">
        <w:t>un état qui, en présence d'un péril grave, ne peut assurer sa sauvegarde qu'en méconnaissant les règles légales qui régissent normalement son activité »</w:t>
      </w:r>
      <w:r w:rsidR="00EB5D3E" w:rsidRPr="00121CD4">
        <w:rPr>
          <w:rStyle w:val="Appelnotedebasdep"/>
          <w:color w:val="231F20"/>
          <w:shd w:val="clear" w:color="auto" w:fill="FFFFFF"/>
        </w:rPr>
        <w:footnoteReference w:id="4"/>
      </w:r>
      <w:r w:rsidRPr="00121CD4">
        <w:rPr>
          <w:color w:val="231F20"/>
          <w:shd w:val="clear" w:color="auto" w:fill="FFFFFF"/>
        </w:rPr>
        <w:t>.</w:t>
      </w:r>
    </w:p>
    <w:p w14:paraId="0E4BFED5" w14:textId="77777777" w:rsidR="008D4BD5" w:rsidRPr="00121CD4" w:rsidRDefault="008D4BD5" w:rsidP="00FD4A2F">
      <w:pPr>
        <w:jc w:val="both"/>
        <w:rPr>
          <w:color w:val="231F20"/>
          <w:shd w:val="clear" w:color="auto" w:fill="FFFFFF"/>
        </w:rPr>
      </w:pPr>
    </w:p>
    <w:p w14:paraId="6840C579" w14:textId="79EDEF9E" w:rsidR="00FD4A2F" w:rsidRPr="00121CD4" w:rsidRDefault="008D4BD5" w:rsidP="00FD4A2F">
      <w:pPr>
        <w:jc w:val="both"/>
      </w:pPr>
      <w:r w:rsidRPr="003304E0">
        <w:rPr>
          <w:b/>
        </w:rPr>
        <w:t>2.</w:t>
      </w:r>
      <w:r w:rsidRPr="003304E0">
        <w:rPr>
          <w:b/>
        </w:rPr>
        <w:tab/>
      </w:r>
      <w:r w:rsidR="00FD4A2F" w:rsidRPr="00121CD4">
        <w:t xml:space="preserve">L’article 187 de la Constitution belge dispose que celle-ci ne peut être suspendue, </w:t>
      </w:r>
      <w:r w:rsidRPr="00121CD4">
        <w:t>« </w:t>
      </w:r>
      <w:r w:rsidR="00FD4A2F" w:rsidRPr="00121CD4">
        <w:t>en tout, ni</w:t>
      </w:r>
      <w:r w:rsidRPr="00121CD4">
        <w:t xml:space="preserve"> en p</w:t>
      </w:r>
      <w:r w:rsidR="003304E0">
        <w:t>artie ». Ainsi que le rappelle</w:t>
      </w:r>
      <w:r w:rsidRPr="00121CD4">
        <w:t xml:space="preserve">nt plus avant </w:t>
      </w:r>
      <w:r w:rsidRPr="000E5DE3">
        <w:rPr>
          <w:smallCaps/>
        </w:rPr>
        <w:t>Marc Uyttendaele</w:t>
      </w:r>
      <w:r w:rsidRPr="00121CD4">
        <w:t xml:space="preserve"> et </w:t>
      </w:r>
      <w:r w:rsidRPr="000E5DE3">
        <w:rPr>
          <w:smallCaps/>
        </w:rPr>
        <w:t>Lucien Rigaux</w:t>
      </w:r>
      <w:r w:rsidRPr="00121CD4">
        <w:t xml:space="preserve"> dans leur propre contribution</w:t>
      </w:r>
      <w:r w:rsidR="003304E0">
        <w:t xml:space="preserve"> au présent ouvrage</w:t>
      </w:r>
      <w:r w:rsidR="00EB5D3E" w:rsidRPr="00121CD4">
        <w:rPr>
          <w:rStyle w:val="Appelnotedebasdep"/>
        </w:rPr>
        <w:footnoteReference w:id="5"/>
      </w:r>
      <w:r w:rsidRPr="00121CD4">
        <w:t xml:space="preserve">, la Belgique ne connait donc pas – en tous cas, pas constitutionnellement </w:t>
      </w:r>
      <w:r w:rsidR="003304E0" w:rsidRPr="00121CD4">
        <w:t>–</w:t>
      </w:r>
      <w:r w:rsidRPr="00121CD4">
        <w:t>, d’état d’exception</w:t>
      </w:r>
      <w:r w:rsidR="00EB5D3E" w:rsidRPr="00121CD4">
        <w:rPr>
          <w:rStyle w:val="Appelnotedebasdep"/>
        </w:rPr>
        <w:footnoteReference w:id="6"/>
      </w:r>
      <w:r w:rsidRPr="00121CD4">
        <w:t xml:space="preserve">. La Constitution belge vaudra pour le beau temps, et pour le mauvais temps. Ce faisant, elle place – ou en tous cas, semble placer – la barre </w:t>
      </w:r>
      <w:r w:rsidRPr="00121CD4">
        <w:lastRenderedPageBreak/>
        <w:t>plus haut que ce que lui impose le droit international et européen des droits de l’Homme qui, pour leur part, autorise</w:t>
      </w:r>
      <w:r w:rsidR="00BF2630" w:rsidRPr="00121CD4">
        <w:t>nt</w:t>
      </w:r>
      <w:r w:rsidRPr="00121CD4">
        <w:t xml:space="preserve"> qu’il soit dérogé à certains de leurs prescrits. </w:t>
      </w:r>
    </w:p>
    <w:p w14:paraId="4F6E2D45" w14:textId="50CB8BEE" w:rsidR="008D4BD5" w:rsidRPr="00121CD4" w:rsidRDefault="008D4BD5" w:rsidP="00FD4A2F">
      <w:pPr>
        <w:jc w:val="both"/>
      </w:pPr>
    </w:p>
    <w:p w14:paraId="17F94715" w14:textId="6F64FF72" w:rsidR="008D4BD5" w:rsidRPr="00121CD4" w:rsidRDefault="008D4BD5" w:rsidP="008D4BD5">
      <w:pPr>
        <w:tabs>
          <w:tab w:val="left" w:pos="1383"/>
        </w:tabs>
        <w:jc w:val="both"/>
        <w:rPr>
          <w:bCs/>
        </w:rPr>
      </w:pPr>
      <w:r w:rsidRPr="003304E0">
        <w:rPr>
          <w:b/>
          <w:bCs/>
        </w:rPr>
        <w:t>3.</w:t>
      </w:r>
      <w:r w:rsidRPr="00121CD4">
        <w:rPr>
          <w:bCs/>
        </w:rPr>
        <w:t xml:space="preserve">      L’analyse qui précède figura, de longue date, dans les écrits de divers constitutionnalistes</w:t>
      </w:r>
      <w:r w:rsidR="00EB5D3E" w:rsidRPr="00121CD4">
        <w:rPr>
          <w:rStyle w:val="Appelnotedebasdep"/>
          <w:bCs/>
        </w:rPr>
        <w:footnoteReference w:id="7"/>
      </w:r>
      <w:r w:rsidRPr="00121CD4">
        <w:rPr>
          <w:bCs/>
        </w:rPr>
        <w:t>. Elle fut, très récemment, confirmée par l’Assemblée générale de la Section du contentieux administratif du Conseil d’État. Dans l’affaire ayant donné lieu à l’arrêt n°249.314 du 22 décembre 2020</w:t>
      </w:r>
      <w:r w:rsidR="003304E0">
        <w:rPr>
          <w:rStyle w:val="Appelnotedebasdep"/>
          <w:bCs/>
        </w:rPr>
        <w:footnoteReference w:id="8"/>
      </w:r>
      <w:r w:rsidRPr="00121CD4">
        <w:rPr>
          <w:bCs/>
        </w:rPr>
        <w:t>, les parties requérantes faisaient en substance reprocher à l’arrêté ministériel du 28 octobre 2020 ‘portant des mesures d'urgence pour limiter la propagation du coronavirus COVID-19’ d’avoir « dérogé » à l’article 9 de la CEDH et à la liberté de culte qu’il consacre, et d’avoir, en méconnaissance de ce que prescrit l’article 15, § 3, de la Convention précitée, omis de notifier cette dérogation au Secrétaire général du Conseil de l’Europe. Le Conseil d’État, dans des termes absolument dépourvus d’ambiguïté, récusa la prémisse même du raisonnement ainsi développé :</w:t>
      </w:r>
    </w:p>
    <w:p w14:paraId="5B571DDF" w14:textId="77777777" w:rsidR="008D4BD5" w:rsidRPr="00F718B2" w:rsidRDefault="008D4BD5" w:rsidP="008D4BD5">
      <w:pPr>
        <w:tabs>
          <w:tab w:val="left" w:pos="1383"/>
        </w:tabs>
        <w:jc w:val="both"/>
        <w:rPr>
          <w:bCs/>
          <w:sz w:val="20"/>
          <w:szCs w:val="20"/>
        </w:rPr>
      </w:pPr>
    </w:p>
    <w:p w14:paraId="5128A29B" w14:textId="13C16E6C" w:rsidR="008D4BD5" w:rsidRPr="00F718B2" w:rsidRDefault="008D4BD5" w:rsidP="008D4BD5">
      <w:pPr>
        <w:ind w:left="567"/>
        <w:jc w:val="both"/>
        <w:rPr>
          <w:sz w:val="20"/>
          <w:szCs w:val="20"/>
        </w:rPr>
      </w:pPr>
      <w:r w:rsidRPr="00F718B2">
        <w:rPr>
          <w:bCs/>
          <w:sz w:val="20"/>
          <w:szCs w:val="20"/>
        </w:rPr>
        <w:t>« </w:t>
      </w:r>
      <w:r w:rsidRPr="00F718B2">
        <w:rPr>
          <w:sz w:val="20"/>
          <w:szCs w:val="20"/>
        </w:rPr>
        <w:t xml:space="preserve">Quant à une méconnaissance de la part de la Belgique de l’article 15 de la CEDH, il y a lieu de relever que chaque État membre est libre d’apprécier la nécessité de sa mise en œuvre. L’article 187 de la Constitution interdit que celle-ci soit suspendue en tout ou en partie, y compris son Titre II ‘Des Belges et de leurs droits’. Or, le mécanisme prévu à l’article 15 de la CEDH permet aux </w:t>
      </w:r>
      <w:r w:rsidR="00110836" w:rsidRPr="00F718B2">
        <w:rPr>
          <w:sz w:val="20"/>
          <w:szCs w:val="20"/>
        </w:rPr>
        <w:t>États</w:t>
      </w:r>
      <w:r w:rsidRPr="00F718B2">
        <w:rPr>
          <w:sz w:val="20"/>
          <w:szCs w:val="20"/>
        </w:rPr>
        <w:t xml:space="preserve">, dans certaines circonstances, en temps de guerre et de danger public menaçant la vie de la Nation, de déroger à certains droits et libertés. La Belgique a ainsi une Constitution qui est davantage protectrice des droits et libertés dès lors qu’elle n’autorise à aucun moment leur suspension. </w:t>
      </w:r>
    </w:p>
    <w:p w14:paraId="1EF2F412" w14:textId="77777777" w:rsidR="008D4BD5" w:rsidRPr="00F718B2" w:rsidRDefault="008D4BD5" w:rsidP="008D4BD5">
      <w:pPr>
        <w:ind w:left="567"/>
        <w:rPr>
          <w:sz w:val="20"/>
          <w:szCs w:val="20"/>
        </w:rPr>
      </w:pPr>
      <w:r w:rsidRPr="00F718B2">
        <w:rPr>
          <w:sz w:val="20"/>
          <w:szCs w:val="20"/>
        </w:rPr>
        <w:t xml:space="preserve">L’article 53 de la CEDH dispose comme il suit : </w:t>
      </w:r>
    </w:p>
    <w:p w14:paraId="698A0F42" w14:textId="77777777" w:rsidR="008D4BD5" w:rsidRPr="00F718B2" w:rsidRDefault="008D4BD5" w:rsidP="008D4BD5">
      <w:pPr>
        <w:ind w:left="1134"/>
        <w:jc w:val="both"/>
        <w:rPr>
          <w:sz w:val="20"/>
          <w:szCs w:val="20"/>
        </w:rPr>
      </w:pPr>
      <w:r w:rsidRPr="00F718B2">
        <w:rPr>
          <w:sz w:val="20"/>
          <w:szCs w:val="20"/>
        </w:rPr>
        <w:t xml:space="preserve">« Aucune des dispositions de la présente Convention ne sera interprétée comme limitant ou portant atteinte aux droits de l’homme et aux libertés fondamentales qui pourraient être reconnus conformément aux lois de toute Partie contractante ou à toute autre Convention à laquelle cette Partie contractante est partie ». </w:t>
      </w:r>
    </w:p>
    <w:p w14:paraId="70784412" w14:textId="4F3C5342" w:rsidR="008D4BD5" w:rsidRDefault="008D4BD5" w:rsidP="008D4BD5">
      <w:pPr>
        <w:ind w:left="567"/>
        <w:jc w:val="both"/>
        <w:rPr>
          <w:sz w:val="20"/>
          <w:szCs w:val="20"/>
        </w:rPr>
      </w:pPr>
      <w:r w:rsidRPr="00F718B2">
        <w:rPr>
          <w:sz w:val="20"/>
          <w:szCs w:val="20"/>
        </w:rPr>
        <w:t>Il ressort de cette disposition que si le régime de protection des droits fondamentaux en droit interne est plus favorable à celui de la Convention, c’est ce régime national qui prime. La critique des requérants est dès lors incompréhensible puisqu’elle revient à dire que la Belgique aurait dû déroger à des droits et libertés fondamentaux alors que sa Constitution ne l’y autorise pas ».</w:t>
      </w:r>
    </w:p>
    <w:p w14:paraId="5BA216F9" w14:textId="77777777" w:rsidR="003304E0" w:rsidRDefault="003304E0" w:rsidP="008D4BD5">
      <w:pPr>
        <w:ind w:left="567"/>
        <w:jc w:val="both"/>
        <w:rPr>
          <w:sz w:val="20"/>
          <w:szCs w:val="20"/>
        </w:rPr>
      </w:pPr>
    </w:p>
    <w:p w14:paraId="3A472916" w14:textId="34FCF808" w:rsidR="003304E0" w:rsidRPr="003304E0" w:rsidRDefault="003304E0" w:rsidP="003304E0">
      <w:pPr>
        <w:jc w:val="both"/>
      </w:pPr>
      <w:r w:rsidRPr="003304E0">
        <w:t>L’avis n°68</w:t>
      </w:r>
      <w:r w:rsidR="00CD04BF">
        <w:t>.</w:t>
      </w:r>
      <w:r w:rsidRPr="003304E0">
        <w:t xml:space="preserve">936/AG donné le 7 avril 2021 sur ce qui allait devenir la loi ‘relative aux mesures de police administrative lors d’une situation d’urgence épidémique’ ne dit pas autre chose : </w:t>
      </w:r>
    </w:p>
    <w:p w14:paraId="39500C2B" w14:textId="77777777" w:rsidR="003304E0" w:rsidRDefault="003304E0" w:rsidP="003304E0">
      <w:pPr>
        <w:jc w:val="both"/>
        <w:rPr>
          <w:sz w:val="20"/>
          <w:szCs w:val="20"/>
        </w:rPr>
      </w:pPr>
    </w:p>
    <w:p w14:paraId="15998261" w14:textId="67C41C20" w:rsidR="003304E0" w:rsidRPr="003304E0" w:rsidRDefault="003304E0" w:rsidP="003304E0">
      <w:pPr>
        <w:ind w:left="567"/>
        <w:jc w:val="both"/>
        <w:rPr>
          <w:sz w:val="20"/>
          <w:szCs w:val="20"/>
        </w:rPr>
      </w:pPr>
      <w:r w:rsidRPr="003304E0">
        <w:rPr>
          <w:sz w:val="20"/>
          <w:szCs w:val="20"/>
        </w:rPr>
        <w:t xml:space="preserve">« Dès lors que l’article 187 de la Constitution s’oppose à ce que celle-ci soit suspendue en tout ou en partie et que, vu l’article 53 de la Convention européenne des droits de l’homme (ci-après: CEDH), il est également impossible de déroger aux droits fondamentaux garantis par la CEDH (…) </w:t>
      </w:r>
      <w:r w:rsidRPr="003304E0">
        <w:rPr>
          <w:position w:val="6"/>
          <w:sz w:val="20"/>
          <w:szCs w:val="20"/>
        </w:rPr>
        <w:t xml:space="preserve"> </w:t>
      </w:r>
      <w:r w:rsidRPr="003304E0">
        <w:rPr>
          <w:sz w:val="20"/>
          <w:szCs w:val="20"/>
        </w:rPr>
        <w:t>sur la base de l’article 15 de la CEDH, il faudra contrôler toutes les limitations des droits fondamentaux au regard des conditions de limitation habituelles inscrites au titre II de la Constitution et dans la CEDH »</w:t>
      </w:r>
      <w:r w:rsidRPr="003304E0">
        <w:rPr>
          <w:rStyle w:val="Appelnotedebasdep"/>
          <w:sz w:val="20"/>
          <w:szCs w:val="20"/>
        </w:rPr>
        <w:footnoteReference w:id="9"/>
      </w:r>
      <w:r w:rsidR="00CD04BF">
        <w:rPr>
          <w:sz w:val="20"/>
          <w:szCs w:val="20"/>
        </w:rPr>
        <w:t>.</w:t>
      </w:r>
    </w:p>
    <w:p w14:paraId="0743B2E9" w14:textId="11552072" w:rsidR="003304E0" w:rsidRPr="00F718B2" w:rsidRDefault="003304E0" w:rsidP="003304E0">
      <w:pPr>
        <w:jc w:val="both"/>
        <w:rPr>
          <w:sz w:val="20"/>
          <w:szCs w:val="20"/>
        </w:rPr>
      </w:pPr>
    </w:p>
    <w:p w14:paraId="5852FA52" w14:textId="0259F27C" w:rsidR="008D4BD5" w:rsidRPr="003304E0" w:rsidRDefault="008D4BD5" w:rsidP="008D4BD5">
      <w:pPr>
        <w:ind w:left="567"/>
        <w:rPr>
          <w:b/>
        </w:rPr>
      </w:pPr>
    </w:p>
    <w:p w14:paraId="4FB83897" w14:textId="40324D94" w:rsidR="008D4BD5" w:rsidRPr="00121CD4" w:rsidRDefault="008D4BD5" w:rsidP="00E27A88">
      <w:pPr>
        <w:jc w:val="both"/>
      </w:pPr>
      <w:r w:rsidRPr="003304E0">
        <w:rPr>
          <w:b/>
        </w:rPr>
        <w:t>4.</w:t>
      </w:r>
      <w:r w:rsidRPr="003304E0">
        <w:rPr>
          <w:b/>
        </w:rPr>
        <w:tab/>
      </w:r>
      <w:r w:rsidR="009733AF" w:rsidRPr="00121CD4">
        <w:t>Cette « bravoure » constitutionnelle belge s’est cependant attirée un certain scepticisme dans le contexte de la lutte contre la pandémie</w:t>
      </w:r>
      <w:r w:rsidR="00F718B2">
        <w:t xml:space="preserve"> Covid-19</w:t>
      </w:r>
      <w:r w:rsidR="004D1A79" w:rsidRPr="00121CD4">
        <w:t>.</w:t>
      </w:r>
      <w:r w:rsidR="009733AF" w:rsidRPr="00121CD4">
        <w:t xml:space="preserve"> </w:t>
      </w:r>
      <w:r w:rsidR="004D1A79" w:rsidRPr="00121CD4">
        <w:t>S’est-elle</w:t>
      </w:r>
      <w:r w:rsidR="00BF2630" w:rsidRPr="00121CD4">
        <w:t xml:space="preserve"> concrètement</w:t>
      </w:r>
      <w:r w:rsidR="004D1A79" w:rsidRPr="00121CD4">
        <w:t xml:space="preserve"> traduite, dans les faits, par une « retenue » supplémentaire dans les moyens déployés par le Royaume par rapport à ceux qu’ont pu mettre en œuvre d’autres états qui, quant à eux, connaissent de tels régimes d’exception et ont, le cas échéant, décidé de</w:t>
      </w:r>
      <w:r w:rsidR="00BF2630" w:rsidRPr="00121CD4">
        <w:t xml:space="preserve"> les </w:t>
      </w:r>
      <w:r w:rsidR="004D1A79" w:rsidRPr="00121CD4">
        <w:t xml:space="preserve">activer ? Au vrai, les différences n’ont </w:t>
      </w:r>
      <w:r w:rsidR="004D1A79" w:rsidRPr="00121CD4">
        <w:lastRenderedPageBreak/>
        <w:t xml:space="preserve">pas </w:t>
      </w:r>
      <w:r w:rsidR="009937BC" w:rsidRPr="00121CD4">
        <w:t xml:space="preserve">vraiment </w:t>
      </w:r>
      <w:r w:rsidR="004D1A79" w:rsidRPr="00121CD4">
        <w:t>sauté aux yeux, ce qui n</w:t>
      </w:r>
      <w:r w:rsidR="00BF2630" w:rsidRPr="00121CD4">
        <w:t>e manque</w:t>
      </w:r>
      <w:r w:rsidR="004D1A79" w:rsidRPr="00121CD4">
        <w:t xml:space="preserve"> de</w:t>
      </w:r>
      <w:r w:rsidR="00BF2630" w:rsidRPr="00121CD4">
        <w:t xml:space="preserve"> soulever diverses questions</w:t>
      </w:r>
      <w:r w:rsidR="003B45B5">
        <w:rPr>
          <w:rStyle w:val="Appelnotedebasdep"/>
        </w:rPr>
        <w:footnoteReference w:id="10"/>
      </w:r>
      <w:r w:rsidR="004D1A79" w:rsidRPr="00121CD4">
        <w:t xml:space="preserve">. D’aucun soutiendront que, si la Belgique a pu en faire </w:t>
      </w:r>
      <w:r w:rsidR="00BF2630" w:rsidRPr="00121CD4">
        <w:t>« </w:t>
      </w:r>
      <w:r w:rsidR="004D1A79" w:rsidRPr="00121CD4">
        <w:t>autant</w:t>
      </w:r>
      <w:r w:rsidR="00BF2630" w:rsidRPr="00121CD4">
        <w:t> »</w:t>
      </w:r>
      <w:r w:rsidR="004D1A79" w:rsidRPr="00121CD4">
        <w:t xml:space="preserve"> que d’autres états – </w:t>
      </w:r>
      <w:r w:rsidR="009937BC" w:rsidRPr="00121CD4">
        <w:t xml:space="preserve">par exemple </w:t>
      </w:r>
      <w:r w:rsidR="004D1A79" w:rsidRPr="00121CD4">
        <w:t>en termes de « confinement »</w:t>
      </w:r>
      <w:r w:rsidR="00EF5273">
        <w:t xml:space="preserve">, </w:t>
      </w:r>
      <w:r w:rsidR="004D1A79" w:rsidRPr="00121CD4">
        <w:t xml:space="preserve">des libertés d’entreprendre, de culte, de réunion, ou encore d’enseignement </w:t>
      </w:r>
      <w:r w:rsidR="009937BC" w:rsidRPr="00121CD4">
        <w:t>–</w:t>
      </w:r>
      <w:r w:rsidR="004D1A79" w:rsidRPr="00121CD4">
        <w:t>, c’est parce qu’elle a</w:t>
      </w:r>
      <w:r w:rsidR="00CD04BF">
        <w:t>urait</w:t>
      </w:r>
      <w:r w:rsidR="004D1A79" w:rsidRPr="00121CD4">
        <w:t xml:space="preserve"> en réalité, et en méconnaissance de l’article 187 précité, suspendu </w:t>
      </w:r>
      <w:r w:rsidR="004D1A79" w:rsidRPr="00121CD4">
        <w:rPr>
          <w:i/>
          <w:iCs/>
        </w:rPr>
        <w:t>de facto</w:t>
      </w:r>
      <w:r w:rsidR="004D1A79" w:rsidRPr="00121CD4">
        <w:t xml:space="preserve"> ces libertés. D’autres affirmeront que cette homologie dans les moyens d’action vient du fait que, par-delà les mots de la doc</w:t>
      </w:r>
      <w:r w:rsidR="00CD04BF">
        <w:t>trine classique des professeurs</w:t>
      </w:r>
      <w:r w:rsidR="00F718B2">
        <w:t>,</w:t>
      </w:r>
      <w:r w:rsidR="00CD04BF">
        <w:t xml:space="preserve"> </w:t>
      </w:r>
      <w:r w:rsidR="004D1A79" w:rsidRPr="00121CD4">
        <w:t>et au mépris de l’effet utile</w:t>
      </w:r>
      <w:r w:rsidR="00E27A88" w:rsidRPr="00121CD4">
        <w:t xml:space="preserve"> des dispositions normatives qui leur procure</w:t>
      </w:r>
      <w:r w:rsidR="00BF2630" w:rsidRPr="00121CD4">
        <w:t>nt</w:t>
      </w:r>
      <w:r w:rsidR="00E27A88" w:rsidRPr="00121CD4">
        <w:t xml:space="preserve"> une traduction</w:t>
      </w:r>
      <w:r w:rsidR="004D1A79" w:rsidRPr="00121CD4">
        <w:t xml:space="preserve">, les </w:t>
      </w:r>
      <w:r w:rsidR="009937BC" w:rsidRPr="00121CD4">
        <w:t>« </w:t>
      </w:r>
      <w:r w:rsidR="004D1A79" w:rsidRPr="00121CD4">
        <w:t>restrictions</w:t>
      </w:r>
      <w:r w:rsidR="009937BC" w:rsidRPr="00121CD4">
        <w:t> »</w:t>
      </w:r>
      <w:r w:rsidR="004D1A79" w:rsidRPr="00121CD4">
        <w:t xml:space="preserve"> aux droits et libertés qu’autorise le droit constitutionnel </w:t>
      </w:r>
      <w:r w:rsidR="00E27A88" w:rsidRPr="00121CD4">
        <w:t xml:space="preserve">belge sont en mesure de produire exactement les mêmes résultats que les </w:t>
      </w:r>
      <w:r w:rsidR="009937BC" w:rsidRPr="00121CD4">
        <w:t>« </w:t>
      </w:r>
      <w:r w:rsidR="00E27A88" w:rsidRPr="00121CD4">
        <w:t>suspensions</w:t>
      </w:r>
      <w:r w:rsidR="009937BC" w:rsidRPr="00121CD4">
        <w:t> »</w:t>
      </w:r>
      <w:r w:rsidR="00E27A88" w:rsidRPr="00121CD4">
        <w:t xml:space="preserve"> qu’il </w:t>
      </w:r>
      <w:r w:rsidR="00CD04BF">
        <w:t>est censé interdire</w:t>
      </w:r>
      <w:r w:rsidR="00E27A88" w:rsidRPr="00121CD4">
        <w:t>. Claires dans les livres, les frontières seraient parfaitement floues dans la pratique. Point de « cadres », mais des « nuages ».</w:t>
      </w:r>
    </w:p>
    <w:p w14:paraId="0BA4C013" w14:textId="4A694CCA" w:rsidR="00E27A88" w:rsidRPr="00121CD4" w:rsidRDefault="00E27A88" w:rsidP="008D4BD5"/>
    <w:p w14:paraId="44B3C633" w14:textId="39FAA70C" w:rsidR="00E27A88" w:rsidRPr="00121CD4" w:rsidRDefault="00E27A88" w:rsidP="00E27A88">
      <w:pPr>
        <w:jc w:val="both"/>
      </w:pPr>
      <w:r w:rsidRPr="00CD04BF">
        <w:rPr>
          <w:b/>
        </w:rPr>
        <w:t>5.</w:t>
      </w:r>
      <w:r w:rsidRPr="00121CD4">
        <w:tab/>
        <w:t>Cette dernière position s’est nourrie des débats abondants qui on</w:t>
      </w:r>
      <w:r w:rsidR="00154A63" w:rsidRPr="00121CD4">
        <w:t>t entouré</w:t>
      </w:r>
      <w:r w:rsidRPr="00121CD4">
        <w:t xml:space="preserve">, au sein d’états qui en avaient la théoriquement la possibilité sur le plan juridique, </w:t>
      </w:r>
      <w:r w:rsidR="00154A63" w:rsidRPr="00121CD4">
        <w:t xml:space="preserve">la question de la nécessité ou de l’opportunité </w:t>
      </w:r>
      <w:r w:rsidRPr="00121CD4">
        <w:t>d’activer la dérogation aux droits et libertés qu’autorise l’article 15 de la Convention européenne des droits de l’Homme</w:t>
      </w:r>
      <w:r w:rsidR="00154A63" w:rsidRPr="00121CD4">
        <w:t xml:space="preserve"> pour faire face au Covid</w:t>
      </w:r>
      <w:r w:rsidRPr="00121CD4">
        <w:t>. La doctrine française</w:t>
      </w:r>
      <w:r w:rsidR="009937BC" w:rsidRPr="00121CD4">
        <w:rPr>
          <w:rStyle w:val="Appelnotedebasdep"/>
        </w:rPr>
        <w:footnoteReference w:id="11"/>
      </w:r>
      <w:r w:rsidRPr="00121CD4">
        <w:t xml:space="preserve"> s’est, sur ce point, divisée entre ceux qui estimaient que cette activation en bonne et due forme était la condition de la licéité des actions entreprises ou à entreprendre, et ceux qui, pour leur part, affirmaient que le « droit commun » était suffisamment malléable pour procurer un fondement</w:t>
      </w:r>
      <w:r w:rsidR="00CD04BF">
        <w:t xml:space="preserve"> adéquat</w:t>
      </w:r>
      <w:r w:rsidRPr="00121CD4">
        <w:t xml:space="preserve"> auxdites actions. De semblables débats ont </w:t>
      </w:r>
      <w:r w:rsidR="00154A63" w:rsidRPr="00121CD4">
        <w:t>également divisé le Monde anglo-saxon</w:t>
      </w:r>
      <w:r w:rsidR="00121CD4" w:rsidRPr="00121CD4">
        <w:rPr>
          <w:rStyle w:val="Appelnotedebasdep"/>
        </w:rPr>
        <w:footnoteReference w:id="12"/>
      </w:r>
      <w:r w:rsidR="00154A63" w:rsidRPr="00121CD4">
        <w:t>. Ils ont suffisamment percolé en Belgique pour que l’on accueille d’un très large haussement d’épaule</w:t>
      </w:r>
      <w:r w:rsidR="00BF2630" w:rsidRPr="00121CD4">
        <w:t>s</w:t>
      </w:r>
      <w:r w:rsidR="00154A63" w:rsidRPr="00121CD4">
        <w:t xml:space="preserve"> le plaidoyer de celles et ceux qui estiment qu’il conviendrait de sortir du déni pour constitutionnaliser les états d’exception, par une modification de l’article 187. En un mot comme en mille : à quoi bon ?</w:t>
      </w:r>
    </w:p>
    <w:p w14:paraId="4DB622DE" w14:textId="5F647C15" w:rsidR="00154A63" w:rsidRPr="00121CD4" w:rsidRDefault="00154A63" w:rsidP="00E27A88">
      <w:pPr>
        <w:jc w:val="both"/>
      </w:pPr>
    </w:p>
    <w:p w14:paraId="2CF91EE0" w14:textId="21FCB3C8" w:rsidR="00154A63" w:rsidRDefault="00154A63" w:rsidP="00E27A88">
      <w:pPr>
        <w:jc w:val="both"/>
      </w:pPr>
      <w:r w:rsidRPr="00CD04BF">
        <w:rPr>
          <w:b/>
        </w:rPr>
        <w:t xml:space="preserve">6. </w:t>
      </w:r>
      <w:r w:rsidR="0047789D" w:rsidRPr="00CD04BF">
        <w:rPr>
          <w:b/>
        </w:rPr>
        <w:tab/>
      </w:r>
      <w:r w:rsidRPr="00121CD4">
        <w:t>La présente contribution</w:t>
      </w:r>
      <w:r w:rsidR="00F12DB3" w:rsidRPr="00121CD4">
        <w:t xml:space="preserve"> endosser</w:t>
      </w:r>
      <w:r w:rsidRPr="00121CD4">
        <w:t xml:space="preserve">a, dans un premier temps, </w:t>
      </w:r>
      <w:r w:rsidR="00F12DB3" w:rsidRPr="00121CD4">
        <w:t xml:space="preserve">le </w:t>
      </w:r>
      <w:r w:rsidR="00121CD4" w:rsidRPr="00121CD4">
        <w:t>discours</w:t>
      </w:r>
      <w:r w:rsidR="00F12DB3" w:rsidRPr="00121CD4">
        <w:t xml:space="preserve"> de </w:t>
      </w:r>
      <w:r w:rsidRPr="00121CD4">
        <w:t xml:space="preserve">l’avocat du diable, en soulignant que, tant dans son </w:t>
      </w:r>
      <w:r w:rsidRPr="00121CD4">
        <w:rPr>
          <w:i/>
        </w:rPr>
        <w:t xml:space="preserve">design </w:t>
      </w:r>
      <w:r w:rsidRPr="00121CD4">
        <w:t xml:space="preserve">que dans sa </w:t>
      </w:r>
      <w:r w:rsidRPr="00121CD4">
        <w:rPr>
          <w:i/>
        </w:rPr>
        <w:t xml:space="preserve">mise en œuvre </w:t>
      </w:r>
      <w:r w:rsidRPr="00121CD4">
        <w:t>concr</w:t>
      </w:r>
      <w:r w:rsidR="00121CD4" w:rsidRPr="00121CD4">
        <w:t>è</w:t>
      </w:r>
      <w:r w:rsidRPr="00121CD4">
        <w:t xml:space="preserve">te,  </w:t>
      </w:r>
      <w:r w:rsidR="0047789D" w:rsidRPr="00121CD4">
        <w:t xml:space="preserve">le droit </w:t>
      </w:r>
      <w:r w:rsidR="0047789D" w:rsidRPr="00121CD4">
        <w:lastRenderedPageBreak/>
        <w:t>international et européen des états d’exception</w:t>
      </w:r>
      <w:r w:rsidR="0082577A">
        <w:rPr>
          <w:rStyle w:val="Appelnotedebasdep"/>
        </w:rPr>
        <w:footnoteReference w:id="13"/>
      </w:r>
      <w:r w:rsidR="0047789D" w:rsidRPr="00121CD4">
        <w:t xml:space="preserve"> offre une image trouble</w:t>
      </w:r>
      <w:r w:rsidR="00E10B31">
        <w:rPr>
          <w:rStyle w:val="Appelnotedebasdep"/>
        </w:rPr>
        <w:footnoteReference w:id="14"/>
      </w:r>
      <w:r w:rsidR="0047789D" w:rsidRPr="00121CD4">
        <w:t xml:space="preserve"> qui compromet</w:t>
      </w:r>
      <w:r w:rsidR="008D417A">
        <w:t xml:space="preserve"> </w:t>
      </w:r>
      <w:r w:rsidR="008D417A">
        <w:rPr>
          <w:i/>
        </w:rPr>
        <w:t>a priori</w:t>
      </w:r>
      <w:r w:rsidR="0047789D" w:rsidRPr="00121CD4">
        <w:t xml:space="preserve"> sa capacité, non seulement à convaincre du caractère pragmatiquement indispensable de cette figure juridique</w:t>
      </w:r>
      <w:r w:rsidR="0082577A">
        <w:t xml:space="preserve"> sulfureuse</w:t>
      </w:r>
      <w:r w:rsidR="0047789D" w:rsidRPr="00121CD4">
        <w:t xml:space="preserve">, mais en plus à fournir, au Constituant qui s’en serait malgré tout laissé persuader, un modèle juridique à suivre. </w:t>
      </w:r>
      <w:r w:rsidR="0047789D" w:rsidRPr="00121CD4">
        <w:rPr>
          <w:i/>
        </w:rPr>
        <w:t xml:space="preserve">Much ado about nothing, </w:t>
      </w:r>
      <w:r w:rsidR="0047789D" w:rsidRPr="00121CD4">
        <w:t xml:space="preserve">en quelque sorte. On conduira ce </w:t>
      </w:r>
      <w:r w:rsidR="0082577A">
        <w:t>« </w:t>
      </w:r>
      <w:r w:rsidR="0047789D" w:rsidRPr="00121CD4">
        <w:t>plaidoyer du diable</w:t>
      </w:r>
      <w:r w:rsidR="0082577A">
        <w:t> »</w:t>
      </w:r>
      <w:r w:rsidR="0047789D" w:rsidRPr="00121CD4">
        <w:t xml:space="preserve"> en soulignant les géométries variables des instruments conventionnels </w:t>
      </w:r>
      <w:r w:rsidR="00820731" w:rsidRPr="00121CD4">
        <w:t>qui autorisent – ou pas – les états d</w:t>
      </w:r>
      <w:r w:rsidR="0082577A">
        <w:t>’exceptions (B), et l’absence de fixité et d’</w:t>
      </w:r>
      <w:r w:rsidR="00820731" w:rsidRPr="00121CD4">
        <w:t>homogénéité dans les listes de droits indérogables qu’ils contiennent (C). On montrera, en</w:t>
      </w:r>
      <w:r w:rsidR="0082577A">
        <w:t>suite, que la « pratique » des É</w:t>
      </w:r>
      <w:r w:rsidR="00820731" w:rsidRPr="00121CD4">
        <w:t xml:space="preserve">tats en termes de dérogation n’œuvre assurément pas à la démonstration incontestable de son effet utile (D), et que la notion de « substance » des droits fondamentaux, souvent mise en avant pour asseoir cette démonstration, est quant à elle très largement brumeuse (E). L’analyse concrète de la jurisprudence </w:t>
      </w:r>
      <w:r w:rsidR="008D417A">
        <w:t>« Covid 19</w:t>
      </w:r>
      <w:r w:rsidR="0082577A">
        <w:t xml:space="preserve"> </w:t>
      </w:r>
      <w:r w:rsidR="008D417A">
        <w:t>»</w:t>
      </w:r>
      <w:r w:rsidR="00820731" w:rsidRPr="00121CD4">
        <w:t xml:space="preserve"> de la Cour européenne des droits de l’Homme </w:t>
      </w:r>
      <w:r w:rsidR="00EA6025" w:rsidRPr="00121CD4">
        <w:t xml:space="preserve">n’offre pas davantage d’indices clairs </w:t>
      </w:r>
      <w:r w:rsidR="00686F10" w:rsidRPr="00121CD4">
        <w:t>que l’article 15 serait</w:t>
      </w:r>
      <w:r w:rsidR="008D417A">
        <w:t xml:space="preserve"> </w:t>
      </w:r>
      <w:r w:rsidR="00686F10" w:rsidRPr="00121CD4">
        <w:t xml:space="preserve"> porteur d’un surcroit de performance </w:t>
      </w:r>
      <w:r w:rsidR="0082577A">
        <w:t xml:space="preserve">juridique </w:t>
      </w:r>
      <w:r w:rsidR="00686F10" w:rsidRPr="00121CD4">
        <w:t xml:space="preserve">(F). </w:t>
      </w:r>
      <w:r w:rsidR="00AB6476" w:rsidRPr="00121CD4">
        <w:t>Parvenus cependant à ce stade, l’on se gardera de conclure qu’il faut jeter aux orties l’idée même d’une dichotomie entre le « droit commun » des limitations aux droits et libertés, et les « états d’exceptions » qui permettent d’y déroger : il s’agit là d’un horizon régulateur à maintenir, pour éviter l’entropie généralisée (</w:t>
      </w:r>
      <w:r w:rsidR="008D417A">
        <w:t>G</w:t>
      </w:r>
      <w:r w:rsidR="00AB6476" w:rsidRPr="00121CD4">
        <w:t>)</w:t>
      </w:r>
    </w:p>
    <w:p w14:paraId="03F24007" w14:textId="7F8EEFD5" w:rsidR="00121CD4" w:rsidRDefault="00121CD4" w:rsidP="00E27A88">
      <w:pPr>
        <w:jc w:val="both"/>
      </w:pPr>
    </w:p>
    <w:p w14:paraId="2993AD6D" w14:textId="0100DE42" w:rsidR="00121CD4" w:rsidRPr="0082577A" w:rsidRDefault="00674D53" w:rsidP="00674D53">
      <w:pPr>
        <w:pStyle w:val="Paragraphedeliste"/>
        <w:numPr>
          <w:ilvl w:val="0"/>
          <w:numId w:val="3"/>
        </w:numPr>
        <w:jc w:val="both"/>
        <w:rPr>
          <w:b/>
          <w:bCs/>
          <w:sz w:val="28"/>
          <w:szCs w:val="28"/>
        </w:rPr>
      </w:pPr>
      <w:r w:rsidRPr="0082577A">
        <w:rPr>
          <w:b/>
          <w:bCs/>
          <w:sz w:val="28"/>
          <w:szCs w:val="28"/>
        </w:rPr>
        <w:t xml:space="preserve">La géométrie variable de l’autorisation de déroger. </w:t>
      </w:r>
    </w:p>
    <w:p w14:paraId="3F8B9987" w14:textId="77777777" w:rsidR="00674D53" w:rsidRDefault="00674D53" w:rsidP="00674D53">
      <w:pPr>
        <w:spacing w:line="276" w:lineRule="auto"/>
        <w:jc w:val="both"/>
        <w:rPr>
          <w:color w:val="000000" w:themeColor="text1"/>
        </w:rPr>
      </w:pPr>
    </w:p>
    <w:p w14:paraId="3EBE9AC0" w14:textId="1C550FC2" w:rsidR="00674D53" w:rsidRPr="00345F73" w:rsidRDefault="005E3844" w:rsidP="00674D53">
      <w:pPr>
        <w:jc w:val="both"/>
      </w:pPr>
      <w:r w:rsidRPr="0082577A">
        <w:rPr>
          <w:b/>
          <w:color w:val="000000" w:themeColor="text1"/>
        </w:rPr>
        <w:t>7.</w:t>
      </w:r>
      <w:r w:rsidRPr="0082577A">
        <w:rPr>
          <w:b/>
          <w:color w:val="000000" w:themeColor="text1"/>
        </w:rPr>
        <w:tab/>
      </w:r>
      <w:r w:rsidR="00674D53" w:rsidRPr="00674D53">
        <w:rPr>
          <w:color w:val="000000" w:themeColor="text1"/>
        </w:rPr>
        <w:t xml:space="preserve">Tous les </w:t>
      </w:r>
      <w:r w:rsidR="00674D53" w:rsidRPr="00674D53">
        <w:t>instruments</w:t>
      </w:r>
      <w:r w:rsidR="00674D53" w:rsidRPr="00674D53">
        <w:rPr>
          <w:color w:val="000000" w:themeColor="text1"/>
        </w:rPr>
        <w:t xml:space="preserve"> internationaux et régionaux n</w:t>
      </w:r>
      <w:r w:rsidR="00674D53">
        <w:rPr>
          <w:color w:val="000000" w:themeColor="text1"/>
        </w:rPr>
        <w:t xml:space="preserve">’autorisent pas expressément les </w:t>
      </w:r>
      <w:r w:rsidR="00461F68">
        <w:rPr>
          <w:color w:val="000000" w:themeColor="text1"/>
        </w:rPr>
        <w:t>États</w:t>
      </w:r>
      <w:r w:rsidR="00674D53">
        <w:rPr>
          <w:color w:val="000000" w:themeColor="text1"/>
        </w:rPr>
        <w:t xml:space="preserve"> qui les ont ratifiés à déroge</w:t>
      </w:r>
      <w:r w:rsidR="00345F73">
        <w:rPr>
          <w:color w:val="000000" w:themeColor="text1"/>
        </w:rPr>
        <w:t xml:space="preserve">r, </w:t>
      </w:r>
      <w:r w:rsidR="00345F73" w:rsidRPr="00674D53">
        <w:rPr>
          <w:color w:val="000000" w:themeColor="text1"/>
        </w:rPr>
        <w:t>pa</w:t>
      </w:r>
      <w:r w:rsidR="00345F73">
        <w:rPr>
          <w:color w:val="000000" w:themeColor="text1"/>
        </w:rPr>
        <w:t>r la mise en place</w:t>
      </w:r>
      <w:r w:rsidR="00345F73" w:rsidRPr="00674D53">
        <w:rPr>
          <w:color w:val="000000" w:themeColor="text1"/>
        </w:rPr>
        <w:t xml:space="preserve"> d’un régime d’exception.</w:t>
      </w:r>
      <w:r w:rsidR="00674D53">
        <w:rPr>
          <w:color w:val="000000" w:themeColor="text1"/>
        </w:rPr>
        <w:t xml:space="preserve"> à tout ou partie de leurs prescrits</w:t>
      </w:r>
      <w:r w:rsidR="00345F73">
        <w:rPr>
          <w:color w:val="000000" w:themeColor="text1"/>
        </w:rPr>
        <w:t>.</w:t>
      </w:r>
      <w:r w:rsidR="00674D53" w:rsidRPr="00674D53">
        <w:rPr>
          <w:color w:val="000000" w:themeColor="text1"/>
        </w:rPr>
        <w:t xml:space="preserve"> Deux catégories doivent </w:t>
      </w:r>
      <w:r w:rsidR="00345F73">
        <w:rPr>
          <w:color w:val="000000" w:themeColor="text1"/>
        </w:rPr>
        <w:t>sur ce point être</w:t>
      </w:r>
      <w:r w:rsidR="00674D53" w:rsidRPr="00674D53">
        <w:rPr>
          <w:color w:val="000000" w:themeColor="text1"/>
        </w:rPr>
        <w:t xml:space="preserve"> distinguées. D’une part, la Convention Européenne des droits de l’homme </w:t>
      </w:r>
      <w:r w:rsidR="008D0874">
        <w:rPr>
          <w:color w:val="000000" w:themeColor="text1"/>
        </w:rPr>
        <w:t xml:space="preserve">(ci-apès la CEDH) </w:t>
      </w:r>
      <w:r w:rsidR="00674D53" w:rsidRPr="00674D53">
        <w:rPr>
          <w:color w:val="000000" w:themeColor="text1"/>
        </w:rPr>
        <w:t xml:space="preserve">(article 15), le Pacte international relatif aux droits civils et politiques (article 4), la Charte sociale européenne (article F), </w:t>
      </w:r>
      <w:r w:rsidR="00674D53" w:rsidRPr="005E3844">
        <w:rPr>
          <w:color w:val="000000" w:themeColor="text1"/>
        </w:rPr>
        <w:t>la Convention américaine sur les droits de l’homme (article 27) ainsi que la Charte arabe des droits de l’homme (article 4</w:t>
      </w:r>
      <w:r w:rsidRPr="005E3844">
        <w:rPr>
          <w:color w:val="000000" w:themeColor="text1"/>
        </w:rPr>
        <w:t>)</w:t>
      </w:r>
      <w:r w:rsidR="00345F73" w:rsidRPr="005E3844">
        <w:rPr>
          <w:color w:val="000000" w:themeColor="text1"/>
        </w:rPr>
        <w:t>,</w:t>
      </w:r>
      <w:r w:rsidR="00674D53" w:rsidRPr="00674D53">
        <w:rPr>
          <w:color w:val="000000" w:themeColor="text1"/>
        </w:rPr>
        <w:t xml:space="preserve"> prévoient la possibilité de déroger à certains</w:t>
      </w:r>
      <w:r w:rsidR="00345F73">
        <w:rPr>
          <w:color w:val="000000" w:themeColor="text1"/>
        </w:rPr>
        <w:t xml:space="preserve"> des droits qu’elles consacrent, et ce, </w:t>
      </w:r>
      <w:r w:rsidR="00345F73" w:rsidRPr="00834249">
        <w:rPr>
          <w:color w:val="000000" w:themeColor="text1"/>
        </w:rPr>
        <w:t>dans des circonstances de crise décrites en des termes relativement similaires. La CEDH vise ainsi la « guerre » ou un « autre danger public menaçant la vie de la nation », tandis que le PIDCP a égard au « </w:t>
      </w:r>
      <w:r w:rsidR="00345F73" w:rsidRPr="00834249">
        <w:rPr>
          <w:color w:val="000000"/>
          <w:shd w:val="clear" w:color="auto" w:fill="FFFFFF"/>
        </w:rPr>
        <w:t>danger public exceptionnel</w:t>
      </w:r>
      <w:r w:rsidR="008D0874" w:rsidRPr="00834249">
        <w:rPr>
          <w:color w:val="000000"/>
          <w:shd w:val="clear" w:color="auto" w:fill="FFFFFF"/>
        </w:rPr>
        <w:t> » qui</w:t>
      </w:r>
      <w:r w:rsidR="00345F73" w:rsidRPr="00834249">
        <w:rPr>
          <w:color w:val="000000"/>
          <w:shd w:val="clear" w:color="auto" w:fill="FFFFFF"/>
        </w:rPr>
        <w:t xml:space="preserve"> « menace l'existence de la nation » et  qui « est proclamé par un acte officiel »</w:t>
      </w:r>
      <w:r w:rsidR="00834249" w:rsidRPr="00834249">
        <w:rPr>
          <w:rStyle w:val="Appelnotedebasdep"/>
          <w:color w:val="000000"/>
          <w:shd w:val="clear" w:color="auto" w:fill="FFFFFF"/>
        </w:rPr>
        <w:footnoteReference w:id="15"/>
      </w:r>
      <w:r w:rsidR="00345F73" w:rsidRPr="00834249">
        <w:rPr>
          <w:color w:val="000000"/>
          <w:shd w:val="clear" w:color="auto" w:fill="FFFFFF"/>
        </w:rPr>
        <w:t xml:space="preserve">. </w:t>
      </w:r>
      <w:r w:rsidR="00674D53" w:rsidRPr="00834249">
        <w:rPr>
          <w:color w:val="000000" w:themeColor="text1"/>
        </w:rPr>
        <w:t>D’aut</w:t>
      </w:r>
      <w:r w:rsidR="00345F73" w:rsidRPr="00834249">
        <w:rPr>
          <w:color w:val="000000" w:themeColor="text1"/>
        </w:rPr>
        <w:t>res instruments, par contre, n’envisage</w:t>
      </w:r>
      <w:r w:rsidR="000A681E" w:rsidRPr="00834249">
        <w:rPr>
          <w:color w:val="000000" w:themeColor="text1"/>
        </w:rPr>
        <w:t>nt</w:t>
      </w:r>
      <w:r w:rsidR="00345F73" w:rsidRPr="00834249">
        <w:rPr>
          <w:color w:val="000000" w:themeColor="text1"/>
        </w:rPr>
        <w:t xml:space="preserve"> pas – ou</w:t>
      </w:r>
      <w:r w:rsidR="00345F73">
        <w:rPr>
          <w:color w:val="000000" w:themeColor="text1"/>
        </w:rPr>
        <w:t xml:space="preserve"> en tous cas pas  expressément </w:t>
      </w:r>
      <w:r w:rsidR="00AD1E5C">
        <w:rPr>
          <w:color w:val="000000" w:themeColor="text1"/>
        </w:rPr>
        <w:t xml:space="preserve">– </w:t>
      </w:r>
      <w:r w:rsidR="00345F73">
        <w:rPr>
          <w:color w:val="000000" w:themeColor="text1"/>
        </w:rPr>
        <w:t xml:space="preserve">la possibilité de mettre en place un régime de dérogation, et ce, quelles que soient les circonstances : il s’agit notamment du </w:t>
      </w:r>
      <w:r w:rsidR="00674D53" w:rsidRPr="00674D53">
        <w:rPr>
          <w:color w:val="000000" w:themeColor="text1"/>
        </w:rPr>
        <w:t xml:space="preserve">Pacte international relatif aux droits économiques, sociaux et culturels, </w:t>
      </w:r>
      <w:r w:rsidR="000A681E">
        <w:rPr>
          <w:color w:val="000000" w:themeColor="text1"/>
        </w:rPr>
        <w:t xml:space="preserve">de </w:t>
      </w:r>
      <w:r w:rsidR="00674D53" w:rsidRPr="00674D53">
        <w:rPr>
          <w:color w:val="000000" w:themeColor="text1"/>
        </w:rPr>
        <w:t>la Convention internationale des droits de l’enfant</w:t>
      </w:r>
      <w:r w:rsidR="00B80C74">
        <w:rPr>
          <w:rStyle w:val="Appelnotedebasdep"/>
          <w:color w:val="000000" w:themeColor="text1"/>
        </w:rPr>
        <w:footnoteReference w:id="16"/>
      </w:r>
      <w:r w:rsidR="00674D53" w:rsidRPr="00674D53">
        <w:rPr>
          <w:color w:val="000000" w:themeColor="text1"/>
        </w:rPr>
        <w:t xml:space="preserve">, </w:t>
      </w:r>
      <w:r>
        <w:rPr>
          <w:color w:val="000000" w:themeColor="text1"/>
        </w:rPr>
        <w:t xml:space="preserve">de </w:t>
      </w:r>
      <w:r w:rsidR="00674D53" w:rsidRPr="00674D53">
        <w:rPr>
          <w:color w:val="000000" w:themeColor="text1"/>
        </w:rPr>
        <w:lastRenderedPageBreak/>
        <w:t>la Charte des droits fondamentaux de l’Union européenne</w:t>
      </w:r>
      <w:r w:rsidR="00AD1E5C">
        <w:rPr>
          <w:color w:val="000000" w:themeColor="text1"/>
        </w:rPr>
        <w:t>, de la Convention des Nations unies</w:t>
      </w:r>
      <w:r w:rsidR="000E20D6">
        <w:rPr>
          <w:color w:val="000000" w:themeColor="text1"/>
        </w:rPr>
        <w:t xml:space="preserve"> </w:t>
      </w:r>
      <w:r w:rsidR="00AD1E5C">
        <w:rPr>
          <w:color w:val="000000" w:themeColor="text1"/>
        </w:rPr>
        <w:t>relative aux droits des personnes handicapées</w:t>
      </w:r>
      <w:r w:rsidR="00834249">
        <w:rPr>
          <w:rStyle w:val="Appelnotedebasdep"/>
          <w:color w:val="000000" w:themeColor="text1"/>
        </w:rPr>
        <w:footnoteReference w:id="17"/>
      </w:r>
      <w:r w:rsidR="00674D53" w:rsidRPr="00674D53">
        <w:rPr>
          <w:color w:val="000000" w:themeColor="text1"/>
        </w:rPr>
        <w:t xml:space="preserve"> ainsi que </w:t>
      </w:r>
      <w:r w:rsidR="000A681E">
        <w:rPr>
          <w:color w:val="000000" w:themeColor="text1"/>
        </w:rPr>
        <w:t xml:space="preserve">de </w:t>
      </w:r>
      <w:r w:rsidR="00674D53" w:rsidRPr="005E3844">
        <w:rPr>
          <w:color w:val="000000" w:themeColor="text1"/>
        </w:rPr>
        <w:t>la Charte africaine des droits de l’homme et des peuples</w:t>
      </w:r>
      <w:r w:rsidR="000A681E" w:rsidRPr="005E3844">
        <w:rPr>
          <w:rStyle w:val="Appelnotedebasdep"/>
          <w:color w:val="000000" w:themeColor="text1"/>
        </w:rPr>
        <w:footnoteReference w:id="18"/>
      </w:r>
    </w:p>
    <w:p w14:paraId="3143970F" w14:textId="5A517359" w:rsidR="00674D53" w:rsidRDefault="00674D53" w:rsidP="000A681E">
      <w:pPr>
        <w:spacing w:line="276" w:lineRule="auto"/>
        <w:jc w:val="both"/>
        <w:rPr>
          <w:color w:val="000000" w:themeColor="text1"/>
        </w:rPr>
      </w:pPr>
    </w:p>
    <w:p w14:paraId="3AA0DD83" w14:textId="5E379AAE" w:rsidR="00AD1E5C" w:rsidRPr="00461F68" w:rsidRDefault="005E3844" w:rsidP="00AD1E5C">
      <w:pPr>
        <w:jc w:val="both"/>
        <w:rPr>
          <w:color w:val="FF0000"/>
          <w:shd w:val="clear" w:color="auto" w:fill="FFFFFF"/>
        </w:rPr>
      </w:pPr>
      <w:r w:rsidRPr="005E3844">
        <w:rPr>
          <w:color w:val="000000" w:themeColor="text1"/>
        </w:rPr>
        <w:t>8</w:t>
      </w:r>
      <w:r w:rsidRPr="005E3844">
        <w:rPr>
          <w:color w:val="000000" w:themeColor="text1"/>
        </w:rPr>
        <w:tab/>
      </w:r>
      <w:r w:rsidR="000A681E" w:rsidRPr="005E3844">
        <w:rPr>
          <w:color w:val="000000" w:themeColor="text1"/>
        </w:rPr>
        <w:t xml:space="preserve">Ce silence des textes peut, dans certains cas, être aisément surmonté. Ainsi et par exemple, les </w:t>
      </w:r>
      <w:r w:rsidR="000A681E" w:rsidRPr="005E3844">
        <w:rPr>
          <w:i/>
          <w:color w:val="000000" w:themeColor="text1"/>
        </w:rPr>
        <w:t xml:space="preserve">Explications </w:t>
      </w:r>
      <w:r w:rsidR="000A681E" w:rsidRPr="005E3844">
        <w:rPr>
          <w:color w:val="000000" w:themeColor="text1"/>
        </w:rPr>
        <w:t>attenantes à la Charte des droits fondamentaux de l’Union européenne prévoient-elles, en regard de l’article 52 qui autorise les limitations aux droits garantis</w:t>
      </w:r>
      <w:r w:rsidR="00AD1E5C" w:rsidRPr="005E3844">
        <w:rPr>
          <w:color w:val="000000" w:themeColor="text1"/>
        </w:rPr>
        <w:t>, que « </w:t>
      </w:r>
      <w:r w:rsidR="00AD1E5C" w:rsidRPr="005E3844">
        <w:rPr>
          <w:color w:val="000000"/>
          <w:shd w:val="clear" w:color="auto" w:fill="FFFFFF"/>
        </w:rPr>
        <w:t xml:space="preserve">La Charte n'empêche pas les États membres de se prévaloir de l'article 15 de la CEDH, qui autorise des dérogations aux droits prévus par cette dernière en cas de guerre ou d'autre danger public menaçant la vie de la nation, lorsqu'ils prennent des mesures dans les domaines de la défense nationale en cas de guerre et du maintien de l'ordre, conformément à leurs responsabilités reconnues dans l'article 4, paragraphe 1, du traité sur l'Union européenne et </w:t>
      </w:r>
      <w:r w:rsidR="00AD1E5C" w:rsidRPr="00461F68">
        <w:rPr>
          <w:shd w:val="clear" w:color="auto" w:fill="FFFFFF"/>
        </w:rPr>
        <w:t>dans les articles 72 et 347 du traité sur le fonctionnement de l'Union européenne »</w:t>
      </w:r>
      <w:r w:rsidR="00AD1E5C" w:rsidRPr="00461F68">
        <w:rPr>
          <w:rStyle w:val="Appelnotedebasdep"/>
          <w:shd w:val="clear" w:color="auto" w:fill="FFFFFF"/>
        </w:rPr>
        <w:footnoteReference w:id="19"/>
      </w:r>
      <w:r w:rsidR="00AD1E5C" w:rsidRPr="00461F68">
        <w:rPr>
          <w:shd w:val="clear" w:color="auto" w:fill="FFFFFF"/>
        </w:rPr>
        <w:t xml:space="preserve">. L’article 2 du Protocole ‘relatif à l'article 6, paragraphe 2, du traité sur l'union européenne sur l'adhésion de l'union à la convention européenne de sauvegarde des droits de l'homme et des libertés fondamentales’ </w:t>
      </w:r>
      <w:r w:rsidR="00AD1E5C" w:rsidRPr="004B3A62">
        <w:rPr>
          <w:shd w:val="clear" w:color="auto" w:fill="FFFFFF"/>
        </w:rPr>
        <w:t xml:space="preserve">prévoit pour sa part que l’accord d’adhésion concerné « doit garantir qu'aucune de ses dispositions n'affecte la situation particulière des États membres à l'égard de la Convention européenne, et notamment de ses protocoles, des mesures prises par les États membres par dérogation à la Convention européenne, conformément à son article 15, et des réserves à la Convention européenne formulées par les États membres conformément à son article 57 ». Le message est donc clair : </w:t>
      </w:r>
      <w:r w:rsidR="00FB6D53" w:rsidRPr="004B3A62">
        <w:rPr>
          <w:shd w:val="clear" w:color="auto" w:fill="FFFFFF"/>
        </w:rPr>
        <w:t>le fait que la Charte ne prévoie</w:t>
      </w:r>
      <w:r w:rsidR="00AD1E5C" w:rsidRPr="004B3A62">
        <w:rPr>
          <w:shd w:val="clear" w:color="auto" w:fill="FFFFFF"/>
        </w:rPr>
        <w:t xml:space="preserve"> elle-même expressément aucune forme de dérogation aux droits et libertés qu’elle consacre, ne doit pas empêcher les états de faire usage du droit de dérogation que ménage à leur profit, pour les droits correspondants, l’article 15 de la CEDH. Les « limitations » autorisées par l’article 52 de la première, peuvent aller jusqu’à « absorber » les dérogations permises par la seconde</w:t>
      </w:r>
      <w:r w:rsidR="00FB6D53" w:rsidRPr="004B3A62">
        <w:rPr>
          <w:rStyle w:val="Appelnotedebasdep"/>
          <w:shd w:val="clear" w:color="auto" w:fill="FFFFFF"/>
        </w:rPr>
        <w:footnoteReference w:id="20"/>
      </w:r>
      <w:r w:rsidR="00AD1E5C" w:rsidRPr="004B3A62">
        <w:rPr>
          <w:shd w:val="clear" w:color="auto" w:fill="FFFFFF"/>
        </w:rPr>
        <w:t xml:space="preserve">. Voilà sans doute qui rassure le Politique. Mais il y a par contre de quoi inquiéter le juriste sur </w:t>
      </w:r>
      <w:r w:rsidR="00AD1E5C" w:rsidRPr="004B3A62">
        <w:rPr>
          <w:shd w:val="clear" w:color="auto" w:fill="FFFFFF"/>
        </w:rPr>
        <w:lastRenderedPageBreak/>
        <w:t xml:space="preserve">l’épaisseur de la différence entre limitations « simples » et « dérogations » aux droits : nous y </w:t>
      </w:r>
      <w:r w:rsidR="00AD1E5C" w:rsidRPr="00F35F1E">
        <w:rPr>
          <w:shd w:val="clear" w:color="auto" w:fill="FFFFFF"/>
        </w:rPr>
        <w:t>reviendrons</w:t>
      </w:r>
      <w:r w:rsidR="006E55A1" w:rsidRPr="00F35F1E">
        <w:rPr>
          <w:shd w:val="clear" w:color="auto" w:fill="FFFFFF"/>
        </w:rPr>
        <w:t xml:space="preserve"> </w:t>
      </w:r>
      <w:r w:rsidR="006E55A1" w:rsidRPr="00C73A0B">
        <w:rPr>
          <w:shd w:val="clear" w:color="auto" w:fill="FFFFFF"/>
        </w:rPr>
        <w:t>(</w:t>
      </w:r>
      <w:r w:rsidR="006E55A1" w:rsidRPr="00C73A0B">
        <w:rPr>
          <w:i/>
          <w:shd w:val="clear" w:color="auto" w:fill="FFFFFF"/>
        </w:rPr>
        <w:t xml:space="preserve">infra, </w:t>
      </w:r>
      <w:r w:rsidR="006E55A1" w:rsidRPr="00C73A0B">
        <w:rPr>
          <w:shd w:val="clear" w:color="auto" w:fill="FFFFFF"/>
        </w:rPr>
        <w:t>nn°</w:t>
      </w:r>
      <w:r w:rsidR="00C73A0B" w:rsidRPr="00C73A0B">
        <w:rPr>
          <w:shd w:val="clear" w:color="auto" w:fill="FFFFFF"/>
        </w:rPr>
        <w:t>23 et suiv</w:t>
      </w:r>
      <w:r w:rsidR="006E55A1" w:rsidRPr="00C73A0B">
        <w:rPr>
          <w:shd w:val="clear" w:color="auto" w:fill="FFFFFF"/>
        </w:rPr>
        <w:t>)</w:t>
      </w:r>
      <w:r w:rsidR="00AD1E5C" w:rsidRPr="00C73A0B">
        <w:rPr>
          <w:shd w:val="clear" w:color="auto" w:fill="FFFFFF"/>
        </w:rPr>
        <w:t>.</w:t>
      </w:r>
    </w:p>
    <w:p w14:paraId="33A2D085" w14:textId="08265756" w:rsidR="00382D7D" w:rsidRDefault="00382D7D" w:rsidP="00AD1E5C">
      <w:pPr>
        <w:jc w:val="both"/>
        <w:rPr>
          <w:color w:val="444444"/>
          <w:sz w:val="27"/>
          <w:szCs w:val="27"/>
          <w:shd w:val="clear" w:color="auto" w:fill="FFFFFF"/>
        </w:rPr>
      </w:pPr>
    </w:p>
    <w:p w14:paraId="41F129A0" w14:textId="72C019B9" w:rsidR="00382D7D" w:rsidRPr="00461F68" w:rsidRDefault="005E3844" w:rsidP="00AD1E5C">
      <w:pPr>
        <w:jc w:val="both"/>
        <w:rPr>
          <w:shd w:val="clear" w:color="auto" w:fill="FFFFFF"/>
        </w:rPr>
      </w:pPr>
      <w:r w:rsidRPr="00461F68">
        <w:rPr>
          <w:b/>
          <w:shd w:val="clear" w:color="auto" w:fill="FFFFFF"/>
        </w:rPr>
        <w:t>8</w:t>
      </w:r>
      <w:r w:rsidRPr="00461F68">
        <w:rPr>
          <w:b/>
          <w:shd w:val="clear" w:color="auto" w:fill="FFFFFF"/>
        </w:rPr>
        <w:tab/>
      </w:r>
      <w:r w:rsidR="00382D7D" w:rsidRPr="00461F68">
        <w:rPr>
          <w:shd w:val="clear" w:color="auto" w:fill="FFFFFF"/>
        </w:rPr>
        <w:t xml:space="preserve">Les choses se corsent, par contre, en présence d’instruments qui, tels la Convention relative aux droits de l’enfant, ne prévoient pas la possibilité d’une dérogation à leur prescrit, ni leur articulation vis-à-vis des instruments qui, à l’inverse, prévoient une telle possibilité. </w:t>
      </w:r>
    </w:p>
    <w:p w14:paraId="17BCF5DE" w14:textId="77777777" w:rsidR="005E3844" w:rsidRDefault="005E3844" w:rsidP="005E3844">
      <w:pPr>
        <w:jc w:val="both"/>
        <w:rPr>
          <w:color w:val="444444"/>
          <w:shd w:val="clear" w:color="auto" w:fill="FFFFFF"/>
        </w:rPr>
      </w:pPr>
    </w:p>
    <w:p w14:paraId="7D6BE415" w14:textId="7271EDCE" w:rsidR="00382D7D" w:rsidRPr="00461F68" w:rsidRDefault="005E3844" w:rsidP="005E3844">
      <w:pPr>
        <w:jc w:val="both"/>
        <w:rPr>
          <w:shd w:val="clear" w:color="auto" w:fill="FFFFFF"/>
        </w:rPr>
      </w:pPr>
      <w:r w:rsidRPr="006E55A1">
        <w:rPr>
          <w:b/>
          <w:color w:val="444444"/>
          <w:shd w:val="clear" w:color="auto" w:fill="FFFFFF"/>
        </w:rPr>
        <w:t>9</w:t>
      </w:r>
      <w:r w:rsidRPr="006E55A1">
        <w:rPr>
          <w:b/>
          <w:color w:val="444444"/>
          <w:shd w:val="clear" w:color="auto" w:fill="FFFFFF"/>
        </w:rPr>
        <w:tab/>
      </w:r>
      <w:r w:rsidR="00382D7D" w:rsidRPr="00461F68">
        <w:rPr>
          <w:shd w:val="clear" w:color="auto" w:fill="FFFFFF"/>
        </w:rPr>
        <w:t>Plusieurs interprétations sont susceptibles d’être données pour expliquer un</w:t>
      </w:r>
      <w:r w:rsidRPr="00461F68">
        <w:rPr>
          <w:shd w:val="clear" w:color="auto" w:fill="FFFFFF"/>
        </w:rPr>
        <w:t xml:space="preserve"> tel mutisme</w:t>
      </w:r>
      <w:r w:rsidR="00382D7D" w:rsidRPr="00461F68">
        <w:rPr>
          <w:shd w:val="clear" w:color="auto" w:fill="FFFFFF"/>
        </w:rPr>
        <w:t xml:space="preserve">. </w:t>
      </w:r>
    </w:p>
    <w:p w14:paraId="3FD46FA3" w14:textId="77777777" w:rsidR="005E3844" w:rsidRPr="00461F68" w:rsidRDefault="005E3844" w:rsidP="005E3844">
      <w:pPr>
        <w:jc w:val="both"/>
        <w:rPr>
          <w:shd w:val="clear" w:color="auto" w:fill="FFFFFF"/>
        </w:rPr>
      </w:pPr>
    </w:p>
    <w:p w14:paraId="2F1A0658" w14:textId="69ACB34D" w:rsidR="00382D7D" w:rsidRPr="00461F68" w:rsidRDefault="00382D7D" w:rsidP="005E3844">
      <w:pPr>
        <w:jc w:val="both"/>
        <w:rPr>
          <w:shd w:val="clear" w:color="auto" w:fill="FFFFFF"/>
        </w:rPr>
      </w:pPr>
      <w:r w:rsidRPr="00461F68">
        <w:rPr>
          <w:shd w:val="clear" w:color="auto" w:fill="FFFFFF"/>
        </w:rPr>
        <w:t>La premiè</w:t>
      </w:r>
      <w:r w:rsidR="00C22DD5" w:rsidRPr="00461F68">
        <w:rPr>
          <w:shd w:val="clear" w:color="auto" w:fill="FFFFFF"/>
        </w:rPr>
        <w:t>re - qui est parfois retenue</w:t>
      </w:r>
      <w:r w:rsidRPr="00461F68">
        <w:rPr>
          <w:shd w:val="clear" w:color="auto" w:fill="FFFFFF"/>
        </w:rPr>
        <w:t xml:space="preserve"> s’agissant du Pacte international relatif aux droits économiques, sociaux et culturels -, part du constat que la faible densité juridique et, par conséquent, la faible justiciabil</w:t>
      </w:r>
      <w:r w:rsidR="006E55A1" w:rsidRPr="00461F68">
        <w:rPr>
          <w:shd w:val="clear" w:color="auto" w:fill="FFFFFF"/>
        </w:rPr>
        <w:t>i</w:t>
      </w:r>
      <w:r w:rsidRPr="00461F68">
        <w:rPr>
          <w:shd w:val="clear" w:color="auto" w:fill="FFFFFF"/>
        </w:rPr>
        <w:t>té des instruments en cause, auraient rendu «redondante» l’indication selon laquelle il est permis de déroger aux droits et libertés qu’ils consacrent. Partant, l’absence d’indication en ce sens ne pourrait être interprétée comme excluant la possibilité de déroger aux droits garantis</w:t>
      </w:r>
      <w:r w:rsidR="002C7740" w:rsidRPr="00461F68">
        <w:rPr>
          <w:rStyle w:val="Appelnotedebasdep"/>
          <w:shd w:val="clear" w:color="auto" w:fill="FFFFFF"/>
        </w:rPr>
        <w:footnoteReference w:id="21"/>
      </w:r>
      <w:r w:rsidR="00677848" w:rsidRPr="00461F68">
        <w:rPr>
          <w:shd w:val="clear" w:color="auto" w:fill="FFFFFF"/>
        </w:rPr>
        <w:t>, le cas échéant par le véhicule très général de clauses semblables à l’article 4 du Pacte précité</w:t>
      </w:r>
      <w:r w:rsidR="00DC1568" w:rsidRPr="00461F68">
        <w:rPr>
          <w:rStyle w:val="Appelnotedebasdep"/>
          <w:shd w:val="clear" w:color="auto" w:fill="FFFFFF"/>
        </w:rPr>
        <w:footnoteReference w:id="22"/>
      </w:r>
      <w:r w:rsidRPr="00461F68">
        <w:rPr>
          <w:shd w:val="clear" w:color="auto" w:fill="FFFFFF"/>
        </w:rPr>
        <w:t xml:space="preserve">. </w:t>
      </w:r>
    </w:p>
    <w:p w14:paraId="7B74228D" w14:textId="77777777" w:rsidR="005E3844" w:rsidRDefault="005E3844" w:rsidP="005E3844">
      <w:pPr>
        <w:jc w:val="both"/>
        <w:rPr>
          <w:color w:val="444444"/>
          <w:shd w:val="clear" w:color="auto" w:fill="FFFFFF"/>
        </w:rPr>
      </w:pPr>
    </w:p>
    <w:p w14:paraId="7D8BC997" w14:textId="0AFF7C1F" w:rsidR="00382D7D" w:rsidRPr="00461F68" w:rsidRDefault="00382D7D" w:rsidP="005E3844">
      <w:pPr>
        <w:jc w:val="both"/>
        <w:rPr>
          <w:shd w:val="clear" w:color="auto" w:fill="FFFFFF"/>
        </w:rPr>
      </w:pPr>
      <w:r w:rsidRPr="00461F68">
        <w:rPr>
          <w:shd w:val="clear" w:color="auto" w:fill="FFFFFF"/>
        </w:rPr>
        <w:t xml:space="preserve">La seconde interprétation avancée consiste à affirmer que les auteurs </w:t>
      </w:r>
      <w:r w:rsidRPr="00C73A0B">
        <w:rPr>
          <w:color w:val="000000" w:themeColor="text1"/>
          <w:shd w:val="clear" w:color="auto" w:fill="FFFFFF"/>
        </w:rPr>
        <w:t xml:space="preserve">des instruments dépourvus de clause de dérogation </w:t>
      </w:r>
      <w:r w:rsidRPr="00461F68">
        <w:rPr>
          <w:shd w:val="clear" w:color="auto" w:fill="FFFFFF"/>
        </w:rPr>
        <w:t>n’ont pas entendu exclure la faculté pour les États de déroger aux droits et libertés qu’ils consacrent, mais ont préféré renvoyer au «droit commun» du droit international public pour tracer les limites des dérogations autorisées. En l’occurrence, le droit international commun retient sur ce point des solutions assez proches de celles consacrées par l’article 15 de la Convention europ</w:t>
      </w:r>
      <w:r w:rsidR="005E3844" w:rsidRPr="00461F68">
        <w:rPr>
          <w:shd w:val="clear" w:color="auto" w:fill="FFFFFF"/>
        </w:rPr>
        <w:t>é</w:t>
      </w:r>
      <w:r w:rsidRPr="00461F68">
        <w:rPr>
          <w:shd w:val="clear" w:color="auto" w:fill="FFFFFF"/>
        </w:rPr>
        <w:t>enne des droits de l’Homme et l’article 4 du Pacte international relatif aux droits civils et politiques, et s’inspire au demeurant de ces solutions</w:t>
      </w:r>
      <w:r w:rsidR="008961F4" w:rsidRPr="00461F68">
        <w:rPr>
          <w:rStyle w:val="Appelnotedebasdep"/>
          <w:shd w:val="clear" w:color="auto" w:fill="FFFFFF"/>
        </w:rPr>
        <w:footnoteReference w:id="23"/>
      </w:r>
      <w:r w:rsidR="00256733" w:rsidRPr="00461F68">
        <w:rPr>
          <w:shd w:val="clear" w:color="auto" w:fill="FFFFFF"/>
        </w:rPr>
        <w:t>.</w:t>
      </w:r>
    </w:p>
    <w:p w14:paraId="3D015C13" w14:textId="421AFAEC" w:rsidR="00382D7D" w:rsidRPr="00382D7D" w:rsidRDefault="00382D7D" w:rsidP="00382D7D">
      <w:pPr>
        <w:spacing w:before="100" w:beforeAutospacing="1" w:after="100" w:afterAutospacing="1"/>
        <w:jc w:val="both"/>
      </w:pPr>
      <w:r w:rsidRPr="00A404B7">
        <w:rPr>
          <w:color w:val="211E1E"/>
        </w:rPr>
        <w:t>Une troisième lecture, qui est généralement retenue s’agissant de la Charte africaine des droits de l’Homme et des peuples</w:t>
      </w:r>
      <w:r w:rsidR="008961F4">
        <w:rPr>
          <w:rStyle w:val="Appelnotedebasdep"/>
          <w:color w:val="211E1E"/>
        </w:rPr>
        <w:footnoteReference w:id="24"/>
      </w:r>
      <w:r w:rsidRPr="00A404B7">
        <w:rPr>
          <w:color w:val="211E1E"/>
        </w:rPr>
        <w:t xml:space="preserve">, affirmera que les « dérogations », quoique </w:t>
      </w:r>
      <w:r w:rsidR="003323A6" w:rsidRPr="00A404B7">
        <w:rPr>
          <w:color w:val="211E1E"/>
        </w:rPr>
        <w:t xml:space="preserve">non nommées comme telles, peuvent néanmoins être réalisées sur le fondement des « claw back clauses » que contient l’instrument considéré. </w:t>
      </w:r>
    </w:p>
    <w:p w14:paraId="05380E79" w14:textId="7D194785" w:rsidR="00FC5D9A" w:rsidRPr="00A404B7" w:rsidRDefault="003323A6" w:rsidP="00A404B7">
      <w:pPr>
        <w:pStyle w:val="NormalWeb"/>
        <w:jc w:val="both"/>
        <w:rPr>
          <w:color w:val="211E1E"/>
        </w:rPr>
      </w:pPr>
      <w:r w:rsidRPr="00A404B7">
        <w:rPr>
          <w:color w:val="211E1E"/>
        </w:rPr>
        <w:t xml:space="preserve">Une </w:t>
      </w:r>
      <w:r w:rsidR="00015213" w:rsidRPr="00A404B7">
        <w:rPr>
          <w:color w:val="211E1E"/>
        </w:rPr>
        <w:t xml:space="preserve">dernière </w:t>
      </w:r>
      <w:r w:rsidR="00382D7D" w:rsidRPr="00382D7D">
        <w:rPr>
          <w:color w:val="211E1E"/>
        </w:rPr>
        <w:t xml:space="preserve"> interpr</w:t>
      </w:r>
      <w:r w:rsidR="00382D7D" w:rsidRPr="00A404B7">
        <w:rPr>
          <w:color w:val="211E1E"/>
        </w:rPr>
        <w:t>é</w:t>
      </w:r>
      <w:r w:rsidR="00382D7D" w:rsidRPr="00382D7D">
        <w:rPr>
          <w:color w:val="211E1E"/>
        </w:rPr>
        <w:t>tation affirmera</w:t>
      </w:r>
      <w:r w:rsidR="00015213" w:rsidRPr="00A404B7">
        <w:rPr>
          <w:color w:val="211E1E"/>
        </w:rPr>
        <w:t xml:space="preserve"> quant à elle</w:t>
      </w:r>
      <w:r w:rsidR="00382D7D" w:rsidRPr="00382D7D">
        <w:rPr>
          <w:color w:val="211E1E"/>
        </w:rPr>
        <w:t xml:space="preserve"> que l’absence de clause de d</w:t>
      </w:r>
      <w:r w:rsidR="00382D7D" w:rsidRPr="00A404B7">
        <w:rPr>
          <w:color w:val="211E1E"/>
        </w:rPr>
        <w:t>é</w:t>
      </w:r>
      <w:r w:rsidR="00382D7D" w:rsidRPr="00382D7D">
        <w:rPr>
          <w:color w:val="211E1E"/>
        </w:rPr>
        <w:t xml:space="preserve">rogation dans les instruments susdits </w:t>
      </w:r>
      <w:r w:rsidR="00015213" w:rsidRPr="00A404B7">
        <w:rPr>
          <w:color w:val="211E1E"/>
        </w:rPr>
        <w:t>é</w:t>
      </w:r>
      <w:r w:rsidR="00382D7D" w:rsidRPr="00382D7D">
        <w:rPr>
          <w:color w:val="211E1E"/>
        </w:rPr>
        <w:t>quivaut à une interdiction de d</w:t>
      </w:r>
      <w:r w:rsidR="00015213" w:rsidRPr="00A404B7">
        <w:rPr>
          <w:color w:val="211E1E"/>
        </w:rPr>
        <w:t>é</w:t>
      </w:r>
      <w:r w:rsidR="00382D7D" w:rsidRPr="00382D7D">
        <w:rPr>
          <w:color w:val="211E1E"/>
        </w:rPr>
        <w:t>roger aux droits et libert</w:t>
      </w:r>
      <w:r w:rsidR="00015213" w:rsidRPr="00A404B7">
        <w:rPr>
          <w:color w:val="211E1E"/>
        </w:rPr>
        <w:t>é</w:t>
      </w:r>
      <w:r w:rsidR="00382D7D" w:rsidRPr="00382D7D">
        <w:rPr>
          <w:color w:val="211E1E"/>
        </w:rPr>
        <w:t>s qu’ils consacrent.</w:t>
      </w:r>
      <w:r w:rsidR="00015213" w:rsidRPr="00A404B7">
        <w:rPr>
          <w:color w:val="211E1E"/>
        </w:rPr>
        <w:t xml:space="preserve"> C’est cette interprétation qui semble être retenue</w:t>
      </w:r>
      <w:r w:rsidR="006E55A1">
        <w:rPr>
          <w:rStyle w:val="Appelnotedebasdep"/>
          <w:color w:val="211E1E"/>
        </w:rPr>
        <w:footnoteReference w:id="25"/>
      </w:r>
      <w:r w:rsidR="00015213" w:rsidRPr="00A404B7">
        <w:rPr>
          <w:color w:val="211E1E"/>
        </w:rPr>
        <w:t xml:space="preserve"> à propos de la Convention </w:t>
      </w:r>
      <w:r w:rsidR="00015213" w:rsidRPr="00A404B7">
        <w:rPr>
          <w:color w:val="211E1E"/>
        </w:rPr>
        <w:lastRenderedPageBreak/>
        <w:t>internationale relative aux droits de l’enfant, non seulement par le Comité des droits de l’enfant lui-même</w:t>
      </w:r>
      <w:r w:rsidR="00015213" w:rsidRPr="00A404B7">
        <w:rPr>
          <w:rStyle w:val="Appelnotedebasdep"/>
          <w:color w:val="211E1E"/>
        </w:rPr>
        <w:footnoteReference w:id="26"/>
      </w:r>
      <w:r w:rsidR="00015213" w:rsidRPr="00A404B7">
        <w:rPr>
          <w:color w:val="211E1E"/>
        </w:rPr>
        <w:t>, mais aussi, semble-t-il, par le Comité des droits de l’Homme</w:t>
      </w:r>
      <w:r w:rsidR="00FC5D9A" w:rsidRPr="00A404B7">
        <w:rPr>
          <w:rStyle w:val="Appelnotedebasdep"/>
          <w:color w:val="211E1E"/>
        </w:rPr>
        <w:footnoteReference w:id="27"/>
      </w:r>
      <w:r w:rsidR="00FC5D9A" w:rsidRPr="00A404B7">
        <w:rPr>
          <w:color w:val="211E1E"/>
        </w:rPr>
        <w:t>.</w:t>
      </w:r>
    </w:p>
    <w:p w14:paraId="76C1AA67" w14:textId="057F30C6" w:rsidR="00382D7D" w:rsidRPr="00382D7D" w:rsidRDefault="00A404B7" w:rsidP="00A404B7">
      <w:pPr>
        <w:pStyle w:val="NormalWeb"/>
        <w:jc w:val="both"/>
        <w:rPr>
          <w:color w:val="211E1E"/>
        </w:rPr>
      </w:pPr>
      <w:r w:rsidRPr="006E55A1">
        <w:rPr>
          <w:b/>
          <w:color w:val="211E1E"/>
        </w:rPr>
        <w:t>10</w:t>
      </w:r>
      <w:r w:rsidRPr="006E55A1">
        <w:rPr>
          <w:b/>
          <w:color w:val="211E1E"/>
        </w:rPr>
        <w:tab/>
      </w:r>
      <w:r w:rsidR="00FC5D9A" w:rsidRPr="00A404B7">
        <w:rPr>
          <w:color w:val="211E1E"/>
        </w:rPr>
        <w:t>Prendre au sérieux la dernière interprétation citée implique des conséquences non négli</w:t>
      </w:r>
      <w:r>
        <w:rPr>
          <w:color w:val="211E1E"/>
        </w:rPr>
        <w:t>ge</w:t>
      </w:r>
      <w:r w:rsidR="00FC5D9A" w:rsidRPr="00A404B7">
        <w:rPr>
          <w:color w:val="211E1E"/>
        </w:rPr>
        <w:t>ables en présence de droits qui sont équivalemment garantis par un instrument doté d’une clause de dérogation, et un instrument dépourvu d’une telle clause.</w:t>
      </w:r>
      <w:r w:rsidR="00BA3D94" w:rsidRPr="00A404B7">
        <w:rPr>
          <w:color w:val="211E1E"/>
        </w:rPr>
        <w:t xml:space="preserve"> Par exemple, la liberté de réunion et d’association est protégée tant par la Convention européenne des droits de l’homme (article 11) et par le Pacte international relatif aux droits civils et politiques (articles 21 et 22), qui permettent de déroger à ces droits, que par la Convention internationale des droits de l’enfant (article 15), qui ne le permet pas. Il en est de même pour la Charte sociale européenne</w:t>
      </w:r>
      <w:r>
        <w:rPr>
          <w:rStyle w:val="Appelnotedebasdep"/>
          <w:color w:val="211E1E"/>
        </w:rPr>
        <w:footnoteReference w:id="28"/>
      </w:r>
      <w:r w:rsidR="00BA3D94" w:rsidRPr="00A404B7">
        <w:rPr>
          <w:color w:val="211E1E"/>
        </w:rPr>
        <w:t xml:space="preserve"> qui consacre des droits se trouvant aussi dans le Pacte international relatif aux droits économiques, sociaux et culturels. </w:t>
      </w:r>
    </w:p>
    <w:p w14:paraId="1A74EA5B" w14:textId="0CE79586" w:rsidR="00674D53" w:rsidRPr="00BA3D94" w:rsidRDefault="008E2B93" w:rsidP="00A404B7">
      <w:pPr>
        <w:pStyle w:val="NormalWeb"/>
        <w:jc w:val="both"/>
        <w:rPr>
          <w:color w:val="000000" w:themeColor="text1"/>
        </w:rPr>
      </w:pPr>
      <w:r w:rsidRPr="008B0F82">
        <w:rPr>
          <w:b/>
          <w:color w:val="000000" w:themeColor="text1"/>
        </w:rPr>
        <w:t>11.</w:t>
      </w:r>
      <w:r w:rsidRPr="008B0F82">
        <w:rPr>
          <w:b/>
          <w:color w:val="000000" w:themeColor="text1"/>
        </w:rPr>
        <w:tab/>
      </w:r>
      <w:r w:rsidR="00674D53" w:rsidRPr="00BA3D94">
        <w:rPr>
          <w:color w:val="000000" w:themeColor="text1"/>
        </w:rPr>
        <w:t>Une question se pose</w:t>
      </w:r>
      <w:r w:rsidR="00BA3D94">
        <w:rPr>
          <w:color w:val="000000" w:themeColor="text1"/>
        </w:rPr>
        <w:t>ra</w:t>
      </w:r>
      <w:r w:rsidR="00674D53" w:rsidRPr="00BA3D94">
        <w:rPr>
          <w:color w:val="000000" w:themeColor="text1"/>
        </w:rPr>
        <w:t xml:space="preserve"> </w:t>
      </w:r>
      <w:r w:rsidR="00BA3D94">
        <w:rPr>
          <w:color w:val="000000" w:themeColor="text1"/>
        </w:rPr>
        <w:t>alors à propos de la marge de manœuvre des états</w:t>
      </w:r>
      <w:r w:rsidR="00674D53" w:rsidRPr="00BA3D94">
        <w:rPr>
          <w:color w:val="000000" w:themeColor="text1"/>
        </w:rPr>
        <w:t xml:space="preserve"> qui </w:t>
      </w:r>
      <w:r w:rsidR="00BA3D94">
        <w:rPr>
          <w:color w:val="000000" w:themeColor="text1"/>
        </w:rPr>
        <w:t>ont</w:t>
      </w:r>
      <w:r w:rsidR="00674D53" w:rsidRPr="00BA3D94">
        <w:rPr>
          <w:color w:val="000000" w:themeColor="text1"/>
        </w:rPr>
        <w:t xml:space="preserve"> ratifié </w:t>
      </w:r>
      <w:r w:rsidR="00BA3D94">
        <w:rPr>
          <w:color w:val="000000" w:themeColor="text1"/>
        </w:rPr>
        <w:t xml:space="preserve">les deux types d’instruments. </w:t>
      </w:r>
      <w:r w:rsidR="00674D53" w:rsidRPr="00BA3D94">
        <w:rPr>
          <w:color w:val="000000" w:themeColor="text1"/>
        </w:rPr>
        <w:t xml:space="preserve">Quelles sont </w:t>
      </w:r>
      <w:r w:rsidR="00BA3D94">
        <w:rPr>
          <w:color w:val="000000" w:themeColor="text1"/>
        </w:rPr>
        <w:t>leurs</w:t>
      </w:r>
      <w:r w:rsidR="00674D53" w:rsidRPr="00BA3D94">
        <w:rPr>
          <w:color w:val="000000" w:themeColor="text1"/>
        </w:rPr>
        <w:t xml:space="preserve"> obligations lorsqu’il</w:t>
      </w:r>
      <w:r w:rsidR="00A404B7">
        <w:rPr>
          <w:color w:val="000000" w:themeColor="text1"/>
        </w:rPr>
        <w:t>s</w:t>
      </w:r>
      <w:r w:rsidR="00674D53" w:rsidRPr="00BA3D94">
        <w:rPr>
          <w:color w:val="000000" w:themeColor="text1"/>
        </w:rPr>
        <w:t xml:space="preserve"> souhaite</w:t>
      </w:r>
      <w:r w:rsidR="00A404B7">
        <w:rPr>
          <w:color w:val="000000" w:themeColor="text1"/>
        </w:rPr>
        <w:t>nt</w:t>
      </w:r>
      <w:r w:rsidR="00674D53" w:rsidRPr="00BA3D94">
        <w:rPr>
          <w:color w:val="000000" w:themeColor="text1"/>
        </w:rPr>
        <w:t xml:space="preserve"> déroger à un droit se trouvant tant dans un instrument prévoyant une telle possibilité que dans un instrument qui ne la prévoit pas ? Reprenons l’exemple de la liberté de réunion et d’association. Un état qui entend faire usage de l’article 15 de la Convention pour déroger à l’article 11 peut-il introduire des mesures concernant tant les adultes que les enfants ? Ou au contraire, doit-il s’en tenir à des mesures concernant uniquement les adultes, créant ainsi un régime de protection à deux vitesses ?</w:t>
      </w:r>
    </w:p>
    <w:p w14:paraId="6DD3098F" w14:textId="42945668" w:rsidR="00A404B7" w:rsidRDefault="008E2B93" w:rsidP="007F3468">
      <w:pPr>
        <w:pStyle w:val="NormalWeb"/>
        <w:jc w:val="both"/>
        <w:rPr>
          <w:color w:val="000000" w:themeColor="text1"/>
        </w:rPr>
      </w:pPr>
      <w:r w:rsidRPr="008961F4">
        <w:rPr>
          <w:b/>
          <w:color w:val="000000" w:themeColor="text1"/>
        </w:rPr>
        <w:t>12.</w:t>
      </w:r>
      <w:r w:rsidRPr="008961F4">
        <w:rPr>
          <w:b/>
          <w:color w:val="000000" w:themeColor="text1"/>
        </w:rPr>
        <w:tab/>
      </w:r>
      <w:r w:rsidR="00674D53" w:rsidRPr="00BA3D94">
        <w:rPr>
          <w:color w:val="000000" w:themeColor="text1"/>
        </w:rPr>
        <w:t>La lecture des textes conventionnels nous invite à retenir la deuxième option</w:t>
      </w:r>
      <w:r w:rsidR="00F04152">
        <w:rPr>
          <w:rStyle w:val="Appelnotedebasdep"/>
          <w:color w:val="000000" w:themeColor="text1"/>
        </w:rPr>
        <w:footnoteReference w:id="29"/>
      </w:r>
      <w:r w:rsidR="00674D53" w:rsidRPr="00BA3D94">
        <w:rPr>
          <w:color w:val="000000" w:themeColor="text1"/>
        </w:rPr>
        <w:t>. En effet, l’article 15, § 1</w:t>
      </w:r>
      <w:r w:rsidR="00674D53" w:rsidRPr="00BA3D94">
        <w:rPr>
          <w:color w:val="000000" w:themeColor="text1"/>
          <w:vertAlign w:val="superscript"/>
        </w:rPr>
        <w:t>er</w:t>
      </w:r>
      <w:r w:rsidR="00674D53" w:rsidRPr="00BA3D94">
        <w:rPr>
          <w:color w:val="000000" w:themeColor="text1"/>
        </w:rPr>
        <w:t xml:space="preserve">, dernière phrase, de la Convention, prévoit en substance que la dérogation y autorisée ne permet pas à l’État de prendre des mesures en contradiction avec ses autres obligations internationales. Il ne s’agit là que d’une </w:t>
      </w:r>
      <w:r w:rsidR="00674D53" w:rsidRPr="00BA3D94">
        <w:rPr>
          <w:i/>
          <w:color w:val="000000" w:themeColor="text1"/>
        </w:rPr>
        <w:t xml:space="preserve">lex specialis </w:t>
      </w:r>
      <w:r w:rsidR="00674D53" w:rsidRPr="00BA3D94">
        <w:rPr>
          <w:color w:val="000000" w:themeColor="text1"/>
        </w:rPr>
        <w:t>du principe plus général dit « de la clause la plus favorable », contenu à l’article 53 de l’instrument conventionnel</w:t>
      </w:r>
      <w:r w:rsidR="00674D53">
        <w:rPr>
          <w:rStyle w:val="Appelnotedebasdep"/>
          <w:color w:val="000000" w:themeColor="text1"/>
        </w:rPr>
        <w:footnoteReference w:id="30"/>
      </w:r>
      <w:r w:rsidR="00674D53" w:rsidRPr="00BA3D94">
        <w:rPr>
          <w:color w:val="000000" w:themeColor="text1"/>
        </w:rPr>
        <w:t>. L’article 15 ne saurait être donc être invoqué pour permettre à un État de faire ce que lui interdit un autre engagement international auquel il a parallèlement souscrit</w:t>
      </w:r>
      <w:r w:rsidR="00674D53" w:rsidRPr="00112BB0">
        <w:rPr>
          <w:rStyle w:val="Appelnotedebasdep"/>
          <w:color w:val="000000" w:themeColor="text1"/>
        </w:rPr>
        <w:footnoteReference w:id="31"/>
      </w:r>
      <w:r w:rsidR="00674D53" w:rsidRPr="00BA3D94">
        <w:rPr>
          <w:color w:val="000000" w:themeColor="text1"/>
        </w:rPr>
        <w:t xml:space="preserve">. Le même raisonnement </w:t>
      </w:r>
      <w:r w:rsidR="00674D53" w:rsidRPr="00BA3D94">
        <w:rPr>
          <w:color w:val="000000" w:themeColor="text1"/>
        </w:rPr>
        <w:lastRenderedPageBreak/>
        <w:t xml:space="preserve">peut être tenu concernant le régime dérogatoire prévu l’article 4 du Pacte international relatif aux droits civils et politiques, qui interdit aux états de prendre des mesures incompatibles avec leurs autres obligations internationales. C’est ce qu’a d’ailleurs rappelé </w:t>
      </w:r>
      <w:r w:rsidR="00674D53" w:rsidRPr="000A2896">
        <w:t xml:space="preserve">le </w:t>
      </w:r>
      <w:r w:rsidR="00674D53" w:rsidRPr="00BA3D94">
        <w:rPr>
          <w:rFonts w:ascii="TimesNRMTCo" w:hAnsi="TimesNRMTCo"/>
        </w:rPr>
        <w:t xml:space="preserve">Comité des droits de l’homme des Nations Unies </w:t>
      </w:r>
      <w:r w:rsidR="00674D53">
        <w:t xml:space="preserve">dans sa « Déclaration sur les dérogations au Pacte dans le contexte de la pandémie de COVID-19 » du 24 </w:t>
      </w:r>
      <w:r w:rsidR="00674D53" w:rsidRPr="000A2896">
        <w:t>avril 2020</w:t>
      </w:r>
      <w:r w:rsidR="00674D53">
        <w:t xml:space="preserve"> : </w:t>
      </w:r>
      <w:r w:rsidR="00674D53" w:rsidRPr="000A2896">
        <w:t>« Les États parties ne doivent pas recourir aux pouvoirs exceptionnels ou mettre en œuvre des mesures dérogatoires d’une manière qui soit</w:t>
      </w:r>
      <w:r w:rsidR="00674D53">
        <w:t xml:space="preserve"> discriminatoire ou qui viole d’autres obligations qu’ils ont contractées au titre du droit international, y compris d’autres instruments internationaux relatifs aux droits de l’homme auxquels aucune dérogation n’est autorisée »</w:t>
      </w:r>
      <w:r w:rsidR="00674D53">
        <w:rPr>
          <w:rStyle w:val="Appelnotedebasdep"/>
        </w:rPr>
        <w:footnoteReference w:id="32"/>
      </w:r>
      <w:r w:rsidR="00674D53">
        <w:t xml:space="preserve">. </w:t>
      </w:r>
    </w:p>
    <w:p w14:paraId="30CC1489" w14:textId="06495EAC" w:rsidR="007F3468" w:rsidRPr="00A404B7" w:rsidRDefault="008E2B93" w:rsidP="007F3468">
      <w:pPr>
        <w:pStyle w:val="NormalWeb"/>
        <w:jc w:val="both"/>
        <w:rPr>
          <w:color w:val="000000" w:themeColor="text1"/>
        </w:rPr>
      </w:pPr>
      <w:r w:rsidRPr="00B57963">
        <w:rPr>
          <w:b/>
          <w:color w:val="000000" w:themeColor="text1"/>
        </w:rPr>
        <w:t>13.</w:t>
      </w:r>
      <w:r w:rsidRPr="00B57963">
        <w:rPr>
          <w:b/>
          <w:color w:val="000000" w:themeColor="text1"/>
        </w:rPr>
        <w:tab/>
      </w:r>
      <w:r w:rsidR="00674D53" w:rsidRPr="00A404B7">
        <w:rPr>
          <w:color w:val="000000" w:themeColor="text1"/>
        </w:rPr>
        <w:t>Force est toutefois de constater que</w:t>
      </w:r>
      <w:r w:rsidR="00BA3D94" w:rsidRPr="00A404B7">
        <w:rPr>
          <w:color w:val="000000" w:themeColor="text1"/>
        </w:rPr>
        <w:t xml:space="preserve"> cette solution,</w:t>
      </w:r>
      <w:r w:rsidR="007F3468" w:rsidRPr="00A404B7">
        <w:rPr>
          <w:color w:val="000000" w:themeColor="text1"/>
        </w:rPr>
        <w:t xml:space="preserve"> quoique commandée par les textes, n’est pas corroborée par la pratique des états.</w:t>
      </w:r>
      <w:r w:rsidR="00B57963">
        <w:rPr>
          <w:color w:val="000000" w:themeColor="text1"/>
        </w:rPr>
        <w:t xml:space="preserve"> Loin s’en faut.</w:t>
      </w:r>
      <w:r w:rsidR="007F3468" w:rsidRPr="00A404B7">
        <w:rPr>
          <w:color w:val="000000" w:themeColor="text1"/>
        </w:rPr>
        <w:t xml:space="preserve"> A</w:t>
      </w:r>
      <w:r w:rsidR="007F3468" w:rsidRPr="00A404B7">
        <w:rPr>
          <w:color w:val="211E1E"/>
        </w:rPr>
        <w:t xml:space="preserve">ucun de ceux-ci n’a en effet estimé nécessaire, lors de la ratification de la Convention relative aux droits de l’enfant, d’introduire une déclaration interprétative ou une réserve tendant à immuniser, face aux effets supposés de cette Convention, la possibilité de dérogation aux droits et libertés que connaîtrait éventuellement leur droit constitutionnel interne. Par ailleurs, </w:t>
      </w:r>
      <w:r w:rsidR="00674D53" w:rsidRPr="00A404B7">
        <w:rPr>
          <w:color w:val="000000" w:themeColor="text1"/>
        </w:rPr>
        <w:t>les états ayant activé l’article 15</w:t>
      </w:r>
      <w:r w:rsidR="007F3468" w:rsidRPr="00A404B7">
        <w:rPr>
          <w:color w:val="000000" w:themeColor="text1"/>
        </w:rPr>
        <w:t xml:space="preserve"> de la CEDH</w:t>
      </w:r>
      <w:r w:rsidR="00674D53" w:rsidRPr="00A404B7">
        <w:rPr>
          <w:color w:val="000000" w:themeColor="text1"/>
        </w:rPr>
        <w:t xml:space="preserve"> lors de la pandémie de COVID-19</w:t>
      </w:r>
      <w:r w:rsidR="00B57963">
        <w:rPr>
          <w:color w:val="000000" w:themeColor="text1"/>
        </w:rPr>
        <w:t xml:space="preserve"> </w:t>
      </w:r>
      <w:r w:rsidR="00B57963" w:rsidRPr="00C73A0B">
        <w:rPr>
          <w:color w:val="000000" w:themeColor="text1"/>
        </w:rPr>
        <w:t>(</w:t>
      </w:r>
      <w:r w:rsidR="00B57963" w:rsidRPr="00C73A0B">
        <w:rPr>
          <w:i/>
          <w:color w:val="000000" w:themeColor="text1"/>
        </w:rPr>
        <w:t xml:space="preserve">infra, </w:t>
      </w:r>
      <w:r w:rsidR="00B57963" w:rsidRPr="00C73A0B">
        <w:rPr>
          <w:color w:val="000000" w:themeColor="text1"/>
        </w:rPr>
        <w:t>n°</w:t>
      </w:r>
      <w:r w:rsidR="00C73A0B" w:rsidRPr="00C73A0B">
        <w:rPr>
          <w:color w:val="000000" w:themeColor="text1"/>
        </w:rPr>
        <w:t>19</w:t>
      </w:r>
      <w:r w:rsidR="00B57963" w:rsidRPr="00C73A0B">
        <w:rPr>
          <w:color w:val="000000" w:themeColor="text1"/>
        </w:rPr>
        <w:t>)</w:t>
      </w:r>
      <w:r w:rsidR="00674D53" w:rsidRPr="00A404B7">
        <w:rPr>
          <w:color w:val="000000" w:themeColor="text1"/>
        </w:rPr>
        <w:t xml:space="preserve"> ont dérogé à des droits</w:t>
      </w:r>
      <w:r w:rsidR="00B57963">
        <w:rPr>
          <w:color w:val="000000" w:themeColor="text1"/>
        </w:rPr>
        <w:t xml:space="preserve"> conventionnel</w:t>
      </w:r>
      <w:r w:rsidR="002A6375">
        <w:rPr>
          <w:color w:val="000000" w:themeColor="text1"/>
        </w:rPr>
        <w:t>s</w:t>
      </w:r>
      <w:r w:rsidR="00B57963">
        <w:rPr>
          <w:color w:val="000000" w:themeColor="text1"/>
        </w:rPr>
        <w:t xml:space="preserve"> qui sont également</w:t>
      </w:r>
      <w:r w:rsidR="00674D53" w:rsidRPr="00A404B7">
        <w:rPr>
          <w:color w:val="000000" w:themeColor="text1"/>
        </w:rPr>
        <w:t xml:space="preserve"> consacrés</w:t>
      </w:r>
      <w:r w:rsidR="00B57963">
        <w:rPr>
          <w:color w:val="000000" w:themeColor="text1"/>
        </w:rPr>
        <w:t xml:space="preserve"> par des instruments qui ne permettent pas – explicitement – une telle dérogation</w:t>
      </w:r>
      <w:r w:rsidR="00674D53" w:rsidRPr="00A404B7">
        <w:rPr>
          <w:color w:val="000000" w:themeColor="text1"/>
        </w:rPr>
        <w:t xml:space="preserve">. C’est notamment le cas de la liberté de réunion et d’association mais aussi du droit à l’enseignement (protégé par l’article 2 du Premier protocole additionnel à la Convention et par l’article 28 de la Convention internationale des droits de l’enfant) qui ont tous deux fait l’objet de </w:t>
      </w:r>
      <w:r w:rsidR="00B57963">
        <w:rPr>
          <w:color w:val="000000" w:themeColor="text1"/>
        </w:rPr>
        <w:t>mesures dérogatoires de la part de divers États membres du Conseil</w:t>
      </w:r>
      <w:r w:rsidR="009E2982">
        <w:rPr>
          <w:color w:val="000000" w:themeColor="text1"/>
        </w:rPr>
        <w:t xml:space="preserve">. </w:t>
      </w:r>
    </w:p>
    <w:p w14:paraId="53B25409" w14:textId="47C1A2CF" w:rsidR="00BC1EF5" w:rsidRDefault="007F3468" w:rsidP="00A404B7">
      <w:pPr>
        <w:jc w:val="both"/>
      </w:pPr>
      <w:r>
        <w:t>L’on se trouve ici face à une difficulté au moins théorique</w:t>
      </w:r>
      <w:r w:rsidR="005E3844" w:rsidRPr="00C73A0B">
        <w:rPr>
          <w:rStyle w:val="Appelnotedebasdep"/>
          <w:color w:val="000000" w:themeColor="text1"/>
        </w:rPr>
        <w:footnoteReference w:id="33"/>
      </w:r>
      <w:r w:rsidRPr="00C73A0B">
        <w:rPr>
          <w:color w:val="000000" w:themeColor="text1"/>
        </w:rPr>
        <w:t>. Toute la question</w:t>
      </w:r>
      <w:r w:rsidR="00C73A0B" w:rsidRPr="00C73A0B">
        <w:rPr>
          <w:color w:val="000000" w:themeColor="text1"/>
        </w:rPr>
        <w:t xml:space="preserve"> est</w:t>
      </w:r>
      <w:r w:rsidRPr="00C73A0B">
        <w:rPr>
          <w:color w:val="000000" w:themeColor="text1"/>
        </w:rPr>
        <w:t xml:space="preserve"> de savoir si, et dans quelle mesure, elle correspond à un obsta</w:t>
      </w:r>
      <w:r w:rsidR="002A6375" w:rsidRPr="00C73A0B">
        <w:rPr>
          <w:color w:val="000000" w:themeColor="text1"/>
        </w:rPr>
        <w:t xml:space="preserve">cle réel à l’adoption, par les </w:t>
      </w:r>
      <w:r w:rsidR="009E2982" w:rsidRPr="00C73A0B">
        <w:rPr>
          <w:color w:val="000000" w:themeColor="text1"/>
        </w:rPr>
        <w:t>États</w:t>
      </w:r>
      <w:r w:rsidRPr="00C73A0B">
        <w:rPr>
          <w:color w:val="000000" w:themeColor="text1"/>
        </w:rPr>
        <w:t>, de mesure</w:t>
      </w:r>
      <w:r w:rsidR="00E16862" w:rsidRPr="00C73A0B">
        <w:rPr>
          <w:color w:val="000000" w:themeColor="text1"/>
        </w:rPr>
        <w:t>s</w:t>
      </w:r>
      <w:r w:rsidRPr="00C73A0B">
        <w:rPr>
          <w:color w:val="000000" w:themeColor="text1"/>
        </w:rPr>
        <w:t xml:space="preserve"> exceptionnelles supposément requises par la crise. </w:t>
      </w:r>
      <w:r>
        <w:t>Ceci nous re</w:t>
      </w:r>
      <w:r w:rsidR="003F2643">
        <w:t>n</w:t>
      </w:r>
      <w:r>
        <w:t>voie à la question, ci-après abordée, de la distance existant</w:t>
      </w:r>
      <w:r w:rsidR="002A6375">
        <w:t xml:space="preserve"> ou censée exister</w:t>
      </w:r>
      <w:r>
        <w:t xml:space="preserve"> entre </w:t>
      </w:r>
      <w:r w:rsidR="002A6375">
        <w:t>« </w:t>
      </w:r>
      <w:r w:rsidR="005E3844">
        <w:t>dérogation aux droits et libertés</w:t>
      </w:r>
      <w:r w:rsidR="002A6375">
        <w:t> »</w:t>
      </w:r>
      <w:r w:rsidR="005E3844">
        <w:t xml:space="preserve">, </w:t>
      </w:r>
      <w:r w:rsidR="002A6375">
        <w:t>d’une part, et simple « restriction » à ceux-ci, d’autre part</w:t>
      </w:r>
      <w:r w:rsidR="00DC1568">
        <w:t>.</w:t>
      </w:r>
    </w:p>
    <w:p w14:paraId="7B4EB36F" w14:textId="77777777" w:rsidR="00BC1EF5" w:rsidRDefault="00BC1EF5" w:rsidP="00A404B7">
      <w:pPr>
        <w:jc w:val="both"/>
      </w:pPr>
    </w:p>
    <w:p w14:paraId="1546A52F" w14:textId="77777777" w:rsidR="00BC1EF5" w:rsidRDefault="00BC1EF5" w:rsidP="00A404B7">
      <w:pPr>
        <w:jc w:val="both"/>
      </w:pPr>
    </w:p>
    <w:p w14:paraId="036D498D" w14:textId="4C6CBB55" w:rsidR="00A404B7" w:rsidRPr="00E16862" w:rsidRDefault="00A404B7" w:rsidP="00A404B7">
      <w:pPr>
        <w:pStyle w:val="Paragraphedeliste"/>
        <w:numPr>
          <w:ilvl w:val="0"/>
          <w:numId w:val="3"/>
        </w:numPr>
        <w:jc w:val="both"/>
        <w:rPr>
          <w:b/>
          <w:bCs/>
        </w:rPr>
      </w:pPr>
      <w:r w:rsidRPr="00E16862">
        <w:rPr>
          <w:b/>
          <w:bCs/>
        </w:rPr>
        <w:t>Les géométries variables des « indérogeables »</w:t>
      </w:r>
    </w:p>
    <w:p w14:paraId="025B808D" w14:textId="034DDF18" w:rsidR="00F3240D" w:rsidRDefault="00F3240D" w:rsidP="00F3240D">
      <w:pPr>
        <w:jc w:val="both"/>
      </w:pPr>
    </w:p>
    <w:p w14:paraId="5D74503E" w14:textId="0202036F" w:rsidR="00F3240D" w:rsidRDefault="00E16862" w:rsidP="00F3240D">
      <w:pPr>
        <w:jc w:val="both"/>
      </w:pPr>
      <w:r w:rsidRPr="002A6375">
        <w:rPr>
          <w:b/>
        </w:rPr>
        <w:t>14.</w:t>
      </w:r>
      <w:r w:rsidRPr="002A6375">
        <w:rPr>
          <w:b/>
        </w:rPr>
        <w:tab/>
      </w:r>
      <w:r w:rsidR="00F3240D">
        <w:t xml:space="preserve">Lorsqu’ils les autorisent, les instruments internationaux et régionaux de protection des droit humains assignent aux dérogations des limites « matérielles » et des limites « procédurales/formelles ». </w:t>
      </w:r>
    </w:p>
    <w:p w14:paraId="07DA912D" w14:textId="6700165B" w:rsidR="00F3240D" w:rsidRDefault="00F3240D" w:rsidP="00F3240D">
      <w:pPr>
        <w:jc w:val="both"/>
      </w:pPr>
    </w:p>
    <w:p w14:paraId="096684F1" w14:textId="0D805740" w:rsidR="00F3240D" w:rsidRDefault="00E16862" w:rsidP="00F3240D">
      <w:pPr>
        <w:jc w:val="both"/>
      </w:pPr>
      <w:r w:rsidRPr="002A6375">
        <w:rPr>
          <w:b/>
        </w:rPr>
        <w:t>15.</w:t>
      </w:r>
      <w:r w:rsidRPr="002A6375">
        <w:rPr>
          <w:b/>
        </w:rPr>
        <w:tab/>
      </w:r>
      <w:r w:rsidR="00F3240D">
        <w:t>Les limites matérielles tiennent, entre autres, à l’identification d’une série de droits auxquels il ne peut être dérogé. Ici aussi aperçoit-on cependant un important « jeu » dans le cadre que ces listes sont censé</w:t>
      </w:r>
      <w:r w:rsidR="002A6375">
        <w:t>e</w:t>
      </w:r>
      <w:r w:rsidR="00F3240D">
        <w:t>s procur</w:t>
      </w:r>
      <w:r>
        <w:t>er</w:t>
      </w:r>
      <w:r w:rsidR="00F3240D">
        <w:t>.</w:t>
      </w:r>
    </w:p>
    <w:p w14:paraId="43885F6E" w14:textId="61C1EA7B" w:rsidR="00F3240D" w:rsidRDefault="00F3240D" w:rsidP="00F3240D">
      <w:pPr>
        <w:jc w:val="both"/>
      </w:pPr>
    </w:p>
    <w:p w14:paraId="46A3D9AC" w14:textId="70C82976" w:rsidR="00F3240D" w:rsidRDefault="00E16862" w:rsidP="00F3240D">
      <w:pPr>
        <w:pStyle w:val="Paragraphedeliste"/>
        <w:ind w:left="0"/>
        <w:jc w:val="both"/>
        <w:rPr>
          <w:iCs/>
        </w:rPr>
      </w:pPr>
      <w:r w:rsidRPr="002A6375">
        <w:rPr>
          <w:b/>
        </w:rPr>
        <w:t>16.</w:t>
      </w:r>
      <w:r w:rsidRPr="002A6375">
        <w:rPr>
          <w:b/>
        </w:rPr>
        <w:tab/>
      </w:r>
      <w:r w:rsidR="00F3240D">
        <w:t>Ces listes, tout d’abord, ne sont pas nécessairement exhaustives.</w:t>
      </w:r>
      <w:r w:rsidR="00F3240D">
        <w:rPr>
          <w:iCs/>
        </w:rPr>
        <w:t xml:space="preserve"> </w:t>
      </w:r>
      <w:r w:rsidR="00F3240D" w:rsidRPr="004439FC">
        <w:rPr>
          <w:iCs/>
        </w:rPr>
        <w:t>Dans ses avis les plus récents – et l’on vise spécifiquement l’avis qui a été rendu sur les mesures ayant fait suite au coup d’état manqué survenu en Turquie le 15 juillet 2016 – , la Commission de Venise affirme que</w:t>
      </w:r>
      <w:r w:rsidR="00F3240D">
        <w:rPr>
          <w:iCs/>
        </w:rPr>
        <w:t>, outre celles qui sont expressément visées par l’a</w:t>
      </w:r>
      <w:r w:rsidR="002A6375">
        <w:rPr>
          <w:iCs/>
        </w:rPr>
        <w:t>rticle 15, § 2, de la CEDH</w:t>
      </w:r>
      <w:r w:rsidR="00F3240D">
        <w:rPr>
          <w:iCs/>
        </w:rPr>
        <w:t xml:space="preserve"> et les protocoles </w:t>
      </w:r>
      <w:r w:rsidR="00F3240D">
        <w:rPr>
          <w:iCs/>
        </w:rPr>
        <w:lastRenderedPageBreak/>
        <w:t>additionnels à celle-ci,</w:t>
      </w:r>
      <w:r w:rsidR="00F3240D" w:rsidRPr="004439FC">
        <w:rPr>
          <w:iCs/>
        </w:rPr>
        <w:t xml:space="preserve"> les garanties procédurales les plus essentielles devraient également être considérées comme </w:t>
      </w:r>
      <w:r w:rsidR="002A6375">
        <w:rPr>
          <w:iCs/>
        </w:rPr>
        <w:t>« </w:t>
      </w:r>
      <w:r w:rsidR="00F3240D" w:rsidRPr="004439FC">
        <w:rPr>
          <w:iCs/>
        </w:rPr>
        <w:t>implicitement</w:t>
      </w:r>
      <w:r w:rsidR="002A6375">
        <w:rPr>
          <w:iCs/>
        </w:rPr>
        <w:t> »,</w:t>
      </w:r>
      <w:r w:rsidR="00F3240D" w:rsidRPr="004439FC">
        <w:rPr>
          <w:iCs/>
        </w:rPr>
        <w:t xml:space="preserve"> mais certainement</w:t>
      </w:r>
      <w:r w:rsidR="002A6375">
        <w:rPr>
          <w:iCs/>
        </w:rPr>
        <w:t>,</w:t>
      </w:r>
      <w:r w:rsidR="00F3240D" w:rsidRPr="004439FC">
        <w:rPr>
          <w:iCs/>
        </w:rPr>
        <w:t xml:space="preserve"> indérogeables</w:t>
      </w:r>
      <w:r w:rsidR="00F3240D" w:rsidRPr="004439FC">
        <w:rPr>
          <w:rStyle w:val="Appelnotedebasdep"/>
          <w:iCs/>
        </w:rPr>
        <w:footnoteReference w:id="34"/>
      </w:r>
      <w:r w:rsidR="00F3240D" w:rsidRPr="004439FC">
        <w:rPr>
          <w:iCs/>
        </w:rPr>
        <w:t>. Seraient ainsi visés les garanties essentielles du procès équitable</w:t>
      </w:r>
      <w:r w:rsidR="00F3240D">
        <w:rPr>
          <w:iCs/>
        </w:rPr>
        <w:t xml:space="preserve"> (art. 6</w:t>
      </w:r>
      <w:r w:rsidR="002A6375">
        <w:rPr>
          <w:iCs/>
        </w:rPr>
        <w:t xml:space="preserve"> CEDH</w:t>
      </w:r>
      <w:r w:rsidR="00F3240D">
        <w:rPr>
          <w:iCs/>
        </w:rPr>
        <w:t>)</w:t>
      </w:r>
      <w:r w:rsidR="00F3240D" w:rsidRPr="004439FC">
        <w:rPr>
          <w:iCs/>
        </w:rPr>
        <w:t>, et le droit à un recours effectif</w:t>
      </w:r>
      <w:r w:rsidR="00F3240D">
        <w:rPr>
          <w:iCs/>
        </w:rPr>
        <w:t xml:space="preserve"> (art. 13</w:t>
      </w:r>
      <w:r w:rsidR="002A6375">
        <w:rPr>
          <w:iCs/>
        </w:rPr>
        <w:t xml:space="preserve"> CEDH</w:t>
      </w:r>
      <w:r w:rsidR="00F3240D">
        <w:rPr>
          <w:iCs/>
        </w:rPr>
        <w:t>)</w:t>
      </w:r>
      <w:r w:rsidR="00F3240D" w:rsidRPr="004439FC">
        <w:rPr>
          <w:iCs/>
        </w:rPr>
        <w:t xml:space="preserve">. La proposition est audacieuse, mais nous semble pouvoir être suivie pour les trois raisons suivantes. Tout d’abord, cette proposition se fonde sur des instruments juridiques extra-européens, ainsi que de la </w:t>
      </w:r>
      <w:r w:rsidR="00F3240D" w:rsidRPr="004439FC">
        <w:rPr>
          <w:i/>
          <w:iCs/>
        </w:rPr>
        <w:t>soft law</w:t>
      </w:r>
      <w:r w:rsidR="00F3240D" w:rsidRPr="004439FC">
        <w:rPr>
          <w:rStyle w:val="Appelnotedebasdep"/>
          <w:i/>
          <w:iCs/>
        </w:rPr>
        <w:footnoteReference w:id="35"/>
      </w:r>
      <w:r w:rsidR="00F3240D" w:rsidRPr="004439FC">
        <w:rPr>
          <w:i/>
          <w:iCs/>
        </w:rPr>
        <w:t xml:space="preserve">. </w:t>
      </w:r>
      <w:r w:rsidR="00F3240D">
        <w:rPr>
          <w:iCs/>
        </w:rPr>
        <w:t>Rappelons-le</w:t>
      </w:r>
      <w:r w:rsidR="00F3240D" w:rsidRPr="004439FC">
        <w:rPr>
          <w:iCs/>
        </w:rPr>
        <w:t xml:space="preserve"> cependant : ces sources externes, et parfois molles, sont volontiers utilisées par la Cour européenne des droits de l’Homme pour interpréter la Convention qui, quant à elle, ne manque nullement de dureté</w:t>
      </w:r>
      <w:r>
        <w:rPr>
          <w:rStyle w:val="Appelnotedebasdep"/>
          <w:iCs/>
        </w:rPr>
        <w:footnoteReference w:id="36"/>
      </w:r>
      <w:r w:rsidR="00F3240D" w:rsidRPr="004439FC">
        <w:rPr>
          <w:iCs/>
        </w:rPr>
        <w:t>. On rappel</w:t>
      </w:r>
      <w:r w:rsidR="00F3240D">
        <w:rPr>
          <w:iCs/>
        </w:rPr>
        <w:t>l</w:t>
      </w:r>
      <w:r w:rsidR="00F3240D" w:rsidRPr="004439FC">
        <w:rPr>
          <w:iCs/>
        </w:rPr>
        <w:t xml:space="preserve">era ensuite l’évidence que traduit l’adage </w:t>
      </w:r>
      <w:r w:rsidR="00F3240D" w:rsidRPr="004439FC">
        <w:rPr>
          <w:i/>
          <w:iCs/>
        </w:rPr>
        <w:t>Ubi jus, ibi remedium </w:t>
      </w:r>
      <w:r w:rsidR="00F3240D" w:rsidRPr="004439FC">
        <w:rPr>
          <w:iCs/>
        </w:rPr>
        <w:t>:</w:t>
      </w:r>
      <w:r w:rsidR="00F3240D" w:rsidRPr="004439FC">
        <w:rPr>
          <w:i/>
          <w:iCs/>
        </w:rPr>
        <w:t xml:space="preserve"> </w:t>
      </w:r>
      <w:r w:rsidR="00F3240D" w:rsidRPr="004439FC">
        <w:rPr>
          <w:iCs/>
        </w:rPr>
        <w:t>la protection des droits substantiels « offi</w:t>
      </w:r>
      <w:r w:rsidR="00F3240D">
        <w:rPr>
          <w:iCs/>
        </w:rPr>
        <w:t>ciellement » indérogeables, telle</w:t>
      </w:r>
      <w:r w:rsidR="00F3240D" w:rsidRPr="004439FC">
        <w:rPr>
          <w:iCs/>
        </w:rPr>
        <w:t xml:space="preserve"> l’interdiction de la torture ou des peines et traitements inhumain</w:t>
      </w:r>
      <w:r w:rsidR="00F3240D">
        <w:rPr>
          <w:iCs/>
        </w:rPr>
        <w:t>s ou dégradants, n’est pas promise</w:t>
      </w:r>
      <w:r w:rsidR="00F3240D" w:rsidRPr="004439FC">
        <w:rPr>
          <w:iCs/>
        </w:rPr>
        <w:t xml:space="preserve"> à une grande effectivité s’il n’existe pas la possibilité de s’adresser à une instance tierce, indépendante et impartiale, pour en faire cesser leur violation. Par implication nécessaire, ces garanties procédurales devraient être tout aussi indérogeables que les droits qu’elles visent à protéger. Enfin, l’affirmation du caractère implicitement indérogeable des garanties procédurales de base peut être étayée par la jurisprudence de la Cour européenne des droits de l’Homme relative à l’article 17 de la Convention éponyme, qui consacre le principe</w:t>
      </w:r>
      <w:r w:rsidR="00F3240D">
        <w:rPr>
          <w:iCs/>
        </w:rPr>
        <w:t xml:space="preserve"> de l’interdiction de l’abus de droit (</w:t>
      </w:r>
      <w:r w:rsidR="00F3240D">
        <w:rPr>
          <w:i/>
          <w:iCs/>
        </w:rPr>
        <w:t>Pas de liberté pour les ennemis de la liberté</w:t>
      </w:r>
      <w:r w:rsidR="00F3240D">
        <w:rPr>
          <w:iCs/>
        </w:rPr>
        <w:t>)</w:t>
      </w:r>
      <w:r w:rsidR="00F3240D" w:rsidRPr="004439FC">
        <w:rPr>
          <w:iCs/>
        </w:rPr>
        <w:t xml:space="preserve"> : même l’ennemi de la démocratie a droit, selon l’arrêt </w:t>
      </w:r>
      <w:r w:rsidR="00F3240D" w:rsidRPr="004439FC">
        <w:rPr>
          <w:i/>
          <w:iCs/>
        </w:rPr>
        <w:t xml:space="preserve">Lawless c. Irlande, </w:t>
      </w:r>
      <w:r w:rsidR="00F3240D" w:rsidRPr="004439FC">
        <w:rPr>
          <w:iCs/>
        </w:rPr>
        <w:t>à un procès équitable</w:t>
      </w:r>
      <w:r w:rsidR="00F3240D" w:rsidRPr="004439FC">
        <w:rPr>
          <w:rStyle w:val="Appelnotedebasdep"/>
          <w:iCs/>
        </w:rPr>
        <w:footnoteReference w:id="37"/>
      </w:r>
      <w:r w:rsidR="00F3240D" w:rsidRPr="004439FC">
        <w:rPr>
          <w:iCs/>
        </w:rPr>
        <w:t>.</w:t>
      </w:r>
    </w:p>
    <w:p w14:paraId="588E5594" w14:textId="6775FBB6" w:rsidR="003F2643" w:rsidRDefault="003F2643" w:rsidP="00F3240D">
      <w:pPr>
        <w:pStyle w:val="Paragraphedeliste"/>
        <w:ind w:left="0"/>
        <w:jc w:val="both"/>
        <w:rPr>
          <w:iCs/>
        </w:rPr>
      </w:pPr>
    </w:p>
    <w:p w14:paraId="641B0367" w14:textId="37E0C806" w:rsidR="003F2643" w:rsidRDefault="00E16862" w:rsidP="003F2643">
      <w:pPr>
        <w:tabs>
          <w:tab w:val="left" w:pos="5245"/>
        </w:tabs>
        <w:jc w:val="both"/>
        <w:rPr>
          <w:iCs/>
          <w:color w:val="000000" w:themeColor="text1"/>
        </w:rPr>
      </w:pPr>
      <w:r w:rsidRPr="00EB1B4C">
        <w:rPr>
          <w:b/>
          <w:iCs/>
        </w:rPr>
        <w:t>17.</w:t>
      </w:r>
      <w:r>
        <w:rPr>
          <w:iCs/>
        </w:rPr>
        <w:t xml:space="preserve">          Connaissant</w:t>
      </w:r>
      <w:r w:rsidR="00EB1B4C">
        <w:rPr>
          <w:iCs/>
        </w:rPr>
        <w:t xml:space="preserve"> donc</w:t>
      </w:r>
      <w:r>
        <w:rPr>
          <w:iCs/>
        </w:rPr>
        <w:t xml:space="preserve"> des</w:t>
      </w:r>
      <w:r w:rsidR="003F2643">
        <w:rPr>
          <w:iCs/>
        </w:rPr>
        <w:t xml:space="preserve"> évolutions</w:t>
      </w:r>
      <w:r w:rsidR="00EB1B4C">
        <w:rPr>
          <w:iCs/>
        </w:rPr>
        <w:t xml:space="preserve"> et un « bougé »</w:t>
      </w:r>
      <w:r>
        <w:rPr>
          <w:iCs/>
        </w:rPr>
        <w:t xml:space="preserve"> en marge des textes</w:t>
      </w:r>
      <w:r w:rsidR="003F2643">
        <w:rPr>
          <w:iCs/>
        </w:rPr>
        <w:t xml:space="preserve">, les listes de droits indérogeables sont également sujettes à géométrie variables, sur des sujets qui ne sont </w:t>
      </w:r>
      <w:r w:rsidR="00EB1B4C">
        <w:rPr>
          <w:iCs/>
        </w:rPr>
        <w:t xml:space="preserve">pourtant </w:t>
      </w:r>
      <w:r w:rsidR="003F2643">
        <w:rPr>
          <w:iCs/>
        </w:rPr>
        <w:t>pas anodins</w:t>
      </w:r>
      <w:r w:rsidR="00EB1B4C">
        <w:rPr>
          <w:iCs/>
        </w:rPr>
        <w:t>, loin s’en faut</w:t>
      </w:r>
      <w:r w:rsidR="003F2643">
        <w:rPr>
          <w:iCs/>
        </w:rPr>
        <w:t xml:space="preserve">. </w:t>
      </w:r>
      <w:r w:rsidR="003F2643">
        <w:rPr>
          <w:color w:val="000000" w:themeColor="text1"/>
        </w:rPr>
        <w:t>P</w:t>
      </w:r>
      <w:r w:rsidR="003F2643" w:rsidRPr="00112BB0">
        <w:rPr>
          <w:color w:val="000000" w:themeColor="text1"/>
        </w:rPr>
        <w:t xml:space="preserve">eut-on déroger à la liberté de religion ? </w:t>
      </w:r>
      <w:r w:rsidR="003F2643">
        <w:rPr>
          <w:color w:val="000000" w:themeColor="text1"/>
        </w:rPr>
        <w:t>Si l’on</w:t>
      </w:r>
      <w:r w:rsidR="003F2643" w:rsidRPr="00112BB0">
        <w:rPr>
          <w:color w:val="000000" w:themeColor="text1"/>
        </w:rPr>
        <w:t xml:space="preserve"> contemple le seul article 15 de la C</w:t>
      </w:r>
      <w:r>
        <w:rPr>
          <w:color w:val="000000" w:themeColor="text1"/>
        </w:rPr>
        <w:t>EDH</w:t>
      </w:r>
      <w:r w:rsidR="003F2643" w:rsidRPr="00112BB0">
        <w:rPr>
          <w:color w:val="000000" w:themeColor="text1"/>
        </w:rPr>
        <w:t>, la réponse est</w:t>
      </w:r>
      <w:r w:rsidR="003F2643">
        <w:rPr>
          <w:color w:val="000000" w:themeColor="text1"/>
        </w:rPr>
        <w:t xml:space="preserve"> sans conteste</w:t>
      </w:r>
      <w:r w:rsidR="003F2643" w:rsidRPr="00112BB0">
        <w:rPr>
          <w:color w:val="000000" w:themeColor="text1"/>
        </w:rPr>
        <w:t xml:space="preserve"> affirmative : l’article 9 n’y est pas répertorié dans la liste des droits indérogeables.</w:t>
      </w:r>
      <w:r w:rsidR="00C10D88">
        <w:rPr>
          <w:color w:val="000000" w:themeColor="text1"/>
        </w:rPr>
        <w:t xml:space="preserve"> </w:t>
      </w:r>
      <w:r w:rsidR="00C73A0B">
        <w:rPr>
          <w:color w:val="000000" w:themeColor="text1"/>
        </w:rPr>
        <w:t>Les rassemblements religieux ont souvent été ciblés par</w:t>
      </w:r>
      <w:r w:rsidR="00EB1B4C">
        <w:rPr>
          <w:color w:val="000000" w:themeColor="text1"/>
        </w:rPr>
        <w:t xml:space="preserve"> les </w:t>
      </w:r>
      <w:r w:rsidR="00C10D88">
        <w:rPr>
          <w:color w:val="000000" w:themeColor="text1"/>
        </w:rPr>
        <w:t>dérogations qui ont été introduites par l’un ou l’autre État membre du Conseil de l’Europe au printemps 2020</w:t>
      </w:r>
      <w:r w:rsidR="002C7740">
        <w:rPr>
          <w:rStyle w:val="Appelnotedebasdep"/>
          <w:color w:val="000000" w:themeColor="text1"/>
        </w:rPr>
        <w:footnoteReference w:id="38"/>
      </w:r>
      <w:r w:rsidR="00C10D88">
        <w:rPr>
          <w:color w:val="000000" w:themeColor="text1"/>
        </w:rPr>
        <w:t xml:space="preserve">. </w:t>
      </w:r>
      <w:r w:rsidR="003F2643" w:rsidRPr="00112BB0">
        <w:rPr>
          <w:color w:val="000000" w:themeColor="text1"/>
        </w:rPr>
        <w:t xml:space="preserve"> </w:t>
      </w:r>
      <w:r w:rsidR="003F2643">
        <w:rPr>
          <w:color w:val="000000" w:themeColor="text1"/>
        </w:rPr>
        <w:t xml:space="preserve">Par contre, </w:t>
      </w:r>
      <w:r w:rsidR="003F2643" w:rsidRPr="00112BB0">
        <w:rPr>
          <w:color w:val="000000" w:themeColor="text1"/>
        </w:rPr>
        <w:t>la liberté de religion est, dans le système du Pacte international relatif aux droits civils et politiques</w:t>
      </w:r>
      <w:r w:rsidR="003F2643">
        <w:rPr>
          <w:color w:val="000000" w:themeColor="text1"/>
        </w:rPr>
        <w:t xml:space="preserve"> cette fois-ci</w:t>
      </w:r>
      <w:r w:rsidR="003F2643" w:rsidRPr="00112BB0">
        <w:rPr>
          <w:color w:val="000000" w:themeColor="text1"/>
        </w:rPr>
        <w:t>, un droit « indérogeable ». L’article 18 du Pacte est en effet bel et bien visé par l’article 4 de celui-ci. Au vrai, la systématique du Pacte n</w:t>
      </w:r>
      <w:r w:rsidR="003F2643">
        <w:rPr>
          <w:color w:val="000000" w:themeColor="text1"/>
        </w:rPr>
        <w:t>e saute pas immédiatement aux yeux</w:t>
      </w:r>
      <w:r w:rsidR="003F2643" w:rsidRPr="00112BB0">
        <w:rPr>
          <w:color w:val="000000" w:themeColor="text1"/>
        </w:rPr>
        <w:t xml:space="preserve"> sur ce point</w:t>
      </w:r>
      <w:r w:rsidR="003F2643">
        <w:rPr>
          <w:color w:val="000000" w:themeColor="text1"/>
        </w:rPr>
        <w:t xml:space="preserve"> précis.</w:t>
      </w:r>
      <w:r w:rsidR="003F2643" w:rsidRPr="00112BB0">
        <w:rPr>
          <w:color w:val="000000" w:themeColor="text1"/>
        </w:rPr>
        <w:t xml:space="preserve"> Il peut être dérogé à la liberté d’expression (article 19</w:t>
      </w:r>
      <w:r w:rsidR="003F2643">
        <w:rPr>
          <w:color w:val="000000" w:themeColor="text1"/>
        </w:rPr>
        <w:t xml:space="preserve"> du Pacte</w:t>
      </w:r>
      <w:r w:rsidR="003F2643" w:rsidRPr="00112BB0">
        <w:rPr>
          <w:color w:val="000000" w:themeColor="text1"/>
        </w:rPr>
        <w:t>), mais pas à la liberté d’expression religieuse (art. 18</w:t>
      </w:r>
      <w:r w:rsidR="003F2643">
        <w:rPr>
          <w:color w:val="000000" w:themeColor="text1"/>
        </w:rPr>
        <w:t xml:space="preserve"> du Pacte</w:t>
      </w:r>
      <w:r w:rsidR="003F2643" w:rsidRPr="00112BB0">
        <w:rPr>
          <w:color w:val="000000" w:themeColor="text1"/>
        </w:rPr>
        <w:t>). Il peut être dérogé à la liberté de réunion (art. 21</w:t>
      </w:r>
      <w:r w:rsidR="003F2643">
        <w:rPr>
          <w:color w:val="000000" w:themeColor="text1"/>
        </w:rPr>
        <w:t xml:space="preserve"> du Pacte</w:t>
      </w:r>
      <w:r w:rsidR="003F2643" w:rsidRPr="00112BB0">
        <w:rPr>
          <w:color w:val="000000" w:themeColor="text1"/>
        </w:rPr>
        <w:t>), mais pas à la liberté de réunion religieuse</w:t>
      </w:r>
      <w:r w:rsidR="003F2643">
        <w:rPr>
          <w:color w:val="000000" w:themeColor="text1"/>
        </w:rPr>
        <w:t xml:space="preserve"> (article 18 du Pacte)</w:t>
      </w:r>
      <w:r w:rsidR="003F2643" w:rsidRPr="00112BB0">
        <w:rPr>
          <w:color w:val="000000" w:themeColor="text1"/>
        </w:rPr>
        <w:t xml:space="preserve">. Sans doute dira-t-on que l’incohérence pratique est, à tout le moins pour les droits du </w:t>
      </w:r>
      <w:r w:rsidR="003F2643" w:rsidRPr="00112BB0">
        <w:rPr>
          <w:i/>
          <w:color w:val="000000" w:themeColor="text1"/>
        </w:rPr>
        <w:t xml:space="preserve">for externe, </w:t>
      </w:r>
      <w:r w:rsidR="003F2643">
        <w:rPr>
          <w:color w:val="000000" w:themeColor="text1"/>
        </w:rPr>
        <w:t>réduite</w:t>
      </w:r>
      <w:r w:rsidR="003F2643" w:rsidRPr="00112BB0">
        <w:rPr>
          <w:color w:val="000000" w:themeColor="text1"/>
        </w:rPr>
        <w:t xml:space="preserve"> par la possibilité de </w:t>
      </w:r>
      <w:r w:rsidR="003F2643" w:rsidRPr="00112BB0">
        <w:rPr>
          <w:i/>
          <w:iCs/>
          <w:color w:val="000000" w:themeColor="text1"/>
        </w:rPr>
        <w:t xml:space="preserve">restreindre </w:t>
      </w:r>
      <w:r w:rsidR="003F2643" w:rsidRPr="00112BB0">
        <w:rPr>
          <w:iCs/>
          <w:color w:val="000000" w:themeColor="text1"/>
        </w:rPr>
        <w:t xml:space="preserve">la liberté de religion, conformément à </w:t>
      </w:r>
      <w:r w:rsidR="003F2643">
        <w:rPr>
          <w:iCs/>
          <w:color w:val="000000" w:themeColor="text1"/>
        </w:rPr>
        <w:t xml:space="preserve">ce qu’autorise </w:t>
      </w:r>
      <w:r w:rsidR="003F2643" w:rsidRPr="00112BB0">
        <w:rPr>
          <w:iCs/>
          <w:color w:val="000000" w:themeColor="text1"/>
        </w:rPr>
        <w:t>l’article 18, § 3. Comme le Comité l’énonce lui-même dans son observation générale n°29 (2001)</w:t>
      </w:r>
      <w:r w:rsidR="003F2643">
        <w:rPr>
          <w:rStyle w:val="Appelnotedebasdep"/>
          <w:iCs/>
          <w:color w:val="000000" w:themeColor="text1"/>
        </w:rPr>
        <w:footnoteReference w:id="39"/>
      </w:r>
      <w:r w:rsidR="003F2643" w:rsidRPr="00112BB0">
        <w:rPr>
          <w:iCs/>
          <w:color w:val="000000" w:themeColor="text1"/>
        </w:rPr>
        <w:t xml:space="preserve">, </w:t>
      </w:r>
    </w:p>
    <w:p w14:paraId="7B5E6220" w14:textId="77777777" w:rsidR="003F2643" w:rsidRDefault="003F2643" w:rsidP="003F2643">
      <w:pPr>
        <w:tabs>
          <w:tab w:val="left" w:pos="5245"/>
        </w:tabs>
        <w:jc w:val="both"/>
        <w:rPr>
          <w:iCs/>
          <w:color w:val="000000" w:themeColor="text1"/>
        </w:rPr>
      </w:pPr>
    </w:p>
    <w:p w14:paraId="6EE7726A" w14:textId="77777777" w:rsidR="003F2643" w:rsidRPr="00112BB0" w:rsidRDefault="003F2643" w:rsidP="003F2643">
      <w:pPr>
        <w:tabs>
          <w:tab w:val="left" w:pos="5245"/>
        </w:tabs>
        <w:ind w:left="567"/>
        <w:jc w:val="both"/>
        <w:rPr>
          <w:color w:val="000000" w:themeColor="text1"/>
          <w:sz w:val="20"/>
          <w:szCs w:val="20"/>
        </w:rPr>
      </w:pPr>
      <w:r w:rsidRPr="00112BB0">
        <w:rPr>
          <w:iCs/>
          <w:color w:val="000000" w:themeColor="text1"/>
          <w:sz w:val="20"/>
          <w:szCs w:val="20"/>
        </w:rPr>
        <w:t>« </w:t>
      </w:r>
      <w:r w:rsidRPr="00112BB0">
        <w:rPr>
          <w:color w:val="000000" w:themeColor="text1"/>
          <w:sz w:val="20"/>
          <w:szCs w:val="20"/>
        </w:rPr>
        <w:t xml:space="preserve">Théoriquement, le fait de dire qu’une disposition du Pacte n’est pas susceptible de dérogation ne signifie pas qu’il ne peut en aucun cas y avoir des limitations ou des restrictions justifiées à son application. La référence, au paragraphe 2 de l’article 4, à l’article 18, dont le paragraphe 3 traite spécifiquement des restrictions, montre que la question de l’admissibilité des restrictions est indépendante de celle de savoir si </w:t>
      </w:r>
      <w:r w:rsidRPr="00112BB0">
        <w:rPr>
          <w:color w:val="000000" w:themeColor="text1"/>
          <w:sz w:val="20"/>
          <w:szCs w:val="20"/>
        </w:rPr>
        <w:lastRenderedPageBreak/>
        <w:t xml:space="preserve">une dérogation est possible. Même en cas de danger public extrêmement grave, les États qui font obstacle à l’exercice de la liberté de manifester sa religion ou sa conviction doivent justifier leurs actions en fonction des impératifs mentionnés au paragraphe 3 de l’article 18 ». </w:t>
      </w:r>
    </w:p>
    <w:p w14:paraId="401D3209" w14:textId="77777777" w:rsidR="003F2643" w:rsidRDefault="003F2643" w:rsidP="003F2643">
      <w:pPr>
        <w:tabs>
          <w:tab w:val="left" w:pos="5245"/>
        </w:tabs>
        <w:jc w:val="both"/>
        <w:rPr>
          <w:color w:val="000000" w:themeColor="text1"/>
        </w:rPr>
      </w:pPr>
    </w:p>
    <w:p w14:paraId="3B1561E8" w14:textId="3AE0952C" w:rsidR="003F2643" w:rsidRDefault="003F2643" w:rsidP="003F2643">
      <w:pPr>
        <w:tabs>
          <w:tab w:val="left" w:pos="5245"/>
        </w:tabs>
        <w:jc w:val="both"/>
        <w:rPr>
          <w:color w:val="000000" w:themeColor="text1"/>
        </w:rPr>
      </w:pPr>
      <w:r>
        <w:rPr>
          <w:color w:val="000000" w:themeColor="text1"/>
        </w:rPr>
        <w:t>Fusse-t-elle ainsi réduite, u</w:t>
      </w:r>
      <w:r w:rsidRPr="00112BB0">
        <w:rPr>
          <w:color w:val="000000" w:themeColor="text1"/>
        </w:rPr>
        <w:t>ne géométrie variable subsiste néanmoins par rapport au système de la Convention</w:t>
      </w:r>
      <w:r>
        <w:rPr>
          <w:rStyle w:val="Appelnotedebasdep"/>
          <w:color w:val="000000" w:themeColor="text1"/>
        </w:rPr>
        <w:footnoteReference w:id="40"/>
      </w:r>
      <w:r>
        <w:rPr>
          <w:color w:val="000000" w:themeColor="text1"/>
        </w:rPr>
        <w:t>. S</w:t>
      </w:r>
      <w:r w:rsidRPr="00112BB0">
        <w:rPr>
          <w:color w:val="000000" w:themeColor="text1"/>
        </w:rPr>
        <w:t xml:space="preserve">auf à dire qu’en pratique, les </w:t>
      </w:r>
      <w:r w:rsidRPr="00112BB0">
        <w:rPr>
          <w:i/>
          <w:color w:val="000000" w:themeColor="text1"/>
        </w:rPr>
        <w:t xml:space="preserve">restrictions </w:t>
      </w:r>
      <w:r w:rsidRPr="00112BB0">
        <w:rPr>
          <w:color w:val="000000" w:themeColor="text1"/>
        </w:rPr>
        <w:t xml:space="preserve">autorisées par le Pacte peuvent aller aussi loin que les </w:t>
      </w:r>
      <w:r w:rsidRPr="00112BB0">
        <w:rPr>
          <w:i/>
          <w:color w:val="000000" w:themeColor="text1"/>
        </w:rPr>
        <w:t xml:space="preserve">dérogations </w:t>
      </w:r>
      <w:r w:rsidRPr="00112BB0">
        <w:rPr>
          <w:color w:val="000000" w:themeColor="text1"/>
        </w:rPr>
        <w:t>autorisées par la Convention</w:t>
      </w:r>
      <w:r>
        <w:rPr>
          <w:color w:val="000000" w:themeColor="text1"/>
        </w:rPr>
        <w:t xml:space="preserve">. </w:t>
      </w:r>
      <w:r w:rsidR="0021585E">
        <w:rPr>
          <w:color w:val="000000" w:themeColor="text1"/>
        </w:rPr>
        <w:t>À</w:t>
      </w:r>
      <w:r>
        <w:rPr>
          <w:color w:val="000000" w:themeColor="text1"/>
        </w:rPr>
        <w:t xml:space="preserve"> nouveau cependant, </w:t>
      </w:r>
      <w:r w:rsidR="008E2B93">
        <w:rPr>
          <w:color w:val="000000" w:themeColor="text1"/>
        </w:rPr>
        <w:t>se pose alors la question de l’utilité même de la technique de la dérogation au sein de la théorie des droits de l’Homme : nous y venons dans les lignes qui suivent</w:t>
      </w:r>
      <w:r w:rsidR="009F67AD">
        <w:rPr>
          <w:color w:val="000000" w:themeColor="text1"/>
        </w:rPr>
        <w:t xml:space="preserve"> </w:t>
      </w:r>
      <w:r w:rsidR="009F67AD" w:rsidRPr="00C73A0B">
        <w:rPr>
          <w:color w:val="000000" w:themeColor="text1"/>
        </w:rPr>
        <w:t>(</w:t>
      </w:r>
      <w:r w:rsidR="009F67AD" w:rsidRPr="00C73A0B">
        <w:rPr>
          <w:i/>
          <w:color w:val="000000" w:themeColor="text1"/>
        </w:rPr>
        <w:t>infra</w:t>
      </w:r>
      <w:r w:rsidR="00C73A0B" w:rsidRPr="00C73A0B">
        <w:rPr>
          <w:i/>
          <w:color w:val="000000" w:themeColor="text1"/>
        </w:rPr>
        <w:t xml:space="preserve">, </w:t>
      </w:r>
      <w:r w:rsidR="00C73A0B" w:rsidRPr="00C73A0B">
        <w:rPr>
          <w:color w:val="000000" w:themeColor="text1"/>
        </w:rPr>
        <w:t>nn°23 et suiv</w:t>
      </w:r>
      <w:r w:rsidR="009F67AD" w:rsidRPr="00C73A0B">
        <w:rPr>
          <w:color w:val="000000" w:themeColor="text1"/>
        </w:rPr>
        <w:t>)</w:t>
      </w:r>
      <w:r w:rsidR="008E2B93" w:rsidRPr="00C73A0B">
        <w:rPr>
          <w:color w:val="000000" w:themeColor="text1"/>
        </w:rPr>
        <w:t>.</w:t>
      </w:r>
      <w:r w:rsidR="008E2B93">
        <w:rPr>
          <w:color w:val="000000" w:themeColor="text1"/>
        </w:rPr>
        <w:t xml:space="preserve"> </w:t>
      </w:r>
    </w:p>
    <w:p w14:paraId="4125D1DB" w14:textId="62F095D9" w:rsidR="00E16862" w:rsidRDefault="00E16862" w:rsidP="003F2643">
      <w:pPr>
        <w:tabs>
          <w:tab w:val="left" w:pos="5245"/>
        </w:tabs>
        <w:jc w:val="both"/>
        <w:rPr>
          <w:color w:val="000000" w:themeColor="text1"/>
        </w:rPr>
      </w:pPr>
    </w:p>
    <w:p w14:paraId="42B19720" w14:textId="122B8599" w:rsidR="00E16862" w:rsidRPr="009F67AD" w:rsidRDefault="00E16862" w:rsidP="00E16862">
      <w:pPr>
        <w:pStyle w:val="Paragraphedeliste"/>
        <w:numPr>
          <w:ilvl w:val="0"/>
          <w:numId w:val="3"/>
        </w:numPr>
        <w:tabs>
          <w:tab w:val="left" w:pos="5245"/>
        </w:tabs>
        <w:jc w:val="both"/>
        <w:rPr>
          <w:b/>
          <w:color w:val="000000" w:themeColor="text1"/>
        </w:rPr>
      </w:pPr>
      <w:r w:rsidRPr="009F67AD">
        <w:rPr>
          <w:b/>
          <w:color w:val="000000" w:themeColor="text1"/>
        </w:rPr>
        <w:t xml:space="preserve">Les géométries variables de la « pratique » des états </w:t>
      </w:r>
    </w:p>
    <w:p w14:paraId="34465301" w14:textId="3E59C491" w:rsidR="003F2643" w:rsidRPr="004439FC" w:rsidRDefault="003F2643" w:rsidP="00F3240D">
      <w:pPr>
        <w:pStyle w:val="Paragraphedeliste"/>
        <w:ind w:left="0"/>
        <w:jc w:val="both"/>
        <w:rPr>
          <w:iCs/>
        </w:rPr>
      </w:pPr>
    </w:p>
    <w:p w14:paraId="3DA9B3F6" w14:textId="463442AA" w:rsidR="007417DA" w:rsidRDefault="00B71D51" w:rsidP="00B71D51">
      <w:pPr>
        <w:jc w:val="both"/>
        <w:rPr>
          <w:rFonts w:ascii="TimesNewRomanPSMT" w:hAnsi="TimesNewRomanPSMT"/>
        </w:rPr>
      </w:pPr>
      <w:r w:rsidRPr="009F67AD">
        <w:rPr>
          <w:b/>
          <w:color w:val="000000" w:themeColor="text1"/>
        </w:rPr>
        <w:t>18.</w:t>
      </w:r>
      <w:r>
        <w:rPr>
          <w:color w:val="000000" w:themeColor="text1"/>
        </w:rPr>
        <w:t xml:space="preserve">        </w:t>
      </w:r>
      <w:r w:rsidR="007417DA">
        <w:rPr>
          <w:color w:val="000000" w:themeColor="text1"/>
        </w:rPr>
        <w:t>Comme le prévoit la Convention de Vienne sur le droit des traités en son article 31 §3 b), la « </w:t>
      </w:r>
      <w:r w:rsidR="007417DA" w:rsidRPr="00B71D51">
        <w:t>pratique</w:t>
      </w:r>
      <w:r w:rsidR="007417DA">
        <w:rPr>
          <w:color w:val="000000" w:themeColor="text1"/>
        </w:rPr>
        <w:t xml:space="preserve"> » des États peut être une source interprétative de la CEDH en général, et de son article 15 en particulier. C’est au demeurant ce que la Cour a confirmé dans son arrêt </w:t>
      </w:r>
      <w:r w:rsidR="007417DA" w:rsidRPr="007417DA">
        <w:rPr>
          <w:i/>
          <w:iCs/>
          <w:color w:val="000000" w:themeColor="text1"/>
        </w:rPr>
        <w:t>Hassan c. Royaume-Uni</w:t>
      </w:r>
      <w:r w:rsidR="007417DA">
        <w:rPr>
          <w:color w:val="000000" w:themeColor="text1"/>
        </w:rPr>
        <w:t xml:space="preserve"> de 2014, lorsqu’elle a fait remarquer que « </w:t>
      </w:r>
      <w:r w:rsidR="007417DA">
        <w:rPr>
          <w:rFonts w:ascii="TimesNewRomanPSMT" w:hAnsi="TimesNewRomanPSMT"/>
        </w:rPr>
        <w:t>la pratique des Hautes Parties contractantes est de ne pas notifier de dérogation à leurs obligations découlant de l’article 5 lorsqu’elles incarcèrent des personnes sur la base des troisième et quatrième Conventions de Genève en période de conflit armé international »</w:t>
      </w:r>
      <w:r w:rsidR="007417DA">
        <w:rPr>
          <w:rStyle w:val="Appelnotedebasdep"/>
          <w:rFonts w:ascii="TimesNewRomanPSMT" w:hAnsi="TimesNewRomanPSMT"/>
        </w:rPr>
        <w:footnoteReference w:id="41"/>
      </w:r>
      <w:r w:rsidR="000E20D6">
        <w:rPr>
          <w:rFonts w:ascii="TimesNewRomanPSMT" w:hAnsi="TimesNewRomanPSMT"/>
        </w:rPr>
        <w:t>.</w:t>
      </w:r>
    </w:p>
    <w:p w14:paraId="3269C27A" w14:textId="77777777" w:rsidR="007417DA" w:rsidRDefault="007417DA" w:rsidP="007417DA">
      <w:pPr>
        <w:spacing w:line="276" w:lineRule="auto"/>
        <w:jc w:val="both"/>
        <w:rPr>
          <w:color w:val="000000" w:themeColor="text1"/>
        </w:rPr>
      </w:pPr>
    </w:p>
    <w:p w14:paraId="1E56A18E" w14:textId="6604A41C" w:rsidR="007417DA" w:rsidRDefault="007417DA" w:rsidP="00B71D51">
      <w:pPr>
        <w:tabs>
          <w:tab w:val="left" w:pos="5245"/>
        </w:tabs>
        <w:jc w:val="both"/>
        <w:rPr>
          <w:color w:val="000000" w:themeColor="text1"/>
        </w:rPr>
      </w:pPr>
      <w:r>
        <w:rPr>
          <w:color w:val="000000" w:themeColor="text1"/>
        </w:rPr>
        <w:t>En faisant nôtre cette heuristique, que nous enseignera l’utilisation faite par les états de l’article 15 lors de la crise « Covid » ? Peut-on dégager une pratique généralisée qui nous aiderait à dissiper le scepticisme qui entoure l’utilité de cette disposit</w:t>
      </w:r>
      <w:r w:rsidR="000E20D6">
        <w:rPr>
          <w:color w:val="000000" w:themeColor="text1"/>
        </w:rPr>
        <w:t>ion ? Force est hélas de déchanter :</w:t>
      </w:r>
      <w:r>
        <w:rPr>
          <w:color w:val="000000" w:themeColor="text1"/>
        </w:rPr>
        <w:t xml:space="preserve"> les États membres du Conseil de l’Europe ont fait une utilisation à géométrie variable de l’article 15, </w:t>
      </w:r>
      <w:r w:rsidR="000E20D6">
        <w:rPr>
          <w:color w:val="000000" w:themeColor="text1"/>
        </w:rPr>
        <w:t xml:space="preserve">et ce, </w:t>
      </w:r>
      <w:r>
        <w:rPr>
          <w:color w:val="000000" w:themeColor="text1"/>
        </w:rPr>
        <w:t>tant sur le plan synchronique que diachronique</w:t>
      </w:r>
      <w:r w:rsidR="00DC1568">
        <w:rPr>
          <w:color w:val="000000" w:themeColor="text1"/>
        </w:rPr>
        <w:t xml:space="preserve"> (voy. annexe)</w:t>
      </w:r>
      <w:r>
        <w:rPr>
          <w:color w:val="000000" w:themeColor="text1"/>
        </w:rPr>
        <w:t xml:space="preserve">. </w:t>
      </w:r>
    </w:p>
    <w:p w14:paraId="7C809940" w14:textId="77777777" w:rsidR="007417DA" w:rsidRDefault="007417DA" w:rsidP="007417DA">
      <w:pPr>
        <w:spacing w:line="276" w:lineRule="auto"/>
        <w:jc w:val="both"/>
        <w:rPr>
          <w:color w:val="000000" w:themeColor="text1"/>
        </w:rPr>
      </w:pPr>
    </w:p>
    <w:p w14:paraId="6C843631" w14:textId="7FCFC161" w:rsidR="007417DA" w:rsidRDefault="00B71D51" w:rsidP="00B71D51">
      <w:pPr>
        <w:jc w:val="both"/>
        <w:rPr>
          <w:color w:val="000000" w:themeColor="text1"/>
          <w:shd w:val="clear" w:color="auto" w:fill="FFFFFF"/>
        </w:rPr>
      </w:pPr>
      <w:r>
        <w:rPr>
          <w:color w:val="000000" w:themeColor="text1"/>
        </w:rPr>
        <w:t xml:space="preserve">19.        </w:t>
      </w:r>
      <w:r w:rsidR="007417DA">
        <w:rPr>
          <w:color w:val="000000" w:themeColor="text1"/>
        </w:rPr>
        <w:t xml:space="preserve">Sur le plan </w:t>
      </w:r>
      <w:r w:rsidR="007417DA" w:rsidRPr="007417DA">
        <w:rPr>
          <w:i/>
          <w:iCs/>
          <w:color w:val="000000" w:themeColor="text1"/>
        </w:rPr>
        <w:t>synchronique</w:t>
      </w:r>
      <w:r w:rsidR="007417DA">
        <w:rPr>
          <w:i/>
          <w:iCs/>
          <w:color w:val="000000" w:themeColor="text1"/>
        </w:rPr>
        <w:t xml:space="preserve">, </w:t>
      </w:r>
      <w:r w:rsidR="007417DA">
        <w:rPr>
          <w:iCs/>
          <w:color w:val="000000" w:themeColor="text1"/>
        </w:rPr>
        <w:t>tout</w:t>
      </w:r>
      <w:r w:rsidR="007417DA">
        <w:rPr>
          <w:color w:val="000000" w:themeColor="text1"/>
        </w:rPr>
        <w:t xml:space="preserve"> d’abord, on observera qu’au printemps 2020, dix des quarante-sept états parties à la Convention européenne des droits de l’Homme avaient notifié au Secrétaire général du Conseil de l’Europe une dérogation en application de l’article 15 de cette </w:t>
      </w:r>
      <w:r w:rsidR="007417DA" w:rsidRPr="00B71D51">
        <w:t>Convention</w:t>
      </w:r>
      <w:r w:rsidR="007417DA" w:rsidRPr="00C63CB8">
        <w:rPr>
          <w:rStyle w:val="Appelnotedebasdep"/>
        </w:rPr>
        <w:footnoteReference w:id="42"/>
      </w:r>
      <w:r w:rsidR="007417DA" w:rsidRPr="00C63CB8">
        <w:rPr>
          <w:color w:val="000000" w:themeColor="text1"/>
        </w:rPr>
        <w:t> :</w:t>
      </w:r>
      <w:r w:rsidR="007417DA">
        <w:rPr>
          <w:color w:val="000000" w:themeColor="text1"/>
        </w:rPr>
        <w:t xml:space="preserve"> </w:t>
      </w:r>
      <w:r w:rsidR="007417DA" w:rsidRPr="009A177C">
        <w:rPr>
          <w:color w:val="000000" w:themeColor="text1"/>
        </w:rPr>
        <w:t>l’</w:t>
      </w:r>
      <w:r w:rsidR="007417DA" w:rsidRPr="009A177C">
        <w:rPr>
          <w:color w:val="000000" w:themeColor="text1"/>
          <w:shd w:val="clear" w:color="auto" w:fill="FFFFFF"/>
        </w:rPr>
        <w:t>Albanie, l’Arménie, l’Estonie, la Géorgie, la Lettonie, la Macédoine du Nord, la Moldova, la Roumanie, Saint-Marin, et la Serbie.</w:t>
      </w:r>
      <w:r w:rsidR="007417DA">
        <w:rPr>
          <w:color w:val="000000" w:themeColor="text1"/>
          <w:shd w:val="clear" w:color="auto" w:fill="FFFFFF"/>
        </w:rPr>
        <w:t xml:space="preserve"> Bien que la pratique « dérogeante » soit minoritaire</w:t>
      </w:r>
      <w:r w:rsidR="007417DA">
        <w:rPr>
          <w:rStyle w:val="Appelnotedebasdep"/>
          <w:color w:val="000000" w:themeColor="text1"/>
          <w:shd w:val="clear" w:color="auto" w:fill="FFFFFF"/>
        </w:rPr>
        <w:footnoteReference w:id="43"/>
      </w:r>
      <w:r w:rsidR="007417DA">
        <w:rPr>
          <w:color w:val="000000" w:themeColor="text1"/>
          <w:shd w:val="clear" w:color="auto" w:fill="FFFFFF"/>
        </w:rPr>
        <w:t>, d</w:t>
      </w:r>
      <w:r w:rsidR="007417DA" w:rsidRPr="002D31B2">
        <w:rPr>
          <w:color w:val="000000" w:themeColor="text1"/>
          <w:shd w:val="clear" w:color="auto" w:fill="FFFFFF"/>
        </w:rPr>
        <w:t>ix états</w:t>
      </w:r>
      <w:r w:rsidR="007417DA">
        <w:rPr>
          <w:color w:val="000000" w:themeColor="text1"/>
          <w:shd w:val="clear" w:color="auto" w:fill="FFFFFF"/>
        </w:rPr>
        <w:t xml:space="preserve">, </w:t>
      </w:r>
      <w:r w:rsidR="007417DA" w:rsidRPr="002D31B2">
        <w:rPr>
          <w:color w:val="000000" w:themeColor="text1"/>
          <w:shd w:val="clear" w:color="auto" w:fill="FFFFFF"/>
        </w:rPr>
        <w:t xml:space="preserve">c’est déjà beaucoup. Dans les annales conventionnelles, jamais </w:t>
      </w:r>
      <w:r w:rsidR="007417DA" w:rsidRPr="002D31B2">
        <w:rPr>
          <w:color w:val="000000" w:themeColor="text1"/>
          <w:shd w:val="clear" w:color="auto" w:fill="FFFFFF"/>
        </w:rPr>
        <w:lastRenderedPageBreak/>
        <w:t>autant de dérogations n’avaient coexisté simultanément. Mais qu’en est-il des trente-sept autres ? Il</w:t>
      </w:r>
      <w:r w:rsidR="007417DA">
        <w:rPr>
          <w:color w:val="000000" w:themeColor="text1"/>
          <w:shd w:val="clear" w:color="auto" w:fill="FFFFFF"/>
        </w:rPr>
        <w:t>s</w:t>
      </w:r>
      <w:r w:rsidR="007417DA" w:rsidRPr="002D31B2">
        <w:rPr>
          <w:color w:val="000000" w:themeColor="text1"/>
          <w:shd w:val="clear" w:color="auto" w:fill="FFFFFF"/>
        </w:rPr>
        <w:t xml:space="preserve"> n’ont pour leur part pas notifi</w:t>
      </w:r>
      <w:r w:rsidR="00DC1568">
        <w:rPr>
          <w:color w:val="000000" w:themeColor="text1"/>
          <w:shd w:val="clear" w:color="auto" w:fill="FFFFFF"/>
        </w:rPr>
        <w:t>é de dérogation, ni à l’origine</w:t>
      </w:r>
      <w:r w:rsidR="007417DA" w:rsidRPr="002D31B2">
        <w:rPr>
          <w:color w:val="000000" w:themeColor="text1"/>
          <w:shd w:val="clear" w:color="auto" w:fill="FFFFFF"/>
        </w:rPr>
        <w:t xml:space="preserve">, ni par la suite. Pourtant, ils ont souvent – par exemple s’agissant des limitations aux rassemblements – adopté </w:t>
      </w:r>
      <w:r w:rsidR="007417DA" w:rsidRPr="0084769F">
        <w:rPr>
          <w:color w:val="000000" w:themeColor="text1"/>
          <w:shd w:val="clear" w:color="auto" w:fill="FFFFFF"/>
        </w:rPr>
        <w:t>des mesures rigoureusement identiques à celles des états « dérogeants ».</w:t>
      </w:r>
      <w:r w:rsidR="007417DA">
        <w:rPr>
          <w:color w:val="000000" w:themeColor="text1"/>
          <w:shd w:val="clear" w:color="auto" w:fill="FFFFFF"/>
        </w:rPr>
        <w:t xml:space="preserve"> La disparité des attitudes des états au début de la crise « Covid » pose questio</w:t>
      </w:r>
      <w:r w:rsidR="007417DA" w:rsidRPr="00D62D13">
        <w:rPr>
          <w:color w:val="000000" w:themeColor="text1"/>
        </w:rPr>
        <w:t xml:space="preserve">n. Faut-il déduire que les </w:t>
      </w:r>
      <w:r w:rsidR="007417DA">
        <w:rPr>
          <w:color w:val="000000" w:themeColor="text1"/>
        </w:rPr>
        <w:t>é</w:t>
      </w:r>
      <w:r w:rsidR="007417DA" w:rsidRPr="00D62D13">
        <w:rPr>
          <w:color w:val="000000" w:themeColor="text1"/>
        </w:rPr>
        <w:t xml:space="preserve">tats « dérogeants » ont été inutilement prudents, en ce sens qu’ils pensent « suspendre » les droits fondamentaux, au sens de l’article 15, alors qu’ils ne font en réalité que les « restreindre », conformément à ce que permet le droit commun des §§ 2 des articles 8 à 11 et 2 du quatrième protocole additionnel à la Convention ? Ou faut-il conclure, tout à l’inverse, que ce sont les États « non-dérogeants » (comme la France, le Royaume-Uni, l’Allemagne, l’Italie, l’Espagne) qui ont été indûment téméraires, dès lors qu’ils pensent ne « restreindre » les droits fondamentaux conformément au droit commun, alors qu’en réalité il les « suspendent » bel et bien </w:t>
      </w:r>
      <w:r w:rsidR="007417DA" w:rsidRPr="00D62D13">
        <w:rPr>
          <w:i/>
          <w:color w:val="000000" w:themeColor="text1"/>
        </w:rPr>
        <w:t xml:space="preserve">de facto, </w:t>
      </w:r>
      <w:r w:rsidR="007417DA" w:rsidRPr="00D62D13">
        <w:rPr>
          <w:color w:val="000000" w:themeColor="text1"/>
        </w:rPr>
        <w:t xml:space="preserve">ce qu’ils ne pourraient faire que moyennant une activation de l’article 15 en bonne et due forme (dérogation </w:t>
      </w:r>
      <w:r w:rsidR="007417DA" w:rsidRPr="00D62D13">
        <w:rPr>
          <w:i/>
          <w:color w:val="000000" w:themeColor="text1"/>
        </w:rPr>
        <w:t>de jure</w:t>
      </w:r>
      <w:r w:rsidR="007417DA" w:rsidRPr="00D62D13">
        <w:rPr>
          <w:color w:val="000000" w:themeColor="text1"/>
        </w:rPr>
        <w:t>) ? Ou bien faut-il constater</w:t>
      </w:r>
      <w:r w:rsidR="007417DA">
        <w:rPr>
          <w:color w:val="000000" w:themeColor="text1"/>
        </w:rPr>
        <w:t xml:space="preserve"> que</w:t>
      </w:r>
      <w:r w:rsidR="007417DA" w:rsidRPr="00D62D13">
        <w:rPr>
          <w:color w:val="000000" w:themeColor="text1"/>
        </w:rPr>
        <w:t xml:space="preserve"> tout le monde a raison, parce que, fondamentalement, il n’y aurait pas d’autres différences que purement rhétoriques et symboliques entre la « suspension » et la « restriction » aux droit fondamentaux : les mêmes mesures de confinement – par exemple les interdictions de cérémonies religieuses – pourraient parfaitement survivre au contrôle de conventionnalité, </w:t>
      </w:r>
      <w:r w:rsidR="007417DA" w:rsidRPr="0089347D">
        <w:rPr>
          <w:iCs/>
          <w:color w:val="000000" w:themeColor="text1"/>
        </w:rPr>
        <w:t>soit sur le fondement d’un article 15 invoqué en bonne et due forme, soit sur le fondement de</w:t>
      </w:r>
      <w:r w:rsidR="007417DA" w:rsidRPr="00D62D13">
        <w:rPr>
          <w:color w:val="000000" w:themeColor="text1"/>
        </w:rPr>
        <w:t xml:space="preserve"> l’article 11 § 2 ?</w:t>
      </w:r>
    </w:p>
    <w:p w14:paraId="271FDF14" w14:textId="77777777" w:rsidR="007417DA" w:rsidRPr="0084769F" w:rsidRDefault="007417DA" w:rsidP="007417DA">
      <w:pPr>
        <w:spacing w:line="276" w:lineRule="auto"/>
        <w:jc w:val="both"/>
        <w:rPr>
          <w:color w:val="000000" w:themeColor="text1"/>
          <w:lang w:val="fr-FR"/>
        </w:rPr>
      </w:pPr>
    </w:p>
    <w:p w14:paraId="0CBDBDB0" w14:textId="470BA723" w:rsidR="007417DA" w:rsidRPr="009714B2" w:rsidRDefault="00B71D51" w:rsidP="00B71D51">
      <w:pPr>
        <w:jc w:val="both"/>
        <w:rPr>
          <w:b/>
          <w:bCs/>
          <w:color w:val="000000" w:themeColor="text1"/>
          <w:shd w:val="clear" w:color="auto" w:fill="FFFFFF"/>
        </w:rPr>
      </w:pPr>
      <w:r w:rsidRPr="00DC1568">
        <w:rPr>
          <w:b/>
          <w:color w:val="000000" w:themeColor="text1"/>
          <w:shd w:val="clear" w:color="auto" w:fill="FFFFFF"/>
        </w:rPr>
        <w:t>20.</w:t>
      </w:r>
      <w:r>
        <w:rPr>
          <w:color w:val="000000" w:themeColor="text1"/>
          <w:shd w:val="clear" w:color="auto" w:fill="FFFFFF"/>
        </w:rPr>
        <w:t xml:space="preserve">           </w:t>
      </w:r>
      <w:r w:rsidR="007417DA">
        <w:rPr>
          <w:color w:val="000000" w:themeColor="text1"/>
          <w:shd w:val="clear" w:color="auto" w:fill="FFFFFF"/>
        </w:rPr>
        <w:t xml:space="preserve">Sur le plan </w:t>
      </w:r>
      <w:r w:rsidR="007417DA" w:rsidRPr="00F718B2">
        <w:rPr>
          <w:i/>
          <w:iCs/>
          <w:color w:val="000000" w:themeColor="text1"/>
        </w:rPr>
        <w:t>diachronique</w:t>
      </w:r>
      <w:r w:rsidR="007417DA" w:rsidRPr="00F718B2">
        <w:rPr>
          <w:i/>
          <w:iCs/>
          <w:color w:val="000000" w:themeColor="text1"/>
          <w:shd w:val="clear" w:color="auto" w:fill="FFFFFF"/>
        </w:rPr>
        <w:t xml:space="preserve"> </w:t>
      </w:r>
      <w:r w:rsidR="007417DA">
        <w:rPr>
          <w:color w:val="000000" w:themeColor="text1"/>
          <w:shd w:val="clear" w:color="auto" w:fill="FFFFFF"/>
        </w:rPr>
        <w:t>à présent, le scepticisme quant à l’utilité de l’article 15 se renforce encore dans le constat que les états « dérogeants » n’ont pas témoigné d’une parfaite constance et cohérence dans leur attitude</w:t>
      </w:r>
      <w:r w:rsidR="007417DA">
        <w:rPr>
          <w:rStyle w:val="Appelnotedebasdep"/>
          <w:color w:val="000000" w:themeColor="text1"/>
          <w:shd w:val="clear" w:color="auto" w:fill="FFFFFF"/>
        </w:rPr>
        <w:footnoteReference w:id="44"/>
      </w:r>
      <w:r w:rsidR="007417DA">
        <w:rPr>
          <w:color w:val="000000" w:themeColor="text1"/>
          <w:shd w:val="clear" w:color="auto" w:fill="FFFFFF"/>
        </w:rPr>
        <w:t>. En effet, il est difficile d’observer une pratique généralisée parmi la minorité « dérogeante »</w:t>
      </w:r>
      <w:r w:rsidR="007417DA">
        <w:rPr>
          <w:rStyle w:val="Appelnotedebasdep"/>
          <w:color w:val="000000" w:themeColor="text1"/>
          <w:shd w:val="clear" w:color="auto" w:fill="FFFFFF"/>
        </w:rPr>
        <w:footnoteReference w:id="45"/>
      </w:r>
      <w:r w:rsidR="007417DA">
        <w:rPr>
          <w:color w:val="000000" w:themeColor="text1"/>
          <w:shd w:val="clear" w:color="auto" w:fill="FFFFFF"/>
        </w:rPr>
        <w:t>. Ainsi</w:t>
      </w:r>
      <w:r w:rsidR="007417DA" w:rsidRPr="00611AD7">
        <w:rPr>
          <w:color w:val="000000" w:themeColor="text1"/>
          <w:shd w:val="clear" w:color="auto" w:fill="FFFFFF"/>
        </w:rPr>
        <w:t xml:space="preserve">, </w:t>
      </w:r>
      <w:r w:rsidR="007417DA">
        <w:rPr>
          <w:color w:val="000000" w:themeColor="text1"/>
          <w:shd w:val="clear" w:color="auto" w:fill="FFFFFF"/>
        </w:rPr>
        <w:t>sept états sur dix</w:t>
      </w:r>
      <w:r w:rsidR="007417DA" w:rsidRPr="00611AD7">
        <w:rPr>
          <w:color w:val="000000" w:themeColor="text1"/>
          <w:shd w:val="clear" w:color="auto" w:fill="FFFFFF"/>
        </w:rPr>
        <w:t xml:space="preserve"> ont </w:t>
      </w:r>
      <w:r w:rsidR="007417DA" w:rsidRPr="00611AD7">
        <w:t>retiré leur dérogation à l’issue d’une seule période variant entre trois et sept mois et ne l’ont pas réintroduite par la suite, malgré la réactivation de mesures restrictives de libertés en leur sein.</w:t>
      </w:r>
      <w:r w:rsidR="007417DA">
        <w:t xml:space="preserve"> Deux états, la Lettonie et la Moldova, ont réintroduit une dérogation qu’ils avaient préalablement retirée, respectivement pour cinq et un mois</w:t>
      </w:r>
      <w:r w:rsidR="007417DA">
        <w:rPr>
          <w:rStyle w:val="Appelnotedebasdep"/>
        </w:rPr>
        <w:footnoteReference w:id="46"/>
      </w:r>
      <w:r w:rsidR="007417DA">
        <w:t>. Seule la Géorgie a maintenu la mesure dérogatoire sans discontinuer pour faire face aux vagues successives, la fin de l’état d’urgence étant prévue pour le 1</w:t>
      </w:r>
      <w:r w:rsidR="007417DA" w:rsidRPr="006823E4">
        <w:rPr>
          <w:vertAlign w:val="superscript"/>
        </w:rPr>
        <w:t>er</w:t>
      </w:r>
      <w:r w:rsidR="007417DA">
        <w:t xml:space="preserve"> janvier 2022. Cette dernière attitude pose particulièrement question, l’utilisation du régime d’exception devant être limitée dans le temps</w:t>
      </w:r>
      <w:r w:rsidR="007417DA">
        <w:rPr>
          <w:rStyle w:val="Appelnotedebasdep"/>
        </w:rPr>
        <w:footnoteReference w:id="47"/>
      </w:r>
      <w:r w:rsidR="007417DA">
        <w:t>.</w:t>
      </w:r>
      <w:r w:rsidR="007417DA" w:rsidRPr="007B0E6C">
        <w:rPr>
          <w:b/>
          <w:bCs/>
        </w:rPr>
        <w:t xml:space="preserve"> </w:t>
      </w:r>
      <w:r w:rsidR="007417DA" w:rsidRPr="009714B2">
        <w:t xml:space="preserve">Comme l’a rappelé la direction des affaires juridiques du Conseil de l’Europe dans un mémo publié le 7 avril 2020 à l’attention des gouvernements des États membres, l’utilisation de l’article 15 </w:t>
      </w:r>
      <w:r w:rsidR="007417DA">
        <w:t>ne peut être prolongée « indéfiniment »</w:t>
      </w:r>
      <w:r w:rsidR="007417DA">
        <w:rPr>
          <w:rStyle w:val="Appelnotedebasdep"/>
        </w:rPr>
        <w:footnoteReference w:id="48"/>
      </w:r>
      <w:r w:rsidR="007417DA">
        <w:t xml:space="preserve">. </w:t>
      </w:r>
    </w:p>
    <w:p w14:paraId="6622BDFC" w14:textId="77777777" w:rsidR="007417DA" w:rsidRDefault="007417DA" w:rsidP="007417DA">
      <w:pPr>
        <w:spacing w:line="276" w:lineRule="auto"/>
        <w:jc w:val="both"/>
        <w:rPr>
          <w:color w:val="000000" w:themeColor="text1"/>
          <w:shd w:val="clear" w:color="auto" w:fill="FFFFFF"/>
        </w:rPr>
      </w:pPr>
    </w:p>
    <w:p w14:paraId="5DDF5D76" w14:textId="0FDCE2F4" w:rsidR="007417DA" w:rsidRDefault="00B71D51" w:rsidP="00B71D51">
      <w:pPr>
        <w:jc w:val="both"/>
        <w:rPr>
          <w:color w:val="000000" w:themeColor="text1"/>
          <w:shd w:val="clear" w:color="auto" w:fill="FFFFFF"/>
        </w:rPr>
      </w:pPr>
      <w:r w:rsidRPr="00DC1568">
        <w:rPr>
          <w:b/>
          <w:color w:val="000000" w:themeColor="text1"/>
          <w:shd w:val="clear" w:color="auto" w:fill="FFFFFF"/>
        </w:rPr>
        <w:t>21.</w:t>
      </w:r>
      <w:r>
        <w:rPr>
          <w:color w:val="000000" w:themeColor="text1"/>
          <w:shd w:val="clear" w:color="auto" w:fill="FFFFFF"/>
        </w:rPr>
        <w:t xml:space="preserve">        </w:t>
      </w:r>
      <w:r w:rsidR="007417DA">
        <w:rPr>
          <w:color w:val="000000" w:themeColor="text1"/>
          <w:shd w:val="clear" w:color="auto" w:fill="FFFFFF"/>
        </w:rPr>
        <w:t>Enfin, relevons que certains états ont fait usage de leur droit de dérogation en vertu de la Convention et non en vertu de Pacte, alors que les motifs se rejoignent</w:t>
      </w:r>
      <w:r w:rsidR="007417DA">
        <w:rPr>
          <w:rStyle w:val="Appelnotedebasdep"/>
          <w:color w:val="000000" w:themeColor="text1"/>
          <w:shd w:val="clear" w:color="auto" w:fill="FFFFFF"/>
        </w:rPr>
        <w:footnoteReference w:id="49"/>
      </w:r>
      <w:r w:rsidR="007417DA">
        <w:rPr>
          <w:color w:val="000000" w:themeColor="text1"/>
          <w:shd w:val="clear" w:color="auto" w:fill="FFFFFF"/>
        </w:rPr>
        <w:t xml:space="preserve">. Ainsi, l’Albanie, la </w:t>
      </w:r>
      <w:r w:rsidR="007417DA">
        <w:rPr>
          <w:color w:val="000000" w:themeColor="text1"/>
          <w:shd w:val="clear" w:color="auto" w:fill="FFFFFF"/>
        </w:rPr>
        <w:lastRenderedPageBreak/>
        <w:t>Macédoine du Nord, la Moldova et la Serbie ont fait usage de l’article 15 de la Convention et non l’article 4 du Pacte</w:t>
      </w:r>
      <w:r w:rsidR="007417DA">
        <w:rPr>
          <w:rStyle w:val="Appelnotedebasdep"/>
          <w:color w:val="000000" w:themeColor="text1"/>
          <w:shd w:val="clear" w:color="auto" w:fill="FFFFFF"/>
        </w:rPr>
        <w:footnoteReference w:id="50"/>
      </w:r>
      <w:r w:rsidR="007417DA">
        <w:rPr>
          <w:color w:val="000000" w:themeColor="text1"/>
          <w:shd w:val="clear" w:color="auto" w:fill="FFFFFF"/>
        </w:rPr>
        <w:t xml:space="preserve">. Or, comme le relève </w:t>
      </w:r>
      <w:r w:rsidR="007417DA" w:rsidRPr="00A11762">
        <w:rPr>
          <w:smallCaps/>
          <w:color w:val="000000" w:themeColor="text1"/>
          <w:shd w:val="clear" w:color="auto" w:fill="FFFFFF"/>
        </w:rPr>
        <w:t>C. Santulli</w:t>
      </w:r>
      <w:r w:rsidR="007417DA">
        <w:rPr>
          <w:color w:val="000000" w:themeColor="text1"/>
          <w:shd w:val="clear" w:color="auto" w:fill="FFFFFF"/>
        </w:rPr>
        <w:t xml:space="preserve">, </w:t>
      </w:r>
      <w:r w:rsidR="007417DA" w:rsidRPr="00DC5C22">
        <w:rPr>
          <w:color w:val="000000" w:themeColor="text1"/>
          <w:shd w:val="clear" w:color="auto" w:fill="FFFFFF"/>
        </w:rPr>
        <w:t>« le fait de demander le b</w:t>
      </w:r>
      <w:r w:rsidR="007417DA">
        <w:rPr>
          <w:color w:val="000000" w:themeColor="text1"/>
          <w:shd w:val="clear" w:color="auto" w:fill="FFFFFF"/>
        </w:rPr>
        <w:t>é</w:t>
      </w:r>
      <w:r w:rsidR="007417DA" w:rsidRPr="00DC5C22">
        <w:rPr>
          <w:color w:val="000000" w:themeColor="text1"/>
          <w:shd w:val="clear" w:color="auto" w:fill="FFFFFF"/>
        </w:rPr>
        <w:t>n</w:t>
      </w:r>
      <w:r w:rsidR="007417DA">
        <w:rPr>
          <w:color w:val="000000" w:themeColor="text1"/>
          <w:shd w:val="clear" w:color="auto" w:fill="FFFFFF"/>
        </w:rPr>
        <w:t>é</w:t>
      </w:r>
      <w:r w:rsidR="007417DA" w:rsidRPr="00DC5C22">
        <w:rPr>
          <w:color w:val="000000" w:themeColor="text1"/>
          <w:shd w:val="clear" w:color="auto" w:fill="FFFFFF"/>
        </w:rPr>
        <w:t>fice de l’un n’</w:t>
      </w:r>
      <w:r w:rsidR="007417DA">
        <w:rPr>
          <w:color w:val="000000" w:themeColor="text1"/>
          <w:shd w:val="clear" w:color="auto" w:fill="FFFFFF"/>
        </w:rPr>
        <w:t>é</w:t>
      </w:r>
      <w:r w:rsidR="007417DA" w:rsidRPr="00DC5C22">
        <w:rPr>
          <w:color w:val="000000" w:themeColor="text1"/>
          <w:shd w:val="clear" w:color="auto" w:fill="FFFFFF"/>
        </w:rPr>
        <w:t xml:space="preserve">quivaut pas </w:t>
      </w:r>
      <w:r w:rsidR="007417DA" w:rsidRPr="007417DA">
        <w:rPr>
          <w:i/>
          <w:iCs/>
          <w:color w:val="000000" w:themeColor="text1"/>
          <w:shd w:val="clear" w:color="auto" w:fill="FFFFFF"/>
        </w:rPr>
        <w:t>ipso iure</w:t>
      </w:r>
      <w:r w:rsidR="007417DA" w:rsidRPr="00DC5C22">
        <w:rPr>
          <w:color w:val="000000" w:themeColor="text1"/>
          <w:shd w:val="clear" w:color="auto" w:fill="FFFFFF"/>
        </w:rPr>
        <w:t xml:space="preserve"> à solliciter l’application de l’autre. Or les deux supposent une notification de l’intention d’en b</w:t>
      </w:r>
      <w:r w:rsidR="007417DA">
        <w:rPr>
          <w:color w:val="000000" w:themeColor="text1"/>
          <w:shd w:val="clear" w:color="auto" w:fill="FFFFFF"/>
        </w:rPr>
        <w:t>é</w:t>
      </w:r>
      <w:r w:rsidR="007417DA" w:rsidRPr="00DC5C22">
        <w:rPr>
          <w:color w:val="000000" w:themeColor="text1"/>
          <w:shd w:val="clear" w:color="auto" w:fill="FFFFFF"/>
        </w:rPr>
        <w:t>n</w:t>
      </w:r>
      <w:r w:rsidR="007417DA">
        <w:rPr>
          <w:color w:val="000000" w:themeColor="text1"/>
          <w:shd w:val="clear" w:color="auto" w:fill="FFFFFF"/>
        </w:rPr>
        <w:t>é</w:t>
      </w:r>
      <w:r w:rsidR="007417DA" w:rsidRPr="00DC5C22">
        <w:rPr>
          <w:color w:val="000000" w:themeColor="text1"/>
          <w:shd w:val="clear" w:color="auto" w:fill="FFFFFF"/>
        </w:rPr>
        <w:t>ficier de la part de l’État qui se trouve en situation de crise, si bien que l’omission de la consid</w:t>
      </w:r>
      <w:r w:rsidR="007417DA">
        <w:rPr>
          <w:color w:val="000000" w:themeColor="text1"/>
          <w:shd w:val="clear" w:color="auto" w:fill="FFFFFF"/>
        </w:rPr>
        <w:t>é</w:t>
      </w:r>
      <w:r w:rsidR="007417DA" w:rsidRPr="00DC5C22">
        <w:rPr>
          <w:color w:val="000000" w:themeColor="text1"/>
          <w:shd w:val="clear" w:color="auto" w:fill="FFFFFF"/>
        </w:rPr>
        <w:t>ration d’un des deux r</w:t>
      </w:r>
      <w:r w:rsidR="007417DA">
        <w:rPr>
          <w:color w:val="000000" w:themeColor="text1"/>
          <w:shd w:val="clear" w:color="auto" w:fill="FFFFFF"/>
        </w:rPr>
        <w:t>é</w:t>
      </w:r>
      <w:r w:rsidR="007417DA" w:rsidRPr="00DC5C22">
        <w:rPr>
          <w:color w:val="000000" w:themeColor="text1"/>
          <w:shd w:val="clear" w:color="auto" w:fill="FFFFFF"/>
        </w:rPr>
        <w:t>gimes expose l’État à un risque juridique »</w:t>
      </w:r>
      <w:r w:rsidR="007417DA">
        <w:rPr>
          <w:rStyle w:val="Appelnotedebasdep"/>
          <w:color w:val="000000" w:themeColor="text1"/>
          <w:shd w:val="clear" w:color="auto" w:fill="FFFFFF"/>
        </w:rPr>
        <w:footnoteReference w:id="51"/>
      </w:r>
    </w:p>
    <w:p w14:paraId="5D116DCE" w14:textId="77777777" w:rsidR="007417DA" w:rsidRDefault="007417DA" w:rsidP="007417DA">
      <w:pPr>
        <w:spacing w:line="276" w:lineRule="auto"/>
        <w:jc w:val="both"/>
        <w:rPr>
          <w:color w:val="000000" w:themeColor="text1"/>
          <w:shd w:val="clear" w:color="auto" w:fill="FFFFFF"/>
        </w:rPr>
      </w:pPr>
    </w:p>
    <w:p w14:paraId="00AE4DEF" w14:textId="058C796E" w:rsidR="007417DA" w:rsidRDefault="00B71D51" w:rsidP="00B71D51">
      <w:pPr>
        <w:jc w:val="both"/>
        <w:rPr>
          <w:color w:val="000000" w:themeColor="text1"/>
          <w:shd w:val="clear" w:color="auto" w:fill="FFFFFF"/>
        </w:rPr>
      </w:pPr>
      <w:r w:rsidRPr="00713DE8">
        <w:rPr>
          <w:b/>
          <w:color w:val="000000" w:themeColor="text1"/>
          <w:shd w:val="clear" w:color="auto" w:fill="FFFFFF"/>
        </w:rPr>
        <w:t>22.</w:t>
      </w:r>
      <w:r w:rsidRPr="00713DE8">
        <w:rPr>
          <w:b/>
          <w:color w:val="000000" w:themeColor="text1"/>
          <w:shd w:val="clear" w:color="auto" w:fill="FFFFFF"/>
        </w:rPr>
        <w:tab/>
      </w:r>
      <w:r w:rsidR="007417DA">
        <w:rPr>
          <w:color w:val="000000" w:themeColor="text1"/>
          <w:shd w:val="clear" w:color="auto" w:fill="FFFFFF"/>
        </w:rPr>
        <w:t xml:space="preserve">En bref, face à une même menace, bien que des mesures similaires aient été prises par l’ensemble des États membres, l’utilisation de l’article 15 par ceux-ci soulève plus de questions qu’elle n’amène de réponses sur l’utilité du régime dérogatoire. </w:t>
      </w:r>
    </w:p>
    <w:p w14:paraId="791B2C00" w14:textId="2274014D" w:rsidR="00B71D51" w:rsidRDefault="00B71D51" w:rsidP="00B71D51">
      <w:pPr>
        <w:jc w:val="both"/>
        <w:rPr>
          <w:color w:val="000000" w:themeColor="text1"/>
          <w:shd w:val="clear" w:color="auto" w:fill="FFFFFF"/>
        </w:rPr>
      </w:pPr>
    </w:p>
    <w:p w14:paraId="57629FD8" w14:textId="72F3A82E" w:rsidR="00B71D51" w:rsidRPr="00713DE8" w:rsidRDefault="00B71D51" w:rsidP="00B71D51">
      <w:pPr>
        <w:pStyle w:val="Paragraphedeliste"/>
        <w:numPr>
          <w:ilvl w:val="0"/>
          <w:numId w:val="3"/>
        </w:numPr>
        <w:jc w:val="both"/>
        <w:rPr>
          <w:b/>
          <w:color w:val="000000" w:themeColor="text1"/>
          <w:shd w:val="clear" w:color="auto" w:fill="FFFFFF"/>
        </w:rPr>
      </w:pPr>
      <w:r w:rsidRPr="00713DE8">
        <w:rPr>
          <w:b/>
          <w:color w:val="000000" w:themeColor="text1"/>
          <w:shd w:val="clear" w:color="auto" w:fill="FFFFFF"/>
        </w:rPr>
        <w:t>L’introuvable « substance » des droits fondamentaux</w:t>
      </w:r>
    </w:p>
    <w:p w14:paraId="0887EC64" w14:textId="21980A05" w:rsidR="00B71D51" w:rsidRDefault="00B71D51" w:rsidP="00B71D51">
      <w:pPr>
        <w:jc w:val="both"/>
        <w:rPr>
          <w:color w:val="000000" w:themeColor="text1"/>
          <w:shd w:val="clear" w:color="auto" w:fill="FFFFFF"/>
        </w:rPr>
      </w:pPr>
    </w:p>
    <w:p w14:paraId="0AD813B4" w14:textId="201D712E" w:rsidR="008D417A" w:rsidRDefault="00B71D51" w:rsidP="00B71D51">
      <w:pPr>
        <w:jc w:val="both"/>
      </w:pPr>
      <w:r>
        <w:rPr>
          <w:b/>
          <w:bCs/>
        </w:rPr>
        <w:t>23</w:t>
      </w:r>
      <w:r w:rsidRPr="00D0742E">
        <w:rPr>
          <w:b/>
          <w:bCs/>
        </w:rPr>
        <w:t>.</w:t>
      </w:r>
      <w:r>
        <w:rPr>
          <w:b/>
          <w:bCs/>
        </w:rPr>
        <w:tab/>
      </w:r>
      <w:r w:rsidRPr="002D31B2">
        <w:t xml:space="preserve"> </w:t>
      </w:r>
      <w:r w:rsidR="003D63FD">
        <w:t>Les divers développements repris ci-dessus se conjuguent pour poser</w:t>
      </w:r>
      <w:r w:rsidR="008D417A">
        <w:t>, avec insistance,</w:t>
      </w:r>
      <w:r w:rsidR="003D63FD">
        <w:t xml:space="preserve"> la question</w:t>
      </w:r>
      <w:r>
        <w:t xml:space="preserve"> de l’utilité même de la technique de  la « dérogation » au sein de la systématique des limitations aux droits et libertés. Que permet-elle au juste de faire « de plus » ou d’ « autre » que ce que d’autres formes de limitations permettraient d’ores et déjà de fair</w:t>
      </w:r>
      <w:r w:rsidR="00713DE8">
        <w:t>e ?</w:t>
      </w:r>
    </w:p>
    <w:p w14:paraId="147CA9ED" w14:textId="77777777" w:rsidR="008D417A" w:rsidRDefault="008D417A" w:rsidP="00B71D51">
      <w:pPr>
        <w:jc w:val="both"/>
      </w:pPr>
    </w:p>
    <w:p w14:paraId="21A6FD7A" w14:textId="18664146" w:rsidR="00B71D51" w:rsidRDefault="008D417A" w:rsidP="00B71D51">
      <w:pPr>
        <w:jc w:val="both"/>
      </w:pPr>
      <w:r w:rsidRPr="00713DE8">
        <w:rPr>
          <w:b/>
        </w:rPr>
        <w:t>24.</w:t>
      </w:r>
      <w:r w:rsidRPr="00713DE8">
        <w:rPr>
          <w:b/>
        </w:rPr>
        <w:tab/>
      </w:r>
      <w:r w:rsidR="003D63FD">
        <w:t xml:space="preserve">Une disposition telle l’article </w:t>
      </w:r>
      <w:r w:rsidR="00B71D51" w:rsidRPr="002D31B2">
        <w:t>15 de la C</w:t>
      </w:r>
      <w:r w:rsidR="00B71D51">
        <w:t>EDH</w:t>
      </w:r>
      <w:r w:rsidR="003D63FD">
        <w:rPr>
          <w:rStyle w:val="Titre2Car"/>
        </w:rPr>
        <w:t xml:space="preserve"> </w:t>
      </w:r>
      <w:r w:rsidR="003D63FD" w:rsidRPr="008D417A">
        <w:rPr>
          <w:rStyle w:val="Titre2Car"/>
          <w:b w:val="0"/>
          <w:bCs/>
        </w:rPr>
        <w:t>présente</w:t>
      </w:r>
      <w:r w:rsidR="00713DE8">
        <w:rPr>
          <w:rStyle w:val="Titre2Car"/>
          <w:b w:val="0"/>
          <w:bCs/>
        </w:rPr>
        <w:t xml:space="preserve"> certes</w:t>
      </w:r>
      <w:r w:rsidR="00B71D51" w:rsidRPr="002D31B2">
        <w:t xml:space="preserve"> une utilité </w:t>
      </w:r>
      <w:r w:rsidR="00713DE8" w:rsidRPr="002D31B2">
        <w:t xml:space="preserve">évidente </w:t>
      </w:r>
      <w:r w:rsidR="00B71D51" w:rsidRPr="002D31B2">
        <w:t>en présence de droits qui, tout en étant pas absolus, ne connaissent, en temps ordinaires, aucune possibilité de limitation – même implicite –, ou ne souffrent d’ « exceptions » qu’en nombre limité. Ainsi, et pourvu que toutes les conditions par ailleurs prévues par l’article 15 soient satisfaites, la dérogation permettrait par exemple de mettre entre parenthèses le droit à l’indemnisation prévu par l’article 5, § 5, de priver une personne de sa liberté hors les cas limitativement énumérés à l’article 5, § 1</w:t>
      </w:r>
      <w:r w:rsidR="00B71D51" w:rsidRPr="002D31B2">
        <w:rPr>
          <w:vertAlign w:val="superscript"/>
        </w:rPr>
        <w:t>er</w:t>
      </w:r>
      <w:r w:rsidR="00B71D51" w:rsidRPr="002D31B2">
        <w:t>, ou encore, d’astreindre une personne à un travail forcé ou obligatoire dans une hypothèse supplémentaire par rapport à celles qui sont prévues par l’article 4, § 3.</w:t>
      </w:r>
    </w:p>
    <w:p w14:paraId="7529053B" w14:textId="77777777" w:rsidR="003D63FD" w:rsidRPr="002D31B2" w:rsidRDefault="003D63FD" w:rsidP="00B71D51">
      <w:pPr>
        <w:jc w:val="both"/>
      </w:pPr>
    </w:p>
    <w:p w14:paraId="1E56FB80" w14:textId="3150E0D6" w:rsidR="00B71D51" w:rsidRDefault="00B71D51" w:rsidP="00713DE8">
      <w:pPr>
        <w:jc w:val="both"/>
      </w:pPr>
      <w:r>
        <w:rPr>
          <w:b/>
          <w:bCs/>
        </w:rPr>
        <w:t>2</w:t>
      </w:r>
      <w:r w:rsidR="008D417A">
        <w:rPr>
          <w:b/>
          <w:bCs/>
        </w:rPr>
        <w:t>5</w:t>
      </w:r>
      <w:r w:rsidRPr="00D0742E">
        <w:rPr>
          <w:b/>
          <w:bCs/>
        </w:rPr>
        <w:t>.</w:t>
      </w:r>
      <w:r w:rsidRPr="002D31B2">
        <w:t xml:space="preserve"> </w:t>
      </w:r>
      <w:r w:rsidR="008D417A">
        <w:tab/>
      </w:r>
      <w:r w:rsidRPr="002D31B2">
        <w:t xml:space="preserve">La question de l’effet utile de </w:t>
      </w:r>
      <w:r w:rsidR="008D417A">
        <w:t xml:space="preserve">la clause de dérogation </w:t>
      </w:r>
      <w:r w:rsidRPr="002D31B2">
        <w:t>devient beaucoup plus aigüe, par contre, en présence de droits qui, soit sur le fondement des textes conventionnels eux-mêmes – on songe évidemment aux §§ 2 respectifs des articles 8 à 11 de la C</w:t>
      </w:r>
      <w:r w:rsidR="003D63FD">
        <w:t>EDH</w:t>
      </w:r>
      <w:r w:rsidRPr="002D31B2">
        <w:t xml:space="preserve"> –, soit sur le fondement de la jurisprudence de la Cour – on vise les possibilités de « limitations implicites » qui se sont disséminées un peu partout dans la Convention</w:t>
      </w:r>
      <w:r w:rsidR="00713DE8">
        <w:rPr>
          <w:rStyle w:val="Appelnotedebasdep"/>
        </w:rPr>
        <w:footnoteReference w:id="52"/>
      </w:r>
      <w:r w:rsidRPr="002D31B2">
        <w:t xml:space="preserve"> –, tolèrent des restrictions à la triple condition qu’elles soient prévues par la loi, poursuivent l’un des buts légitimes (éventuellement) énumérés, et soient proportionnées par rapport à celui-ci</w:t>
      </w:r>
      <w:r w:rsidR="00713DE8">
        <w:t>.</w:t>
      </w:r>
    </w:p>
    <w:p w14:paraId="62C00044" w14:textId="77777777" w:rsidR="003D63FD" w:rsidRPr="002D31B2" w:rsidRDefault="003D63FD" w:rsidP="00B71D51"/>
    <w:p w14:paraId="37F2CCFD" w14:textId="3A6D209E" w:rsidR="008D417A" w:rsidRDefault="00B71D51" w:rsidP="003D63FD">
      <w:pPr>
        <w:jc w:val="both"/>
        <w:rPr>
          <w:color w:val="000000"/>
        </w:rPr>
      </w:pPr>
      <w:r>
        <w:rPr>
          <w:b/>
          <w:bCs/>
        </w:rPr>
        <w:t>2</w:t>
      </w:r>
      <w:r w:rsidR="008D417A">
        <w:rPr>
          <w:b/>
          <w:bCs/>
        </w:rPr>
        <w:t>6</w:t>
      </w:r>
      <w:r w:rsidRPr="00D0742E">
        <w:rPr>
          <w:b/>
          <w:bCs/>
        </w:rPr>
        <w:t>.</w:t>
      </w:r>
      <w:r w:rsidRPr="002D31B2">
        <w:t xml:space="preserve"> </w:t>
      </w:r>
      <w:r w:rsidR="008D417A">
        <w:tab/>
      </w:r>
      <w:r w:rsidRPr="002D31B2">
        <w:t xml:space="preserve">L’embarras vient, tout d’abord, de ce que la Cour </w:t>
      </w:r>
      <w:r w:rsidR="003D63FD">
        <w:t>de Strasbourg</w:t>
      </w:r>
      <w:r w:rsidRPr="002D31B2">
        <w:t xml:space="preserve"> a, de tous temps, admis de faire une interprétation et une application « compréhensives » de la Convention au bénéfice des États en butte à des situations difficiles</w:t>
      </w:r>
      <w:r w:rsidR="00713DE8">
        <w:rPr>
          <w:rStyle w:val="Appelnotedebasdep"/>
        </w:rPr>
        <w:footnoteReference w:id="53"/>
      </w:r>
      <w:r w:rsidRPr="002D31B2">
        <w:t xml:space="preserve">. Ainsi la Cour estimait-elle, dans un arrêt </w:t>
      </w:r>
      <w:r w:rsidRPr="002D31B2">
        <w:rPr>
          <w:i/>
          <w:iCs/>
        </w:rPr>
        <w:t xml:space="preserve">Ibrahim </w:t>
      </w:r>
      <w:r w:rsidRPr="002D31B2">
        <w:rPr>
          <w:i/>
          <w:iCs/>
        </w:rPr>
        <w:lastRenderedPageBreak/>
        <w:t>c. Royaume-Uni</w:t>
      </w:r>
      <w:r w:rsidRPr="002D31B2">
        <w:t>, qu’ « il ne faut pas appliquer l’article 6 d’une manière qui causerait aux autorités de police des difficultés excessives pour combattre par des mesures effectives le terrorisme et d’autres crimes graves, comme elles doivent le faire pour honorer l’obligation, découlant pour elles des articles 2, 3 et 5 § 1 de la Convention, de protéger le droit à la vie et le droit à l’intégrité physique des membres de la population</w:t>
      </w:r>
      <w:r w:rsidRPr="002D31B2">
        <w:rPr>
          <w:color w:val="000000"/>
        </w:rPr>
        <w:t> »</w:t>
      </w:r>
      <w:r w:rsidR="00713DE8">
        <w:rPr>
          <w:rStyle w:val="Appelnotedebasdep"/>
          <w:color w:val="000000"/>
        </w:rPr>
        <w:footnoteReference w:id="54"/>
      </w:r>
      <w:r w:rsidRPr="002D31B2">
        <w:rPr>
          <w:color w:val="000000"/>
        </w:rPr>
        <w:t>.</w:t>
      </w:r>
      <w:r w:rsidR="008D417A">
        <w:rPr>
          <w:color w:val="000000"/>
        </w:rPr>
        <w:t xml:space="preserve"> Le propos fut plus récemment réitéré par l’arrêt </w:t>
      </w:r>
      <w:r w:rsidR="008D417A">
        <w:rPr>
          <w:i/>
          <w:color w:val="000000"/>
        </w:rPr>
        <w:t xml:space="preserve">Muhammad et Muhammad c. Roumanie ; </w:t>
      </w:r>
      <w:r w:rsidR="008D417A">
        <w:rPr>
          <w:color w:val="000000"/>
        </w:rPr>
        <w:t>cette fois-ci à propos de l’article 1</w:t>
      </w:r>
      <w:r w:rsidR="008D417A" w:rsidRPr="008D417A">
        <w:rPr>
          <w:color w:val="000000"/>
          <w:vertAlign w:val="superscript"/>
        </w:rPr>
        <w:t>er</w:t>
      </w:r>
      <w:r w:rsidR="008D417A">
        <w:rPr>
          <w:color w:val="000000"/>
        </w:rPr>
        <w:t xml:space="preserve"> du septième protocole additionnel</w:t>
      </w:r>
      <w:r w:rsidR="008D417A">
        <w:rPr>
          <w:rStyle w:val="Appelnotedebasdep"/>
          <w:color w:val="000000"/>
        </w:rPr>
        <w:footnoteReference w:id="55"/>
      </w:r>
      <w:r w:rsidR="008D417A">
        <w:rPr>
          <w:color w:val="000000"/>
        </w:rPr>
        <w:t>.</w:t>
      </w:r>
    </w:p>
    <w:p w14:paraId="608D447D" w14:textId="77777777" w:rsidR="008D417A" w:rsidRPr="008D417A" w:rsidRDefault="008D417A" w:rsidP="003D63FD">
      <w:pPr>
        <w:jc w:val="both"/>
        <w:rPr>
          <w:color w:val="000000"/>
        </w:rPr>
      </w:pPr>
    </w:p>
    <w:p w14:paraId="048421EC" w14:textId="4ECD9F34" w:rsidR="00B71D51" w:rsidRDefault="00B71D51" w:rsidP="008D417A">
      <w:pPr>
        <w:jc w:val="both"/>
      </w:pPr>
      <w:r w:rsidRPr="002D31B2">
        <w:t>Cette doctrine, dite des « circonstances quasi-exceptionnelles »</w:t>
      </w:r>
      <w:r w:rsidR="00713DE8">
        <w:rPr>
          <w:rStyle w:val="Appelnotedebasdep"/>
        </w:rPr>
        <w:footnoteReference w:id="56"/>
      </w:r>
      <w:r w:rsidRPr="002D31B2">
        <w:t>, brouille la frontière entre les « temps normaux et les temps anormaux », et rend de ce fait plus délicate l’identification de l’utilité réelle d</w:t>
      </w:r>
      <w:r w:rsidR="00F068DF">
        <w:t>u recours</w:t>
      </w:r>
      <w:r w:rsidRPr="002D31B2">
        <w:t xml:space="preserve"> à l’article 15</w:t>
      </w:r>
      <w:r w:rsidR="00F068DF">
        <w:t xml:space="preserve">, </w:t>
      </w:r>
      <w:r w:rsidRPr="002D31B2">
        <w:t xml:space="preserve"> </w:t>
      </w:r>
      <w:r w:rsidR="00F068DF">
        <w:t>qui, lui aussi, emporte dans le chef des états une « ample marge d’appréciation »</w:t>
      </w:r>
      <w:r w:rsidR="00F068DF">
        <w:rPr>
          <w:rStyle w:val="Appelnotedebasdep"/>
        </w:rPr>
        <w:footnoteReference w:id="57"/>
      </w:r>
      <w:r w:rsidR="00713DE8">
        <w:t>.</w:t>
      </w:r>
    </w:p>
    <w:p w14:paraId="506593D1" w14:textId="77777777" w:rsidR="003D63FD" w:rsidRPr="002D31B2" w:rsidRDefault="003D63FD" w:rsidP="00B71D51"/>
    <w:p w14:paraId="5C160105" w14:textId="110461EB" w:rsidR="00B71D51" w:rsidRPr="002D31B2" w:rsidRDefault="003D63FD" w:rsidP="008D417A">
      <w:pPr>
        <w:jc w:val="both"/>
        <w:rPr>
          <w:lang w:val="fr-FR"/>
        </w:rPr>
      </w:pPr>
      <w:r>
        <w:rPr>
          <w:b/>
          <w:bCs/>
          <w:lang w:val="fr-FR"/>
        </w:rPr>
        <w:t>26.</w:t>
      </w:r>
      <w:r>
        <w:rPr>
          <w:b/>
          <w:bCs/>
          <w:lang w:val="fr-FR"/>
        </w:rPr>
        <w:tab/>
      </w:r>
      <w:r w:rsidR="00B71D51" w:rsidRPr="002D31B2">
        <w:rPr>
          <w:lang w:val="fr-FR"/>
        </w:rPr>
        <w:t>L’embarras se confirme lorsqu’il est procédé à l’examen comparé systématique des conditions de validité respectives des « restrictions » et des « dérogations » au sein du système conventionnel</w:t>
      </w:r>
      <w:r w:rsidR="00713DE8">
        <w:rPr>
          <w:rStyle w:val="Appelnotedebasdep"/>
          <w:lang w:val="fr-FR"/>
        </w:rPr>
        <w:footnoteReference w:id="58"/>
      </w:r>
      <w:r w:rsidR="00B71D51" w:rsidRPr="002D31B2">
        <w:rPr>
          <w:lang w:val="fr-FR"/>
        </w:rPr>
        <w:t>.</w:t>
      </w:r>
    </w:p>
    <w:p w14:paraId="705A19FE" w14:textId="77777777" w:rsidR="003D63FD" w:rsidRDefault="003D63FD" w:rsidP="00B71D51">
      <w:pPr>
        <w:rPr>
          <w:lang w:val="fr-FR"/>
        </w:rPr>
      </w:pPr>
    </w:p>
    <w:p w14:paraId="5332160D" w14:textId="176BB0C2" w:rsidR="00B71D51" w:rsidRPr="002D31B2" w:rsidRDefault="00B71D51" w:rsidP="008D417A">
      <w:pPr>
        <w:jc w:val="both"/>
        <w:rPr>
          <w:lang w:val="fr-FR"/>
        </w:rPr>
      </w:pPr>
      <w:r w:rsidRPr="002D31B2">
        <w:rPr>
          <w:lang w:val="fr-FR"/>
        </w:rPr>
        <w:t>Premièrement, la finalité des mesures dérogatoires – faire face à la « guerre » ou à un autre « danger public menaçant la vie de la nation » – peut, sans difficulté aucune, être réinscrite dans l’un des buts légitimes dont la poursuite conditionn</w:t>
      </w:r>
      <w:r w:rsidR="00713DE8">
        <w:rPr>
          <w:lang w:val="fr-FR"/>
        </w:rPr>
        <w:t xml:space="preserve">e – selon le PIDCP, la CEDH ou la jurisprudence qui les a interprétés </w:t>
      </w:r>
      <w:r w:rsidRPr="002D31B2">
        <w:rPr>
          <w:lang w:val="fr-FR"/>
        </w:rPr>
        <w:t xml:space="preserve">– la licéité des simples restrictions : « défense de l’ordre », « sécurité nationale », </w:t>
      </w:r>
      <w:r w:rsidR="003D63FD">
        <w:rPr>
          <w:lang w:val="fr-FR"/>
        </w:rPr>
        <w:t>…</w:t>
      </w:r>
    </w:p>
    <w:p w14:paraId="7F226F6D" w14:textId="77777777" w:rsidR="003D63FD" w:rsidRDefault="003D63FD" w:rsidP="00B71D51">
      <w:pPr>
        <w:rPr>
          <w:lang w:val="fr-FR"/>
        </w:rPr>
      </w:pPr>
    </w:p>
    <w:p w14:paraId="4384C684" w14:textId="345F3B27" w:rsidR="00B71D51" w:rsidRPr="002D31B2" w:rsidRDefault="00B71D51" w:rsidP="003D63FD">
      <w:pPr>
        <w:jc w:val="both"/>
        <w:rPr>
          <w:color w:val="000000"/>
        </w:rPr>
      </w:pPr>
      <w:r w:rsidRPr="002D31B2">
        <w:rPr>
          <w:lang w:val="fr-FR"/>
        </w:rPr>
        <w:t>Deuxièmement, et encore qu</w:t>
      </w:r>
      <w:r w:rsidR="00713DE8">
        <w:rPr>
          <w:lang w:val="fr-FR"/>
        </w:rPr>
        <w:t>e le texte même des instruments pertinents</w:t>
      </w:r>
      <w:r w:rsidRPr="002D31B2">
        <w:rPr>
          <w:lang w:val="fr-FR"/>
        </w:rPr>
        <w:t xml:space="preserve"> n’en dise rien, le recours à la dérogation n’est admissible, selon la jurisprudence, que s’il s’entoure de garanties contre l’arbitraire et les abus</w:t>
      </w:r>
      <w:r w:rsidR="00713DE8">
        <w:rPr>
          <w:rStyle w:val="Appelnotedebasdep"/>
          <w:lang w:val="fr-FR"/>
        </w:rPr>
        <w:footnoteReference w:id="59"/>
      </w:r>
      <w:r w:rsidRPr="002D31B2">
        <w:rPr>
          <w:lang w:val="fr-FR"/>
        </w:rPr>
        <w:t xml:space="preserve">. Se trouve ainsi reconstituée une exigence de « légalité » largement équipollente à celle qui conditionne la validité des restrictions et exceptions dans le droit conventionnel. Jugé ainsi, dans l’arrêt </w:t>
      </w:r>
      <w:r w:rsidRPr="002D31B2">
        <w:rPr>
          <w:i/>
          <w:lang w:val="fr-FR"/>
        </w:rPr>
        <w:t xml:space="preserve">Alparslan Altan c. Turquie </w:t>
      </w:r>
      <w:r w:rsidRPr="002D31B2">
        <w:rPr>
          <w:lang w:val="fr-FR"/>
        </w:rPr>
        <w:t xml:space="preserve">du 16 avril 2019, </w:t>
      </w:r>
      <w:r w:rsidRPr="002D31B2">
        <w:rPr>
          <w:color w:val="000000"/>
        </w:rPr>
        <w:t xml:space="preserve">qu’une mesure de détention provisoire </w:t>
      </w:r>
      <w:r w:rsidRPr="002D31B2">
        <w:rPr>
          <w:lang w:val="fr-FR"/>
        </w:rPr>
        <w:t>qui</w:t>
      </w:r>
      <w:r w:rsidRPr="002D31B2">
        <w:rPr>
          <w:color w:val="000000"/>
        </w:rPr>
        <w:t xml:space="preserve"> n’a pas été prise « selon les voies légales », au sens de l’article 5, § 1</w:t>
      </w:r>
      <w:r w:rsidRPr="002D31B2">
        <w:rPr>
          <w:color w:val="000000"/>
          <w:vertAlign w:val="superscript"/>
        </w:rPr>
        <w:t>er</w:t>
      </w:r>
      <w:r w:rsidRPr="002D31B2">
        <w:rPr>
          <w:color w:val="000000"/>
        </w:rPr>
        <w:t>, ne peut pas être considérée comme ayant respecté la « stricte mesure » requise par la situation, au sens de l’article 15</w:t>
      </w:r>
      <w:r w:rsidR="002216C6">
        <w:rPr>
          <w:rStyle w:val="Appelnotedebasdep"/>
          <w:color w:val="000000"/>
        </w:rPr>
        <w:footnoteReference w:id="60"/>
      </w:r>
      <w:r w:rsidRPr="002D31B2">
        <w:rPr>
          <w:color w:val="000000"/>
        </w:rPr>
        <w:t xml:space="preserve">. Rappelons par ailleurs que, en cas de recours à l’arme pénale, la mesure dérogatoire ne pourra jamais s’affranchir des exigences de la « légalité » </w:t>
      </w:r>
      <w:r w:rsidRPr="002D31B2">
        <w:t>–</w:t>
      </w:r>
      <w:r w:rsidRPr="002D31B2">
        <w:rPr>
          <w:color w:val="000000"/>
        </w:rPr>
        <w:t xml:space="preserve"> </w:t>
      </w:r>
      <w:r w:rsidRPr="002D31B2">
        <w:rPr>
          <w:i/>
          <w:iCs/>
          <w:color w:val="000000"/>
        </w:rPr>
        <w:t>i.e.,</w:t>
      </w:r>
      <w:r w:rsidRPr="002D31B2">
        <w:rPr>
          <w:color w:val="000000"/>
        </w:rPr>
        <w:t xml:space="preserve"> de la disponibilité d’une « base légale », accessible et prévisible : l’article 7 de la Convention est en effet un droit indérogeable. </w:t>
      </w:r>
    </w:p>
    <w:p w14:paraId="5DDAF8BD" w14:textId="77777777" w:rsidR="003D63FD" w:rsidRDefault="003D63FD" w:rsidP="00B71D51">
      <w:pPr>
        <w:rPr>
          <w:color w:val="000000"/>
        </w:rPr>
      </w:pPr>
    </w:p>
    <w:p w14:paraId="57C08EF8" w14:textId="4BE4A1F9" w:rsidR="00B71D51" w:rsidRDefault="00B71D51" w:rsidP="003D63FD">
      <w:pPr>
        <w:jc w:val="both"/>
        <w:rPr>
          <w:color w:val="000000"/>
        </w:rPr>
      </w:pPr>
      <w:r w:rsidRPr="002D31B2">
        <w:rPr>
          <w:color w:val="000000"/>
        </w:rPr>
        <w:t xml:space="preserve">Troisièmement, il apparaît que tant les restrictions que les dérogations sont astreintes à un impératif de proportionnalité, qui semble </w:t>
      </w:r>
      <w:r w:rsidRPr="002D31B2">
        <w:rPr>
          <w:i/>
          <w:color w:val="000000"/>
        </w:rPr>
        <w:t xml:space="preserve">a priori </w:t>
      </w:r>
      <w:r w:rsidRPr="002D31B2">
        <w:rPr>
          <w:color w:val="000000"/>
        </w:rPr>
        <w:t>ni plus ni moins exigeant selon que l’on se trouve dans l’orbite des premières, ou dans la sphère des secondes</w:t>
      </w:r>
      <w:r w:rsidR="00C33B4D">
        <w:rPr>
          <w:rStyle w:val="Appelnotedebasdep"/>
          <w:color w:val="000000"/>
        </w:rPr>
        <w:footnoteReference w:id="61"/>
      </w:r>
      <w:r w:rsidRPr="002D31B2">
        <w:rPr>
          <w:color w:val="000000"/>
        </w:rPr>
        <w:t xml:space="preserve">. Significativement, l’arrêt </w:t>
      </w:r>
      <w:r w:rsidRPr="002D31B2">
        <w:rPr>
          <w:i/>
          <w:color w:val="000000"/>
        </w:rPr>
        <w:lastRenderedPageBreak/>
        <w:t xml:space="preserve">Sahin Alpay c. Turquie </w:t>
      </w:r>
      <w:r w:rsidRPr="002D31B2">
        <w:rPr>
          <w:color w:val="000000"/>
        </w:rPr>
        <w:t xml:space="preserve">montre qu’une mesure peut être taxée de « non strictement exigée par la situation », au sens de l’article 15, sur </w:t>
      </w:r>
      <w:r>
        <w:rPr>
          <w:color w:val="000000"/>
        </w:rPr>
        <w:t xml:space="preserve">la </w:t>
      </w:r>
      <w:r w:rsidRPr="002D31B2">
        <w:rPr>
          <w:color w:val="000000"/>
        </w:rPr>
        <w:t>base du seul constat qu’elle n’est pas « nécessaire dans une société démocratique », au sens de l’article 10</w:t>
      </w:r>
      <w:r w:rsidR="00B31BC1">
        <w:rPr>
          <w:rStyle w:val="Appelnotedebasdep"/>
          <w:color w:val="000000"/>
        </w:rPr>
        <w:footnoteReference w:id="62"/>
      </w:r>
      <w:r w:rsidRPr="002D31B2">
        <w:rPr>
          <w:color w:val="000000"/>
        </w:rPr>
        <w:t>. La dérogation ne permet pas de « purger » la disproportion qui affecterait une restriction : son utilité n’apparaît donc pas sur ce terrain non plus</w:t>
      </w:r>
      <w:r w:rsidR="003D63FD">
        <w:rPr>
          <w:color w:val="000000"/>
        </w:rPr>
        <w:t>.</w:t>
      </w:r>
    </w:p>
    <w:p w14:paraId="1CA4BC88" w14:textId="77777777" w:rsidR="003D63FD" w:rsidRPr="002D31B2" w:rsidRDefault="003D63FD" w:rsidP="003D63FD">
      <w:pPr>
        <w:jc w:val="both"/>
        <w:rPr>
          <w:color w:val="000000"/>
        </w:rPr>
      </w:pPr>
    </w:p>
    <w:p w14:paraId="113991D8" w14:textId="09641CE1" w:rsidR="00B71D51" w:rsidRDefault="00B71D51" w:rsidP="003D63FD">
      <w:pPr>
        <w:jc w:val="both"/>
      </w:pPr>
      <w:r w:rsidRPr="002D31B2">
        <w:t xml:space="preserve">Enfin, la stratégie consistant à établir </w:t>
      </w:r>
      <w:r w:rsidRPr="002D31B2">
        <w:rPr>
          <w:lang w:val="fr-FR"/>
        </w:rPr>
        <w:t xml:space="preserve">la distinction entre restrictions et dérogations sur un critère temporel </w:t>
      </w:r>
      <w:r w:rsidRPr="002D31B2">
        <w:t>–</w:t>
      </w:r>
      <w:r w:rsidRPr="002D31B2">
        <w:rPr>
          <w:lang w:val="fr-FR"/>
        </w:rPr>
        <w:t xml:space="preserve"> les restrictions peuvent s’inscrire dans la durée et dans les temps ordinaires, tandis que les dérogations sont des limitations des droits temporaires par nature et limitées aux temps exceptionnels </w:t>
      </w:r>
      <w:r w:rsidRPr="002D31B2">
        <w:t>–</w:t>
      </w:r>
      <w:r w:rsidRPr="002D31B2">
        <w:rPr>
          <w:lang w:val="fr-FR"/>
        </w:rPr>
        <w:t xml:space="preserve"> n’est pas porteuse. Tout au contraire aboutit-elle, non à prêter quelqu’utilité à la dérogation par rapport à la restriction, mais tout au contraire, à mettre en exergue sa moindre performance</w:t>
      </w:r>
      <w:r w:rsidR="00B31BC1">
        <w:rPr>
          <w:rStyle w:val="Appelnotedebasdep"/>
          <w:lang w:val="fr-FR"/>
        </w:rPr>
        <w:footnoteReference w:id="63"/>
      </w:r>
      <w:r w:rsidRPr="002D31B2">
        <w:t>.</w:t>
      </w:r>
    </w:p>
    <w:p w14:paraId="4149E8F3" w14:textId="77777777" w:rsidR="003D63FD" w:rsidRPr="002D31B2" w:rsidRDefault="003D63FD" w:rsidP="003D63FD">
      <w:pPr>
        <w:jc w:val="both"/>
      </w:pPr>
    </w:p>
    <w:p w14:paraId="2ECF47F8" w14:textId="58302157" w:rsidR="00B71D51" w:rsidRDefault="003D63FD" w:rsidP="007C446F">
      <w:pPr>
        <w:jc w:val="both"/>
        <w:rPr>
          <w:lang w:val="fr-FR"/>
        </w:rPr>
      </w:pPr>
      <w:r>
        <w:rPr>
          <w:b/>
          <w:bCs/>
        </w:rPr>
        <w:t>27.</w:t>
      </w:r>
      <w:r w:rsidR="007C446F">
        <w:t xml:space="preserve"> </w:t>
      </w:r>
      <w:r w:rsidR="007C446F">
        <w:tab/>
      </w:r>
      <w:r w:rsidR="00B71D51" w:rsidRPr="002D31B2">
        <w:t xml:space="preserve">Confrontée à ces impasses, mais refusant </w:t>
      </w:r>
      <w:r>
        <w:t xml:space="preserve">de </w:t>
      </w:r>
      <w:r w:rsidR="00B71D51" w:rsidRPr="002D31B2">
        <w:t>le deuil de l’effet utile de l’article 15 au sein du système conventionnel, une partie de la doctrine soutiendra alors que le critère principal pour distinguer les restrictions de la dérogation réside dans l’étendue des ingérences autorisées aux droits garantis</w:t>
      </w:r>
      <w:r w:rsidR="00B31BC1">
        <w:rPr>
          <w:rStyle w:val="Appelnotedebasdep"/>
        </w:rPr>
        <w:footnoteReference w:id="64"/>
      </w:r>
      <w:r w:rsidR="00B71D51" w:rsidRPr="002D31B2">
        <w:t>.</w:t>
      </w:r>
      <w:r w:rsidR="00B71D51" w:rsidRPr="002D31B2">
        <w:rPr>
          <w:rStyle w:val="Titre2Car"/>
        </w:rPr>
        <w:t xml:space="preserve"> </w:t>
      </w:r>
      <w:r w:rsidR="00B71D51" w:rsidRPr="002D31B2">
        <w:t>Les restrictions seraient impuissantes à porter atteinte à la « substance des droits garantis »</w:t>
      </w:r>
      <w:r w:rsidR="00B31BC1">
        <w:rPr>
          <w:rStyle w:val="Appelnotedebasdep"/>
        </w:rPr>
        <w:footnoteReference w:id="65"/>
      </w:r>
      <w:r w:rsidR="00B71D51" w:rsidRPr="002D31B2">
        <w:t xml:space="preserve"> et cela, logiquement, même en cas de circonstances « quasi exceptionnelles ». La dérogation pourrait par contre entraîner la paralysie complète de la norme ; ici s’affirmerait son effet utile</w:t>
      </w:r>
      <w:r w:rsidR="00B31BC1">
        <w:rPr>
          <w:rStyle w:val="Appelnotedebasdep"/>
        </w:rPr>
        <w:footnoteReference w:id="66"/>
      </w:r>
      <w:r w:rsidR="00B71D51" w:rsidRPr="002D31B2">
        <w:rPr>
          <w:lang w:val="fr-FR"/>
        </w:rPr>
        <w:t>.</w:t>
      </w:r>
    </w:p>
    <w:p w14:paraId="363F25CF" w14:textId="77777777" w:rsidR="00250F16" w:rsidRPr="002D31B2" w:rsidRDefault="00250F16" w:rsidP="00B71D51">
      <w:pPr>
        <w:rPr>
          <w:lang w:val="fr-FR"/>
        </w:rPr>
      </w:pPr>
    </w:p>
    <w:p w14:paraId="60C51823" w14:textId="4CBC99A0" w:rsidR="00B71D51" w:rsidRDefault="00250F16" w:rsidP="00B71D51">
      <w:pPr>
        <w:jc w:val="both"/>
      </w:pPr>
      <w:r w:rsidRPr="00B31BC1">
        <w:rPr>
          <w:b/>
        </w:rPr>
        <w:t>28.</w:t>
      </w:r>
      <w:r>
        <w:t xml:space="preserve"> </w:t>
      </w:r>
      <w:r w:rsidR="00B31BC1">
        <w:tab/>
      </w:r>
      <w:r>
        <w:t>Les propositions ainsi formulées sont théoriquement recevables. Force est cependant de constater – au terme d’une démonstration qu’on ne livrera plus ici – que leur opérationnalisation pratique déçoit énormément. La « substance » des droits fondamentaux demeure en effet largement introuvable, et en tous cas sujette à controverses multiples et variées, dans le droit de la Convention européenne des droits de l’Homme</w:t>
      </w:r>
      <w:r w:rsidR="00F718B2">
        <w:rPr>
          <w:rStyle w:val="Appelnotedebasdep"/>
        </w:rPr>
        <w:footnoteReference w:id="67"/>
      </w:r>
      <w:r>
        <w:t xml:space="preserve">. La </w:t>
      </w:r>
      <w:r w:rsidR="008D09AB">
        <w:t>jurisprudence de la Cour de justice de l’Union européenne n’est pas beaucoup plus éclairante</w:t>
      </w:r>
      <w:r w:rsidR="008D09AB">
        <w:rPr>
          <w:rStyle w:val="Appelnotedebasdep"/>
        </w:rPr>
        <w:footnoteReference w:id="68"/>
      </w:r>
      <w:r w:rsidR="008D09AB">
        <w:t xml:space="preserve">, nonobstant la consécration explicite, </w:t>
      </w:r>
      <w:r w:rsidR="008D09AB">
        <w:lastRenderedPageBreak/>
        <w:t>dans l’article 52, § 1</w:t>
      </w:r>
      <w:r w:rsidR="008D09AB" w:rsidRPr="008D09AB">
        <w:rPr>
          <w:vertAlign w:val="superscript"/>
        </w:rPr>
        <w:t>er</w:t>
      </w:r>
      <w:r w:rsidR="008D09AB">
        <w:t>, de la Charte des droits fondamentaux de l’Union européenne, de l’intangibilité du « contenu essentiel » des droits et libertés</w:t>
      </w:r>
      <w:r w:rsidR="00B31BC1">
        <w:t>.</w:t>
      </w:r>
    </w:p>
    <w:p w14:paraId="1D5FD259" w14:textId="001567BE" w:rsidR="003B45B5" w:rsidRDefault="003B45B5" w:rsidP="00B71D51">
      <w:pPr>
        <w:jc w:val="both"/>
      </w:pPr>
    </w:p>
    <w:p w14:paraId="50399B78" w14:textId="5EDED31E" w:rsidR="003B45B5" w:rsidRPr="00B31BC1" w:rsidRDefault="003B45B5" w:rsidP="003B45B5">
      <w:pPr>
        <w:pStyle w:val="Paragraphedeliste"/>
        <w:numPr>
          <w:ilvl w:val="0"/>
          <w:numId w:val="3"/>
        </w:numPr>
        <w:jc w:val="both"/>
        <w:rPr>
          <w:b/>
          <w:color w:val="000000" w:themeColor="text1"/>
          <w:shd w:val="clear" w:color="auto" w:fill="FFFFFF"/>
        </w:rPr>
      </w:pPr>
      <w:r w:rsidRPr="00B31BC1">
        <w:rPr>
          <w:b/>
          <w:color w:val="000000" w:themeColor="text1"/>
          <w:shd w:val="clear" w:color="auto" w:fill="FFFFFF"/>
        </w:rPr>
        <w:t>Les réponses du « droit commun » face à la crise de la Covid-19</w:t>
      </w:r>
    </w:p>
    <w:p w14:paraId="25560702" w14:textId="41EF6AFB" w:rsidR="00E7144C" w:rsidRDefault="00E7144C" w:rsidP="00E7144C">
      <w:pPr>
        <w:jc w:val="both"/>
        <w:rPr>
          <w:color w:val="000000" w:themeColor="text1"/>
          <w:shd w:val="clear" w:color="auto" w:fill="FFFFFF"/>
        </w:rPr>
      </w:pPr>
    </w:p>
    <w:p w14:paraId="18E7FF65" w14:textId="640F4B51" w:rsidR="00E7144C" w:rsidRDefault="00544589" w:rsidP="00E7144C">
      <w:pPr>
        <w:jc w:val="both"/>
        <w:rPr>
          <w:color w:val="000000" w:themeColor="text1"/>
          <w:shd w:val="clear" w:color="auto" w:fill="FFFFFF"/>
        </w:rPr>
      </w:pPr>
      <w:r w:rsidRPr="00544589">
        <w:rPr>
          <w:b/>
          <w:color w:val="000000" w:themeColor="text1"/>
          <w:shd w:val="clear" w:color="auto" w:fill="FFFFFF"/>
        </w:rPr>
        <w:t>29.</w:t>
      </w:r>
      <w:r>
        <w:rPr>
          <w:color w:val="000000" w:themeColor="text1"/>
          <w:shd w:val="clear" w:color="auto" w:fill="FFFFFF"/>
        </w:rPr>
        <w:tab/>
      </w:r>
      <w:r w:rsidR="00E7144C">
        <w:rPr>
          <w:color w:val="000000" w:themeColor="text1"/>
          <w:shd w:val="clear" w:color="auto" w:fill="FFFFFF"/>
        </w:rPr>
        <w:t xml:space="preserve">Dans une étude récemment publiée à la </w:t>
      </w:r>
      <w:r w:rsidR="00E7144C">
        <w:rPr>
          <w:i/>
          <w:color w:val="000000" w:themeColor="text1"/>
          <w:shd w:val="clear" w:color="auto" w:fill="FFFFFF"/>
        </w:rPr>
        <w:t>Revue trimestrielle des droits de l’Homme</w:t>
      </w:r>
      <w:r w:rsidR="00E7144C" w:rsidRPr="009D0A15">
        <w:rPr>
          <w:i/>
          <w:smallCaps/>
          <w:color w:val="000000" w:themeColor="text1"/>
          <w:shd w:val="clear" w:color="auto" w:fill="FFFFFF"/>
        </w:rPr>
        <w:t xml:space="preserve">, </w:t>
      </w:r>
      <w:r w:rsidR="00E7144C" w:rsidRPr="009D0A15">
        <w:rPr>
          <w:smallCaps/>
          <w:color w:val="000000" w:themeColor="text1"/>
          <w:shd w:val="clear" w:color="auto" w:fill="FFFFFF"/>
        </w:rPr>
        <w:t>L. Bianku</w:t>
      </w:r>
      <w:r w:rsidR="00E7144C">
        <w:rPr>
          <w:color w:val="000000" w:themeColor="text1"/>
          <w:shd w:val="clear" w:color="auto" w:fill="FFFFFF"/>
        </w:rPr>
        <w:t>, ancien juge auprès de la CEDH, faisait, à titre prospectif, l’inventaire des droits et libertés conventionnels susceptibles d’être mis en jeu, en termes d’obligation positives ou négatives, par la pandémie de Covid-19</w:t>
      </w:r>
      <w:r w:rsidR="00B31BC1">
        <w:rPr>
          <w:rStyle w:val="Appelnotedebasdep"/>
          <w:color w:val="000000" w:themeColor="text1"/>
          <w:shd w:val="clear" w:color="auto" w:fill="FFFFFF"/>
        </w:rPr>
        <w:footnoteReference w:id="69"/>
      </w:r>
      <w:r w:rsidR="00E7144C">
        <w:rPr>
          <w:color w:val="000000" w:themeColor="text1"/>
          <w:shd w:val="clear" w:color="auto" w:fill="FFFFFF"/>
        </w:rPr>
        <w:t xml:space="preserve">. La longueur de cet inventaire n’était en rien exagérée : des affaires </w:t>
      </w:r>
      <w:r w:rsidR="00E7144C" w:rsidRPr="00B31BC1">
        <w:t>actuellement</w:t>
      </w:r>
      <w:r w:rsidR="00E7144C">
        <w:rPr>
          <w:color w:val="000000" w:themeColor="text1"/>
          <w:shd w:val="clear" w:color="auto" w:fill="FFFFFF"/>
        </w:rPr>
        <w:t xml:space="preserve"> pendantes devant la Cour</w:t>
      </w:r>
      <w:r>
        <w:rPr>
          <w:rStyle w:val="Appelnotedebasdep"/>
          <w:color w:val="000000" w:themeColor="text1"/>
          <w:shd w:val="clear" w:color="auto" w:fill="FFFFFF"/>
        </w:rPr>
        <w:footnoteReference w:id="70"/>
      </w:r>
      <w:r w:rsidR="00E7144C">
        <w:rPr>
          <w:color w:val="000000" w:themeColor="text1"/>
          <w:shd w:val="clear" w:color="auto" w:fill="FFFFFF"/>
        </w:rPr>
        <w:t xml:space="preserve"> soulèvent ainsi des questions au regard des articles 3 (interdiction de la torture, des peines et traitements inhumains ou dégradants), 5 (droit à la liberté et à la sûreté), 6 (droit au procès équitable), 8 (droit au respect de la vie privée et familiale), 9 (liberté de religion), 10 (liberté d’expression), </w:t>
      </w:r>
      <w:r w:rsidR="00D369D5">
        <w:rPr>
          <w:color w:val="000000" w:themeColor="text1"/>
          <w:shd w:val="clear" w:color="auto" w:fill="FFFFFF"/>
        </w:rPr>
        <w:t xml:space="preserve">et </w:t>
      </w:r>
      <w:r w:rsidR="00E7144C">
        <w:rPr>
          <w:color w:val="000000" w:themeColor="text1"/>
          <w:shd w:val="clear" w:color="auto" w:fill="FFFFFF"/>
        </w:rPr>
        <w:t>11 (liberté de réunion</w:t>
      </w:r>
      <w:r w:rsidR="00C910FC">
        <w:rPr>
          <w:color w:val="000000" w:themeColor="text1"/>
          <w:shd w:val="clear" w:color="auto" w:fill="FFFFFF"/>
        </w:rPr>
        <w:t xml:space="preserve">) </w:t>
      </w:r>
      <w:r w:rsidR="00D369D5">
        <w:rPr>
          <w:color w:val="000000" w:themeColor="text1"/>
          <w:shd w:val="clear" w:color="auto" w:fill="FFFFFF"/>
        </w:rPr>
        <w:t>de la Convention, ainsi qu’au regard de l’article 1</w:t>
      </w:r>
      <w:r w:rsidR="00D369D5" w:rsidRPr="00D369D5">
        <w:rPr>
          <w:color w:val="000000" w:themeColor="text1"/>
          <w:shd w:val="clear" w:color="auto" w:fill="FFFFFF"/>
          <w:vertAlign w:val="superscript"/>
        </w:rPr>
        <w:t>er</w:t>
      </w:r>
      <w:r w:rsidR="00D369D5">
        <w:rPr>
          <w:color w:val="000000" w:themeColor="text1"/>
          <w:shd w:val="clear" w:color="auto" w:fill="FFFFFF"/>
        </w:rPr>
        <w:t xml:space="preserve"> du premier protocole additionnel (droit de propriété) et 2 du quatrième protocole additionnel (liberté de circulation). </w:t>
      </w:r>
    </w:p>
    <w:p w14:paraId="57421297" w14:textId="1CD018A1" w:rsidR="00D369D5" w:rsidRDefault="00D369D5" w:rsidP="00E7144C">
      <w:pPr>
        <w:jc w:val="both"/>
        <w:rPr>
          <w:color w:val="000000" w:themeColor="text1"/>
          <w:shd w:val="clear" w:color="auto" w:fill="FFFFFF"/>
        </w:rPr>
      </w:pPr>
    </w:p>
    <w:p w14:paraId="764D8FEF" w14:textId="39C94B07" w:rsidR="00D369D5" w:rsidRDefault="00544589" w:rsidP="00E7144C">
      <w:pPr>
        <w:jc w:val="both"/>
        <w:rPr>
          <w:color w:val="000000" w:themeColor="text1"/>
          <w:shd w:val="clear" w:color="auto" w:fill="FFFFFF"/>
        </w:rPr>
      </w:pPr>
      <w:r w:rsidRPr="00544589">
        <w:rPr>
          <w:b/>
          <w:color w:val="000000" w:themeColor="text1"/>
          <w:shd w:val="clear" w:color="auto" w:fill="FFFFFF"/>
        </w:rPr>
        <w:t>30</w:t>
      </w:r>
      <w:r>
        <w:rPr>
          <w:color w:val="000000" w:themeColor="text1"/>
          <w:shd w:val="clear" w:color="auto" w:fill="FFFFFF"/>
        </w:rPr>
        <w:t>.</w:t>
      </w:r>
      <w:r>
        <w:rPr>
          <w:color w:val="000000" w:themeColor="text1"/>
          <w:shd w:val="clear" w:color="auto" w:fill="FFFFFF"/>
        </w:rPr>
        <w:tab/>
      </w:r>
      <w:r w:rsidR="00D369D5">
        <w:rPr>
          <w:color w:val="000000" w:themeColor="text1"/>
          <w:shd w:val="clear" w:color="auto" w:fill="FFFFFF"/>
        </w:rPr>
        <w:t xml:space="preserve">Il est évidemment trop tôt pour dégager des conclusions fermes et définitives sur l’approche de la Cour vis-à-vis de limitations aux droits et libertés qui se trouvent querellées dans ces affaires. Néanmoins, on voit malgré tout apparaître, dans les décisions rendues çà et là à propos de l’une ou l’autre d’entre elles, les indices d’une certaine bienveillance, que permet une interprétation souple du « droit conventionnel commun ». </w:t>
      </w:r>
    </w:p>
    <w:p w14:paraId="31446C79" w14:textId="29021BB3" w:rsidR="00D369D5" w:rsidRDefault="00D369D5" w:rsidP="00E7144C">
      <w:pPr>
        <w:jc w:val="both"/>
        <w:rPr>
          <w:color w:val="000000" w:themeColor="text1"/>
          <w:shd w:val="clear" w:color="auto" w:fill="FFFFFF"/>
        </w:rPr>
      </w:pPr>
    </w:p>
    <w:p w14:paraId="50ED6F47" w14:textId="7A5014E5" w:rsidR="00D369D5" w:rsidRDefault="00544589" w:rsidP="00E7144C">
      <w:pPr>
        <w:jc w:val="both"/>
        <w:rPr>
          <w:color w:val="000000" w:themeColor="text1"/>
          <w:shd w:val="clear" w:color="auto" w:fill="FFFFFF"/>
        </w:rPr>
      </w:pPr>
      <w:r>
        <w:rPr>
          <w:b/>
          <w:color w:val="000000" w:themeColor="text1"/>
          <w:shd w:val="clear" w:color="auto" w:fill="FFFFFF"/>
        </w:rPr>
        <w:t>31.</w:t>
      </w:r>
      <w:r>
        <w:rPr>
          <w:b/>
          <w:color w:val="000000" w:themeColor="text1"/>
          <w:shd w:val="clear" w:color="auto" w:fill="FFFFFF"/>
        </w:rPr>
        <w:tab/>
      </w:r>
      <w:r w:rsidR="00D369D5">
        <w:rPr>
          <w:color w:val="000000" w:themeColor="text1"/>
          <w:shd w:val="clear" w:color="auto" w:fill="FFFFFF"/>
        </w:rPr>
        <w:t>Ainsi, et à propos d’une méconnaissance de l’article 5, § 3, de la Convention qu’aurait engendrée la suspension d</w:t>
      </w:r>
      <w:r w:rsidR="002D1F12">
        <w:rPr>
          <w:color w:val="000000" w:themeColor="text1"/>
          <w:shd w:val="clear" w:color="auto" w:fill="FFFFFF"/>
        </w:rPr>
        <w:t xml:space="preserve">es poursuites liée à la lutte contre la pandémie, une décision </w:t>
      </w:r>
      <w:r w:rsidR="002D1F12">
        <w:rPr>
          <w:i/>
          <w:color w:val="000000" w:themeColor="text1"/>
          <w:shd w:val="clear" w:color="auto" w:fill="FFFFFF"/>
        </w:rPr>
        <w:t xml:space="preserve">Fenech c. Malte </w:t>
      </w:r>
      <w:r w:rsidR="002D1F12">
        <w:rPr>
          <w:color w:val="000000" w:themeColor="text1"/>
          <w:shd w:val="clear" w:color="auto" w:fill="FFFFFF"/>
        </w:rPr>
        <w:t>du 23 mars 2021</w:t>
      </w:r>
      <w:r w:rsidR="002D1F12">
        <w:rPr>
          <w:rStyle w:val="Appelnotedebasdep"/>
          <w:color w:val="000000" w:themeColor="text1"/>
          <w:shd w:val="clear" w:color="auto" w:fill="FFFFFF"/>
        </w:rPr>
        <w:footnoteReference w:id="71"/>
      </w:r>
      <w:r w:rsidR="002D1F12">
        <w:rPr>
          <w:color w:val="000000" w:themeColor="text1"/>
          <w:shd w:val="clear" w:color="auto" w:fill="FFFFFF"/>
        </w:rPr>
        <w:t xml:space="preserve"> énonce :</w:t>
      </w:r>
    </w:p>
    <w:p w14:paraId="2EF963DA" w14:textId="30785E37" w:rsidR="002D1F12" w:rsidRDefault="002D1F12" w:rsidP="00E7144C">
      <w:pPr>
        <w:jc w:val="both"/>
        <w:rPr>
          <w:color w:val="000000" w:themeColor="text1"/>
          <w:shd w:val="clear" w:color="auto" w:fill="FFFFFF"/>
        </w:rPr>
      </w:pPr>
    </w:p>
    <w:p w14:paraId="06B49812" w14:textId="2E91B53A" w:rsidR="002D1F12" w:rsidRPr="00544589" w:rsidRDefault="002D1F12" w:rsidP="00544589">
      <w:pPr>
        <w:ind w:left="567"/>
        <w:jc w:val="both"/>
        <w:rPr>
          <w:rStyle w:val="sb8d990e2"/>
          <w:color w:val="000000"/>
          <w:sz w:val="20"/>
          <w:szCs w:val="20"/>
          <w:lang w:val="en-US"/>
        </w:rPr>
      </w:pPr>
      <w:r w:rsidRPr="00544589">
        <w:rPr>
          <w:color w:val="000000" w:themeColor="text1"/>
          <w:sz w:val="20"/>
          <w:szCs w:val="20"/>
          <w:shd w:val="clear" w:color="auto" w:fill="FFFFFF"/>
          <w:lang w:val="en-US"/>
        </w:rPr>
        <w:t>« </w:t>
      </w:r>
      <w:bookmarkStart w:id="1" w:name="_Hlk67565010"/>
      <w:r w:rsidRPr="00544589">
        <w:rPr>
          <w:rStyle w:val="sb8d990e2"/>
          <w:color w:val="000000"/>
          <w:sz w:val="20"/>
          <w:szCs w:val="20"/>
          <w:lang w:val="en-US"/>
        </w:rPr>
        <w:t>this temporary suspension was due to the exceptional circumstances surrounding a global pandemic which, as held by the Constitutional Court (), justified such lawful measures in the interest of public health, as well as that of the applicant. It follows that it cannot be said that in the circumstances of the present case the duty of special diligence was not observed</w:t>
      </w:r>
      <w:bookmarkEnd w:id="1"/>
      <w:r w:rsidRPr="00544589">
        <w:rPr>
          <w:rStyle w:val="sb8d990e2"/>
          <w:color w:val="000000"/>
          <w:sz w:val="20"/>
          <w:szCs w:val="20"/>
          <w:lang w:val="en-US"/>
        </w:rPr>
        <w:t> »</w:t>
      </w:r>
    </w:p>
    <w:p w14:paraId="26E23283" w14:textId="4EB88728" w:rsidR="002D1F12" w:rsidRPr="003304E0" w:rsidRDefault="002D1F12" w:rsidP="002D1F12">
      <w:pPr>
        <w:rPr>
          <w:rStyle w:val="sb8d990e2"/>
          <w:rFonts w:ascii="Arial" w:hAnsi="Arial" w:cs="Arial"/>
          <w:color w:val="000000"/>
          <w:lang w:val="en-US"/>
        </w:rPr>
      </w:pPr>
    </w:p>
    <w:p w14:paraId="0A92AB15" w14:textId="14128884" w:rsidR="000F7E53" w:rsidRPr="00544589" w:rsidRDefault="00544589" w:rsidP="000F7E53">
      <w:pPr>
        <w:jc w:val="both"/>
        <w:rPr>
          <w:rStyle w:val="sb8d990e2"/>
          <w:color w:val="000000"/>
        </w:rPr>
      </w:pPr>
      <w:r w:rsidRPr="00544589">
        <w:rPr>
          <w:rStyle w:val="sb8d990e2"/>
          <w:b/>
          <w:color w:val="000000"/>
        </w:rPr>
        <w:t>32.</w:t>
      </w:r>
      <w:r w:rsidRPr="00544589">
        <w:rPr>
          <w:rStyle w:val="sb8d990e2"/>
          <w:b/>
          <w:color w:val="000000"/>
        </w:rPr>
        <w:tab/>
      </w:r>
      <w:r w:rsidR="002D1F12" w:rsidRPr="00544589">
        <w:rPr>
          <w:rStyle w:val="sb8d990e2"/>
          <w:color w:val="000000"/>
        </w:rPr>
        <w:t xml:space="preserve">Dans une affaire </w:t>
      </w:r>
      <w:r w:rsidR="002D1F12" w:rsidRPr="00544589">
        <w:rPr>
          <w:rStyle w:val="sb8d990e2"/>
          <w:i/>
          <w:color w:val="000000"/>
        </w:rPr>
        <w:t xml:space="preserve">Terhes c. Roumanie, </w:t>
      </w:r>
      <w:r w:rsidR="002D1F12" w:rsidRPr="00544589">
        <w:rPr>
          <w:rStyle w:val="sb8d990e2"/>
          <w:color w:val="000000"/>
        </w:rPr>
        <w:t xml:space="preserve">le requérant </w:t>
      </w:r>
      <w:r w:rsidR="000F7E53" w:rsidRPr="00544589">
        <w:rPr>
          <w:rStyle w:val="sb8d990e2"/>
          <w:color w:val="000000"/>
        </w:rPr>
        <w:t>soutenait que la mesure de confinement appliquée en Roumanie du 24 mars au 14 mai 2020, et à laquelle il a</w:t>
      </w:r>
      <w:r w:rsidRPr="00544589">
        <w:rPr>
          <w:rStyle w:val="sb8d990e2"/>
          <w:color w:val="000000"/>
        </w:rPr>
        <w:t>vait dû se conformer, constituait</w:t>
      </w:r>
      <w:r w:rsidR="000F7E53" w:rsidRPr="00544589">
        <w:rPr>
          <w:rStyle w:val="sb8d990e2"/>
          <w:color w:val="000000"/>
        </w:rPr>
        <w:t xml:space="preserve"> une privation de liberté contraire à l’article 5 § 1 e) de la Convention. </w:t>
      </w:r>
      <w:r w:rsidR="000F7E53" w:rsidRPr="00544589">
        <w:rPr>
          <w:rStyle w:val="sb8d990e2"/>
          <w:i/>
          <w:color w:val="000000"/>
        </w:rPr>
        <w:t xml:space="preserve">In fine, </w:t>
      </w:r>
      <w:r w:rsidR="000F7E53" w:rsidRPr="00544589">
        <w:rPr>
          <w:rStyle w:val="sb8d990e2"/>
          <w:color w:val="000000"/>
        </w:rPr>
        <w:t xml:space="preserve">la Cour estima que la mesure de confinement imposée n’était pas telle qu’elle puisse être qualifiée de « privation de liberté ». Sans qu’il ne soit possible d’en déterminer avec certitude le caractère </w:t>
      </w:r>
      <w:r w:rsidR="000F7E53" w:rsidRPr="00544589">
        <w:rPr>
          <w:rStyle w:val="sb8d990e2"/>
          <w:iCs/>
          <w:color w:val="000000"/>
        </w:rPr>
        <w:t xml:space="preserve">décisif, </w:t>
      </w:r>
      <w:r w:rsidR="000F7E53" w:rsidRPr="00544589">
        <w:rPr>
          <w:rStyle w:val="sb8d990e2"/>
          <w:i/>
          <w:iCs/>
          <w:color w:val="000000"/>
        </w:rPr>
        <w:t xml:space="preserve">vel non, </w:t>
      </w:r>
      <w:r w:rsidR="000F7E53" w:rsidRPr="00544589">
        <w:rPr>
          <w:rStyle w:val="sb8d990e2"/>
          <w:iCs/>
          <w:color w:val="000000"/>
        </w:rPr>
        <w:t>il est intéressant de voir la mise en exergue, par la Cour, des « éléments contextuels » particuliers de l’affaire</w:t>
      </w:r>
      <w:r w:rsidR="00734EB3" w:rsidRPr="00544589">
        <w:rPr>
          <w:rStyle w:val="Appelnotedebasdep"/>
          <w:iCs/>
          <w:color w:val="000000"/>
        </w:rPr>
        <w:footnoteReference w:id="72"/>
      </w:r>
      <w:r w:rsidR="000F7E53" w:rsidRPr="00544589">
        <w:rPr>
          <w:rStyle w:val="sb8d990e2"/>
          <w:iCs/>
          <w:color w:val="000000"/>
        </w:rPr>
        <w:t>. Ainsi la décision rappelle-t-elle que « </w:t>
      </w:r>
      <w:r w:rsidR="000F7E53" w:rsidRPr="00544589">
        <w:rPr>
          <w:rStyle w:val="sb8d990e2"/>
          <w:color w:val="000000"/>
        </w:rPr>
        <w:t xml:space="preserve">le </w:t>
      </w:r>
      <w:r w:rsidR="000F7E53" w:rsidRPr="00544589">
        <w:rPr>
          <w:rStyle w:val="sb8d990e2"/>
          <w:color w:val="000000"/>
        </w:rPr>
        <w:lastRenderedPageBreak/>
        <w:t xml:space="preserve">contexte dans lequel s’inscrit la mesure représente un facteur important car il est courant, dans les sociétés modernes, que surviennent des situations dans lesquelles le public peut être appelé à supporter des restrictions à la liberté de circulation ou à la liberté des personnes dans l’intérêt du bien commun ». Plus avant, la Cour affirme que </w:t>
      </w:r>
    </w:p>
    <w:p w14:paraId="760B02FC" w14:textId="77777777" w:rsidR="000F7E53" w:rsidRDefault="000F7E53" w:rsidP="000F7E53">
      <w:pPr>
        <w:rPr>
          <w:rStyle w:val="sb8d990e2"/>
          <w:rFonts w:ascii="Arial" w:hAnsi="Arial" w:cs="Arial"/>
          <w:color w:val="000000"/>
        </w:rPr>
      </w:pPr>
    </w:p>
    <w:p w14:paraId="5FCE2C9F" w14:textId="47EB1A6A" w:rsidR="000F7E53" w:rsidRPr="000F7E53" w:rsidRDefault="000F7E53" w:rsidP="000F7E53">
      <w:pPr>
        <w:pStyle w:val="s30eec3f8"/>
        <w:spacing w:before="0" w:beforeAutospacing="0" w:after="0" w:afterAutospacing="0"/>
        <w:ind w:left="567"/>
        <w:jc w:val="both"/>
        <w:rPr>
          <w:color w:val="000000"/>
          <w:sz w:val="20"/>
          <w:szCs w:val="20"/>
        </w:rPr>
      </w:pPr>
      <w:r w:rsidRPr="000F7E53">
        <w:rPr>
          <w:rStyle w:val="sb8d990e2"/>
          <w:color w:val="000000"/>
          <w:sz w:val="20"/>
          <w:szCs w:val="20"/>
        </w:rPr>
        <w:t>« </w:t>
      </w:r>
      <w:r w:rsidRPr="000F7E53">
        <w:rPr>
          <w:rStyle w:val="apple-converted-space"/>
          <w:color w:val="000000"/>
          <w:sz w:val="20"/>
          <w:szCs w:val="20"/>
        </w:rPr>
        <w:t xml:space="preserve"> la </w:t>
      </w:r>
      <w:r w:rsidRPr="000F7E53">
        <w:rPr>
          <w:rStyle w:val="sb8d990e2"/>
          <w:color w:val="000000"/>
          <w:sz w:val="20"/>
          <w:szCs w:val="20"/>
        </w:rPr>
        <w:t>mesure contestée par le requérant s’inscrit dans un contexte particulier. À cet égard, la Cour note que la mesure en question a été imposée dans le cadre de l’état d’urgence instauré en Roumanie le 16 mars 2020 (…) pour des raisons sanitaires. L’état d’urgence, selon la loi roumaine, est un régime juridique spécial permettant de prendre un ensemble de mesures exceptionnelles dérogeant à l’ordre constitutionnel établi. Il intervient donc en cas de péril imminent ou en cours, pour une durée déterminée, et permet à l’État de prendre des mesures ayant pour effet de restreindre l’exercice de certaines libertés fondamentales (….). De l’avis de la Cour, il ne fait aucun doute que la pandémie de COVID-19 peut avoir des effets très graves non seulement sur la santé, mais aussi sur la société, sur l’économie, sur le fonctionnement de l’État et sur la vie en général, et que la situation doit donc être qualifiée de « contexte exceptionnel imprévisible » (….).</w:t>
      </w:r>
    </w:p>
    <w:p w14:paraId="0392B66B" w14:textId="69541617" w:rsidR="000F7E53" w:rsidRDefault="000F7E53" w:rsidP="000F7E53">
      <w:pPr>
        <w:pStyle w:val="s30eec3f8"/>
        <w:spacing w:before="0" w:beforeAutospacing="0" w:after="0" w:afterAutospacing="0"/>
        <w:ind w:left="567"/>
        <w:jc w:val="both"/>
        <w:rPr>
          <w:rStyle w:val="sb8d990e2"/>
          <w:color w:val="000000"/>
          <w:sz w:val="20"/>
          <w:szCs w:val="20"/>
        </w:rPr>
      </w:pPr>
      <w:r w:rsidRPr="000F7E53">
        <w:rPr>
          <w:rStyle w:val="sb8d990e2"/>
          <w:color w:val="000000"/>
          <w:sz w:val="20"/>
          <w:szCs w:val="20"/>
        </w:rPr>
        <w:t>40.  La Cour observe ensuite que la mesure contestée en l’espèce a été imposée dans un but d’isolement et de confinement de l’ensemble de la population, en raison de conditions sanitaires que les autorités nationales compétentes ont jugées graves et urgentes. Comme souligné dans le préambule du décret n</w:t>
      </w:r>
      <w:r w:rsidRPr="000F7E53">
        <w:rPr>
          <w:rStyle w:val="sea881cdf"/>
          <w:color w:val="000000"/>
          <w:sz w:val="20"/>
          <w:szCs w:val="20"/>
        </w:rPr>
        <w:t>o</w:t>
      </w:r>
      <w:r w:rsidRPr="000F7E53">
        <w:rPr>
          <w:rStyle w:val="sb8d990e2"/>
          <w:color w:val="000000"/>
          <w:sz w:val="20"/>
          <w:szCs w:val="20"/>
        </w:rPr>
        <w:t> 195/2020, le président roumain a décidé d’instaurer l’état d’urgence après avoir consulté les organes compétents, et en raison d’un contexte exceptionnel imprévisible dû à l’évolution de la situation épidémique internationale : le coronavirus SARS-CoV-2 se propageait dans le monde et l’Organisation mondiale de la santé avait déclaré qu’il s’agissait d’une pandémie (….). Le décret précisait également que si les autorités ne prenaient pas d’urgence des mesures exceptionnelles pour limiter la propagation du virus au sein de la population, leur inaction aurait un impact très grave, principalement sur le droit à la vie, et subsidiairement sur le droit à la santé (paragraphe</w:t>
      </w:r>
      <w:r w:rsidRPr="000F7E53">
        <w:rPr>
          <w:rStyle w:val="apple-converted-space"/>
          <w:color w:val="000000"/>
          <w:sz w:val="20"/>
          <w:szCs w:val="20"/>
        </w:rPr>
        <w:t> </w:t>
      </w:r>
      <w:r w:rsidRPr="000F7E53">
        <w:rPr>
          <w:rStyle w:val="sb8d990e2"/>
          <w:color w:val="000000"/>
          <w:sz w:val="20"/>
          <w:szCs w:val="20"/>
        </w:rPr>
        <w:t>23</w:t>
      </w:r>
      <w:r w:rsidRPr="000F7E53">
        <w:rPr>
          <w:rStyle w:val="apple-converted-space"/>
          <w:color w:val="000000"/>
          <w:sz w:val="20"/>
          <w:szCs w:val="20"/>
        </w:rPr>
        <w:t> </w:t>
      </w:r>
      <w:r w:rsidRPr="000F7E53">
        <w:rPr>
          <w:rStyle w:val="sb8d990e2"/>
          <w:color w:val="000000"/>
          <w:sz w:val="20"/>
          <w:szCs w:val="20"/>
        </w:rPr>
        <w:t>ci</w:t>
      </w:r>
      <w:r w:rsidRPr="000F7E53">
        <w:rPr>
          <w:rStyle w:val="sb8d990e2"/>
          <w:color w:val="000000"/>
          <w:sz w:val="20"/>
          <w:szCs w:val="20"/>
        </w:rPr>
        <w:noBreakHyphen/>
        <w:t>dessus). Ainsi, c’est pour atténuer l’impact économique et social de l’épidémie et pour protéger le droit à la vie que l’État roumain a progressivement mis en place des mesures d’urgence, parmi lesquelles le confinement »</w:t>
      </w:r>
      <w:r w:rsidR="00544589">
        <w:rPr>
          <w:rStyle w:val="Appelnotedebasdep"/>
          <w:color w:val="000000"/>
          <w:sz w:val="20"/>
          <w:szCs w:val="20"/>
        </w:rPr>
        <w:footnoteReference w:id="73"/>
      </w:r>
      <w:r w:rsidRPr="000F7E53">
        <w:rPr>
          <w:rStyle w:val="sb8d990e2"/>
          <w:color w:val="000000"/>
          <w:sz w:val="20"/>
          <w:szCs w:val="20"/>
        </w:rPr>
        <w:t>.</w:t>
      </w:r>
    </w:p>
    <w:p w14:paraId="403CCEAB" w14:textId="77D15E7E" w:rsidR="000F7E53" w:rsidRDefault="000F7E53" w:rsidP="000F7E53">
      <w:pPr>
        <w:pStyle w:val="s30eec3f8"/>
        <w:spacing w:before="0" w:beforeAutospacing="0" w:after="0" w:afterAutospacing="0"/>
        <w:ind w:left="567"/>
        <w:jc w:val="both"/>
        <w:rPr>
          <w:rStyle w:val="sb8d990e2"/>
          <w:color w:val="000000"/>
          <w:sz w:val="20"/>
          <w:szCs w:val="20"/>
        </w:rPr>
      </w:pPr>
    </w:p>
    <w:p w14:paraId="387C28C4" w14:textId="2E9063F5" w:rsidR="00482936" w:rsidRPr="00544589" w:rsidRDefault="000F7E53" w:rsidP="00482936">
      <w:pPr>
        <w:pStyle w:val="s30eec3f8"/>
        <w:spacing w:before="0" w:beforeAutospacing="0" w:after="0" w:afterAutospacing="0"/>
        <w:jc w:val="both"/>
        <w:rPr>
          <w:rStyle w:val="sb8d990e2"/>
          <w:color w:val="000000"/>
        </w:rPr>
      </w:pPr>
      <w:r w:rsidRPr="00544589">
        <w:rPr>
          <w:rStyle w:val="sb8d990e2"/>
          <w:color w:val="000000"/>
        </w:rPr>
        <w:t xml:space="preserve">L’on notera encore avec intérêt que la Roumanie était l’un des dix états membres du Conseil de l’Europe à avoir </w:t>
      </w:r>
      <w:r w:rsidR="00482936" w:rsidRPr="00544589">
        <w:rPr>
          <w:rStyle w:val="sb8d990e2"/>
          <w:color w:val="000000"/>
        </w:rPr>
        <w:t>activé la possibilité de dérogation visée par l’article 15 de la Convention</w:t>
      </w:r>
      <w:r w:rsidR="00544589">
        <w:rPr>
          <w:rStyle w:val="sb8d990e2"/>
          <w:color w:val="000000"/>
        </w:rPr>
        <w:t xml:space="preserve"> (</w:t>
      </w:r>
      <w:r w:rsidR="00544589">
        <w:rPr>
          <w:rStyle w:val="sb8d990e2"/>
          <w:i/>
          <w:color w:val="000000"/>
        </w:rPr>
        <w:t xml:space="preserve">supra, </w:t>
      </w:r>
      <w:r w:rsidR="00544589">
        <w:rPr>
          <w:rStyle w:val="sb8d990e2"/>
          <w:color w:val="000000"/>
        </w:rPr>
        <w:t>n°)</w:t>
      </w:r>
      <w:r w:rsidR="00482936" w:rsidRPr="00544589">
        <w:rPr>
          <w:rStyle w:val="sb8d990e2"/>
          <w:color w:val="000000"/>
        </w:rPr>
        <w:t>. En l’occurrence, la dérogation roumaine entendait cibler la liberté de circulation, telle que garantie par l’article 2 du quatrième protocole additionnel à la Convention. La Cour n’estima cependant pas nécessaire de se pencher sur cet aspect des choses, pour les raisons ci-après exposées</w:t>
      </w:r>
      <w:r w:rsidR="00734EB3" w:rsidRPr="00544589">
        <w:rPr>
          <w:rStyle w:val="sb8d990e2"/>
          <w:color w:val="000000"/>
        </w:rPr>
        <w:t> :</w:t>
      </w:r>
    </w:p>
    <w:p w14:paraId="197F8D6E" w14:textId="77777777" w:rsidR="00482936" w:rsidRDefault="00482936" w:rsidP="00482936">
      <w:pPr>
        <w:pStyle w:val="s30eec3f8"/>
        <w:spacing w:before="0" w:beforeAutospacing="0" w:after="0" w:afterAutospacing="0"/>
        <w:jc w:val="both"/>
        <w:rPr>
          <w:rStyle w:val="sb8d990e2"/>
          <w:color w:val="000000"/>
          <w:sz w:val="20"/>
          <w:szCs w:val="20"/>
        </w:rPr>
      </w:pPr>
    </w:p>
    <w:p w14:paraId="7B454A5B" w14:textId="08AA9DDF" w:rsidR="00482936" w:rsidRDefault="00482936" w:rsidP="00734EB3">
      <w:pPr>
        <w:pStyle w:val="s30eec3f8"/>
        <w:spacing w:before="0" w:beforeAutospacing="0" w:after="0" w:afterAutospacing="0"/>
        <w:ind w:left="567"/>
        <w:jc w:val="both"/>
        <w:rPr>
          <w:color w:val="000000"/>
          <w:sz w:val="20"/>
          <w:szCs w:val="20"/>
        </w:rPr>
      </w:pPr>
      <w:r w:rsidRPr="00734EB3">
        <w:rPr>
          <w:rStyle w:val="sb8d990e2"/>
          <w:color w:val="000000"/>
          <w:sz w:val="20"/>
          <w:szCs w:val="20"/>
        </w:rPr>
        <w:t>« </w:t>
      </w:r>
      <w:r w:rsidRPr="00482936">
        <w:rPr>
          <w:color w:val="000000"/>
          <w:sz w:val="20"/>
          <w:szCs w:val="20"/>
        </w:rPr>
        <w:t xml:space="preserve"> la Roumanie entendait appliquer la dérogation prévue à l’article 15 de la Convention aux obligations découlant de l’article 2 du Protocole no 4 à la Convention qui garantit la liberté de circulation (</w:t>
      </w:r>
      <w:r w:rsidRPr="00734EB3">
        <w:rPr>
          <w:color w:val="000000"/>
          <w:sz w:val="20"/>
          <w:szCs w:val="20"/>
        </w:rPr>
        <w:t>….</w:t>
      </w:r>
      <w:r w:rsidRPr="00482936">
        <w:rPr>
          <w:color w:val="000000"/>
          <w:sz w:val="20"/>
          <w:szCs w:val="20"/>
        </w:rPr>
        <w:t>), droit que le requérant n’a pas invoqué devant la Cour. En tout état de cause, étant donné que l’article 5 § 1 de la Convention n’est pas applicable en l’espèce, il n’est pas nécessaire non plus d’examiner la validité de la dérogation déposée par la Roumanie auprès du Conseil de l’Europe (</w:t>
      </w:r>
      <w:r w:rsidR="00734EB3" w:rsidRPr="00734EB3">
        <w:rPr>
          <w:color w:val="000000"/>
          <w:sz w:val="20"/>
          <w:szCs w:val="20"/>
        </w:rPr>
        <w:t>….</w:t>
      </w:r>
      <w:r w:rsidRPr="00482936">
        <w:rPr>
          <w:color w:val="000000"/>
          <w:sz w:val="20"/>
          <w:szCs w:val="20"/>
        </w:rPr>
        <w:t>)</w:t>
      </w:r>
      <w:r w:rsidR="00734EB3" w:rsidRPr="00734EB3">
        <w:rPr>
          <w:color w:val="000000"/>
          <w:sz w:val="20"/>
          <w:szCs w:val="20"/>
        </w:rPr>
        <w:t> »</w:t>
      </w:r>
      <w:r w:rsidR="00734EB3">
        <w:rPr>
          <w:color w:val="000000"/>
          <w:sz w:val="20"/>
          <w:szCs w:val="20"/>
        </w:rPr>
        <w:t>.</w:t>
      </w:r>
    </w:p>
    <w:p w14:paraId="14773979" w14:textId="3CE4990B" w:rsidR="00734EB3" w:rsidRDefault="00734EB3" w:rsidP="00734EB3">
      <w:pPr>
        <w:pStyle w:val="s30eec3f8"/>
        <w:spacing w:before="0" w:beforeAutospacing="0" w:after="0" w:afterAutospacing="0"/>
        <w:ind w:left="567"/>
        <w:jc w:val="both"/>
        <w:rPr>
          <w:color w:val="000000"/>
          <w:sz w:val="20"/>
          <w:szCs w:val="20"/>
        </w:rPr>
      </w:pPr>
    </w:p>
    <w:p w14:paraId="28D01CC7" w14:textId="76E6947D" w:rsidR="00734EB3" w:rsidRPr="00544589" w:rsidRDefault="00544589" w:rsidP="00734EB3">
      <w:pPr>
        <w:pStyle w:val="s30eec3f8"/>
        <w:spacing w:before="0" w:beforeAutospacing="0" w:after="0" w:afterAutospacing="0"/>
        <w:jc w:val="both"/>
        <w:rPr>
          <w:color w:val="000000"/>
        </w:rPr>
      </w:pPr>
      <w:r>
        <w:rPr>
          <w:color w:val="000000"/>
        </w:rPr>
        <w:t>On aperçoi</w:t>
      </w:r>
      <w:r w:rsidR="00884674">
        <w:rPr>
          <w:color w:val="000000"/>
        </w:rPr>
        <w:t>t</w:t>
      </w:r>
      <w:r w:rsidR="00734EB3" w:rsidRPr="00544589">
        <w:rPr>
          <w:color w:val="000000"/>
        </w:rPr>
        <w:t xml:space="preserve"> ici comment le « droit commun » est parvenu à absorber une situation exceptionnelle, sans que la clause d’exception n’ait été nécessaire pour y parvenir, ni n’ait offert, du même coup, une démonstration éclatante de son caractère indispensable. La décision essuya, pour cette raison, une sévère critique </w:t>
      </w:r>
      <w:r w:rsidR="00734EB3" w:rsidRPr="009D0A15">
        <w:rPr>
          <w:smallCaps/>
          <w:color w:val="000000"/>
        </w:rPr>
        <w:t>d’Alan Greene</w:t>
      </w:r>
      <w:r w:rsidR="00734EB3" w:rsidRPr="00544589">
        <w:rPr>
          <w:color w:val="000000"/>
        </w:rPr>
        <w:t> :</w:t>
      </w:r>
    </w:p>
    <w:p w14:paraId="76355B33" w14:textId="77F89DC6" w:rsidR="00734EB3" w:rsidRDefault="00734EB3" w:rsidP="00734EB3">
      <w:pPr>
        <w:pStyle w:val="s30eec3f8"/>
        <w:spacing w:before="0" w:beforeAutospacing="0" w:after="0" w:afterAutospacing="0"/>
        <w:jc w:val="both"/>
        <w:rPr>
          <w:color w:val="000000"/>
          <w:sz w:val="20"/>
          <w:szCs w:val="20"/>
        </w:rPr>
      </w:pPr>
    </w:p>
    <w:p w14:paraId="5E4DEB0F" w14:textId="77777777" w:rsidR="00734EB3" w:rsidRPr="000E5DE3" w:rsidRDefault="00734EB3" w:rsidP="00884674">
      <w:pPr>
        <w:pStyle w:val="NormalWeb"/>
        <w:spacing w:before="0" w:beforeAutospacing="0" w:after="0" w:afterAutospacing="0"/>
        <w:ind w:left="567"/>
        <w:jc w:val="both"/>
        <w:textAlignment w:val="baseline"/>
        <w:rPr>
          <w:color w:val="000000"/>
          <w:sz w:val="20"/>
          <w:szCs w:val="20"/>
          <w:lang w:val="en-US"/>
        </w:rPr>
      </w:pPr>
      <w:r w:rsidRPr="000E5DE3">
        <w:rPr>
          <w:color w:val="000000"/>
          <w:sz w:val="20"/>
          <w:szCs w:val="20"/>
          <w:lang w:val="en-US"/>
        </w:rPr>
        <w:t>« By failing to insist upon the need to derogate from Article 5, the ECtHR has demonstrated the dangers of trying to claim that the state’s ordinary human rights provisions are still in effect in a time of extreme crisis. Rather than increasing human rights standards, the ECtHR’s approach in</w:t>
      </w:r>
      <w:r w:rsidRPr="000E5DE3">
        <w:rPr>
          <w:rStyle w:val="apple-converted-space"/>
          <w:color w:val="000000"/>
          <w:sz w:val="20"/>
          <w:szCs w:val="20"/>
          <w:lang w:val="en-US"/>
        </w:rPr>
        <w:t> </w:t>
      </w:r>
      <w:r w:rsidRPr="000E5DE3">
        <w:rPr>
          <w:rStyle w:val="Accentuation"/>
          <w:color w:val="000000"/>
          <w:sz w:val="20"/>
          <w:szCs w:val="20"/>
          <w:bdr w:val="none" w:sz="0" w:space="0" w:color="auto" w:frame="1"/>
          <w:lang w:val="en-US"/>
        </w:rPr>
        <w:t>Terheş</w:t>
      </w:r>
      <w:r w:rsidRPr="000E5DE3">
        <w:rPr>
          <w:rStyle w:val="apple-converted-space"/>
          <w:i/>
          <w:iCs/>
          <w:color w:val="000000"/>
          <w:sz w:val="20"/>
          <w:szCs w:val="20"/>
          <w:bdr w:val="none" w:sz="0" w:space="0" w:color="auto" w:frame="1"/>
          <w:lang w:val="en-US"/>
        </w:rPr>
        <w:t> </w:t>
      </w:r>
      <w:r w:rsidRPr="000E5DE3">
        <w:rPr>
          <w:color w:val="000000"/>
          <w:sz w:val="20"/>
          <w:szCs w:val="20"/>
          <w:lang w:val="en-US"/>
        </w:rPr>
        <w:t>shows how these ‘normal’ human rights standards have been stretched to accommodate these exceptional powers. This stretched jurisprudence then</w:t>
      </w:r>
      <w:r w:rsidRPr="000E5DE3">
        <w:rPr>
          <w:sz w:val="20"/>
          <w:szCs w:val="20"/>
          <w:lang w:val="en-US"/>
        </w:rPr>
        <w:t> </w:t>
      </w:r>
      <w:hyperlink r:id="rId8" w:tgtFrame="_blank" w:history="1">
        <w:r w:rsidRPr="000E5DE3">
          <w:rPr>
            <w:color w:val="000000"/>
            <w:sz w:val="20"/>
            <w:szCs w:val="20"/>
            <w:lang w:val="en-US"/>
          </w:rPr>
          <w:t>‘lies about like a loaded weapon, ready for the hand of any authority that can bring forward a plausible claim of an urgent need’</w:t>
        </w:r>
      </w:hyperlink>
      <w:r w:rsidRPr="000E5DE3">
        <w:rPr>
          <w:color w:val="000000"/>
          <w:sz w:val="20"/>
          <w:szCs w:val="20"/>
          <w:lang w:val="en-US"/>
        </w:rPr>
        <w:t>. The principle is not quarantined to a ‘public emergency threatening the life of the nation’ because no such emergency under Article 15 has been formally declared.</w:t>
      </w:r>
    </w:p>
    <w:p w14:paraId="6E3F8B64" w14:textId="12B2B076" w:rsidR="00734EB3" w:rsidRPr="00884674" w:rsidRDefault="00734EB3" w:rsidP="00884674">
      <w:pPr>
        <w:pStyle w:val="NormalWeb"/>
        <w:spacing w:before="0" w:beforeAutospacing="0" w:after="0" w:afterAutospacing="0"/>
        <w:ind w:left="567"/>
        <w:jc w:val="both"/>
        <w:textAlignment w:val="baseline"/>
        <w:rPr>
          <w:color w:val="000000"/>
          <w:sz w:val="20"/>
          <w:szCs w:val="20"/>
          <w:lang w:val="en-US"/>
        </w:rPr>
      </w:pPr>
      <w:r w:rsidRPr="000E5DE3">
        <w:rPr>
          <w:color w:val="000000"/>
          <w:sz w:val="20"/>
          <w:szCs w:val="20"/>
          <w:lang w:val="en-US"/>
        </w:rPr>
        <w:t xml:space="preserve">Again, I do not wish to give the impression that I am against lockdowns. I believe lockdowns are necessary to control the virus and protect people’s lives. </w:t>
      </w:r>
      <w:r w:rsidRPr="00884674">
        <w:rPr>
          <w:color w:val="000000"/>
          <w:sz w:val="20"/>
          <w:szCs w:val="20"/>
          <w:lang w:val="en-US"/>
        </w:rPr>
        <w:t>The virus is the ‘</w:t>
      </w:r>
      <w:hyperlink r:id="rId9" w:tgtFrame="_blank" w:history="1">
        <w:r w:rsidRPr="00884674">
          <w:rPr>
            <w:color w:val="000000"/>
            <w:sz w:val="20"/>
            <w:szCs w:val="20"/>
            <w:lang w:val="en-US"/>
          </w:rPr>
          <w:t>ideal state of emergency’</w:t>
        </w:r>
      </w:hyperlink>
      <w:r w:rsidRPr="00884674">
        <w:rPr>
          <w:color w:val="000000"/>
          <w:sz w:val="20"/>
          <w:szCs w:val="20"/>
          <w:lang w:val="en-US"/>
        </w:rPr>
        <w:t xml:space="preserve">. It constitutes an </w:t>
      </w:r>
      <w:r w:rsidRPr="00884674">
        <w:rPr>
          <w:color w:val="000000"/>
          <w:sz w:val="20"/>
          <w:szCs w:val="20"/>
          <w:lang w:val="en-US"/>
        </w:rPr>
        <w:lastRenderedPageBreak/>
        <w:t>exceptional threat to people’s lives and thus it necessitates an exceptional response. However, we must be careful that this exceptional response does not become unexceptional. In an era of democratic decay and creeping authoritarianism across many Council of Europe states, the ECtHR must be acutely aware of how its pandemic jurisprudence may be deployed outside of the pandemic for less bona fide reasons. Unfortunately,</w:t>
      </w:r>
      <w:r w:rsidRPr="00884674">
        <w:rPr>
          <w:rStyle w:val="apple-converted-space"/>
          <w:color w:val="000000"/>
          <w:sz w:val="20"/>
          <w:szCs w:val="20"/>
          <w:lang w:val="en-US"/>
        </w:rPr>
        <w:t> </w:t>
      </w:r>
      <w:r w:rsidRPr="00884674">
        <w:rPr>
          <w:rStyle w:val="Accentuation"/>
          <w:color w:val="000000"/>
          <w:sz w:val="20"/>
          <w:szCs w:val="20"/>
          <w:bdr w:val="none" w:sz="0" w:space="0" w:color="auto" w:frame="1"/>
          <w:lang w:val="en-US"/>
        </w:rPr>
        <w:t>Terheş</w:t>
      </w:r>
      <w:r w:rsidRPr="00884674">
        <w:rPr>
          <w:rStyle w:val="apple-converted-space"/>
          <w:i/>
          <w:iCs/>
          <w:color w:val="000000"/>
          <w:sz w:val="20"/>
          <w:szCs w:val="20"/>
          <w:bdr w:val="none" w:sz="0" w:space="0" w:color="auto" w:frame="1"/>
          <w:lang w:val="en-US"/>
        </w:rPr>
        <w:t> </w:t>
      </w:r>
      <w:r w:rsidRPr="00884674">
        <w:rPr>
          <w:color w:val="000000"/>
          <w:sz w:val="20"/>
          <w:szCs w:val="20"/>
          <w:lang w:val="en-US"/>
        </w:rPr>
        <w:t>may be a harbinger of an ECtHR approach that misses this bigger picture »</w:t>
      </w:r>
      <w:r w:rsidRPr="00884674">
        <w:rPr>
          <w:rStyle w:val="Appelnotedebasdep"/>
          <w:color w:val="000000"/>
          <w:sz w:val="20"/>
          <w:szCs w:val="20"/>
        </w:rPr>
        <w:footnoteReference w:id="74"/>
      </w:r>
      <w:r w:rsidRPr="00884674">
        <w:rPr>
          <w:color w:val="000000"/>
          <w:sz w:val="20"/>
          <w:szCs w:val="20"/>
          <w:lang w:val="en-US"/>
        </w:rPr>
        <w:t> </w:t>
      </w:r>
    </w:p>
    <w:p w14:paraId="17C9A4A7" w14:textId="16D37F94" w:rsidR="00734EB3" w:rsidRPr="003304E0" w:rsidRDefault="00734EB3" w:rsidP="00734EB3">
      <w:pPr>
        <w:pStyle w:val="s30eec3f8"/>
        <w:spacing w:before="0" w:beforeAutospacing="0" w:after="0" w:afterAutospacing="0"/>
        <w:jc w:val="both"/>
        <w:rPr>
          <w:color w:val="000000"/>
          <w:sz w:val="20"/>
          <w:szCs w:val="20"/>
          <w:lang w:val="en-US"/>
        </w:rPr>
      </w:pPr>
    </w:p>
    <w:p w14:paraId="6A1C662A" w14:textId="77777777" w:rsidR="00482936" w:rsidRPr="003304E0" w:rsidRDefault="00482936" w:rsidP="000F7E53">
      <w:pPr>
        <w:pStyle w:val="s30eec3f8"/>
        <w:spacing w:before="0" w:beforeAutospacing="0" w:after="0" w:afterAutospacing="0"/>
        <w:jc w:val="both"/>
        <w:rPr>
          <w:rStyle w:val="sb8d990e2"/>
          <w:color w:val="000000"/>
          <w:sz w:val="20"/>
          <w:szCs w:val="20"/>
          <w:lang w:val="en-US"/>
        </w:rPr>
      </w:pPr>
    </w:p>
    <w:p w14:paraId="77871C8A" w14:textId="551D8C5B" w:rsidR="000F7E53" w:rsidRPr="00884674" w:rsidRDefault="006402FA" w:rsidP="006402FA">
      <w:pPr>
        <w:pStyle w:val="s30eec3f8"/>
        <w:numPr>
          <w:ilvl w:val="0"/>
          <w:numId w:val="3"/>
        </w:numPr>
        <w:spacing w:before="0" w:beforeAutospacing="0" w:after="0" w:afterAutospacing="0"/>
        <w:jc w:val="both"/>
        <w:rPr>
          <w:rStyle w:val="sb8d990e2"/>
          <w:b/>
          <w:color w:val="000000"/>
        </w:rPr>
      </w:pPr>
      <w:r w:rsidRPr="00884674">
        <w:rPr>
          <w:rStyle w:val="sb8d990e2"/>
          <w:b/>
          <w:color w:val="000000"/>
        </w:rPr>
        <w:t>Appeler un chat un chat : plaidoyer pour le maintien d’une frontière entre l’exceptionnel et le non exceptionnel</w:t>
      </w:r>
    </w:p>
    <w:p w14:paraId="7163F893" w14:textId="77777777" w:rsidR="000F7E53" w:rsidRPr="00884674" w:rsidRDefault="000F7E53" w:rsidP="000F7E53">
      <w:pPr>
        <w:pStyle w:val="s30eec3f8"/>
        <w:spacing w:before="0" w:beforeAutospacing="0" w:after="0" w:afterAutospacing="0"/>
        <w:ind w:firstLine="284"/>
        <w:jc w:val="both"/>
        <w:rPr>
          <w:color w:val="000000"/>
          <w:sz w:val="17"/>
          <w:szCs w:val="17"/>
        </w:rPr>
      </w:pPr>
    </w:p>
    <w:p w14:paraId="49AF3D77" w14:textId="2E6CD481" w:rsidR="000F7E53" w:rsidRDefault="000F7E53" w:rsidP="000F7E53">
      <w:r>
        <w:rPr>
          <w:rStyle w:val="apple-converted-space"/>
          <w:rFonts w:ascii="Arial" w:hAnsi="Arial" w:cs="Arial"/>
          <w:color w:val="000000"/>
        </w:rPr>
        <w:t> </w:t>
      </w:r>
    </w:p>
    <w:p w14:paraId="037178E5" w14:textId="6D0A469E" w:rsidR="000F7E53" w:rsidRDefault="00884674" w:rsidP="00884674">
      <w:pPr>
        <w:jc w:val="both"/>
        <w:rPr>
          <w:iCs/>
        </w:rPr>
      </w:pPr>
      <w:r w:rsidRPr="00884674">
        <w:rPr>
          <w:b/>
          <w:iCs/>
        </w:rPr>
        <w:t>33.</w:t>
      </w:r>
      <w:r w:rsidRPr="00884674">
        <w:rPr>
          <w:b/>
          <w:iCs/>
        </w:rPr>
        <w:tab/>
      </w:r>
      <w:r w:rsidR="006402FA">
        <w:rPr>
          <w:iCs/>
        </w:rPr>
        <w:t xml:space="preserve">Les longs développements qui précèdent pourraient être versés au plaidoyer d’un abandon, pragmatique, de toute idée de créer un régime d’exception là où il n’existe pas encore – tel est le droit pour le régime constitutionnel belge </w:t>
      </w:r>
      <w:r>
        <w:rPr>
          <w:iCs/>
        </w:rPr>
        <w:t>–</w:t>
      </w:r>
      <w:r w:rsidR="006402FA">
        <w:rPr>
          <w:iCs/>
        </w:rPr>
        <w:t>, ou de le mettre en sommeil là où il existe d’ores et déjà. Le cadre international et européen de la matière est flottant</w:t>
      </w:r>
      <w:r w:rsidR="00A0328B">
        <w:rPr>
          <w:iCs/>
        </w:rPr>
        <w:t>, et présente encore d’importantes zones d’ombres, lié à ses géométries variable</w:t>
      </w:r>
      <w:r>
        <w:rPr>
          <w:iCs/>
        </w:rPr>
        <w:t>s</w:t>
      </w:r>
      <w:r w:rsidR="00A0328B">
        <w:rPr>
          <w:iCs/>
        </w:rPr>
        <w:t>. Il offre peu de repères sûrs pour l’action. La mise en branle de l’état d’exception génère une somme de difficultés politiques</w:t>
      </w:r>
      <w:r>
        <w:rPr>
          <w:iCs/>
        </w:rPr>
        <w:t xml:space="preserve"> bien réelles </w:t>
      </w:r>
      <w:r w:rsidR="00A0328B">
        <w:rPr>
          <w:iCs/>
        </w:rPr>
        <w:t xml:space="preserve"> et des bénéfices juridiques largement introuvables : l’économie peut être faite des premières par un recours au « droit commun » des limitation</w:t>
      </w:r>
      <w:r>
        <w:rPr>
          <w:iCs/>
        </w:rPr>
        <w:t>s</w:t>
      </w:r>
      <w:r w:rsidR="00A0328B">
        <w:rPr>
          <w:iCs/>
        </w:rPr>
        <w:t xml:space="preserve"> eux droits de l’Homme, non moins apte</w:t>
      </w:r>
      <w:r>
        <w:rPr>
          <w:iCs/>
        </w:rPr>
        <w:t>s</w:t>
      </w:r>
      <w:r w:rsidR="00A0328B">
        <w:rPr>
          <w:iCs/>
        </w:rPr>
        <w:t xml:space="preserve"> à réaliser les seconds</w:t>
      </w:r>
      <w:r>
        <w:rPr>
          <w:iCs/>
        </w:rPr>
        <w:t>.</w:t>
      </w:r>
    </w:p>
    <w:p w14:paraId="6F3622AB" w14:textId="77777777" w:rsidR="00884674" w:rsidRDefault="00884674" w:rsidP="000F7E53">
      <w:pPr>
        <w:rPr>
          <w:iCs/>
        </w:rPr>
      </w:pPr>
    </w:p>
    <w:p w14:paraId="6F190FA7" w14:textId="77777777" w:rsidR="00884674" w:rsidRDefault="00884674" w:rsidP="00884674">
      <w:pPr>
        <w:jc w:val="both"/>
        <w:rPr>
          <w:color w:val="000000" w:themeColor="text1"/>
          <w:shd w:val="clear" w:color="auto" w:fill="FFFFFF"/>
        </w:rPr>
      </w:pPr>
      <w:r w:rsidRPr="00884674">
        <w:rPr>
          <w:b/>
          <w:iCs/>
        </w:rPr>
        <w:t>34.</w:t>
      </w:r>
      <w:r w:rsidRPr="00884674">
        <w:rPr>
          <w:b/>
          <w:iCs/>
        </w:rPr>
        <w:tab/>
      </w:r>
      <w:r w:rsidR="00A0328B">
        <w:rPr>
          <w:iCs/>
        </w:rPr>
        <w:t xml:space="preserve">Ce plaidoyer, nous nous garderons cependant de le livrer. </w:t>
      </w:r>
      <w:r w:rsidR="00A0328B" w:rsidRPr="00112BB0">
        <w:rPr>
          <w:iCs/>
          <w:color w:val="000000" w:themeColor="text1"/>
        </w:rPr>
        <w:t xml:space="preserve">L’idée que certains actes ne peuvent pas être justifiés par le </w:t>
      </w:r>
      <w:r>
        <w:rPr>
          <w:iCs/>
          <w:color w:val="000000" w:themeColor="text1"/>
        </w:rPr>
        <w:t>« </w:t>
      </w:r>
      <w:r w:rsidR="00A0328B" w:rsidRPr="00112BB0">
        <w:rPr>
          <w:iCs/>
          <w:color w:val="000000" w:themeColor="text1"/>
        </w:rPr>
        <w:t>droit commun</w:t>
      </w:r>
      <w:r>
        <w:rPr>
          <w:iCs/>
          <w:color w:val="000000" w:themeColor="text1"/>
        </w:rPr>
        <w:t> »</w:t>
      </w:r>
      <w:r w:rsidR="00A0328B" w:rsidRPr="00112BB0">
        <w:rPr>
          <w:iCs/>
          <w:color w:val="000000" w:themeColor="text1"/>
        </w:rPr>
        <w:t xml:space="preserve"> des restrictions, mais ne peuvent l’être qu’au bénéfice d’une </w:t>
      </w:r>
      <w:r>
        <w:rPr>
          <w:iCs/>
          <w:color w:val="000000" w:themeColor="text1"/>
        </w:rPr>
        <w:t>« </w:t>
      </w:r>
      <w:r w:rsidR="00A0328B" w:rsidRPr="00112BB0">
        <w:rPr>
          <w:iCs/>
          <w:color w:val="000000" w:themeColor="text1"/>
        </w:rPr>
        <w:t>dérogation</w:t>
      </w:r>
      <w:r>
        <w:rPr>
          <w:iCs/>
          <w:color w:val="000000" w:themeColor="text1"/>
        </w:rPr>
        <w:t> »</w:t>
      </w:r>
      <w:r w:rsidR="00A0328B" w:rsidRPr="00112BB0">
        <w:rPr>
          <w:iCs/>
          <w:color w:val="000000" w:themeColor="text1"/>
        </w:rPr>
        <w:t xml:space="preserve">, doit être maintenue comme </w:t>
      </w:r>
      <w:r w:rsidR="00A0328B" w:rsidRPr="00112BB0">
        <w:rPr>
          <w:i/>
          <w:color w:val="000000" w:themeColor="text1"/>
        </w:rPr>
        <w:t>horizon régulateur</w:t>
      </w:r>
      <w:r w:rsidR="00A0328B" w:rsidRPr="00112BB0">
        <w:rPr>
          <w:iCs/>
          <w:color w:val="000000" w:themeColor="text1"/>
        </w:rPr>
        <w:t xml:space="preserve"> dans la matière des droits de l’Homme et ce, pour éviter l’entropie généralisée. Il y a en effet un risque évident à voir le « droit commun », et ses très malléables concepts d’ « intérêt général » et de « proportionnalité », tirés à hue et à dia pour absorber l’exceptionnel, véhiculer toutes les mesures</w:t>
      </w:r>
      <w:r w:rsidR="00A0328B">
        <w:rPr>
          <w:iCs/>
          <w:color w:val="000000" w:themeColor="text1"/>
        </w:rPr>
        <w:t xml:space="preserve"> imaginables</w:t>
      </w:r>
      <w:r w:rsidR="00A0328B" w:rsidRPr="00112BB0">
        <w:rPr>
          <w:iCs/>
          <w:color w:val="000000" w:themeColor="text1"/>
        </w:rPr>
        <w:t xml:space="preserve">, et ainsi « normaliser » l’anormal, </w:t>
      </w:r>
      <w:r w:rsidR="00A0328B">
        <w:rPr>
          <w:iCs/>
          <w:color w:val="000000" w:themeColor="text1"/>
        </w:rPr>
        <w:t>qui plus est</w:t>
      </w:r>
      <w:r w:rsidR="00A0328B" w:rsidRPr="00112BB0">
        <w:rPr>
          <w:iCs/>
          <w:color w:val="000000" w:themeColor="text1"/>
        </w:rPr>
        <w:t xml:space="preserve"> de manière permanente</w:t>
      </w:r>
      <w:r w:rsidR="00A0328B" w:rsidRPr="00112BB0">
        <w:rPr>
          <w:rStyle w:val="Appelnotedebasdep"/>
          <w:iCs/>
          <w:color w:val="000000" w:themeColor="text1"/>
        </w:rPr>
        <w:footnoteReference w:id="75"/>
      </w:r>
      <w:r w:rsidR="00A0328B" w:rsidRPr="00112BB0">
        <w:rPr>
          <w:iCs/>
          <w:color w:val="000000" w:themeColor="text1"/>
        </w:rPr>
        <w:t xml:space="preserve">. L’idée a été très bien exprimée, </w:t>
      </w:r>
      <w:r w:rsidR="00501F4B">
        <w:rPr>
          <w:iCs/>
          <w:color w:val="000000" w:themeColor="text1"/>
        </w:rPr>
        <w:t xml:space="preserve">par </w:t>
      </w:r>
      <w:r w:rsidR="00A0328B" w:rsidRPr="009D0A15">
        <w:rPr>
          <w:iCs/>
          <w:smallCaps/>
          <w:color w:val="000000" w:themeColor="text1"/>
        </w:rPr>
        <w:t>G. Gonzalez</w:t>
      </w:r>
      <w:r w:rsidR="00A0328B" w:rsidRPr="00112BB0">
        <w:rPr>
          <w:iCs/>
          <w:color w:val="000000" w:themeColor="text1"/>
        </w:rPr>
        <w:t xml:space="preserve">, </w:t>
      </w:r>
      <w:r w:rsidR="00501F4B">
        <w:rPr>
          <w:iCs/>
          <w:color w:val="000000" w:themeColor="text1"/>
        </w:rPr>
        <w:t xml:space="preserve">qui </w:t>
      </w:r>
      <w:r w:rsidR="00A0328B" w:rsidRPr="00112BB0">
        <w:rPr>
          <w:iCs/>
          <w:color w:val="000000" w:themeColor="text1"/>
        </w:rPr>
        <w:t>estime que « </w:t>
      </w:r>
      <w:r w:rsidR="00A0328B" w:rsidRPr="00112BB0">
        <w:rPr>
          <w:color w:val="000000" w:themeColor="text1"/>
          <w:shd w:val="clear" w:color="auto" w:fill="FFFFFF"/>
        </w:rPr>
        <w:t xml:space="preserve">sous peine de perdre sa ‘mesure’, le principe de proportionnalité ne peut être </w:t>
      </w:r>
      <w:r w:rsidR="00A0328B" w:rsidRPr="00C75001">
        <w:rPr>
          <w:color w:val="000000" w:themeColor="text1"/>
          <w:shd w:val="clear" w:color="auto" w:fill="FFFFFF"/>
        </w:rPr>
        <w:t>malléé</w:t>
      </w:r>
      <w:r w:rsidR="00A0328B" w:rsidRPr="009D0A15">
        <w:rPr>
          <w:color w:val="FF0000"/>
          <w:shd w:val="clear" w:color="auto" w:fill="FFFFFF"/>
        </w:rPr>
        <w:t xml:space="preserve"> </w:t>
      </w:r>
      <w:r w:rsidR="00A0328B" w:rsidRPr="00112BB0">
        <w:rPr>
          <w:color w:val="000000" w:themeColor="text1"/>
          <w:shd w:val="clear" w:color="auto" w:fill="FFFFFF"/>
        </w:rPr>
        <w:t>au risque de ressembler aux montres molles de Salvador Dali et d’abaisser, peut-être durablement, le niveau de contrôle de la Cour européenne »</w:t>
      </w:r>
      <w:r w:rsidR="00A0328B" w:rsidRPr="00112BB0">
        <w:rPr>
          <w:rStyle w:val="Appelnotedebasdep"/>
          <w:color w:val="000000" w:themeColor="text1"/>
          <w:shd w:val="clear" w:color="auto" w:fill="FFFFFF"/>
        </w:rPr>
        <w:footnoteReference w:id="76"/>
      </w:r>
      <w:r w:rsidR="00A0328B" w:rsidRPr="00112BB0">
        <w:rPr>
          <w:color w:val="000000" w:themeColor="text1"/>
          <w:shd w:val="clear" w:color="auto" w:fill="FFFFFF"/>
        </w:rPr>
        <w:t>.</w:t>
      </w:r>
      <w:r w:rsidR="00501F4B">
        <w:rPr>
          <w:color w:val="000000" w:themeColor="text1"/>
          <w:shd w:val="clear" w:color="auto" w:fill="FFFFFF"/>
        </w:rPr>
        <w:t xml:space="preserve"> Les avertissements </w:t>
      </w:r>
      <w:r w:rsidR="00501F4B" w:rsidRPr="00457E5B">
        <w:rPr>
          <w:smallCaps/>
          <w:color w:val="000000" w:themeColor="text1"/>
          <w:shd w:val="clear" w:color="auto" w:fill="FFFFFF"/>
        </w:rPr>
        <w:t>d’Alan Greene</w:t>
      </w:r>
      <w:r w:rsidR="00501F4B">
        <w:rPr>
          <w:color w:val="000000" w:themeColor="text1"/>
          <w:shd w:val="clear" w:color="auto" w:fill="FFFFFF"/>
        </w:rPr>
        <w:t xml:space="preserve">, en écho à la critique que livre ce même auteur vis-à-vis de la décision </w:t>
      </w:r>
      <w:r w:rsidR="00501F4B">
        <w:rPr>
          <w:i/>
          <w:color w:val="000000" w:themeColor="text1"/>
          <w:shd w:val="clear" w:color="auto" w:fill="FFFFFF"/>
        </w:rPr>
        <w:t>Tehres c. Roumanie</w:t>
      </w:r>
      <w:r>
        <w:rPr>
          <w:i/>
          <w:color w:val="000000" w:themeColor="text1"/>
          <w:shd w:val="clear" w:color="auto" w:fill="FFFFFF"/>
        </w:rPr>
        <w:t xml:space="preserve"> </w:t>
      </w:r>
      <w:r w:rsidRPr="00884674">
        <w:rPr>
          <w:color w:val="000000" w:themeColor="text1"/>
          <w:shd w:val="clear" w:color="auto" w:fill="FFFFFF"/>
        </w:rPr>
        <w:t>(supra)</w:t>
      </w:r>
      <w:r w:rsidR="00501F4B" w:rsidRPr="00884674">
        <w:rPr>
          <w:i/>
          <w:color w:val="000000" w:themeColor="text1"/>
          <w:shd w:val="clear" w:color="auto" w:fill="FFFFFF"/>
        </w:rPr>
        <w:t>,</w:t>
      </w:r>
      <w:r w:rsidR="00501F4B">
        <w:rPr>
          <w:i/>
          <w:color w:val="000000" w:themeColor="text1"/>
          <w:shd w:val="clear" w:color="auto" w:fill="FFFFFF"/>
        </w:rPr>
        <w:t xml:space="preserve"> </w:t>
      </w:r>
      <w:r w:rsidR="00501F4B">
        <w:rPr>
          <w:color w:val="000000" w:themeColor="text1"/>
          <w:shd w:val="clear" w:color="auto" w:fill="FFFFFF"/>
        </w:rPr>
        <w:t>méritent également d’être mentionnés :</w:t>
      </w:r>
    </w:p>
    <w:p w14:paraId="0746617C" w14:textId="77777777" w:rsidR="00884674" w:rsidRDefault="00884674" w:rsidP="00884674">
      <w:pPr>
        <w:jc w:val="both"/>
        <w:rPr>
          <w:color w:val="000000" w:themeColor="text1"/>
          <w:shd w:val="clear" w:color="auto" w:fill="FFFFFF"/>
        </w:rPr>
      </w:pPr>
    </w:p>
    <w:p w14:paraId="047086A6" w14:textId="5658F87E" w:rsidR="00501F4B" w:rsidRPr="00884674" w:rsidRDefault="00501F4B" w:rsidP="00884674">
      <w:pPr>
        <w:ind w:left="567"/>
        <w:jc w:val="both"/>
        <w:rPr>
          <w:color w:val="000000" w:themeColor="text1"/>
          <w:sz w:val="20"/>
          <w:szCs w:val="20"/>
          <w:shd w:val="clear" w:color="auto" w:fill="FFFFFF"/>
          <w:lang w:val="en-US"/>
        </w:rPr>
      </w:pPr>
      <w:proofErr w:type="gramStart"/>
      <w:r w:rsidRPr="00884674">
        <w:rPr>
          <w:iCs/>
          <w:sz w:val="20"/>
          <w:szCs w:val="20"/>
          <w:lang w:val="en-US"/>
        </w:rPr>
        <w:t>« </w:t>
      </w:r>
      <w:r w:rsidRPr="00884674">
        <w:rPr>
          <w:rStyle w:val="apple-converted-space"/>
          <w:color w:val="000000"/>
          <w:sz w:val="20"/>
          <w:szCs w:val="20"/>
          <w:lang w:val="en-US"/>
        </w:rPr>
        <w:t> </w:t>
      </w:r>
      <w:r w:rsidRPr="00884674">
        <w:rPr>
          <w:color w:val="000000"/>
          <w:sz w:val="20"/>
          <w:szCs w:val="20"/>
          <w:lang w:val="en-US"/>
        </w:rPr>
        <w:t>draconian</w:t>
      </w:r>
      <w:proofErr w:type="gramEnd"/>
      <w:r w:rsidRPr="00884674">
        <w:rPr>
          <w:color w:val="000000"/>
          <w:sz w:val="20"/>
          <w:szCs w:val="20"/>
          <w:lang w:val="en-US"/>
        </w:rPr>
        <w:t xml:space="preserve"> measures taken in response to a crisis are no less dangerous simply because they are not expressly labelled as emergency powers or are taken under the assumption that they are compatible with the ordinary requirements of human rights law. If anything, these measures are more dangerous as they are not expressly quarantined to exceptional situations. Refusing to call a spade a spade does not make it any less of a spade »</w:t>
      </w:r>
      <w:r w:rsidR="00884674">
        <w:rPr>
          <w:rStyle w:val="Appelnotedebasdep"/>
          <w:color w:val="000000"/>
          <w:sz w:val="20"/>
          <w:szCs w:val="20"/>
          <w:lang w:val="en-US"/>
        </w:rPr>
        <w:footnoteReference w:id="77"/>
      </w:r>
      <w:r w:rsidR="00457E5B">
        <w:rPr>
          <w:color w:val="000000"/>
          <w:sz w:val="20"/>
          <w:szCs w:val="20"/>
          <w:lang w:val="en-US"/>
        </w:rPr>
        <w:t>.</w:t>
      </w:r>
    </w:p>
    <w:p w14:paraId="6DD346E0" w14:textId="6BEA5110" w:rsidR="00501F4B" w:rsidRPr="003304E0" w:rsidRDefault="00501F4B" w:rsidP="000F7E53">
      <w:pPr>
        <w:rPr>
          <w:iCs/>
          <w:lang w:val="en-US"/>
        </w:rPr>
      </w:pPr>
    </w:p>
    <w:p w14:paraId="6B0DA4A2" w14:textId="77777777" w:rsidR="00A0328B" w:rsidRPr="003304E0" w:rsidRDefault="00A0328B" w:rsidP="000F7E53">
      <w:pPr>
        <w:rPr>
          <w:iCs/>
          <w:lang w:val="en-US"/>
        </w:rPr>
      </w:pPr>
    </w:p>
    <w:p w14:paraId="1825F2E2" w14:textId="333797A6" w:rsidR="002D1F12" w:rsidRPr="003304E0" w:rsidRDefault="002D1F12" w:rsidP="002D1F12">
      <w:pPr>
        <w:rPr>
          <w:lang w:val="en-US"/>
        </w:rPr>
      </w:pPr>
    </w:p>
    <w:p w14:paraId="14C32A6B" w14:textId="593A8F67" w:rsidR="002D1F12" w:rsidRPr="003304E0" w:rsidRDefault="002D1F12" w:rsidP="00E7144C">
      <w:pPr>
        <w:jc w:val="both"/>
        <w:rPr>
          <w:color w:val="000000" w:themeColor="text1"/>
          <w:shd w:val="clear" w:color="auto" w:fill="FFFFFF"/>
          <w:lang w:val="en-US"/>
        </w:rPr>
      </w:pPr>
    </w:p>
    <w:p w14:paraId="7CA794D4" w14:textId="6EB4E07A" w:rsidR="003B45B5" w:rsidRPr="003304E0" w:rsidRDefault="003B45B5" w:rsidP="003B45B5">
      <w:pPr>
        <w:jc w:val="both"/>
        <w:rPr>
          <w:color w:val="000000" w:themeColor="text1"/>
          <w:shd w:val="clear" w:color="auto" w:fill="FFFFFF"/>
          <w:lang w:val="en-US"/>
        </w:rPr>
      </w:pPr>
    </w:p>
    <w:p w14:paraId="2C14A9B9" w14:textId="77777777" w:rsidR="003B45B5" w:rsidRPr="003304E0" w:rsidRDefault="003B45B5" w:rsidP="003B45B5">
      <w:pPr>
        <w:jc w:val="both"/>
        <w:rPr>
          <w:color w:val="000000" w:themeColor="text1"/>
          <w:shd w:val="clear" w:color="auto" w:fill="FFFFFF"/>
          <w:lang w:val="en-US"/>
        </w:rPr>
      </w:pPr>
    </w:p>
    <w:p w14:paraId="4A3A9B56" w14:textId="45661B4B" w:rsidR="00B71D51" w:rsidRPr="003304E0" w:rsidRDefault="00B71D51" w:rsidP="007417DA">
      <w:pPr>
        <w:spacing w:line="276" w:lineRule="auto"/>
        <w:jc w:val="both"/>
        <w:rPr>
          <w:color w:val="000000" w:themeColor="text1"/>
          <w:shd w:val="clear" w:color="auto" w:fill="FFFFFF"/>
          <w:lang w:val="en-US"/>
        </w:rPr>
      </w:pPr>
    </w:p>
    <w:p w14:paraId="7931D90B" w14:textId="77777777" w:rsidR="00B71D51" w:rsidRPr="003304E0" w:rsidRDefault="00B71D51" w:rsidP="007417DA">
      <w:pPr>
        <w:spacing w:line="276" w:lineRule="auto"/>
        <w:jc w:val="both"/>
        <w:rPr>
          <w:color w:val="000000" w:themeColor="text1"/>
          <w:shd w:val="clear" w:color="auto" w:fill="FFFFFF"/>
          <w:lang w:val="en-US"/>
        </w:rPr>
      </w:pPr>
    </w:p>
    <w:p w14:paraId="5BEB67FC" w14:textId="77777777" w:rsidR="0050318B" w:rsidRPr="00C73A0B" w:rsidRDefault="006F763F" w:rsidP="00AA7FEB">
      <w:pPr>
        <w:jc w:val="center"/>
        <w:rPr>
          <w:lang w:val="en-US"/>
        </w:rPr>
        <w:sectPr w:rsidR="0050318B" w:rsidRPr="00C73A0B">
          <w:pgSz w:w="11906" w:h="16838"/>
          <w:pgMar w:top="1417" w:right="1417" w:bottom="1417" w:left="1417" w:header="708" w:footer="708" w:gutter="0"/>
          <w:cols w:space="708"/>
          <w:docGrid w:linePitch="360"/>
        </w:sectPr>
      </w:pPr>
      <w:r w:rsidRPr="00C73A0B">
        <w:rPr>
          <w:lang w:val="en-US"/>
        </w:rPr>
        <w:br w:type="page"/>
      </w:r>
    </w:p>
    <w:p w14:paraId="674D639F" w14:textId="312462B4" w:rsidR="006F763F" w:rsidRPr="000E5DE3" w:rsidRDefault="00AA7FEB" w:rsidP="00AA7FEB">
      <w:pPr>
        <w:jc w:val="center"/>
        <w:rPr>
          <w:b/>
        </w:rPr>
      </w:pPr>
      <w:r w:rsidRPr="000E5DE3">
        <w:rPr>
          <w:b/>
        </w:rPr>
        <w:lastRenderedPageBreak/>
        <w:t>Annexes</w:t>
      </w:r>
    </w:p>
    <w:p w14:paraId="4A5B25B7" w14:textId="273AEBE4" w:rsidR="00457E5B" w:rsidRPr="00110836" w:rsidRDefault="00AA7FEB" w:rsidP="00110836">
      <w:pPr>
        <w:jc w:val="center"/>
        <w:rPr>
          <w:b/>
        </w:rPr>
      </w:pPr>
      <w:r w:rsidRPr="00AA7FEB">
        <w:rPr>
          <w:b/>
        </w:rPr>
        <w:t>Dérogations notifiées par les États parties à la Convention européenne des droits de l’Homme durant la crise Covid-19</w:t>
      </w:r>
    </w:p>
    <w:p w14:paraId="55CA2D7D" w14:textId="1FF6B4F1" w:rsidR="00457E5B" w:rsidRDefault="00457E5B" w:rsidP="00AA7FEB">
      <w:pPr>
        <w:jc w:val="center"/>
        <w:rPr>
          <w:b/>
        </w:rPr>
      </w:pPr>
    </w:p>
    <w:p w14:paraId="5688540C" w14:textId="4CFB9CD6" w:rsidR="0050318B" w:rsidRDefault="0050318B">
      <w:pPr>
        <w:rPr>
          <w:b/>
        </w:rPr>
      </w:pPr>
    </w:p>
    <w:p w14:paraId="4E7270AE" w14:textId="77777777" w:rsidR="0050318B" w:rsidRPr="003C17A3" w:rsidRDefault="0050318B" w:rsidP="0050318B">
      <w:pPr>
        <w:rPr>
          <w:b/>
          <w:bCs/>
          <w:sz w:val="28"/>
          <w:szCs w:val="28"/>
        </w:rPr>
      </w:pPr>
      <w:r w:rsidRPr="003C17A3">
        <w:rPr>
          <w:b/>
          <w:bCs/>
          <w:sz w:val="28"/>
          <w:szCs w:val="28"/>
        </w:rPr>
        <w:t xml:space="preserve">TABLEAU GÉNÉRAL </w:t>
      </w:r>
    </w:p>
    <w:p w14:paraId="1759B52E" w14:textId="77777777" w:rsidR="0050318B" w:rsidRPr="003C17A3" w:rsidRDefault="0050318B" w:rsidP="0050318B"/>
    <w:tbl>
      <w:tblPr>
        <w:tblStyle w:val="Grilledutableau"/>
        <w:tblW w:w="0" w:type="auto"/>
        <w:tblLook w:val="04A0" w:firstRow="1" w:lastRow="0" w:firstColumn="1" w:lastColumn="0" w:noHBand="0" w:noVBand="1"/>
      </w:tblPr>
      <w:tblGrid>
        <w:gridCol w:w="660"/>
        <w:gridCol w:w="948"/>
        <w:gridCol w:w="945"/>
        <w:gridCol w:w="1213"/>
        <w:gridCol w:w="1213"/>
        <w:gridCol w:w="1213"/>
        <w:gridCol w:w="1213"/>
        <w:gridCol w:w="993"/>
        <w:gridCol w:w="993"/>
        <w:gridCol w:w="1231"/>
        <w:gridCol w:w="986"/>
        <w:gridCol w:w="1194"/>
        <w:gridCol w:w="1169"/>
      </w:tblGrid>
      <w:tr w:rsidR="0050318B" w:rsidRPr="003C17A3" w14:paraId="160EDAC2" w14:textId="77777777" w:rsidTr="00313870">
        <w:tc>
          <w:tcPr>
            <w:tcW w:w="663" w:type="dxa"/>
          </w:tcPr>
          <w:p w14:paraId="678863C0" w14:textId="77777777" w:rsidR="0050318B" w:rsidRPr="003C17A3" w:rsidRDefault="0050318B" w:rsidP="00313870">
            <w:pPr>
              <w:rPr>
                <w:b/>
                <w:bCs/>
                <w:sz w:val="22"/>
                <w:szCs w:val="22"/>
              </w:rPr>
            </w:pPr>
            <w:r w:rsidRPr="003C17A3">
              <w:rPr>
                <w:b/>
                <w:bCs/>
                <w:sz w:val="22"/>
                <w:szCs w:val="22"/>
              </w:rPr>
              <w:t>2020</w:t>
            </w:r>
          </w:p>
        </w:tc>
        <w:tc>
          <w:tcPr>
            <w:tcW w:w="957" w:type="dxa"/>
          </w:tcPr>
          <w:p w14:paraId="7667A5DF" w14:textId="77777777" w:rsidR="0050318B" w:rsidRPr="003C17A3" w:rsidRDefault="0050318B" w:rsidP="00313870">
            <w:pPr>
              <w:rPr>
                <w:b/>
                <w:bCs/>
                <w:sz w:val="22"/>
                <w:szCs w:val="22"/>
              </w:rPr>
            </w:pPr>
            <w:r w:rsidRPr="003C17A3">
              <w:rPr>
                <w:b/>
                <w:bCs/>
                <w:sz w:val="22"/>
                <w:szCs w:val="22"/>
              </w:rPr>
              <w:t>Janvier</w:t>
            </w:r>
          </w:p>
        </w:tc>
        <w:tc>
          <w:tcPr>
            <w:tcW w:w="957" w:type="dxa"/>
          </w:tcPr>
          <w:p w14:paraId="01535626" w14:textId="77777777" w:rsidR="0050318B" w:rsidRPr="003C17A3" w:rsidRDefault="0050318B" w:rsidP="00313870">
            <w:pPr>
              <w:rPr>
                <w:b/>
                <w:bCs/>
                <w:sz w:val="22"/>
                <w:szCs w:val="22"/>
              </w:rPr>
            </w:pPr>
            <w:r w:rsidRPr="003C17A3">
              <w:rPr>
                <w:b/>
                <w:bCs/>
                <w:sz w:val="22"/>
                <w:szCs w:val="22"/>
              </w:rPr>
              <w:t xml:space="preserve">Février </w:t>
            </w:r>
          </w:p>
        </w:tc>
        <w:tc>
          <w:tcPr>
            <w:tcW w:w="1220" w:type="dxa"/>
          </w:tcPr>
          <w:p w14:paraId="751CA646" w14:textId="77777777" w:rsidR="0050318B" w:rsidRPr="003C17A3" w:rsidRDefault="0050318B" w:rsidP="00313870">
            <w:pPr>
              <w:rPr>
                <w:b/>
                <w:bCs/>
                <w:sz w:val="22"/>
                <w:szCs w:val="22"/>
              </w:rPr>
            </w:pPr>
            <w:r w:rsidRPr="003C17A3">
              <w:rPr>
                <w:b/>
                <w:bCs/>
                <w:sz w:val="22"/>
                <w:szCs w:val="22"/>
              </w:rPr>
              <w:t xml:space="preserve">Mars </w:t>
            </w:r>
          </w:p>
        </w:tc>
        <w:tc>
          <w:tcPr>
            <w:tcW w:w="1220" w:type="dxa"/>
          </w:tcPr>
          <w:p w14:paraId="6723CDA7" w14:textId="77777777" w:rsidR="0050318B" w:rsidRPr="003C17A3" w:rsidRDefault="0050318B" w:rsidP="00313870">
            <w:pPr>
              <w:rPr>
                <w:b/>
                <w:bCs/>
                <w:sz w:val="22"/>
                <w:szCs w:val="22"/>
              </w:rPr>
            </w:pPr>
            <w:r w:rsidRPr="003C17A3">
              <w:rPr>
                <w:b/>
                <w:bCs/>
                <w:sz w:val="22"/>
                <w:szCs w:val="22"/>
              </w:rPr>
              <w:t>Avril</w:t>
            </w:r>
          </w:p>
        </w:tc>
        <w:tc>
          <w:tcPr>
            <w:tcW w:w="1220" w:type="dxa"/>
          </w:tcPr>
          <w:p w14:paraId="63957F92" w14:textId="77777777" w:rsidR="0050318B" w:rsidRPr="003C17A3" w:rsidRDefault="0050318B" w:rsidP="00313870">
            <w:pPr>
              <w:rPr>
                <w:b/>
                <w:bCs/>
                <w:sz w:val="22"/>
                <w:szCs w:val="22"/>
              </w:rPr>
            </w:pPr>
            <w:r w:rsidRPr="003C17A3">
              <w:rPr>
                <w:b/>
                <w:bCs/>
                <w:sz w:val="22"/>
                <w:szCs w:val="22"/>
              </w:rPr>
              <w:t xml:space="preserve">Mai </w:t>
            </w:r>
          </w:p>
        </w:tc>
        <w:tc>
          <w:tcPr>
            <w:tcW w:w="1220" w:type="dxa"/>
          </w:tcPr>
          <w:p w14:paraId="794BE033" w14:textId="77777777" w:rsidR="0050318B" w:rsidRPr="003C17A3" w:rsidRDefault="0050318B" w:rsidP="00313870">
            <w:pPr>
              <w:rPr>
                <w:b/>
                <w:bCs/>
                <w:sz w:val="22"/>
                <w:szCs w:val="22"/>
              </w:rPr>
            </w:pPr>
            <w:r w:rsidRPr="003C17A3">
              <w:rPr>
                <w:b/>
                <w:bCs/>
                <w:sz w:val="22"/>
                <w:szCs w:val="22"/>
              </w:rPr>
              <w:t>Juin</w:t>
            </w:r>
          </w:p>
        </w:tc>
        <w:tc>
          <w:tcPr>
            <w:tcW w:w="996" w:type="dxa"/>
          </w:tcPr>
          <w:p w14:paraId="6EE4EE66" w14:textId="77777777" w:rsidR="0050318B" w:rsidRPr="003C17A3" w:rsidRDefault="0050318B" w:rsidP="00313870">
            <w:pPr>
              <w:rPr>
                <w:b/>
                <w:bCs/>
                <w:sz w:val="22"/>
                <w:szCs w:val="22"/>
              </w:rPr>
            </w:pPr>
            <w:r w:rsidRPr="003C17A3">
              <w:rPr>
                <w:b/>
                <w:bCs/>
                <w:sz w:val="22"/>
                <w:szCs w:val="22"/>
              </w:rPr>
              <w:t>Juillet</w:t>
            </w:r>
          </w:p>
        </w:tc>
        <w:tc>
          <w:tcPr>
            <w:tcW w:w="996" w:type="dxa"/>
          </w:tcPr>
          <w:p w14:paraId="5F9AB238" w14:textId="77777777" w:rsidR="0050318B" w:rsidRPr="003C17A3" w:rsidRDefault="0050318B" w:rsidP="00313870">
            <w:pPr>
              <w:rPr>
                <w:b/>
                <w:bCs/>
                <w:sz w:val="22"/>
                <w:szCs w:val="22"/>
              </w:rPr>
            </w:pPr>
            <w:r w:rsidRPr="003C17A3">
              <w:rPr>
                <w:b/>
                <w:bCs/>
                <w:sz w:val="22"/>
                <w:szCs w:val="22"/>
              </w:rPr>
              <w:t>Août</w:t>
            </w:r>
          </w:p>
        </w:tc>
        <w:tc>
          <w:tcPr>
            <w:tcW w:w="1228" w:type="dxa"/>
          </w:tcPr>
          <w:p w14:paraId="4CB3EF3A" w14:textId="77777777" w:rsidR="0050318B" w:rsidRPr="003C17A3" w:rsidRDefault="0050318B" w:rsidP="00313870">
            <w:pPr>
              <w:rPr>
                <w:b/>
                <w:bCs/>
                <w:sz w:val="22"/>
                <w:szCs w:val="22"/>
              </w:rPr>
            </w:pPr>
            <w:r w:rsidRPr="003C17A3">
              <w:rPr>
                <w:b/>
                <w:bCs/>
                <w:sz w:val="22"/>
                <w:szCs w:val="22"/>
              </w:rPr>
              <w:t>Septembre</w:t>
            </w:r>
          </w:p>
        </w:tc>
        <w:tc>
          <w:tcPr>
            <w:tcW w:w="971" w:type="dxa"/>
          </w:tcPr>
          <w:p w14:paraId="2DED5897" w14:textId="77777777" w:rsidR="0050318B" w:rsidRPr="003C17A3" w:rsidRDefault="0050318B" w:rsidP="00313870">
            <w:pPr>
              <w:rPr>
                <w:b/>
                <w:bCs/>
                <w:sz w:val="22"/>
                <w:szCs w:val="22"/>
              </w:rPr>
            </w:pPr>
            <w:r w:rsidRPr="003C17A3">
              <w:rPr>
                <w:b/>
                <w:bCs/>
                <w:sz w:val="22"/>
                <w:szCs w:val="22"/>
              </w:rPr>
              <w:t>Octobre</w:t>
            </w:r>
          </w:p>
        </w:tc>
        <w:tc>
          <w:tcPr>
            <w:tcW w:w="1186" w:type="dxa"/>
          </w:tcPr>
          <w:p w14:paraId="056C6E81" w14:textId="77777777" w:rsidR="0050318B" w:rsidRPr="003C17A3" w:rsidRDefault="0050318B" w:rsidP="00313870">
            <w:pPr>
              <w:rPr>
                <w:b/>
                <w:bCs/>
                <w:sz w:val="22"/>
                <w:szCs w:val="22"/>
              </w:rPr>
            </w:pPr>
            <w:r w:rsidRPr="003C17A3">
              <w:rPr>
                <w:b/>
                <w:bCs/>
                <w:sz w:val="22"/>
                <w:szCs w:val="22"/>
              </w:rPr>
              <w:t>Novembre</w:t>
            </w:r>
          </w:p>
        </w:tc>
        <w:tc>
          <w:tcPr>
            <w:tcW w:w="1162" w:type="dxa"/>
          </w:tcPr>
          <w:p w14:paraId="2BD7EF94" w14:textId="77777777" w:rsidR="0050318B" w:rsidRPr="003C17A3" w:rsidRDefault="0050318B" w:rsidP="00313870">
            <w:pPr>
              <w:rPr>
                <w:b/>
                <w:bCs/>
                <w:sz w:val="22"/>
                <w:szCs w:val="22"/>
              </w:rPr>
            </w:pPr>
            <w:r w:rsidRPr="003C17A3">
              <w:rPr>
                <w:b/>
                <w:bCs/>
                <w:sz w:val="22"/>
                <w:szCs w:val="22"/>
              </w:rPr>
              <w:t>Décembre</w:t>
            </w:r>
          </w:p>
        </w:tc>
      </w:tr>
      <w:tr w:rsidR="0050318B" w:rsidRPr="003C17A3" w14:paraId="768EC9CD" w14:textId="77777777" w:rsidTr="00313870">
        <w:tc>
          <w:tcPr>
            <w:tcW w:w="663" w:type="dxa"/>
            <w:vMerge w:val="restart"/>
          </w:tcPr>
          <w:p w14:paraId="52EAFDB9" w14:textId="77777777" w:rsidR="0050318B" w:rsidRPr="003C17A3" w:rsidRDefault="0050318B" w:rsidP="00313870">
            <w:pPr>
              <w:rPr>
                <w:sz w:val="22"/>
                <w:szCs w:val="22"/>
              </w:rPr>
            </w:pPr>
          </w:p>
        </w:tc>
        <w:tc>
          <w:tcPr>
            <w:tcW w:w="957" w:type="dxa"/>
          </w:tcPr>
          <w:p w14:paraId="1C14735B" w14:textId="77777777" w:rsidR="0050318B" w:rsidRPr="003C17A3" w:rsidRDefault="0050318B" w:rsidP="00313870">
            <w:pPr>
              <w:rPr>
                <w:sz w:val="22"/>
                <w:szCs w:val="22"/>
              </w:rPr>
            </w:pPr>
          </w:p>
        </w:tc>
        <w:tc>
          <w:tcPr>
            <w:tcW w:w="957" w:type="dxa"/>
          </w:tcPr>
          <w:p w14:paraId="579A3908" w14:textId="77777777" w:rsidR="0050318B" w:rsidRPr="003C17A3" w:rsidRDefault="0050318B" w:rsidP="00313870">
            <w:pPr>
              <w:rPr>
                <w:sz w:val="22"/>
                <w:szCs w:val="22"/>
              </w:rPr>
            </w:pPr>
          </w:p>
        </w:tc>
        <w:tc>
          <w:tcPr>
            <w:tcW w:w="1220" w:type="dxa"/>
          </w:tcPr>
          <w:p w14:paraId="528AD2FA" w14:textId="77777777" w:rsidR="0050318B" w:rsidRPr="003C17A3" w:rsidRDefault="0050318B" w:rsidP="00313870">
            <w:pPr>
              <w:rPr>
                <w:sz w:val="22"/>
                <w:szCs w:val="22"/>
              </w:rPr>
            </w:pPr>
            <w:r w:rsidRPr="003C17A3">
              <w:rPr>
                <w:sz w:val="22"/>
                <w:szCs w:val="22"/>
              </w:rPr>
              <w:t>Albanie</w:t>
            </w:r>
          </w:p>
        </w:tc>
        <w:tc>
          <w:tcPr>
            <w:tcW w:w="1220" w:type="dxa"/>
          </w:tcPr>
          <w:p w14:paraId="32CCB051" w14:textId="77777777" w:rsidR="0050318B" w:rsidRPr="003C17A3" w:rsidRDefault="0050318B" w:rsidP="00313870">
            <w:pPr>
              <w:rPr>
                <w:sz w:val="22"/>
                <w:szCs w:val="22"/>
              </w:rPr>
            </w:pPr>
            <w:r w:rsidRPr="003C17A3">
              <w:rPr>
                <w:sz w:val="22"/>
                <w:szCs w:val="22"/>
              </w:rPr>
              <w:t>Albanie</w:t>
            </w:r>
          </w:p>
        </w:tc>
        <w:tc>
          <w:tcPr>
            <w:tcW w:w="1220" w:type="dxa"/>
          </w:tcPr>
          <w:p w14:paraId="7194D1B0" w14:textId="77777777" w:rsidR="0050318B" w:rsidRPr="003C17A3" w:rsidRDefault="0050318B" w:rsidP="00313870">
            <w:pPr>
              <w:rPr>
                <w:sz w:val="22"/>
                <w:szCs w:val="22"/>
              </w:rPr>
            </w:pPr>
            <w:r w:rsidRPr="003C17A3">
              <w:rPr>
                <w:sz w:val="22"/>
                <w:szCs w:val="22"/>
              </w:rPr>
              <w:t>Albanie</w:t>
            </w:r>
          </w:p>
        </w:tc>
        <w:tc>
          <w:tcPr>
            <w:tcW w:w="1220" w:type="dxa"/>
          </w:tcPr>
          <w:p w14:paraId="753D4AF7" w14:textId="77777777" w:rsidR="0050318B" w:rsidRPr="003C17A3" w:rsidRDefault="0050318B" w:rsidP="00313870">
            <w:pPr>
              <w:rPr>
                <w:sz w:val="22"/>
                <w:szCs w:val="22"/>
              </w:rPr>
            </w:pPr>
            <w:r w:rsidRPr="003C17A3">
              <w:rPr>
                <w:sz w:val="22"/>
                <w:szCs w:val="22"/>
              </w:rPr>
              <w:t>Albanie</w:t>
            </w:r>
          </w:p>
        </w:tc>
        <w:tc>
          <w:tcPr>
            <w:tcW w:w="996" w:type="dxa"/>
          </w:tcPr>
          <w:p w14:paraId="4B71D3A6" w14:textId="77777777" w:rsidR="0050318B" w:rsidRPr="003C17A3" w:rsidRDefault="0050318B" w:rsidP="00313870">
            <w:pPr>
              <w:rPr>
                <w:sz w:val="22"/>
                <w:szCs w:val="22"/>
              </w:rPr>
            </w:pPr>
          </w:p>
        </w:tc>
        <w:tc>
          <w:tcPr>
            <w:tcW w:w="996" w:type="dxa"/>
          </w:tcPr>
          <w:p w14:paraId="68D17320" w14:textId="77777777" w:rsidR="0050318B" w:rsidRPr="003C17A3" w:rsidRDefault="0050318B" w:rsidP="00313870">
            <w:pPr>
              <w:rPr>
                <w:sz w:val="22"/>
                <w:szCs w:val="22"/>
              </w:rPr>
            </w:pPr>
          </w:p>
        </w:tc>
        <w:tc>
          <w:tcPr>
            <w:tcW w:w="1228" w:type="dxa"/>
          </w:tcPr>
          <w:p w14:paraId="463A7B13" w14:textId="77777777" w:rsidR="0050318B" w:rsidRPr="003C17A3" w:rsidRDefault="0050318B" w:rsidP="00313870">
            <w:pPr>
              <w:rPr>
                <w:sz w:val="22"/>
                <w:szCs w:val="22"/>
              </w:rPr>
            </w:pPr>
          </w:p>
        </w:tc>
        <w:tc>
          <w:tcPr>
            <w:tcW w:w="971" w:type="dxa"/>
          </w:tcPr>
          <w:p w14:paraId="4C9069AF" w14:textId="77777777" w:rsidR="0050318B" w:rsidRPr="003C17A3" w:rsidRDefault="0050318B" w:rsidP="00313870">
            <w:pPr>
              <w:rPr>
                <w:sz w:val="22"/>
                <w:szCs w:val="22"/>
              </w:rPr>
            </w:pPr>
          </w:p>
        </w:tc>
        <w:tc>
          <w:tcPr>
            <w:tcW w:w="1186" w:type="dxa"/>
          </w:tcPr>
          <w:p w14:paraId="5B3339FC" w14:textId="77777777" w:rsidR="0050318B" w:rsidRPr="003C17A3" w:rsidRDefault="0050318B" w:rsidP="00313870">
            <w:pPr>
              <w:rPr>
                <w:sz w:val="22"/>
                <w:szCs w:val="22"/>
              </w:rPr>
            </w:pPr>
          </w:p>
        </w:tc>
        <w:tc>
          <w:tcPr>
            <w:tcW w:w="1162" w:type="dxa"/>
          </w:tcPr>
          <w:p w14:paraId="57446976" w14:textId="77777777" w:rsidR="0050318B" w:rsidRPr="003C17A3" w:rsidRDefault="0050318B" w:rsidP="00313870">
            <w:pPr>
              <w:rPr>
                <w:sz w:val="22"/>
                <w:szCs w:val="22"/>
              </w:rPr>
            </w:pPr>
          </w:p>
        </w:tc>
      </w:tr>
      <w:tr w:rsidR="0050318B" w:rsidRPr="003C17A3" w14:paraId="04AA7C8D" w14:textId="77777777" w:rsidTr="00313870">
        <w:tc>
          <w:tcPr>
            <w:tcW w:w="663" w:type="dxa"/>
            <w:vMerge/>
          </w:tcPr>
          <w:p w14:paraId="5EE0B9ED" w14:textId="77777777" w:rsidR="0050318B" w:rsidRPr="003C17A3" w:rsidRDefault="0050318B" w:rsidP="00313870">
            <w:pPr>
              <w:rPr>
                <w:sz w:val="22"/>
                <w:szCs w:val="22"/>
              </w:rPr>
            </w:pPr>
          </w:p>
        </w:tc>
        <w:tc>
          <w:tcPr>
            <w:tcW w:w="957" w:type="dxa"/>
          </w:tcPr>
          <w:p w14:paraId="6E49AE0F" w14:textId="77777777" w:rsidR="0050318B" w:rsidRPr="003C17A3" w:rsidRDefault="0050318B" w:rsidP="00313870">
            <w:pPr>
              <w:rPr>
                <w:sz w:val="22"/>
                <w:szCs w:val="22"/>
              </w:rPr>
            </w:pPr>
          </w:p>
        </w:tc>
        <w:tc>
          <w:tcPr>
            <w:tcW w:w="957" w:type="dxa"/>
          </w:tcPr>
          <w:p w14:paraId="1BA7640C" w14:textId="77777777" w:rsidR="0050318B" w:rsidRPr="003C17A3" w:rsidRDefault="0050318B" w:rsidP="00313870">
            <w:pPr>
              <w:rPr>
                <w:sz w:val="22"/>
                <w:szCs w:val="22"/>
              </w:rPr>
            </w:pPr>
          </w:p>
        </w:tc>
        <w:tc>
          <w:tcPr>
            <w:tcW w:w="1220" w:type="dxa"/>
          </w:tcPr>
          <w:p w14:paraId="7FB5D7BA" w14:textId="77777777" w:rsidR="0050318B" w:rsidRPr="003C17A3" w:rsidRDefault="0050318B" w:rsidP="00313870">
            <w:pPr>
              <w:rPr>
                <w:sz w:val="22"/>
                <w:szCs w:val="22"/>
              </w:rPr>
            </w:pPr>
            <w:r w:rsidRPr="003C17A3">
              <w:rPr>
                <w:sz w:val="22"/>
                <w:szCs w:val="22"/>
              </w:rPr>
              <w:t>Arménie</w:t>
            </w:r>
          </w:p>
        </w:tc>
        <w:tc>
          <w:tcPr>
            <w:tcW w:w="1220" w:type="dxa"/>
          </w:tcPr>
          <w:p w14:paraId="7E2203B0" w14:textId="77777777" w:rsidR="0050318B" w:rsidRPr="003C17A3" w:rsidRDefault="0050318B" w:rsidP="00313870">
            <w:pPr>
              <w:rPr>
                <w:sz w:val="22"/>
                <w:szCs w:val="22"/>
              </w:rPr>
            </w:pPr>
            <w:r w:rsidRPr="003C17A3">
              <w:rPr>
                <w:sz w:val="22"/>
                <w:szCs w:val="22"/>
              </w:rPr>
              <w:t>Arménie</w:t>
            </w:r>
          </w:p>
        </w:tc>
        <w:tc>
          <w:tcPr>
            <w:tcW w:w="1220" w:type="dxa"/>
          </w:tcPr>
          <w:p w14:paraId="79F4605C" w14:textId="77777777" w:rsidR="0050318B" w:rsidRPr="003C17A3" w:rsidRDefault="0050318B" w:rsidP="00313870">
            <w:pPr>
              <w:rPr>
                <w:sz w:val="22"/>
                <w:szCs w:val="22"/>
              </w:rPr>
            </w:pPr>
            <w:r w:rsidRPr="003C17A3">
              <w:rPr>
                <w:sz w:val="22"/>
                <w:szCs w:val="22"/>
              </w:rPr>
              <w:t>Arménie</w:t>
            </w:r>
          </w:p>
        </w:tc>
        <w:tc>
          <w:tcPr>
            <w:tcW w:w="1220" w:type="dxa"/>
          </w:tcPr>
          <w:p w14:paraId="2F219924" w14:textId="77777777" w:rsidR="0050318B" w:rsidRPr="003C17A3" w:rsidRDefault="0050318B" w:rsidP="00313870">
            <w:pPr>
              <w:rPr>
                <w:sz w:val="22"/>
                <w:szCs w:val="22"/>
              </w:rPr>
            </w:pPr>
            <w:r w:rsidRPr="003C17A3">
              <w:rPr>
                <w:sz w:val="22"/>
                <w:szCs w:val="22"/>
              </w:rPr>
              <w:t>Arménie</w:t>
            </w:r>
          </w:p>
        </w:tc>
        <w:tc>
          <w:tcPr>
            <w:tcW w:w="996" w:type="dxa"/>
          </w:tcPr>
          <w:p w14:paraId="36FCCD53" w14:textId="77777777" w:rsidR="0050318B" w:rsidRPr="003C17A3" w:rsidRDefault="0050318B" w:rsidP="00313870">
            <w:pPr>
              <w:rPr>
                <w:sz w:val="22"/>
                <w:szCs w:val="22"/>
              </w:rPr>
            </w:pPr>
            <w:r w:rsidRPr="003C17A3">
              <w:rPr>
                <w:sz w:val="22"/>
                <w:szCs w:val="22"/>
              </w:rPr>
              <w:t>Arménie</w:t>
            </w:r>
          </w:p>
        </w:tc>
        <w:tc>
          <w:tcPr>
            <w:tcW w:w="996" w:type="dxa"/>
          </w:tcPr>
          <w:p w14:paraId="1B5DBB6D" w14:textId="77777777" w:rsidR="0050318B" w:rsidRPr="003C17A3" w:rsidRDefault="0050318B" w:rsidP="00313870">
            <w:pPr>
              <w:rPr>
                <w:sz w:val="22"/>
                <w:szCs w:val="22"/>
              </w:rPr>
            </w:pPr>
            <w:r w:rsidRPr="003C17A3">
              <w:rPr>
                <w:sz w:val="22"/>
                <w:szCs w:val="22"/>
              </w:rPr>
              <w:t>Arménie</w:t>
            </w:r>
          </w:p>
        </w:tc>
        <w:tc>
          <w:tcPr>
            <w:tcW w:w="1228" w:type="dxa"/>
          </w:tcPr>
          <w:p w14:paraId="75EC0901" w14:textId="77777777" w:rsidR="0050318B" w:rsidRPr="003C17A3" w:rsidRDefault="0050318B" w:rsidP="00313870">
            <w:pPr>
              <w:rPr>
                <w:sz w:val="22"/>
                <w:szCs w:val="22"/>
              </w:rPr>
            </w:pPr>
            <w:r w:rsidRPr="003C17A3">
              <w:rPr>
                <w:sz w:val="22"/>
                <w:szCs w:val="22"/>
              </w:rPr>
              <w:t>Arménie</w:t>
            </w:r>
          </w:p>
        </w:tc>
        <w:tc>
          <w:tcPr>
            <w:tcW w:w="971" w:type="dxa"/>
          </w:tcPr>
          <w:p w14:paraId="7B226558" w14:textId="77777777" w:rsidR="0050318B" w:rsidRPr="003C17A3" w:rsidRDefault="0050318B" w:rsidP="00313870">
            <w:pPr>
              <w:rPr>
                <w:sz w:val="22"/>
                <w:szCs w:val="22"/>
              </w:rPr>
            </w:pPr>
          </w:p>
        </w:tc>
        <w:tc>
          <w:tcPr>
            <w:tcW w:w="1186" w:type="dxa"/>
          </w:tcPr>
          <w:p w14:paraId="7196D614" w14:textId="77777777" w:rsidR="0050318B" w:rsidRPr="003C17A3" w:rsidRDefault="0050318B" w:rsidP="00313870">
            <w:pPr>
              <w:rPr>
                <w:sz w:val="22"/>
                <w:szCs w:val="22"/>
              </w:rPr>
            </w:pPr>
          </w:p>
        </w:tc>
        <w:tc>
          <w:tcPr>
            <w:tcW w:w="1162" w:type="dxa"/>
          </w:tcPr>
          <w:p w14:paraId="429FB9DF" w14:textId="77777777" w:rsidR="0050318B" w:rsidRPr="003C17A3" w:rsidRDefault="0050318B" w:rsidP="00313870">
            <w:pPr>
              <w:rPr>
                <w:sz w:val="22"/>
                <w:szCs w:val="22"/>
              </w:rPr>
            </w:pPr>
          </w:p>
        </w:tc>
      </w:tr>
      <w:tr w:rsidR="0050318B" w:rsidRPr="003C17A3" w14:paraId="5BAF23D5" w14:textId="77777777" w:rsidTr="00313870">
        <w:tc>
          <w:tcPr>
            <w:tcW w:w="663" w:type="dxa"/>
            <w:vMerge/>
          </w:tcPr>
          <w:p w14:paraId="1B78ED37" w14:textId="77777777" w:rsidR="0050318B" w:rsidRPr="003C17A3" w:rsidRDefault="0050318B" w:rsidP="00313870">
            <w:pPr>
              <w:rPr>
                <w:sz w:val="22"/>
                <w:szCs w:val="22"/>
              </w:rPr>
            </w:pPr>
          </w:p>
        </w:tc>
        <w:tc>
          <w:tcPr>
            <w:tcW w:w="957" w:type="dxa"/>
          </w:tcPr>
          <w:p w14:paraId="09310F1B" w14:textId="77777777" w:rsidR="0050318B" w:rsidRPr="003C17A3" w:rsidRDefault="0050318B" w:rsidP="00313870">
            <w:pPr>
              <w:rPr>
                <w:sz w:val="22"/>
                <w:szCs w:val="22"/>
              </w:rPr>
            </w:pPr>
          </w:p>
        </w:tc>
        <w:tc>
          <w:tcPr>
            <w:tcW w:w="957" w:type="dxa"/>
          </w:tcPr>
          <w:p w14:paraId="3A1D3429" w14:textId="77777777" w:rsidR="0050318B" w:rsidRPr="003C17A3" w:rsidRDefault="0050318B" w:rsidP="00313870">
            <w:pPr>
              <w:rPr>
                <w:sz w:val="22"/>
                <w:szCs w:val="22"/>
              </w:rPr>
            </w:pPr>
          </w:p>
        </w:tc>
        <w:tc>
          <w:tcPr>
            <w:tcW w:w="1220" w:type="dxa"/>
          </w:tcPr>
          <w:p w14:paraId="0D66C8F6" w14:textId="77777777" w:rsidR="0050318B" w:rsidRPr="003C17A3" w:rsidRDefault="0050318B" w:rsidP="00313870">
            <w:pPr>
              <w:rPr>
                <w:sz w:val="22"/>
                <w:szCs w:val="22"/>
              </w:rPr>
            </w:pPr>
            <w:r w:rsidRPr="003C17A3">
              <w:rPr>
                <w:sz w:val="22"/>
                <w:szCs w:val="22"/>
              </w:rPr>
              <w:t>Estonie</w:t>
            </w:r>
          </w:p>
        </w:tc>
        <w:tc>
          <w:tcPr>
            <w:tcW w:w="1220" w:type="dxa"/>
          </w:tcPr>
          <w:p w14:paraId="3B384475" w14:textId="77777777" w:rsidR="0050318B" w:rsidRPr="003C17A3" w:rsidRDefault="0050318B" w:rsidP="00313870">
            <w:pPr>
              <w:rPr>
                <w:sz w:val="22"/>
                <w:szCs w:val="22"/>
              </w:rPr>
            </w:pPr>
            <w:r w:rsidRPr="003C17A3">
              <w:rPr>
                <w:sz w:val="22"/>
                <w:szCs w:val="22"/>
              </w:rPr>
              <w:t>Estonie</w:t>
            </w:r>
          </w:p>
        </w:tc>
        <w:tc>
          <w:tcPr>
            <w:tcW w:w="1220" w:type="dxa"/>
          </w:tcPr>
          <w:p w14:paraId="78A71418" w14:textId="77777777" w:rsidR="0050318B" w:rsidRPr="003C17A3" w:rsidRDefault="0050318B" w:rsidP="00313870">
            <w:pPr>
              <w:rPr>
                <w:sz w:val="22"/>
                <w:szCs w:val="22"/>
              </w:rPr>
            </w:pPr>
            <w:r w:rsidRPr="003C17A3">
              <w:rPr>
                <w:sz w:val="22"/>
                <w:szCs w:val="22"/>
              </w:rPr>
              <w:t>Estonie</w:t>
            </w:r>
          </w:p>
        </w:tc>
        <w:tc>
          <w:tcPr>
            <w:tcW w:w="1220" w:type="dxa"/>
          </w:tcPr>
          <w:p w14:paraId="3CBAC385" w14:textId="77777777" w:rsidR="0050318B" w:rsidRPr="003C17A3" w:rsidRDefault="0050318B" w:rsidP="00313870">
            <w:pPr>
              <w:rPr>
                <w:sz w:val="22"/>
                <w:szCs w:val="22"/>
              </w:rPr>
            </w:pPr>
          </w:p>
        </w:tc>
        <w:tc>
          <w:tcPr>
            <w:tcW w:w="996" w:type="dxa"/>
          </w:tcPr>
          <w:p w14:paraId="63EBA73F" w14:textId="77777777" w:rsidR="0050318B" w:rsidRPr="003C17A3" w:rsidRDefault="0050318B" w:rsidP="00313870">
            <w:pPr>
              <w:rPr>
                <w:sz w:val="22"/>
                <w:szCs w:val="22"/>
              </w:rPr>
            </w:pPr>
          </w:p>
        </w:tc>
        <w:tc>
          <w:tcPr>
            <w:tcW w:w="996" w:type="dxa"/>
          </w:tcPr>
          <w:p w14:paraId="627C053C" w14:textId="77777777" w:rsidR="0050318B" w:rsidRPr="003C17A3" w:rsidRDefault="0050318B" w:rsidP="00313870">
            <w:pPr>
              <w:rPr>
                <w:sz w:val="22"/>
                <w:szCs w:val="22"/>
              </w:rPr>
            </w:pPr>
          </w:p>
        </w:tc>
        <w:tc>
          <w:tcPr>
            <w:tcW w:w="1228" w:type="dxa"/>
          </w:tcPr>
          <w:p w14:paraId="4AE1B779" w14:textId="77777777" w:rsidR="0050318B" w:rsidRPr="003C17A3" w:rsidRDefault="0050318B" w:rsidP="00313870">
            <w:pPr>
              <w:rPr>
                <w:sz w:val="22"/>
                <w:szCs w:val="22"/>
              </w:rPr>
            </w:pPr>
          </w:p>
        </w:tc>
        <w:tc>
          <w:tcPr>
            <w:tcW w:w="971" w:type="dxa"/>
          </w:tcPr>
          <w:p w14:paraId="50486D48" w14:textId="77777777" w:rsidR="0050318B" w:rsidRPr="003C17A3" w:rsidRDefault="0050318B" w:rsidP="00313870">
            <w:pPr>
              <w:rPr>
                <w:sz w:val="22"/>
                <w:szCs w:val="22"/>
              </w:rPr>
            </w:pPr>
          </w:p>
        </w:tc>
        <w:tc>
          <w:tcPr>
            <w:tcW w:w="1186" w:type="dxa"/>
          </w:tcPr>
          <w:p w14:paraId="05953236" w14:textId="77777777" w:rsidR="0050318B" w:rsidRPr="003C17A3" w:rsidRDefault="0050318B" w:rsidP="00313870">
            <w:pPr>
              <w:rPr>
                <w:sz w:val="22"/>
                <w:szCs w:val="22"/>
              </w:rPr>
            </w:pPr>
          </w:p>
        </w:tc>
        <w:tc>
          <w:tcPr>
            <w:tcW w:w="1162" w:type="dxa"/>
          </w:tcPr>
          <w:p w14:paraId="47B3E6EE" w14:textId="77777777" w:rsidR="0050318B" w:rsidRPr="003C17A3" w:rsidRDefault="0050318B" w:rsidP="00313870">
            <w:pPr>
              <w:rPr>
                <w:sz w:val="22"/>
                <w:szCs w:val="22"/>
              </w:rPr>
            </w:pPr>
          </w:p>
        </w:tc>
      </w:tr>
      <w:tr w:rsidR="0050318B" w:rsidRPr="003C17A3" w14:paraId="3141CB9E" w14:textId="77777777" w:rsidTr="00313870">
        <w:tc>
          <w:tcPr>
            <w:tcW w:w="663" w:type="dxa"/>
            <w:vMerge/>
          </w:tcPr>
          <w:p w14:paraId="68FE8761" w14:textId="77777777" w:rsidR="0050318B" w:rsidRPr="003C17A3" w:rsidRDefault="0050318B" w:rsidP="00313870">
            <w:pPr>
              <w:rPr>
                <w:sz w:val="22"/>
                <w:szCs w:val="22"/>
              </w:rPr>
            </w:pPr>
          </w:p>
        </w:tc>
        <w:tc>
          <w:tcPr>
            <w:tcW w:w="957" w:type="dxa"/>
          </w:tcPr>
          <w:p w14:paraId="079C8EC0" w14:textId="77777777" w:rsidR="0050318B" w:rsidRPr="003C17A3" w:rsidRDefault="0050318B" w:rsidP="00313870">
            <w:pPr>
              <w:rPr>
                <w:sz w:val="22"/>
                <w:szCs w:val="22"/>
              </w:rPr>
            </w:pPr>
          </w:p>
        </w:tc>
        <w:tc>
          <w:tcPr>
            <w:tcW w:w="957" w:type="dxa"/>
          </w:tcPr>
          <w:p w14:paraId="1C1D0E8E" w14:textId="77777777" w:rsidR="0050318B" w:rsidRPr="003C17A3" w:rsidRDefault="0050318B" w:rsidP="00313870">
            <w:pPr>
              <w:rPr>
                <w:sz w:val="22"/>
                <w:szCs w:val="22"/>
              </w:rPr>
            </w:pPr>
          </w:p>
        </w:tc>
        <w:tc>
          <w:tcPr>
            <w:tcW w:w="1220" w:type="dxa"/>
          </w:tcPr>
          <w:p w14:paraId="21C416E9" w14:textId="77777777" w:rsidR="0050318B" w:rsidRPr="003C17A3" w:rsidRDefault="0050318B" w:rsidP="00313870">
            <w:pPr>
              <w:rPr>
                <w:sz w:val="22"/>
                <w:szCs w:val="22"/>
              </w:rPr>
            </w:pPr>
            <w:r w:rsidRPr="003C17A3">
              <w:rPr>
                <w:sz w:val="22"/>
                <w:szCs w:val="22"/>
              </w:rPr>
              <w:t>Géorgie</w:t>
            </w:r>
          </w:p>
        </w:tc>
        <w:tc>
          <w:tcPr>
            <w:tcW w:w="1220" w:type="dxa"/>
          </w:tcPr>
          <w:p w14:paraId="7AAF9A65" w14:textId="77777777" w:rsidR="0050318B" w:rsidRPr="003C17A3" w:rsidRDefault="0050318B" w:rsidP="00313870">
            <w:pPr>
              <w:rPr>
                <w:sz w:val="22"/>
                <w:szCs w:val="22"/>
              </w:rPr>
            </w:pPr>
            <w:r w:rsidRPr="003C17A3">
              <w:rPr>
                <w:sz w:val="22"/>
                <w:szCs w:val="22"/>
              </w:rPr>
              <w:t>Géorgie</w:t>
            </w:r>
          </w:p>
        </w:tc>
        <w:tc>
          <w:tcPr>
            <w:tcW w:w="1220" w:type="dxa"/>
          </w:tcPr>
          <w:p w14:paraId="3DC305E9" w14:textId="77777777" w:rsidR="0050318B" w:rsidRPr="003C17A3" w:rsidRDefault="0050318B" w:rsidP="00313870">
            <w:pPr>
              <w:rPr>
                <w:sz w:val="22"/>
                <w:szCs w:val="22"/>
              </w:rPr>
            </w:pPr>
            <w:r w:rsidRPr="003C17A3">
              <w:rPr>
                <w:sz w:val="22"/>
                <w:szCs w:val="22"/>
              </w:rPr>
              <w:t>Géorgie</w:t>
            </w:r>
          </w:p>
        </w:tc>
        <w:tc>
          <w:tcPr>
            <w:tcW w:w="1220" w:type="dxa"/>
          </w:tcPr>
          <w:p w14:paraId="7DC680CD" w14:textId="77777777" w:rsidR="0050318B" w:rsidRPr="003C17A3" w:rsidRDefault="0050318B" w:rsidP="00313870">
            <w:pPr>
              <w:rPr>
                <w:sz w:val="22"/>
                <w:szCs w:val="22"/>
              </w:rPr>
            </w:pPr>
            <w:r w:rsidRPr="003C17A3">
              <w:rPr>
                <w:sz w:val="22"/>
                <w:szCs w:val="22"/>
              </w:rPr>
              <w:t>Géorgie</w:t>
            </w:r>
          </w:p>
        </w:tc>
        <w:tc>
          <w:tcPr>
            <w:tcW w:w="996" w:type="dxa"/>
          </w:tcPr>
          <w:p w14:paraId="43482B6A" w14:textId="77777777" w:rsidR="0050318B" w:rsidRPr="003C17A3" w:rsidRDefault="0050318B" w:rsidP="00313870">
            <w:pPr>
              <w:rPr>
                <w:sz w:val="22"/>
                <w:szCs w:val="22"/>
              </w:rPr>
            </w:pPr>
            <w:r w:rsidRPr="003C17A3">
              <w:rPr>
                <w:sz w:val="22"/>
                <w:szCs w:val="22"/>
              </w:rPr>
              <w:t>Géorgie</w:t>
            </w:r>
          </w:p>
        </w:tc>
        <w:tc>
          <w:tcPr>
            <w:tcW w:w="996" w:type="dxa"/>
          </w:tcPr>
          <w:p w14:paraId="42B64D8F" w14:textId="77777777" w:rsidR="0050318B" w:rsidRPr="003C17A3" w:rsidRDefault="0050318B" w:rsidP="00313870">
            <w:pPr>
              <w:rPr>
                <w:sz w:val="22"/>
                <w:szCs w:val="22"/>
              </w:rPr>
            </w:pPr>
            <w:r w:rsidRPr="003C17A3">
              <w:rPr>
                <w:sz w:val="22"/>
                <w:szCs w:val="22"/>
              </w:rPr>
              <w:t>Géorgie</w:t>
            </w:r>
          </w:p>
        </w:tc>
        <w:tc>
          <w:tcPr>
            <w:tcW w:w="1228" w:type="dxa"/>
          </w:tcPr>
          <w:p w14:paraId="66CA4ECC" w14:textId="77777777" w:rsidR="0050318B" w:rsidRPr="003C17A3" w:rsidRDefault="0050318B" w:rsidP="00313870">
            <w:pPr>
              <w:rPr>
                <w:sz w:val="22"/>
                <w:szCs w:val="22"/>
              </w:rPr>
            </w:pPr>
            <w:r w:rsidRPr="003C17A3">
              <w:rPr>
                <w:sz w:val="22"/>
                <w:szCs w:val="22"/>
              </w:rPr>
              <w:t>Géorgie</w:t>
            </w:r>
          </w:p>
        </w:tc>
        <w:tc>
          <w:tcPr>
            <w:tcW w:w="971" w:type="dxa"/>
          </w:tcPr>
          <w:p w14:paraId="7A3DDEDE" w14:textId="77777777" w:rsidR="0050318B" w:rsidRPr="003C17A3" w:rsidRDefault="0050318B" w:rsidP="00313870">
            <w:pPr>
              <w:rPr>
                <w:sz w:val="22"/>
                <w:szCs w:val="22"/>
              </w:rPr>
            </w:pPr>
            <w:r w:rsidRPr="003C17A3">
              <w:rPr>
                <w:sz w:val="22"/>
                <w:szCs w:val="22"/>
              </w:rPr>
              <w:t>Géorgie</w:t>
            </w:r>
          </w:p>
        </w:tc>
        <w:tc>
          <w:tcPr>
            <w:tcW w:w="1186" w:type="dxa"/>
          </w:tcPr>
          <w:p w14:paraId="329BE708" w14:textId="77777777" w:rsidR="0050318B" w:rsidRPr="003C17A3" w:rsidRDefault="0050318B" w:rsidP="00313870">
            <w:pPr>
              <w:rPr>
                <w:sz w:val="22"/>
                <w:szCs w:val="22"/>
              </w:rPr>
            </w:pPr>
            <w:r w:rsidRPr="003C17A3">
              <w:rPr>
                <w:sz w:val="22"/>
                <w:szCs w:val="22"/>
              </w:rPr>
              <w:t>Géorgie</w:t>
            </w:r>
          </w:p>
        </w:tc>
        <w:tc>
          <w:tcPr>
            <w:tcW w:w="1162" w:type="dxa"/>
          </w:tcPr>
          <w:p w14:paraId="21FAE577" w14:textId="77777777" w:rsidR="0050318B" w:rsidRPr="003C17A3" w:rsidRDefault="0050318B" w:rsidP="00313870">
            <w:pPr>
              <w:rPr>
                <w:sz w:val="22"/>
                <w:szCs w:val="22"/>
              </w:rPr>
            </w:pPr>
            <w:r w:rsidRPr="003C17A3">
              <w:rPr>
                <w:sz w:val="22"/>
                <w:szCs w:val="22"/>
              </w:rPr>
              <w:t>Géorgie</w:t>
            </w:r>
          </w:p>
        </w:tc>
      </w:tr>
      <w:tr w:rsidR="0050318B" w:rsidRPr="003C17A3" w14:paraId="3C2E94CD" w14:textId="77777777" w:rsidTr="00313870">
        <w:tc>
          <w:tcPr>
            <w:tcW w:w="663" w:type="dxa"/>
            <w:vMerge/>
          </w:tcPr>
          <w:p w14:paraId="442D2784" w14:textId="77777777" w:rsidR="0050318B" w:rsidRPr="003C17A3" w:rsidRDefault="0050318B" w:rsidP="00313870">
            <w:pPr>
              <w:rPr>
                <w:sz w:val="22"/>
                <w:szCs w:val="22"/>
              </w:rPr>
            </w:pPr>
          </w:p>
        </w:tc>
        <w:tc>
          <w:tcPr>
            <w:tcW w:w="957" w:type="dxa"/>
          </w:tcPr>
          <w:p w14:paraId="1351D8DC" w14:textId="77777777" w:rsidR="0050318B" w:rsidRPr="003C17A3" w:rsidRDefault="0050318B" w:rsidP="00313870">
            <w:pPr>
              <w:rPr>
                <w:sz w:val="22"/>
                <w:szCs w:val="22"/>
              </w:rPr>
            </w:pPr>
          </w:p>
        </w:tc>
        <w:tc>
          <w:tcPr>
            <w:tcW w:w="957" w:type="dxa"/>
          </w:tcPr>
          <w:p w14:paraId="45F92499" w14:textId="77777777" w:rsidR="0050318B" w:rsidRPr="003C17A3" w:rsidRDefault="0050318B" w:rsidP="00313870">
            <w:pPr>
              <w:rPr>
                <w:sz w:val="22"/>
                <w:szCs w:val="22"/>
              </w:rPr>
            </w:pPr>
          </w:p>
        </w:tc>
        <w:tc>
          <w:tcPr>
            <w:tcW w:w="1220" w:type="dxa"/>
          </w:tcPr>
          <w:p w14:paraId="01FDCFA9" w14:textId="77777777" w:rsidR="0050318B" w:rsidRPr="003C17A3" w:rsidRDefault="0050318B" w:rsidP="00313870">
            <w:pPr>
              <w:rPr>
                <w:sz w:val="22"/>
                <w:szCs w:val="22"/>
              </w:rPr>
            </w:pPr>
            <w:r w:rsidRPr="003C17A3">
              <w:rPr>
                <w:sz w:val="22"/>
                <w:szCs w:val="22"/>
              </w:rPr>
              <w:t>Lettonie</w:t>
            </w:r>
          </w:p>
        </w:tc>
        <w:tc>
          <w:tcPr>
            <w:tcW w:w="1220" w:type="dxa"/>
          </w:tcPr>
          <w:p w14:paraId="01144437" w14:textId="77777777" w:rsidR="0050318B" w:rsidRPr="003C17A3" w:rsidRDefault="0050318B" w:rsidP="00313870">
            <w:pPr>
              <w:rPr>
                <w:sz w:val="22"/>
                <w:szCs w:val="22"/>
              </w:rPr>
            </w:pPr>
            <w:r w:rsidRPr="003C17A3">
              <w:rPr>
                <w:sz w:val="22"/>
                <w:szCs w:val="22"/>
              </w:rPr>
              <w:t>Lettonie</w:t>
            </w:r>
          </w:p>
        </w:tc>
        <w:tc>
          <w:tcPr>
            <w:tcW w:w="1220" w:type="dxa"/>
          </w:tcPr>
          <w:p w14:paraId="01899FD8" w14:textId="77777777" w:rsidR="0050318B" w:rsidRPr="003C17A3" w:rsidRDefault="0050318B" w:rsidP="00313870">
            <w:pPr>
              <w:rPr>
                <w:sz w:val="22"/>
                <w:szCs w:val="22"/>
              </w:rPr>
            </w:pPr>
            <w:r w:rsidRPr="003C17A3">
              <w:rPr>
                <w:sz w:val="22"/>
                <w:szCs w:val="22"/>
              </w:rPr>
              <w:t>Lettonie</w:t>
            </w:r>
          </w:p>
        </w:tc>
        <w:tc>
          <w:tcPr>
            <w:tcW w:w="1220" w:type="dxa"/>
          </w:tcPr>
          <w:p w14:paraId="17C5CBE0" w14:textId="77777777" w:rsidR="0050318B" w:rsidRPr="003C17A3" w:rsidRDefault="0050318B" w:rsidP="00313870">
            <w:pPr>
              <w:rPr>
                <w:sz w:val="22"/>
                <w:szCs w:val="22"/>
              </w:rPr>
            </w:pPr>
            <w:r w:rsidRPr="003C17A3">
              <w:rPr>
                <w:sz w:val="22"/>
                <w:szCs w:val="22"/>
              </w:rPr>
              <w:t>Lettonie</w:t>
            </w:r>
          </w:p>
        </w:tc>
        <w:tc>
          <w:tcPr>
            <w:tcW w:w="996" w:type="dxa"/>
          </w:tcPr>
          <w:p w14:paraId="1A2B0FC0" w14:textId="77777777" w:rsidR="0050318B" w:rsidRPr="003C17A3" w:rsidRDefault="0050318B" w:rsidP="00313870">
            <w:pPr>
              <w:rPr>
                <w:sz w:val="22"/>
                <w:szCs w:val="22"/>
              </w:rPr>
            </w:pPr>
          </w:p>
        </w:tc>
        <w:tc>
          <w:tcPr>
            <w:tcW w:w="996" w:type="dxa"/>
          </w:tcPr>
          <w:p w14:paraId="0107E757" w14:textId="77777777" w:rsidR="0050318B" w:rsidRPr="003C17A3" w:rsidRDefault="0050318B" w:rsidP="00313870">
            <w:pPr>
              <w:rPr>
                <w:sz w:val="22"/>
                <w:szCs w:val="22"/>
              </w:rPr>
            </w:pPr>
          </w:p>
        </w:tc>
        <w:tc>
          <w:tcPr>
            <w:tcW w:w="1228" w:type="dxa"/>
          </w:tcPr>
          <w:p w14:paraId="2742AF2F" w14:textId="77777777" w:rsidR="0050318B" w:rsidRPr="003C17A3" w:rsidRDefault="0050318B" w:rsidP="00313870">
            <w:pPr>
              <w:rPr>
                <w:sz w:val="22"/>
                <w:szCs w:val="22"/>
              </w:rPr>
            </w:pPr>
          </w:p>
        </w:tc>
        <w:tc>
          <w:tcPr>
            <w:tcW w:w="971" w:type="dxa"/>
          </w:tcPr>
          <w:p w14:paraId="44475B0C" w14:textId="77777777" w:rsidR="0050318B" w:rsidRPr="003C17A3" w:rsidRDefault="0050318B" w:rsidP="00313870">
            <w:pPr>
              <w:rPr>
                <w:sz w:val="22"/>
                <w:szCs w:val="22"/>
              </w:rPr>
            </w:pPr>
          </w:p>
        </w:tc>
        <w:tc>
          <w:tcPr>
            <w:tcW w:w="1186" w:type="dxa"/>
          </w:tcPr>
          <w:p w14:paraId="007CC2FD" w14:textId="77777777" w:rsidR="0050318B" w:rsidRPr="003C17A3" w:rsidRDefault="0050318B" w:rsidP="00313870">
            <w:pPr>
              <w:rPr>
                <w:sz w:val="22"/>
                <w:szCs w:val="22"/>
              </w:rPr>
            </w:pPr>
          </w:p>
        </w:tc>
        <w:tc>
          <w:tcPr>
            <w:tcW w:w="1162" w:type="dxa"/>
          </w:tcPr>
          <w:p w14:paraId="4D511F67" w14:textId="77777777" w:rsidR="0050318B" w:rsidRPr="003C17A3" w:rsidRDefault="0050318B" w:rsidP="00313870">
            <w:pPr>
              <w:rPr>
                <w:sz w:val="22"/>
                <w:szCs w:val="22"/>
              </w:rPr>
            </w:pPr>
            <w:r w:rsidRPr="003C17A3">
              <w:rPr>
                <w:sz w:val="22"/>
                <w:szCs w:val="22"/>
              </w:rPr>
              <w:t>Lettonie</w:t>
            </w:r>
          </w:p>
        </w:tc>
      </w:tr>
      <w:tr w:rsidR="0050318B" w:rsidRPr="003C17A3" w14:paraId="62820964" w14:textId="77777777" w:rsidTr="00313870">
        <w:tc>
          <w:tcPr>
            <w:tcW w:w="663" w:type="dxa"/>
            <w:vMerge/>
          </w:tcPr>
          <w:p w14:paraId="620F4E5E" w14:textId="77777777" w:rsidR="0050318B" w:rsidRPr="003C17A3" w:rsidRDefault="0050318B" w:rsidP="00313870">
            <w:pPr>
              <w:rPr>
                <w:sz w:val="22"/>
                <w:szCs w:val="22"/>
              </w:rPr>
            </w:pPr>
          </w:p>
        </w:tc>
        <w:tc>
          <w:tcPr>
            <w:tcW w:w="957" w:type="dxa"/>
          </w:tcPr>
          <w:p w14:paraId="003E5A72" w14:textId="77777777" w:rsidR="0050318B" w:rsidRPr="003C17A3" w:rsidRDefault="0050318B" w:rsidP="00313870">
            <w:pPr>
              <w:rPr>
                <w:sz w:val="22"/>
                <w:szCs w:val="22"/>
              </w:rPr>
            </w:pPr>
          </w:p>
        </w:tc>
        <w:tc>
          <w:tcPr>
            <w:tcW w:w="957" w:type="dxa"/>
          </w:tcPr>
          <w:p w14:paraId="73208946" w14:textId="77777777" w:rsidR="0050318B" w:rsidRPr="003C17A3" w:rsidRDefault="0050318B" w:rsidP="00313870">
            <w:pPr>
              <w:rPr>
                <w:sz w:val="22"/>
                <w:szCs w:val="22"/>
              </w:rPr>
            </w:pPr>
          </w:p>
        </w:tc>
        <w:tc>
          <w:tcPr>
            <w:tcW w:w="1220" w:type="dxa"/>
          </w:tcPr>
          <w:p w14:paraId="423F35AC" w14:textId="77777777" w:rsidR="0050318B" w:rsidRPr="003C17A3" w:rsidRDefault="0050318B" w:rsidP="00313870">
            <w:pPr>
              <w:rPr>
                <w:sz w:val="22"/>
                <w:szCs w:val="22"/>
              </w:rPr>
            </w:pPr>
            <w:r w:rsidRPr="003C17A3">
              <w:rPr>
                <w:sz w:val="22"/>
                <w:szCs w:val="22"/>
              </w:rPr>
              <w:t>Macédoine du Nord</w:t>
            </w:r>
          </w:p>
        </w:tc>
        <w:tc>
          <w:tcPr>
            <w:tcW w:w="1220" w:type="dxa"/>
          </w:tcPr>
          <w:p w14:paraId="0DFAD749" w14:textId="77777777" w:rsidR="0050318B" w:rsidRPr="003C17A3" w:rsidRDefault="0050318B" w:rsidP="00313870">
            <w:pPr>
              <w:rPr>
                <w:sz w:val="22"/>
                <w:szCs w:val="22"/>
              </w:rPr>
            </w:pPr>
            <w:r w:rsidRPr="003C17A3">
              <w:rPr>
                <w:sz w:val="22"/>
                <w:szCs w:val="22"/>
              </w:rPr>
              <w:t>Macédoine du Nord</w:t>
            </w:r>
          </w:p>
        </w:tc>
        <w:tc>
          <w:tcPr>
            <w:tcW w:w="1220" w:type="dxa"/>
          </w:tcPr>
          <w:p w14:paraId="6B21D027" w14:textId="77777777" w:rsidR="0050318B" w:rsidRPr="003C17A3" w:rsidRDefault="0050318B" w:rsidP="00313870">
            <w:pPr>
              <w:rPr>
                <w:sz w:val="22"/>
                <w:szCs w:val="22"/>
              </w:rPr>
            </w:pPr>
            <w:r w:rsidRPr="003C17A3">
              <w:rPr>
                <w:sz w:val="22"/>
                <w:szCs w:val="22"/>
              </w:rPr>
              <w:t>Macédoine du Nord</w:t>
            </w:r>
          </w:p>
        </w:tc>
        <w:tc>
          <w:tcPr>
            <w:tcW w:w="1220" w:type="dxa"/>
          </w:tcPr>
          <w:p w14:paraId="0B3B50B2" w14:textId="77777777" w:rsidR="0050318B" w:rsidRPr="003C17A3" w:rsidRDefault="0050318B" w:rsidP="00313870">
            <w:pPr>
              <w:rPr>
                <w:sz w:val="22"/>
                <w:szCs w:val="22"/>
              </w:rPr>
            </w:pPr>
            <w:r w:rsidRPr="003C17A3">
              <w:rPr>
                <w:sz w:val="22"/>
                <w:szCs w:val="22"/>
              </w:rPr>
              <w:t>Macédoine du Nord</w:t>
            </w:r>
          </w:p>
        </w:tc>
        <w:tc>
          <w:tcPr>
            <w:tcW w:w="996" w:type="dxa"/>
          </w:tcPr>
          <w:p w14:paraId="7D937F1F" w14:textId="77777777" w:rsidR="0050318B" w:rsidRPr="003C17A3" w:rsidRDefault="0050318B" w:rsidP="00313870">
            <w:pPr>
              <w:rPr>
                <w:sz w:val="22"/>
                <w:szCs w:val="22"/>
              </w:rPr>
            </w:pPr>
          </w:p>
        </w:tc>
        <w:tc>
          <w:tcPr>
            <w:tcW w:w="996" w:type="dxa"/>
          </w:tcPr>
          <w:p w14:paraId="1E80CCE3" w14:textId="77777777" w:rsidR="0050318B" w:rsidRPr="003C17A3" w:rsidRDefault="0050318B" w:rsidP="00313870">
            <w:pPr>
              <w:rPr>
                <w:sz w:val="22"/>
                <w:szCs w:val="22"/>
              </w:rPr>
            </w:pPr>
          </w:p>
        </w:tc>
        <w:tc>
          <w:tcPr>
            <w:tcW w:w="1228" w:type="dxa"/>
          </w:tcPr>
          <w:p w14:paraId="4E40E76C" w14:textId="77777777" w:rsidR="0050318B" w:rsidRPr="003C17A3" w:rsidRDefault="0050318B" w:rsidP="00313870">
            <w:pPr>
              <w:rPr>
                <w:sz w:val="22"/>
                <w:szCs w:val="22"/>
              </w:rPr>
            </w:pPr>
          </w:p>
        </w:tc>
        <w:tc>
          <w:tcPr>
            <w:tcW w:w="971" w:type="dxa"/>
          </w:tcPr>
          <w:p w14:paraId="2AFAF499" w14:textId="77777777" w:rsidR="0050318B" w:rsidRPr="003C17A3" w:rsidRDefault="0050318B" w:rsidP="00313870">
            <w:pPr>
              <w:rPr>
                <w:sz w:val="22"/>
                <w:szCs w:val="22"/>
              </w:rPr>
            </w:pPr>
          </w:p>
        </w:tc>
        <w:tc>
          <w:tcPr>
            <w:tcW w:w="1186" w:type="dxa"/>
          </w:tcPr>
          <w:p w14:paraId="78866DAA" w14:textId="77777777" w:rsidR="0050318B" w:rsidRPr="003C17A3" w:rsidRDefault="0050318B" w:rsidP="00313870">
            <w:pPr>
              <w:rPr>
                <w:sz w:val="22"/>
                <w:szCs w:val="22"/>
              </w:rPr>
            </w:pPr>
          </w:p>
        </w:tc>
        <w:tc>
          <w:tcPr>
            <w:tcW w:w="1162" w:type="dxa"/>
          </w:tcPr>
          <w:p w14:paraId="582A1C06" w14:textId="77777777" w:rsidR="0050318B" w:rsidRPr="003C17A3" w:rsidRDefault="0050318B" w:rsidP="00313870">
            <w:pPr>
              <w:rPr>
                <w:sz w:val="22"/>
                <w:szCs w:val="22"/>
              </w:rPr>
            </w:pPr>
          </w:p>
        </w:tc>
      </w:tr>
      <w:tr w:rsidR="0050318B" w:rsidRPr="003C17A3" w14:paraId="3474AEC3" w14:textId="77777777" w:rsidTr="00313870">
        <w:tc>
          <w:tcPr>
            <w:tcW w:w="663" w:type="dxa"/>
            <w:vMerge/>
          </w:tcPr>
          <w:p w14:paraId="31AF1ACB" w14:textId="77777777" w:rsidR="0050318B" w:rsidRPr="003C17A3" w:rsidRDefault="0050318B" w:rsidP="00313870">
            <w:pPr>
              <w:rPr>
                <w:sz w:val="22"/>
                <w:szCs w:val="22"/>
              </w:rPr>
            </w:pPr>
          </w:p>
        </w:tc>
        <w:tc>
          <w:tcPr>
            <w:tcW w:w="957" w:type="dxa"/>
          </w:tcPr>
          <w:p w14:paraId="25A3B2F1" w14:textId="77777777" w:rsidR="0050318B" w:rsidRPr="003C17A3" w:rsidRDefault="0050318B" w:rsidP="00313870">
            <w:pPr>
              <w:rPr>
                <w:sz w:val="22"/>
                <w:szCs w:val="22"/>
              </w:rPr>
            </w:pPr>
          </w:p>
        </w:tc>
        <w:tc>
          <w:tcPr>
            <w:tcW w:w="957" w:type="dxa"/>
          </w:tcPr>
          <w:p w14:paraId="14148F2F" w14:textId="77777777" w:rsidR="0050318B" w:rsidRPr="003C17A3" w:rsidRDefault="0050318B" w:rsidP="00313870">
            <w:pPr>
              <w:rPr>
                <w:sz w:val="22"/>
                <w:szCs w:val="22"/>
              </w:rPr>
            </w:pPr>
          </w:p>
        </w:tc>
        <w:tc>
          <w:tcPr>
            <w:tcW w:w="1220" w:type="dxa"/>
          </w:tcPr>
          <w:p w14:paraId="73C5CA6C" w14:textId="77777777" w:rsidR="0050318B" w:rsidRPr="003C17A3" w:rsidRDefault="0050318B" w:rsidP="00313870">
            <w:pPr>
              <w:rPr>
                <w:sz w:val="22"/>
                <w:szCs w:val="22"/>
              </w:rPr>
            </w:pPr>
            <w:r w:rsidRPr="003C17A3">
              <w:rPr>
                <w:sz w:val="22"/>
                <w:szCs w:val="22"/>
              </w:rPr>
              <w:t>Moldova</w:t>
            </w:r>
          </w:p>
        </w:tc>
        <w:tc>
          <w:tcPr>
            <w:tcW w:w="1220" w:type="dxa"/>
          </w:tcPr>
          <w:p w14:paraId="05F394F6" w14:textId="77777777" w:rsidR="0050318B" w:rsidRPr="003C17A3" w:rsidRDefault="0050318B" w:rsidP="00313870">
            <w:pPr>
              <w:rPr>
                <w:sz w:val="22"/>
                <w:szCs w:val="22"/>
              </w:rPr>
            </w:pPr>
            <w:r w:rsidRPr="003C17A3">
              <w:rPr>
                <w:sz w:val="22"/>
                <w:szCs w:val="22"/>
              </w:rPr>
              <w:t>Moldova</w:t>
            </w:r>
          </w:p>
        </w:tc>
        <w:tc>
          <w:tcPr>
            <w:tcW w:w="1220" w:type="dxa"/>
          </w:tcPr>
          <w:p w14:paraId="6CA6616E" w14:textId="77777777" w:rsidR="0050318B" w:rsidRPr="003C17A3" w:rsidRDefault="0050318B" w:rsidP="00313870">
            <w:pPr>
              <w:rPr>
                <w:sz w:val="22"/>
                <w:szCs w:val="22"/>
              </w:rPr>
            </w:pPr>
            <w:r w:rsidRPr="003C17A3">
              <w:rPr>
                <w:sz w:val="22"/>
                <w:szCs w:val="22"/>
              </w:rPr>
              <w:t>Moldova</w:t>
            </w:r>
          </w:p>
        </w:tc>
        <w:tc>
          <w:tcPr>
            <w:tcW w:w="1220" w:type="dxa"/>
          </w:tcPr>
          <w:p w14:paraId="45F49E6A" w14:textId="77777777" w:rsidR="0050318B" w:rsidRPr="003C17A3" w:rsidRDefault="0050318B" w:rsidP="00313870">
            <w:pPr>
              <w:rPr>
                <w:sz w:val="22"/>
                <w:szCs w:val="22"/>
              </w:rPr>
            </w:pPr>
          </w:p>
        </w:tc>
        <w:tc>
          <w:tcPr>
            <w:tcW w:w="996" w:type="dxa"/>
          </w:tcPr>
          <w:p w14:paraId="546E203F" w14:textId="77777777" w:rsidR="0050318B" w:rsidRPr="003C17A3" w:rsidRDefault="0050318B" w:rsidP="00313870">
            <w:pPr>
              <w:rPr>
                <w:sz w:val="22"/>
                <w:szCs w:val="22"/>
              </w:rPr>
            </w:pPr>
          </w:p>
        </w:tc>
        <w:tc>
          <w:tcPr>
            <w:tcW w:w="996" w:type="dxa"/>
          </w:tcPr>
          <w:p w14:paraId="1FD805A1" w14:textId="77777777" w:rsidR="0050318B" w:rsidRPr="003C17A3" w:rsidRDefault="0050318B" w:rsidP="00313870">
            <w:pPr>
              <w:rPr>
                <w:sz w:val="22"/>
                <w:szCs w:val="22"/>
              </w:rPr>
            </w:pPr>
          </w:p>
        </w:tc>
        <w:tc>
          <w:tcPr>
            <w:tcW w:w="1228" w:type="dxa"/>
          </w:tcPr>
          <w:p w14:paraId="3D5CA4D1" w14:textId="77777777" w:rsidR="0050318B" w:rsidRPr="003C17A3" w:rsidRDefault="0050318B" w:rsidP="00313870">
            <w:pPr>
              <w:rPr>
                <w:sz w:val="22"/>
                <w:szCs w:val="22"/>
              </w:rPr>
            </w:pPr>
          </w:p>
        </w:tc>
        <w:tc>
          <w:tcPr>
            <w:tcW w:w="971" w:type="dxa"/>
          </w:tcPr>
          <w:p w14:paraId="262BA9AA" w14:textId="77777777" w:rsidR="0050318B" w:rsidRPr="003C17A3" w:rsidRDefault="0050318B" w:rsidP="00313870">
            <w:pPr>
              <w:rPr>
                <w:sz w:val="22"/>
                <w:szCs w:val="22"/>
              </w:rPr>
            </w:pPr>
          </w:p>
        </w:tc>
        <w:tc>
          <w:tcPr>
            <w:tcW w:w="1186" w:type="dxa"/>
          </w:tcPr>
          <w:p w14:paraId="74189A06" w14:textId="77777777" w:rsidR="0050318B" w:rsidRPr="003C17A3" w:rsidRDefault="0050318B" w:rsidP="00313870">
            <w:pPr>
              <w:rPr>
                <w:sz w:val="22"/>
                <w:szCs w:val="22"/>
              </w:rPr>
            </w:pPr>
          </w:p>
        </w:tc>
        <w:tc>
          <w:tcPr>
            <w:tcW w:w="1162" w:type="dxa"/>
          </w:tcPr>
          <w:p w14:paraId="6ED9CC04" w14:textId="77777777" w:rsidR="0050318B" w:rsidRPr="003C17A3" w:rsidRDefault="0050318B" w:rsidP="00313870">
            <w:pPr>
              <w:rPr>
                <w:sz w:val="22"/>
                <w:szCs w:val="22"/>
              </w:rPr>
            </w:pPr>
          </w:p>
        </w:tc>
      </w:tr>
      <w:tr w:rsidR="0050318B" w:rsidRPr="003C17A3" w14:paraId="079AB4B3" w14:textId="77777777" w:rsidTr="00313870">
        <w:tc>
          <w:tcPr>
            <w:tcW w:w="663" w:type="dxa"/>
            <w:vMerge/>
          </w:tcPr>
          <w:p w14:paraId="7B614BAC" w14:textId="77777777" w:rsidR="0050318B" w:rsidRPr="003C17A3" w:rsidRDefault="0050318B" w:rsidP="00313870">
            <w:pPr>
              <w:rPr>
                <w:sz w:val="22"/>
                <w:szCs w:val="22"/>
              </w:rPr>
            </w:pPr>
          </w:p>
        </w:tc>
        <w:tc>
          <w:tcPr>
            <w:tcW w:w="957" w:type="dxa"/>
          </w:tcPr>
          <w:p w14:paraId="5EA107B5" w14:textId="77777777" w:rsidR="0050318B" w:rsidRPr="003C17A3" w:rsidRDefault="0050318B" w:rsidP="00313870">
            <w:pPr>
              <w:rPr>
                <w:sz w:val="22"/>
                <w:szCs w:val="22"/>
              </w:rPr>
            </w:pPr>
          </w:p>
        </w:tc>
        <w:tc>
          <w:tcPr>
            <w:tcW w:w="957" w:type="dxa"/>
          </w:tcPr>
          <w:p w14:paraId="62B19F44" w14:textId="77777777" w:rsidR="0050318B" w:rsidRPr="003C17A3" w:rsidRDefault="0050318B" w:rsidP="00313870">
            <w:pPr>
              <w:rPr>
                <w:sz w:val="22"/>
                <w:szCs w:val="22"/>
              </w:rPr>
            </w:pPr>
          </w:p>
        </w:tc>
        <w:tc>
          <w:tcPr>
            <w:tcW w:w="1220" w:type="dxa"/>
          </w:tcPr>
          <w:p w14:paraId="5337DEDA" w14:textId="77777777" w:rsidR="0050318B" w:rsidRPr="003C17A3" w:rsidRDefault="0050318B" w:rsidP="00313870">
            <w:pPr>
              <w:rPr>
                <w:sz w:val="22"/>
                <w:szCs w:val="22"/>
              </w:rPr>
            </w:pPr>
            <w:r w:rsidRPr="003C17A3">
              <w:rPr>
                <w:sz w:val="22"/>
                <w:szCs w:val="22"/>
              </w:rPr>
              <w:t>Roumanie</w:t>
            </w:r>
          </w:p>
        </w:tc>
        <w:tc>
          <w:tcPr>
            <w:tcW w:w="1220" w:type="dxa"/>
          </w:tcPr>
          <w:p w14:paraId="216D214C" w14:textId="77777777" w:rsidR="0050318B" w:rsidRPr="003C17A3" w:rsidRDefault="0050318B" w:rsidP="00313870">
            <w:pPr>
              <w:rPr>
                <w:sz w:val="22"/>
                <w:szCs w:val="22"/>
              </w:rPr>
            </w:pPr>
            <w:r w:rsidRPr="003C17A3">
              <w:rPr>
                <w:sz w:val="22"/>
                <w:szCs w:val="22"/>
              </w:rPr>
              <w:t>Roumanie</w:t>
            </w:r>
          </w:p>
        </w:tc>
        <w:tc>
          <w:tcPr>
            <w:tcW w:w="1220" w:type="dxa"/>
          </w:tcPr>
          <w:p w14:paraId="72A31AC0" w14:textId="77777777" w:rsidR="0050318B" w:rsidRPr="003C17A3" w:rsidRDefault="0050318B" w:rsidP="00313870">
            <w:pPr>
              <w:rPr>
                <w:sz w:val="22"/>
                <w:szCs w:val="22"/>
              </w:rPr>
            </w:pPr>
            <w:r w:rsidRPr="003C17A3">
              <w:rPr>
                <w:sz w:val="22"/>
                <w:szCs w:val="22"/>
              </w:rPr>
              <w:t>Roumanie</w:t>
            </w:r>
          </w:p>
        </w:tc>
        <w:tc>
          <w:tcPr>
            <w:tcW w:w="1220" w:type="dxa"/>
          </w:tcPr>
          <w:p w14:paraId="76463627" w14:textId="77777777" w:rsidR="0050318B" w:rsidRPr="003C17A3" w:rsidRDefault="0050318B" w:rsidP="00313870">
            <w:pPr>
              <w:rPr>
                <w:sz w:val="22"/>
                <w:szCs w:val="22"/>
              </w:rPr>
            </w:pPr>
          </w:p>
        </w:tc>
        <w:tc>
          <w:tcPr>
            <w:tcW w:w="996" w:type="dxa"/>
          </w:tcPr>
          <w:p w14:paraId="7E98607D" w14:textId="77777777" w:rsidR="0050318B" w:rsidRPr="003C17A3" w:rsidRDefault="0050318B" w:rsidP="00313870">
            <w:pPr>
              <w:rPr>
                <w:sz w:val="22"/>
                <w:szCs w:val="22"/>
              </w:rPr>
            </w:pPr>
          </w:p>
        </w:tc>
        <w:tc>
          <w:tcPr>
            <w:tcW w:w="996" w:type="dxa"/>
          </w:tcPr>
          <w:p w14:paraId="36BA9206" w14:textId="77777777" w:rsidR="0050318B" w:rsidRPr="003C17A3" w:rsidRDefault="0050318B" w:rsidP="00313870">
            <w:pPr>
              <w:rPr>
                <w:sz w:val="22"/>
                <w:szCs w:val="22"/>
              </w:rPr>
            </w:pPr>
          </w:p>
        </w:tc>
        <w:tc>
          <w:tcPr>
            <w:tcW w:w="1228" w:type="dxa"/>
          </w:tcPr>
          <w:p w14:paraId="2E80B856" w14:textId="77777777" w:rsidR="0050318B" w:rsidRPr="003C17A3" w:rsidRDefault="0050318B" w:rsidP="00313870">
            <w:pPr>
              <w:rPr>
                <w:sz w:val="22"/>
                <w:szCs w:val="22"/>
              </w:rPr>
            </w:pPr>
          </w:p>
        </w:tc>
        <w:tc>
          <w:tcPr>
            <w:tcW w:w="971" w:type="dxa"/>
          </w:tcPr>
          <w:p w14:paraId="1B2C9203" w14:textId="77777777" w:rsidR="0050318B" w:rsidRPr="003C17A3" w:rsidRDefault="0050318B" w:rsidP="00313870">
            <w:pPr>
              <w:rPr>
                <w:sz w:val="22"/>
                <w:szCs w:val="22"/>
              </w:rPr>
            </w:pPr>
          </w:p>
        </w:tc>
        <w:tc>
          <w:tcPr>
            <w:tcW w:w="1186" w:type="dxa"/>
          </w:tcPr>
          <w:p w14:paraId="17EA3D9B" w14:textId="77777777" w:rsidR="0050318B" w:rsidRPr="003C17A3" w:rsidRDefault="0050318B" w:rsidP="00313870">
            <w:pPr>
              <w:rPr>
                <w:sz w:val="22"/>
                <w:szCs w:val="22"/>
              </w:rPr>
            </w:pPr>
          </w:p>
        </w:tc>
        <w:tc>
          <w:tcPr>
            <w:tcW w:w="1162" w:type="dxa"/>
          </w:tcPr>
          <w:p w14:paraId="104A25D9" w14:textId="77777777" w:rsidR="0050318B" w:rsidRPr="003C17A3" w:rsidRDefault="0050318B" w:rsidP="00313870">
            <w:pPr>
              <w:rPr>
                <w:sz w:val="22"/>
                <w:szCs w:val="22"/>
              </w:rPr>
            </w:pPr>
          </w:p>
        </w:tc>
      </w:tr>
      <w:tr w:rsidR="0050318B" w:rsidRPr="003C17A3" w14:paraId="71E81CB6" w14:textId="77777777" w:rsidTr="00313870">
        <w:tc>
          <w:tcPr>
            <w:tcW w:w="663" w:type="dxa"/>
            <w:vMerge/>
          </w:tcPr>
          <w:p w14:paraId="5512F9B6" w14:textId="77777777" w:rsidR="0050318B" w:rsidRPr="003C17A3" w:rsidRDefault="0050318B" w:rsidP="00313870">
            <w:pPr>
              <w:rPr>
                <w:sz w:val="22"/>
                <w:szCs w:val="22"/>
              </w:rPr>
            </w:pPr>
          </w:p>
        </w:tc>
        <w:tc>
          <w:tcPr>
            <w:tcW w:w="957" w:type="dxa"/>
          </w:tcPr>
          <w:p w14:paraId="5402AE48" w14:textId="77777777" w:rsidR="0050318B" w:rsidRPr="003C17A3" w:rsidRDefault="0050318B" w:rsidP="00313870">
            <w:pPr>
              <w:rPr>
                <w:sz w:val="22"/>
                <w:szCs w:val="22"/>
              </w:rPr>
            </w:pPr>
          </w:p>
        </w:tc>
        <w:tc>
          <w:tcPr>
            <w:tcW w:w="957" w:type="dxa"/>
          </w:tcPr>
          <w:p w14:paraId="05E4E0F8" w14:textId="77777777" w:rsidR="0050318B" w:rsidRPr="003C17A3" w:rsidRDefault="0050318B" w:rsidP="00313870">
            <w:pPr>
              <w:rPr>
                <w:sz w:val="22"/>
                <w:szCs w:val="22"/>
              </w:rPr>
            </w:pPr>
          </w:p>
        </w:tc>
        <w:tc>
          <w:tcPr>
            <w:tcW w:w="1220" w:type="dxa"/>
          </w:tcPr>
          <w:p w14:paraId="38973148" w14:textId="77777777" w:rsidR="0050318B" w:rsidRPr="003C17A3" w:rsidRDefault="0050318B" w:rsidP="00313870">
            <w:pPr>
              <w:rPr>
                <w:sz w:val="22"/>
                <w:szCs w:val="22"/>
              </w:rPr>
            </w:pPr>
            <w:r w:rsidRPr="003C17A3">
              <w:rPr>
                <w:sz w:val="22"/>
                <w:szCs w:val="22"/>
              </w:rPr>
              <w:t>Saint-Marin</w:t>
            </w:r>
          </w:p>
        </w:tc>
        <w:tc>
          <w:tcPr>
            <w:tcW w:w="1220" w:type="dxa"/>
          </w:tcPr>
          <w:p w14:paraId="1B4A70EC" w14:textId="77777777" w:rsidR="0050318B" w:rsidRPr="003C17A3" w:rsidRDefault="0050318B" w:rsidP="00313870">
            <w:pPr>
              <w:rPr>
                <w:sz w:val="22"/>
                <w:szCs w:val="22"/>
              </w:rPr>
            </w:pPr>
            <w:r w:rsidRPr="003C17A3">
              <w:rPr>
                <w:sz w:val="22"/>
                <w:szCs w:val="22"/>
              </w:rPr>
              <w:t>Saint-Marin</w:t>
            </w:r>
          </w:p>
        </w:tc>
        <w:tc>
          <w:tcPr>
            <w:tcW w:w="1220" w:type="dxa"/>
          </w:tcPr>
          <w:p w14:paraId="11DAD871" w14:textId="77777777" w:rsidR="0050318B" w:rsidRPr="003C17A3" w:rsidRDefault="0050318B" w:rsidP="00313870">
            <w:pPr>
              <w:rPr>
                <w:sz w:val="22"/>
                <w:szCs w:val="22"/>
              </w:rPr>
            </w:pPr>
            <w:r w:rsidRPr="003C17A3">
              <w:rPr>
                <w:sz w:val="22"/>
                <w:szCs w:val="22"/>
              </w:rPr>
              <w:t>Saint-Marin</w:t>
            </w:r>
          </w:p>
        </w:tc>
        <w:tc>
          <w:tcPr>
            <w:tcW w:w="1220" w:type="dxa"/>
          </w:tcPr>
          <w:p w14:paraId="13AE1E33" w14:textId="77777777" w:rsidR="0050318B" w:rsidRPr="003C17A3" w:rsidRDefault="0050318B" w:rsidP="00313870">
            <w:pPr>
              <w:rPr>
                <w:sz w:val="22"/>
                <w:szCs w:val="22"/>
              </w:rPr>
            </w:pPr>
            <w:r w:rsidRPr="003C17A3">
              <w:rPr>
                <w:sz w:val="22"/>
                <w:szCs w:val="22"/>
              </w:rPr>
              <w:t>Saint-Marin</w:t>
            </w:r>
          </w:p>
        </w:tc>
        <w:tc>
          <w:tcPr>
            <w:tcW w:w="996" w:type="dxa"/>
          </w:tcPr>
          <w:p w14:paraId="19C95861" w14:textId="77777777" w:rsidR="0050318B" w:rsidRPr="003C17A3" w:rsidRDefault="0050318B" w:rsidP="00313870">
            <w:pPr>
              <w:rPr>
                <w:sz w:val="22"/>
                <w:szCs w:val="22"/>
              </w:rPr>
            </w:pPr>
          </w:p>
        </w:tc>
        <w:tc>
          <w:tcPr>
            <w:tcW w:w="996" w:type="dxa"/>
          </w:tcPr>
          <w:p w14:paraId="5C505083" w14:textId="77777777" w:rsidR="0050318B" w:rsidRPr="003C17A3" w:rsidRDefault="0050318B" w:rsidP="00313870">
            <w:pPr>
              <w:rPr>
                <w:sz w:val="22"/>
                <w:szCs w:val="22"/>
              </w:rPr>
            </w:pPr>
          </w:p>
        </w:tc>
        <w:tc>
          <w:tcPr>
            <w:tcW w:w="1228" w:type="dxa"/>
          </w:tcPr>
          <w:p w14:paraId="102D922D" w14:textId="77777777" w:rsidR="0050318B" w:rsidRPr="003C17A3" w:rsidRDefault="0050318B" w:rsidP="00313870">
            <w:pPr>
              <w:rPr>
                <w:sz w:val="22"/>
                <w:szCs w:val="22"/>
              </w:rPr>
            </w:pPr>
          </w:p>
        </w:tc>
        <w:tc>
          <w:tcPr>
            <w:tcW w:w="971" w:type="dxa"/>
          </w:tcPr>
          <w:p w14:paraId="3F4D80FE" w14:textId="77777777" w:rsidR="0050318B" w:rsidRPr="003C17A3" w:rsidRDefault="0050318B" w:rsidP="00313870">
            <w:pPr>
              <w:rPr>
                <w:sz w:val="22"/>
                <w:szCs w:val="22"/>
              </w:rPr>
            </w:pPr>
          </w:p>
        </w:tc>
        <w:tc>
          <w:tcPr>
            <w:tcW w:w="1186" w:type="dxa"/>
          </w:tcPr>
          <w:p w14:paraId="1B5A7667" w14:textId="77777777" w:rsidR="0050318B" w:rsidRPr="003C17A3" w:rsidRDefault="0050318B" w:rsidP="00313870">
            <w:pPr>
              <w:rPr>
                <w:sz w:val="22"/>
                <w:szCs w:val="22"/>
              </w:rPr>
            </w:pPr>
          </w:p>
        </w:tc>
        <w:tc>
          <w:tcPr>
            <w:tcW w:w="1162" w:type="dxa"/>
          </w:tcPr>
          <w:p w14:paraId="787D16FF" w14:textId="77777777" w:rsidR="0050318B" w:rsidRPr="003C17A3" w:rsidRDefault="0050318B" w:rsidP="00313870">
            <w:pPr>
              <w:rPr>
                <w:sz w:val="22"/>
                <w:szCs w:val="22"/>
              </w:rPr>
            </w:pPr>
          </w:p>
        </w:tc>
      </w:tr>
      <w:tr w:rsidR="0050318B" w:rsidRPr="003C17A3" w14:paraId="582F879B" w14:textId="77777777" w:rsidTr="00313870">
        <w:tc>
          <w:tcPr>
            <w:tcW w:w="663" w:type="dxa"/>
            <w:vMerge/>
          </w:tcPr>
          <w:p w14:paraId="70A2577E" w14:textId="77777777" w:rsidR="0050318B" w:rsidRPr="003C17A3" w:rsidRDefault="0050318B" w:rsidP="00313870">
            <w:pPr>
              <w:rPr>
                <w:sz w:val="22"/>
                <w:szCs w:val="22"/>
              </w:rPr>
            </w:pPr>
          </w:p>
        </w:tc>
        <w:tc>
          <w:tcPr>
            <w:tcW w:w="957" w:type="dxa"/>
          </w:tcPr>
          <w:p w14:paraId="1F0373D6" w14:textId="77777777" w:rsidR="0050318B" w:rsidRPr="003C17A3" w:rsidRDefault="0050318B" w:rsidP="00313870">
            <w:pPr>
              <w:rPr>
                <w:sz w:val="22"/>
                <w:szCs w:val="22"/>
              </w:rPr>
            </w:pPr>
          </w:p>
        </w:tc>
        <w:tc>
          <w:tcPr>
            <w:tcW w:w="957" w:type="dxa"/>
          </w:tcPr>
          <w:p w14:paraId="627FA458" w14:textId="77777777" w:rsidR="0050318B" w:rsidRPr="003C17A3" w:rsidRDefault="0050318B" w:rsidP="00313870">
            <w:pPr>
              <w:rPr>
                <w:sz w:val="22"/>
                <w:szCs w:val="22"/>
              </w:rPr>
            </w:pPr>
          </w:p>
        </w:tc>
        <w:tc>
          <w:tcPr>
            <w:tcW w:w="1220" w:type="dxa"/>
          </w:tcPr>
          <w:p w14:paraId="55D0A85F" w14:textId="77777777" w:rsidR="0050318B" w:rsidRPr="003C17A3" w:rsidRDefault="0050318B" w:rsidP="00313870">
            <w:pPr>
              <w:rPr>
                <w:sz w:val="22"/>
                <w:szCs w:val="22"/>
              </w:rPr>
            </w:pPr>
            <w:r w:rsidRPr="003C17A3">
              <w:rPr>
                <w:sz w:val="22"/>
                <w:szCs w:val="22"/>
              </w:rPr>
              <w:t>Serbie</w:t>
            </w:r>
          </w:p>
        </w:tc>
        <w:tc>
          <w:tcPr>
            <w:tcW w:w="1220" w:type="dxa"/>
          </w:tcPr>
          <w:p w14:paraId="40D82DA3" w14:textId="77777777" w:rsidR="0050318B" w:rsidRPr="003C17A3" w:rsidRDefault="0050318B" w:rsidP="00313870">
            <w:pPr>
              <w:rPr>
                <w:sz w:val="22"/>
                <w:szCs w:val="22"/>
              </w:rPr>
            </w:pPr>
            <w:r w:rsidRPr="003C17A3">
              <w:rPr>
                <w:sz w:val="22"/>
                <w:szCs w:val="22"/>
              </w:rPr>
              <w:t>Serbie</w:t>
            </w:r>
          </w:p>
        </w:tc>
        <w:tc>
          <w:tcPr>
            <w:tcW w:w="1220" w:type="dxa"/>
          </w:tcPr>
          <w:p w14:paraId="405B99FC" w14:textId="77777777" w:rsidR="0050318B" w:rsidRPr="003C17A3" w:rsidRDefault="0050318B" w:rsidP="00313870">
            <w:pPr>
              <w:rPr>
                <w:sz w:val="22"/>
                <w:szCs w:val="22"/>
              </w:rPr>
            </w:pPr>
            <w:r w:rsidRPr="003C17A3">
              <w:rPr>
                <w:sz w:val="22"/>
                <w:szCs w:val="22"/>
              </w:rPr>
              <w:t>Serbie</w:t>
            </w:r>
          </w:p>
        </w:tc>
        <w:tc>
          <w:tcPr>
            <w:tcW w:w="1220" w:type="dxa"/>
          </w:tcPr>
          <w:p w14:paraId="152F353C" w14:textId="77777777" w:rsidR="0050318B" w:rsidRPr="003C17A3" w:rsidRDefault="0050318B" w:rsidP="00313870">
            <w:pPr>
              <w:rPr>
                <w:sz w:val="22"/>
                <w:szCs w:val="22"/>
              </w:rPr>
            </w:pPr>
          </w:p>
        </w:tc>
        <w:tc>
          <w:tcPr>
            <w:tcW w:w="996" w:type="dxa"/>
          </w:tcPr>
          <w:p w14:paraId="4F1A0CB9" w14:textId="77777777" w:rsidR="0050318B" w:rsidRPr="003C17A3" w:rsidRDefault="0050318B" w:rsidP="00313870">
            <w:pPr>
              <w:rPr>
                <w:sz w:val="22"/>
                <w:szCs w:val="22"/>
              </w:rPr>
            </w:pPr>
          </w:p>
        </w:tc>
        <w:tc>
          <w:tcPr>
            <w:tcW w:w="996" w:type="dxa"/>
          </w:tcPr>
          <w:p w14:paraId="3566EB73" w14:textId="77777777" w:rsidR="0050318B" w:rsidRPr="003C17A3" w:rsidRDefault="0050318B" w:rsidP="00313870">
            <w:pPr>
              <w:rPr>
                <w:sz w:val="22"/>
                <w:szCs w:val="22"/>
              </w:rPr>
            </w:pPr>
          </w:p>
        </w:tc>
        <w:tc>
          <w:tcPr>
            <w:tcW w:w="1228" w:type="dxa"/>
          </w:tcPr>
          <w:p w14:paraId="4863773D" w14:textId="77777777" w:rsidR="0050318B" w:rsidRPr="003C17A3" w:rsidRDefault="0050318B" w:rsidP="00313870">
            <w:pPr>
              <w:rPr>
                <w:sz w:val="22"/>
                <w:szCs w:val="22"/>
              </w:rPr>
            </w:pPr>
          </w:p>
        </w:tc>
        <w:tc>
          <w:tcPr>
            <w:tcW w:w="971" w:type="dxa"/>
          </w:tcPr>
          <w:p w14:paraId="2AE23E8C" w14:textId="77777777" w:rsidR="0050318B" w:rsidRPr="003C17A3" w:rsidRDefault="0050318B" w:rsidP="00313870">
            <w:pPr>
              <w:rPr>
                <w:sz w:val="22"/>
                <w:szCs w:val="22"/>
              </w:rPr>
            </w:pPr>
          </w:p>
        </w:tc>
        <w:tc>
          <w:tcPr>
            <w:tcW w:w="1186" w:type="dxa"/>
          </w:tcPr>
          <w:p w14:paraId="44863D1A" w14:textId="77777777" w:rsidR="0050318B" w:rsidRPr="003C17A3" w:rsidRDefault="0050318B" w:rsidP="00313870">
            <w:pPr>
              <w:rPr>
                <w:sz w:val="22"/>
                <w:szCs w:val="22"/>
              </w:rPr>
            </w:pPr>
          </w:p>
        </w:tc>
        <w:tc>
          <w:tcPr>
            <w:tcW w:w="1162" w:type="dxa"/>
          </w:tcPr>
          <w:p w14:paraId="6CE2E9C8" w14:textId="77777777" w:rsidR="0050318B" w:rsidRPr="003C17A3" w:rsidRDefault="0050318B" w:rsidP="00313870">
            <w:pPr>
              <w:rPr>
                <w:sz w:val="22"/>
                <w:szCs w:val="22"/>
              </w:rPr>
            </w:pPr>
          </w:p>
        </w:tc>
      </w:tr>
    </w:tbl>
    <w:p w14:paraId="32721928" w14:textId="77777777" w:rsidR="0050318B" w:rsidRPr="003C17A3" w:rsidRDefault="0050318B" w:rsidP="0050318B"/>
    <w:tbl>
      <w:tblPr>
        <w:tblStyle w:val="Grilledutableau"/>
        <w:tblW w:w="0" w:type="auto"/>
        <w:tblLook w:val="04A0" w:firstRow="1" w:lastRow="0" w:firstColumn="1" w:lastColumn="0" w:noHBand="0" w:noVBand="1"/>
      </w:tblPr>
      <w:tblGrid>
        <w:gridCol w:w="662"/>
        <w:gridCol w:w="957"/>
        <w:gridCol w:w="957"/>
        <w:gridCol w:w="1207"/>
        <w:gridCol w:w="1210"/>
        <w:gridCol w:w="1206"/>
        <w:gridCol w:w="1206"/>
        <w:gridCol w:w="993"/>
        <w:gridCol w:w="993"/>
        <w:gridCol w:w="1231"/>
        <w:gridCol w:w="986"/>
        <w:gridCol w:w="1194"/>
        <w:gridCol w:w="1169"/>
      </w:tblGrid>
      <w:tr w:rsidR="0050318B" w:rsidRPr="003C17A3" w14:paraId="15C2216F" w14:textId="77777777" w:rsidTr="00313870">
        <w:tc>
          <w:tcPr>
            <w:tcW w:w="663" w:type="dxa"/>
          </w:tcPr>
          <w:p w14:paraId="5E3BD0D2" w14:textId="77777777" w:rsidR="0050318B" w:rsidRPr="003C17A3" w:rsidRDefault="0050318B" w:rsidP="00313870">
            <w:pPr>
              <w:rPr>
                <w:b/>
                <w:bCs/>
                <w:sz w:val="22"/>
                <w:szCs w:val="22"/>
              </w:rPr>
            </w:pPr>
            <w:r w:rsidRPr="003C17A3">
              <w:rPr>
                <w:b/>
                <w:bCs/>
                <w:sz w:val="22"/>
                <w:szCs w:val="22"/>
              </w:rPr>
              <w:t>2021</w:t>
            </w:r>
          </w:p>
        </w:tc>
        <w:tc>
          <w:tcPr>
            <w:tcW w:w="957" w:type="dxa"/>
          </w:tcPr>
          <w:p w14:paraId="37C6F875" w14:textId="77777777" w:rsidR="0050318B" w:rsidRPr="003C17A3" w:rsidRDefault="0050318B" w:rsidP="00313870">
            <w:pPr>
              <w:rPr>
                <w:b/>
                <w:bCs/>
                <w:sz w:val="22"/>
                <w:szCs w:val="22"/>
              </w:rPr>
            </w:pPr>
            <w:r w:rsidRPr="003C17A3">
              <w:rPr>
                <w:b/>
                <w:bCs/>
                <w:sz w:val="22"/>
                <w:szCs w:val="22"/>
              </w:rPr>
              <w:t>Janvier</w:t>
            </w:r>
          </w:p>
        </w:tc>
        <w:tc>
          <w:tcPr>
            <w:tcW w:w="957" w:type="dxa"/>
          </w:tcPr>
          <w:p w14:paraId="6736771E" w14:textId="77777777" w:rsidR="0050318B" w:rsidRPr="003C17A3" w:rsidRDefault="0050318B" w:rsidP="00313870">
            <w:pPr>
              <w:rPr>
                <w:b/>
                <w:bCs/>
                <w:sz w:val="22"/>
                <w:szCs w:val="22"/>
              </w:rPr>
            </w:pPr>
            <w:r w:rsidRPr="003C17A3">
              <w:rPr>
                <w:b/>
                <w:bCs/>
                <w:sz w:val="22"/>
                <w:szCs w:val="22"/>
              </w:rPr>
              <w:t xml:space="preserve">Février </w:t>
            </w:r>
          </w:p>
        </w:tc>
        <w:tc>
          <w:tcPr>
            <w:tcW w:w="1220" w:type="dxa"/>
          </w:tcPr>
          <w:p w14:paraId="2F84B934" w14:textId="77777777" w:rsidR="0050318B" w:rsidRPr="003C17A3" w:rsidRDefault="0050318B" w:rsidP="00313870">
            <w:pPr>
              <w:rPr>
                <w:b/>
                <w:bCs/>
                <w:sz w:val="22"/>
                <w:szCs w:val="22"/>
              </w:rPr>
            </w:pPr>
            <w:r w:rsidRPr="003C17A3">
              <w:rPr>
                <w:b/>
                <w:bCs/>
                <w:sz w:val="22"/>
                <w:szCs w:val="22"/>
              </w:rPr>
              <w:t xml:space="preserve">Mars </w:t>
            </w:r>
          </w:p>
        </w:tc>
        <w:tc>
          <w:tcPr>
            <w:tcW w:w="1220" w:type="dxa"/>
          </w:tcPr>
          <w:p w14:paraId="11C1CAAC" w14:textId="77777777" w:rsidR="0050318B" w:rsidRPr="003C17A3" w:rsidRDefault="0050318B" w:rsidP="00313870">
            <w:pPr>
              <w:rPr>
                <w:b/>
                <w:bCs/>
                <w:sz w:val="22"/>
                <w:szCs w:val="22"/>
              </w:rPr>
            </w:pPr>
            <w:r w:rsidRPr="003C17A3">
              <w:rPr>
                <w:b/>
                <w:bCs/>
                <w:sz w:val="22"/>
                <w:szCs w:val="22"/>
              </w:rPr>
              <w:t>Avril</w:t>
            </w:r>
          </w:p>
        </w:tc>
        <w:tc>
          <w:tcPr>
            <w:tcW w:w="1220" w:type="dxa"/>
          </w:tcPr>
          <w:p w14:paraId="5288E699" w14:textId="77777777" w:rsidR="0050318B" w:rsidRPr="003C17A3" w:rsidRDefault="0050318B" w:rsidP="00313870">
            <w:pPr>
              <w:rPr>
                <w:b/>
                <w:bCs/>
                <w:sz w:val="22"/>
                <w:szCs w:val="22"/>
              </w:rPr>
            </w:pPr>
            <w:r w:rsidRPr="003C17A3">
              <w:rPr>
                <w:b/>
                <w:bCs/>
                <w:sz w:val="22"/>
                <w:szCs w:val="22"/>
              </w:rPr>
              <w:t xml:space="preserve">Mai </w:t>
            </w:r>
          </w:p>
        </w:tc>
        <w:tc>
          <w:tcPr>
            <w:tcW w:w="1220" w:type="dxa"/>
          </w:tcPr>
          <w:p w14:paraId="69036BAC" w14:textId="77777777" w:rsidR="0050318B" w:rsidRPr="003C17A3" w:rsidRDefault="0050318B" w:rsidP="00313870">
            <w:pPr>
              <w:rPr>
                <w:b/>
                <w:bCs/>
                <w:sz w:val="22"/>
                <w:szCs w:val="22"/>
              </w:rPr>
            </w:pPr>
            <w:r w:rsidRPr="003C17A3">
              <w:rPr>
                <w:b/>
                <w:bCs/>
                <w:sz w:val="22"/>
                <w:szCs w:val="22"/>
              </w:rPr>
              <w:t>Juin</w:t>
            </w:r>
          </w:p>
        </w:tc>
        <w:tc>
          <w:tcPr>
            <w:tcW w:w="996" w:type="dxa"/>
          </w:tcPr>
          <w:p w14:paraId="43469B7F" w14:textId="77777777" w:rsidR="0050318B" w:rsidRPr="003C17A3" w:rsidRDefault="0050318B" w:rsidP="00313870">
            <w:pPr>
              <w:rPr>
                <w:b/>
                <w:bCs/>
                <w:sz w:val="22"/>
                <w:szCs w:val="22"/>
              </w:rPr>
            </w:pPr>
            <w:r w:rsidRPr="003C17A3">
              <w:rPr>
                <w:b/>
                <w:bCs/>
                <w:sz w:val="22"/>
                <w:szCs w:val="22"/>
              </w:rPr>
              <w:t>Juillet</w:t>
            </w:r>
          </w:p>
        </w:tc>
        <w:tc>
          <w:tcPr>
            <w:tcW w:w="996" w:type="dxa"/>
          </w:tcPr>
          <w:p w14:paraId="06C83434" w14:textId="77777777" w:rsidR="0050318B" w:rsidRPr="003C17A3" w:rsidRDefault="0050318B" w:rsidP="00313870">
            <w:pPr>
              <w:rPr>
                <w:b/>
                <w:bCs/>
                <w:sz w:val="22"/>
                <w:szCs w:val="22"/>
              </w:rPr>
            </w:pPr>
            <w:r w:rsidRPr="003C17A3">
              <w:rPr>
                <w:b/>
                <w:bCs/>
                <w:sz w:val="22"/>
                <w:szCs w:val="22"/>
              </w:rPr>
              <w:t>Août</w:t>
            </w:r>
          </w:p>
        </w:tc>
        <w:tc>
          <w:tcPr>
            <w:tcW w:w="1228" w:type="dxa"/>
          </w:tcPr>
          <w:p w14:paraId="498752EE" w14:textId="77777777" w:rsidR="0050318B" w:rsidRPr="003C17A3" w:rsidRDefault="0050318B" w:rsidP="00313870">
            <w:pPr>
              <w:rPr>
                <w:b/>
                <w:bCs/>
                <w:sz w:val="22"/>
                <w:szCs w:val="22"/>
              </w:rPr>
            </w:pPr>
            <w:r w:rsidRPr="003C17A3">
              <w:rPr>
                <w:b/>
                <w:bCs/>
                <w:sz w:val="22"/>
                <w:szCs w:val="22"/>
              </w:rPr>
              <w:t>Septembre</w:t>
            </w:r>
          </w:p>
        </w:tc>
        <w:tc>
          <w:tcPr>
            <w:tcW w:w="971" w:type="dxa"/>
          </w:tcPr>
          <w:p w14:paraId="67855C76" w14:textId="77777777" w:rsidR="0050318B" w:rsidRPr="003C17A3" w:rsidRDefault="0050318B" w:rsidP="00313870">
            <w:pPr>
              <w:rPr>
                <w:b/>
                <w:bCs/>
                <w:sz w:val="22"/>
                <w:szCs w:val="22"/>
              </w:rPr>
            </w:pPr>
            <w:r w:rsidRPr="003C17A3">
              <w:rPr>
                <w:b/>
                <w:bCs/>
                <w:sz w:val="22"/>
                <w:szCs w:val="22"/>
              </w:rPr>
              <w:t>Octobre</w:t>
            </w:r>
          </w:p>
        </w:tc>
        <w:tc>
          <w:tcPr>
            <w:tcW w:w="1186" w:type="dxa"/>
          </w:tcPr>
          <w:p w14:paraId="0238F935" w14:textId="77777777" w:rsidR="0050318B" w:rsidRPr="003C17A3" w:rsidRDefault="0050318B" w:rsidP="00313870">
            <w:pPr>
              <w:rPr>
                <w:b/>
                <w:bCs/>
                <w:sz w:val="22"/>
                <w:szCs w:val="22"/>
              </w:rPr>
            </w:pPr>
            <w:r w:rsidRPr="003C17A3">
              <w:rPr>
                <w:b/>
                <w:bCs/>
                <w:sz w:val="22"/>
                <w:szCs w:val="22"/>
              </w:rPr>
              <w:t>Novembre</w:t>
            </w:r>
          </w:p>
        </w:tc>
        <w:tc>
          <w:tcPr>
            <w:tcW w:w="1162" w:type="dxa"/>
          </w:tcPr>
          <w:p w14:paraId="5EBD0DAA" w14:textId="77777777" w:rsidR="0050318B" w:rsidRPr="003C17A3" w:rsidRDefault="0050318B" w:rsidP="00313870">
            <w:pPr>
              <w:rPr>
                <w:b/>
                <w:bCs/>
                <w:sz w:val="22"/>
                <w:szCs w:val="22"/>
              </w:rPr>
            </w:pPr>
            <w:r w:rsidRPr="003C17A3">
              <w:rPr>
                <w:b/>
                <w:bCs/>
                <w:sz w:val="22"/>
                <w:szCs w:val="22"/>
              </w:rPr>
              <w:t>Décembre</w:t>
            </w:r>
          </w:p>
        </w:tc>
      </w:tr>
      <w:tr w:rsidR="0050318B" w:rsidRPr="003C17A3" w14:paraId="482C615F" w14:textId="77777777" w:rsidTr="00313870">
        <w:tc>
          <w:tcPr>
            <w:tcW w:w="663" w:type="dxa"/>
            <w:vMerge w:val="restart"/>
          </w:tcPr>
          <w:p w14:paraId="53894E4E" w14:textId="77777777" w:rsidR="0050318B" w:rsidRPr="003C17A3" w:rsidRDefault="0050318B" w:rsidP="00313870">
            <w:pPr>
              <w:rPr>
                <w:sz w:val="22"/>
                <w:szCs w:val="22"/>
              </w:rPr>
            </w:pPr>
          </w:p>
        </w:tc>
        <w:tc>
          <w:tcPr>
            <w:tcW w:w="957" w:type="dxa"/>
          </w:tcPr>
          <w:p w14:paraId="558DDBE7" w14:textId="77777777" w:rsidR="0050318B" w:rsidRPr="003C17A3" w:rsidRDefault="0050318B" w:rsidP="00313870">
            <w:pPr>
              <w:rPr>
                <w:sz w:val="22"/>
                <w:szCs w:val="22"/>
              </w:rPr>
            </w:pPr>
            <w:r w:rsidRPr="003C17A3">
              <w:rPr>
                <w:sz w:val="22"/>
                <w:szCs w:val="22"/>
              </w:rPr>
              <w:t>Géorgie</w:t>
            </w:r>
          </w:p>
        </w:tc>
        <w:tc>
          <w:tcPr>
            <w:tcW w:w="957" w:type="dxa"/>
          </w:tcPr>
          <w:p w14:paraId="3E3A1764" w14:textId="77777777" w:rsidR="0050318B" w:rsidRPr="003C17A3" w:rsidRDefault="0050318B" w:rsidP="00313870">
            <w:pPr>
              <w:rPr>
                <w:sz w:val="22"/>
                <w:szCs w:val="22"/>
              </w:rPr>
            </w:pPr>
            <w:r w:rsidRPr="003C17A3">
              <w:rPr>
                <w:sz w:val="22"/>
                <w:szCs w:val="22"/>
              </w:rPr>
              <w:t>Géorgie</w:t>
            </w:r>
          </w:p>
        </w:tc>
        <w:tc>
          <w:tcPr>
            <w:tcW w:w="1220" w:type="dxa"/>
          </w:tcPr>
          <w:p w14:paraId="55A03570" w14:textId="77777777" w:rsidR="0050318B" w:rsidRPr="003C17A3" w:rsidRDefault="0050318B" w:rsidP="00313870">
            <w:pPr>
              <w:rPr>
                <w:sz w:val="22"/>
                <w:szCs w:val="22"/>
              </w:rPr>
            </w:pPr>
            <w:r w:rsidRPr="003C17A3">
              <w:rPr>
                <w:sz w:val="22"/>
                <w:szCs w:val="22"/>
              </w:rPr>
              <w:t>Géorgie</w:t>
            </w:r>
          </w:p>
        </w:tc>
        <w:tc>
          <w:tcPr>
            <w:tcW w:w="1220" w:type="dxa"/>
          </w:tcPr>
          <w:p w14:paraId="7E2EE8EB" w14:textId="77777777" w:rsidR="0050318B" w:rsidRPr="003C17A3" w:rsidRDefault="0050318B" w:rsidP="00313870">
            <w:pPr>
              <w:rPr>
                <w:sz w:val="22"/>
                <w:szCs w:val="22"/>
              </w:rPr>
            </w:pPr>
            <w:r w:rsidRPr="003C17A3">
              <w:rPr>
                <w:sz w:val="22"/>
                <w:szCs w:val="22"/>
              </w:rPr>
              <w:t>Géorgie</w:t>
            </w:r>
          </w:p>
        </w:tc>
        <w:tc>
          <w:tcPr>
            <w:tcW w:w="1220" w:type="dxa"/>
          </w:tcPr>
          <w:p w14:paraId="68AA7A67" w14:textId="77777777" w:rsidR="0050318B" w:rsidRPr="003C17A3" w:rsidRDefault="0050318B" w:rsidP="00313870">
            <w:pPr>
              <w:rPr>
                <w:sz w:val="22"/>
                <w:szCs w:val="22"/>
              </w:rPr>
            </w:pPr>
            <w:r w:rsidRPr="003C17A3">
              <w:rPr>
                <w:sz w:val="22"/>
                <w:szCs w:val="22"/>
              </w:rPr>
              <w:t>Géorgie</w:t>
            </w:r>
          </w:p>
        </w:tc>
        <w:tc>
          <w:tcPr>
            <w:tcW w:w="1220" w:type="dxa"/>
          </w:tcPr>
          <w:p w14:paraId="6F26A525" w14:textId="77777777" w:rsidR="0050318B" w:rsidRPr="003C17A3" w:rsidRDefault="0050318B" w:rsidP="00313870">
            <w:pPr>
              <w:rPr>
                <w:sz w:val="22"/>
                <w:szCs w:val="22"/>
              </w:rPr>
            </w:pPr>
            <w:r w:rsidRPr="003C17A3">
              <w:rPr>
                <w:sz w:val="22"/>
                <w:szCs w:val="22"/>
              </w:rPr>
              <w:t>Géorgie</w:t>
            </w:r>
          </w:p>
        </w:tc>
        <w:tc>
          <w:tcPr>
            <w:tcW w:w="996" w:type="dxa"/>
          </w:tcPr>
          <w:p w14:paraId="389A7394" w14:textId="77777777" w:rsidR="0050318B" w:rsidRPr="003C17A3" w:rsidRDefault="0050318B" w:rsidP="00313870">
            <w:pPr>
              <w:rPr>
                <w:sz w:val="22"/>
                <w:szCs w:val="22"/>
              </w:rPr>
            </w:pPr>
            <w:r w:rsidRPr="003C17A3">
              <w:rPr>
                <w:sz w:val="22"/>
                <w:szCs w:val="22"/>
              </w:rPr>
              <w:t>Géorgie</w:t>
            </w:r>
          </w:p>
        </w:tc>
        <w:tc>
          <w:tcPr>
            <w:tcW w:w="996" w:type="dxa"/>
          </w:tcPr>
          <w:p w14:paraId="1850C76A" w14:textId="77777777" w:rsidR="0050318B" w:rsidRPr="003C17A3" w:rsidRDefault="0050318B" w:rsidP="00313870">
            <w:pPr>
              <w:rPr>
                <w:sz w:val="22"/>
                <w:szCs w:val="22"/>
              </w:rPr>
            </w:pPr>
            <w:r w:rsidRPr="003C17A3">
              <w:rPr>
                <w:sz w:val="22"/>
                <w:szCs w:val="22"/>
              </w:rPr>
              <w:t>Géorgie</w:t>
            </w:r>
          </w:p>
        </w:tc>
        <w:tc>
          <w:tcPr>
            <w:tcW w:w="1228" w:type="dxa"/>
          </w:tcPr>
          <w:p w14:paraId="6DFEEE65" w14:textId="77777777" w:rsidR="0050318B" w:rsidRPr="003C17A3" w:rsidRDefault="0050318B" w:rsidP="00313870">
            <w:pPr>
              <w:rPr>
                <w:sz w:val="22"/>
                <w:szCs w:val="22"/>
              </w:rPr>
            </w:pPr>
            <w:r w:rsidRPr="003C17A3">
              <w:rPr>
                <w:sz w:val="22"/>
                <w:szCs w:val="22"/>
              </w:rPr>
              <w:t>Géorgie</w:t>
            </w:r>
          </w:p>
        </w:tc>
        <w:tc>
          <w:tcPr>
            <w:tcW w:w="971" w:type="dxa"/>
          </w:tcPr>
          <w:p w14:paraId="680C7E11" w14:textId="77777777" w:rsidR="0050318B" w:rsidRPr="003C17A3" w:rsidRDefault="0050318B" w:rsidP="00313870">
            <w:pPr>
              <w:rPr>
                <w:sz w:val="22"/>
                <w:szCs w:val="22"/>
              </w:rPr>
            </w:pPr>
            <w:r w:rsidRPr="003C17A3">
              <w:rPr>
                <w:sz w:val="22"/>
                <w:szCs w:val="22"/>
              </w:rPr>
              <w:t>Géorgie</w:t>
            </w:r>
          </w:p>
        </w:tc>
        <w:tc>
          <w:tcPr>
            <w:tcW w:w="1186" w:type="dxa"/>
          </w:tcPr>
          <w:p w14:paraId="424D493D" w14:textId="77777777" w:rsidR="0050318B" w:rsidRPr="003C17A3" w:rsidRDefault="0050318B" w:rsidP="00313870">
            <w:pPr>
              <w:rPr>
                <w:sz w:val="22"/>
                <w:szCs w:val="22"/>
              </w:rPr>
            </w:pPr>
            <w:r w:rsidRPr="003C17A3">
              <w:rPr>
                <w:sz w:val="22"/>
                <w:szCs w:val="22"/>
              </w:rPr>
              <w:t>Géorgie</w:t>
            </w:r>
          </w:p>
        </w:tc>
        <w:tc>
          <w:tcPr>
            <w:tcW w:w="1162" w:type="dxa"/>
          </w:tcPr>
          <w:p w14:paraId="29FF74B1" w14:textId="77777777" w:rsidR="0050318B" w:rsidRPr="003C17A3" w:rsidRDefault="0050318B" w:rsidP="00313870">
            <w:pPr>
              <w:rPr>
                <w:sz w:val="22"/>
                <w:szCs w:val="22"/>
              </w:rPr>
            </w:pPr>
            <w:r w:rsidRPr="003C17A3">
              <w:rPr>
                <w:sz w:val="22"/>
                <w:szCs w:val="22"/>
              </w:rPr>
              <w:t>Géorgie</w:t>
            </w:r>
          </w:p>
        </w:tc>
      </w:tr>
      <w:tr w:rsidR="0050318B" w:rsidRPr="003C17A3" w14:paraId="46C1D7D4" w14:textId="77777777" w:rsidTr="00313870">
        <w:tc>
          <w:tcPr>
            <w:tcW w:w="663" w:type="dxa"/>
            <w:vMerge/>
          </w:tcPr>
          <w:p w14:paraId="69A066C1" w14:textId="77777777" w:rsidR="0050318B" w:rsidRPr="003C17A3" w:rsidRDefault="0050318B" w:rsidP="00313870">
            <w:pPr>
              <w:rPr>
                <w:sz w:val="22"/>
                <w:szCs w:val="22"/>
              </w:rPr>
            </w:pPr>
          </w:p>
        </w:tc>
        <w:tc>
          <w:tcPr>
            <w:tcW w:w="957" w:type="dxa"/>
          </w:tcPr>
          <w:p w14:paraId="4992F3DF" w14:textId="77777777" w:rsidR="0050318B" w:rsidRPr="003C17A3" w:rsidRDefault="0050318B" w:rsidP="00313870">
            <w:pPr>
              <w:rPr>
                <w:sz w:val="22"/>
                <w:szCs w:val="22"/>
              </w:rPr>
            </w:pPr>
            <w:r w:rsidRPr="003C17A3">
              <w:rPr>
                <w:sz w:val="22"/>
                <w:szCs w:val="22"/>
              </w:rPr>
              <w:t>Lettonie</w:t>
            </w:r>
          </w:p>
        </w:tc>
        <w:tc>
          <w:tcPr>
            <w:tcW w:w="957" w:type="dxa"/>
          </w:tcPr>
          <w:p w14:paraId="25A29239" w14:textId="77777777" w:rsidR="0050318B" w:rsidRPr="003C17A3" w:rsidRDefault="0050318B" w:rsidP="00313870">
            <w:pPr>
              <w:rPr>
                <w:sz w:val="22"/>
                <w:szCs w:val="22"/>
              </w:rPr>
            </w:pPr>
            <w:r w:rsidRPr="003C17A3">
              <w:rPr>
                <w:sz w:val="22"/>
                <w:szCs w:val="22"/>
              </w:rPr>
              <w:t>Lettonie</w:t>
            </w:r>
          </w:p>
        </w:tc>
        <w:tc>
          <w:tcPr>
            <w:tcW w:w="1220" w:type="dxa"/>
          </w:tcPr>
          <w:p w14:paraId="68D050DF" w14:textId="77777777" w:rsidR="0050318B" w:rsidRPr="003C17A3" w:rsidRDefault="0050318B" w:rsidP="00313870">
            <w:pPr>
              <w:rPr>
                <w:sz w:val="22"/>
                <w:szCs w:val="22"/>
              </w:rPr>
            </w:pPr>
            <w:r w:rsidRPr="003C17A3">
              <w:rPr>
                <w:sz w:val="22"/>
                <w:szCs w:val="22"/>
              </w:rPr>
              <w:t>Lettonie</w:t>
            </w:r>
          </w:p>
        </w:tc>
        <w:tc>
          <w:tcPr>
            <w:tcW w:w="1220" w:type="dxa"/>
          </w:tcPr>
          <w:p w14:paraId="1ABB75BF" w14:textId="77777777" w:rsidR="0050318B" w:rsidRPr="003C17A3" w:rsidRDefault="0050318B" w:rsidP="00313870">
            <w:pPr>
              <w:rPr>
                <w:sz w:val="22"/>
                <w:szCs w:val="22"/>
              </w:rPr>
            </w:pPr>
            <w:r w:rsidRPr="003C17A3">
              <w:rPr>
                <w:sz w:val="22"/>
                <w:szCs w:val="22"/>
              </w:rPr>
              <w:t>Lettonie</w:t>
            </w:r>
          </w:p>
        </w:tc>
        <w:tc>
          <w:tcPr>
            <w:tcW w:w="1220" w:type="dxa"/>
          </w:tcPr>
          <w:p w14:paraId="24A0E818" w14:textId="77777777" w:rsidR="0050318B" w:rsidRPr="003C17A3" w:rsidRDefault="0050318B" w:rsidP="00313870">
            <w:pPr>
              <w:rPr>
                <w:sz w:val="22"/>
                <w:szCs w:val="22"/>
              </w:rPr>
            </w:pPr>
          </w:p>
        </w:tc>
        <w:tc>
          <w:tcPr>
            <w:tcW w:w="1220" w:type="dxa"/>
          </w:tcPr>
          <w:p w14:paraId="4BF4B40A" w14:textId="77777777" w:rsidR="0050318B" w:rsidRPr="003C17A3" w:rsidRDefault="0050318B" w:rsidP="00313870">
            <w:pPr>
              <w:rPr>
                <w:sz w:val="22"/>
                <w:szCs w:val="22"/>
              </w:rPr>
            </w:pPr>
          </w:p>
        </w:tc>
        <w:tc>
          <w:tcPr>
            <w:tcW w:w="996" w:type="dxa"/>
          </w:tcPr>
          <w:p w14:paraId="05ABBCE0" w14:textId="77777777" w:rsidR="0050318B" w:rsidRPr="003C17A3" w:rsidRDefault="0050318B" w:rsidP="00313870">
            <w:pPr>
              <w:rPr>
                <w:sz w:val="22"/>
                <w:szCs w:val="22"/>
              </w:rPr>
            </w:pPr>
          </w:p>
        </w:tc>
        <w:tc>
          <w:tcPr>
            <w:tcW w:w="996" w:type="dxa"/>
          </w:tcPr>
          <w:p w14:paraId="28799DAA" w14:textId="77777777" w:rsidR="0050318B" w:rsidRPr="003C17A3" w:rsidRDefault="0050318B" w:rsidP="00313870">
            <w:pPr>
              <w:rPr>
                <w:sz w:val="22"/>
                <w:szCs w:val="22"/>
              </w:rPr>
            </w:pPr>
          </w:p>
        </w:tc>
        <w:tc>
          <w:tcPr>
            <w:tcW w:w="1228" w:type="dxa"/>
          </w:tcPr>
          <w:p w14:paraId="5CA256C0" w14:textId="77777777" w:rsidR="0050318B" w:rsidRPr="003C17A3" w:rsidRDefault="0050318B" w:rsidP="00313870">
            <w:pPr>
              <w:rPr>
                <w:sz w:val="22"/>
                <w:szCs w:val="22"/>
              </w:rPr>
            </w:pPr>
          </w:p>
        </w:tc>
        <w:tc>
          <w:tcPr>
            <w:tcW w:w="971" w:type="dxa"/>
          </w:tcPr>
          <w:p w14:paraId="5AE6F557" w14:textId="77777777" w:rsidR="0050318B" w:rsidRPr="003C17A3" w:rsidRDefault="0050318B" w:rsidP="00313870">
            <w:pPr>
              <w:rPr>
                <w:sz w:val="22"/>
                <w:szCs w:val="22"/>
              </w:rPr>
            </w:pPr>
          </w:p>
        </w:tc>
        <w:tc>
          <w:tcPr>
            <w:tcW w:w="1186" w:type="dxa"/>
          </w:tcPr>
          <w:p w14:paraId="695EF287" w14:textId="77777777" w:rsidR="0050318B" w:rsidRPr="003C17A3" w:rsidRDefault="0050318B" w:rsidP="00313870">
            <w:pPr>
              <w:rPr>
                <w:sz w:val="22"/>
                <w:szCs w:val="22"/>
              </w:rPr>
            </w:pPr>
          </w:p>
        </w:tc>
        <w:tc>
          <w:tcPr>
            <w:tcW w:w="1162" w:type="dxa"/>
          </w:tcPr>
          <w:p w14:paraId="7A8B22C5" w14:textId="77777777" w:rsidR="0050318B" w:rsidRPr="003C17A3" w:rsidRDefault="0050318B" w:rsidP="00313870">
            <w:pPr>
              <w:rPr>
                <w:sz w:val="22"/>
                <w:szCs w:val="22"/>
              </w:rPr>
            </w:pPr>
          </w:p>
        </w:tc>
      </w:tr>
      <w:tr w:rsidR="0050318B" w:rsidRPr="003C17A3" w14:paraId="741AE55C" w14:textId="77777777" w:rsidTr="00313870">
        <w:tc>
          <w:tcPr>
            <w:tcW w:w="663" w:type="dxa"/>
            <w:vMerge/>
          </w:tcPr>
          <w:p w14:paraId="1581A806" w14:textId="77777777" w:rsidR="0050318B" w:rsidRPr="003C17A3" w:rsidRDefault="0050318B" w:rsidP="00313870">
            <w:pPr>
              <w:rPr>
                <w:sz w:val="22"/>
                <w:szCs w:val="22"/>
              </w:rPr>
            </w:pPr>
          </w:p>
        </w:tc>
        <w:tc>
          <w:tcPr>
            <w:tcW w:w="957" w:type="dxa"/>
          </w:tcPr>
          <w:p w14:paraId="2A17B703" w14:textId="77777777" w:rsidR="0050318B" w:rsidRPr="003C17A3" w:rsidRDefault="0050318B" w:rsidP="00313870">
            <w:pPr>
              <w:rPr>
                <w:sz w:val="22"/>
                <w:szCs w:val="22"/>
              </w:rPr>
            </w:pPr>
          </w:p>
        </w:tc>
        <w:tc>
          <w:tcPr>
            <w:tcW w:w="957" w:type="dxa"/>
          </w:tcPr>
          <w:p w14:paraId="6AD4B6D8" w14:textId="77777777" w:rsidR="0050318B" w:rsidRPr="003C17A3" w:rsidRDefault="0050318B" w:rsidP="00313870">
            <w:pPr>
              <w:rPr>
                <w:sz w:val="22"/>
                <w:szCs w:val="22"/>
              </w:rPr>
            </w:pPr>
          </w:p>
        </w:tc>
        <w:tc>
          <w:tcPr>
            <w:tcW w:w="1220" w:type="dxa"/>
          </w:tcPr>
          <w:p w14:paraId="7D77649E" w14:textId="77777777" w:rsidR="0050318B" w:rsidRPr="003C17A3" w:rsidRDefault="0050318B" w:rsidP="00313870">
            <w:pPr>
              <w:rPr>
                <w:sz w:val="22"/>
                <w:szCs w:val="22"/>
              </w:rPr>
            </w:pPr>
          </w:p>
        </w:tc>
        <w:tc>
          <w:tcPr>
            <w:tcW w:w="1220" w:type="dxa"/>
          </w:tcPr>
          <w:p w14:paraId="685BEDD1" w14:textId="77777777" w:rsidR="0050318B" w:rsidRPr="003C17A3" w:rsidRDefault="0050318B" w:rsidP="00313870">
            <w:pPr>
              <w:rPr>
                <w:sz w:val="22"/>
                <w:szCs w:val="22"/>
              </w:rPr>
            </w:pPr>
            <w:r w:rsidRPr="003C17A3">
              <w:rPr>
                <w:sz w:val="22"/>
                <w:szCs w:val="22"/>
              </w:rPr>
              <w:t>Moldova</w:t>
            </w:r>
          </w:p>
        </w:tc>
        <w:tc>
          <w:tcPr>
            <w:tcW w:w="1220" w:type="dxa"/>
          </w:tcPr>
          <w:p w14:paraId="29BF64D6" w14:textId="77777777" w:rsidR="0050318B" w:rsidRPr="003C17A3" w:rsidRDefault="0050318B" w:rsidP="00313870">
            <w:pPr>
              <w:rPr>
                <w:sz w:val="22"/>
                <w:szCs w:val="22"/>
              </w:rPr>
            </w:pPr>
          </w:p>
        </w:tc>
        <w:tc>
          <w:tcPr>
            <w:tcW w:w="1220" w:type="dxa"/>
          </w:tcPr>
          <w:p w14:paraId="2E8C2D86" w14:textId="77777777" w:rsidR="0050318B" w:rsidRPr="003C17A3" w:rsidRDefault="0050318B" w:rsidP="00313870">
            <w:pPr>
              <w:rPr>
                <w:sz w:val="22"/>
                <w:szCs w:val="22"/>
              </w:rPr>
            </w:pPr>
          </w:p>
        </w:tc>
        <w:tc>
          <w:tcPr>
            <w:tcW w:w="996" w:type="dxa"/>
          </w:tcPr>
          <w:p w14:paraId="52BB47F8" w14:textId="77777777" w:rsidR="0050318B" w:rsidRPr="003C17A3" w:rsidRDefault="0050318B" w:rsidP="00313870">
            <w:pPr>
              <w:rPr>
                <w:sz w:val="22"/>
                <w:szCs w:val="22"/>
              </w:rPr>
            </w:pPr>
          </w:p>
        </w:tc>
        <w:tc>
          <w:tcPr>
            <w:tcW w:w="996" w:type="dxa"/>
          </w:tcPr>
          <w:p w14:paraId="75C4CA36" w14:textId="77777777" w:rsidR="0050318B" w:rsidRPr="003C17A3" w:rsidRDefault="0050318B" w:rsidP="00313870">
            <w:pPr>
              <w:rPr>
                <w:sz w:val="22"/>
                <w:szCs w:val="22"/>
              </w:rPr>
            </w:pPr>
          </w:p>
        </w:tc>
        <w:tc>
          <w:tcPr>
            <w:tcW w:w="1228" w:type="dxa"/>
          </w:tcPr>
          <w:p w14:paraId="198E60A5" w14:textId="77777777" w:rsidR="0050318B" w:rsidRPr="003C17A3" w:rsidRDefault="0050318B" w:rsidP="00313870">
            <w:pPr>
              <w:rPr>
                <w:sz w:val="22"/>
                <w:szCs w:val="22"/>
              </w:rPr>
            </w:pPr>
          </w:p>
        </w:tc>
        <w:tc>
          <w:tcPr>
            <w:tcW w:w="971" w:type="dxa"/>
          </w:tcPr>
          <w:p w14:paraId="061E6A7E" w14:textId="77777777" w:rsidR="0050318B" w:rsidRPr="003C17A3" w:rsidRDefault="0050318B" w:rsidP="00313870">
            <w:pPr>
              <w:rPr>
                <w:sz w:val="22"/>
                <w:szCs w:val="22"/>
              </w:rPr>
            </w:pPr>
          </w:p>
        </w:tc>
        <w:tc>
          <w:tcPr>
            <w:tcW w:w="1186" w:type="dxa"/>
          </w:tcPr>
          <w:p w14:paraId="57E8215D" w14:textId="77777777" w:rsidR="0050318B" w:rsidRPr="003C17A3" w:rsidRDefault="0050318B" w:rsidP="00313870">
            <w:pPr>
              <w:rPr>
                <w:sz w:val="22"/>
                <w:szCs w:val="22"/>
              </w:rPr>
            </w:pPr>
          </w:p>
        </w:tc>
        <w:tc>
          <w:tcPr>
            <w:tcW w:w="1162" w:type="dxa"/>
          </w:tcPr>
          <w:p w14:paraId="7F54D276" w14:textId="77777777" w:rsidR="0050318B" w:rsidRPr="003C17A3" w:rsidRDefault="0050318B" w:rsidP="00313870">
            <w:pPr>
              <w:rPr>
                <w:sz w:val="22"/>
                <w:szCs w:val="22"/>
              </w:rPr>
            </w:pPr>
          </w:p>
        </w:tc>
      </w:tr>
    </w:tbl>
    <w:p w14:paraId="46DDFB39" w14:textId="77777777" w:rsidR="0050318B" w:rsidRDefault="0050318B" w:rsidP="0050318B">
      <w:pPr>
        <w:rPr>
          <w:b/>
        </w:rPr>
      </w:pPr>
    </w:p>
    <w:p w14:paraId="5015EADA" w14:textId="77777777" w:rsidR="0050318B" w:rsidRDefault="0050318B" w:rsidP="0050318B">
      <w:pPr>
        <w:rPr>
          <w:b/>
        </w:rPr>
        <w:sectPr w:rsidR="0050318B" w:rsidSect="0050318B">
          <w:pgSz w:w="16817" w:h="11901" w:orient="landscape"/>
          <w:pgMar w:top="1418" w:right="1418" w:bottom="1418" w:left="1418" w:header="709" w:footer="709" w:gutter="0"/>
          <w:cols w:space="708"/>
          <w:docGrid w:linePitch="360"/>
        </w:sectPr>
      </w:pPr>
    </w:p>
    <w:p w14:paraId="3858978D" w14:textId="77777777" w:rsidR="00110836" w:rsidRPr="003C17A3" w:rsidRDefault="00110836" w:rsidP="0050318B"/>
    <w:p w14:paraId="63353A3F" w14:textId="77777777" w:rsidR="00110836" w:rsidRPr="00AA7FEB" w:rsidRDefault="00110836" w:rsidP="00110836">
      <w:pPr>
        <w:rPr>
          <w:b/>
        </w:rPr>
      </w:pPr>
    </w:p>
    <w:p w14:paraId="7D1C91E5" w14:textId="77777777" w:rsidR="00457E5B" w:rsidRPr="002D1C49" w:rsidRDefault="00457E5B" w:rsidP="00457E5B">
      <w:pPr>
        <w:rPr>
          <w:b/>
          <w:bCs/>
          <w:sz w:val="28"/>
          <w:szCs w:val="28"/>
        </w:rPr>
      </w:pPr>
      <w:r w:rsidRPr="002D1C49">
        <w:rPr>
          <w:b/>
          <w:bCs/>
          <w:sz w:val="28"/>
          <w:szCs w:val="28"/>
        </w:rPr>
        <w:t xml:space="preserve">TABLEAU DÉTAILLÉ </w:t>
      </w:r>
    </w:p>
    <w:p w14:paraId="4C15E73E" w14:textId="77777777" w:rsidR="00457E5B" w:rsidRPr="003C17A3" w:rsidRDefault="00457E5B" w:rsidP="00457E5B"/>
    <w:tbl>
      <w:tblPr>
        <w:tblStyle w:val="Grilledutableau"/>
        <w:tblW w:w="9223" w:type="dxa"/>
        <w:jc w:val="center"/>
        <w:tblLook w:val="04A0" w:firstRow="1" w:lastRow="0" w:firstColumn="1" w:lastColumn="0" w:noHBand="0" w:noVBand="1"/>
      </w:tblPr>
      <w:tblGrid>
        <w:gridCol w:w="1536"/>
        <w:gridCol w:w="4976"/>
        <w:gridCol w:w="2711"/>
      </w:tblGrid>
      <w:tr w:rsidR="00457E5B" w:rsidRPr="003C17A3" w14:paraId="153E0D5C" w14:textId="77777777" w:rsidTr="00A10239">
        <w:trPr>
          <w:jc w:val="center"/>
        </w:trPr>
        <w:tc>
          <w:tcPr>
            <w:tcW w:w="1115" w:type="dxa"/>
          </w:tcPr>
          <w:p w14:paraId="7F550279" w14:textId="77777777" w:rsidR="00457E5B" w:rsidRPr="003C17A3" w:rsidRDefault="00457E5B" w:rsidP="00A10239">
            <w:pPr>
              <w:rPr>
                <w:sz w:val="22"/>
                <w:szCs w:val="22"/>
              </w:rPr>
            </w:pPr>
          </w:p>
        </w:tc>
        <w:tc>
          <w:tcPr>
            <w:tcW w:w="5287" w:type="dxa"/>
          </w:tcPr>
          <w:p w14:paraId="7B4CCAB3" w14:textId="4FC19328" w:rsidR="00457E5B" w:rsidRPr="003C17A3" w:rsidRDefault="00457E5B" w:rsidP="00A10239">
            <w:pPr>
              <w:jc w:val="center"/>
              <w:rPr>
                <w:sz w:val="22"/>
                <w:szCs w:val="22"/>
              </w:rPr>
            </w:pPr>
            <w:r w:rsidRPr="003C17A3">
              <w:rPr>
                <w:sz w:val="22"/>
                <w:szCs w:val="22"/>
              </w:rPr>
              <w:t xml:space="preserve">Mars </w:t>
            </w:r>
            <w:r>
              <w:rPr>
                <w:sz w:val="22"/>
                <w:szCs w:val="22"/>
              </w:rPr>
              <w:t xml:space="preserve">à </w:t>
            </w:r>
            <w:r w:rsidRPr="003C17A3">
              <w:rPr>
                <w:sz w:val="22"/>
                <w:szCs w:val="22"/>
              </w:rPr>
              <w:t>Décembre 2020</w:t>
            </w:r>
          </w:p>
        </w:tc>
        <w:tc>
          <w:tcPr>
            <w:tcW w:w="2821" w:type="dxa"/>
          </w:tcPr>
          <w:p w14:paraId="4C0920D9" w14:textId="756C9B47" w:rsidR="00457E5B" w:rsidRPr="003C17A3" w:rsidRDefault="00457E5B" w:rsidP="00A10239">
            <w:pPr>
              <w:jc w:val="center"/>
              <w:rPr>
                <w:sz w:val="22"/>
                <w:szCs w:val="22"/>
              </w:rPr>
            </w:pPr>
            <w:r w:rsidRPr="003C17A3">
              <w:rPr>
                <w:sz w:val="22"/>
                <w:szCs w:val="22"/>
              </w:rPr>
              <w:t xml:space="preserve">Janvier </w:t>
            </w:r>
            <w:r>
              <w:rPr>
                <w:sz w:val="22"/>
                <w:szCs w:val="22"/>
              </w:rPr>
              <w:t>à</w:t>
            </w:r>
            <w:r w:rsidRPr="003C17A3">
              <w:rPr>
                <w:sz w:val="22"/>
                <w:szCs w:val="22"/>
              </w:rPr>
              <w:t xml:space="preserve"> Décembre 2021</w:t>
            </w:r>
          </w:p>
        </w:tc>
      </w:tr>
      <w:tr w:rsidR="00457E5B" w:rsidRPr="003C17A3" w14:paraId="139D8A72" w14:textId="77777777" w:rsidTr="00A10239">
        <w:trPr>
          <w:jc w:val="center"/>
        </w:trPr>
        <w:tc>
          <w:tcPr>
            <w:tcW w:w="1115" w:type="dxa"/>
          </w:tcPr>
          <w:p w14:paraId="089344D0" w14:textId="77777777" w:rsidR="00457E5B" w:rsidRPr="003C17A3" w:rsidRDefault="00457E5B" w:rsidP="00A10239">
            <w:pPr>
              <w:rPr>
                <w:sz w:val="22"/>
                <w:szCs w:val="22"/>
              </w:rPr>
            </w:pPr>
            <w:r w:rsidRPr="003C17A3">
              <w:rPr>
                <w:sz w:val="22"/>
                <w:szCs w:val="22"/>
              </w:rPr>
              <w:t xml:space="preserve">ALBANIE </w:t>
            </w:r>
          </w:p>
        </w:tc>
        <w:tc>
          <w:tcPr>
            <w:tcW w:w="5287" w:type="dxa"/>
          </w:tcPr>
          <w:p w14:paraId="14C3907E" w14:textId="77777777" w:rsidR="00457E5B" w:rsidRPr="003C17A3" w:rsidRDefault="00457E5B" w:rsidP="00A10239">
            <w:pPr>
              <w:rPr>
                <w:sz w:val="22"/>
                <w:szCs w:val="22"/>
              </w:rPr>
            </w:pPr>
            <w:r w:rsidRPr="003C17A3">
              <w:rPr>
                <w:b/>
                <w:bCs/>
                <w:sz w:val="22"/>
                <w:szCs w:val="22"/>
              </w:rPr>
              <w:t>MARS-AVRIL</w:t>
            </w:r>
            <w:r w:rsidRPr="003C17A3">
              <w:rPr>
                <w:sz w:val="22"/>
                <w:szCs w:val="22"/>
              </w:rPr>
              <w:t> : note du 1</w:t>
            </w:r>
            <w:r w:rsidRPr="003C17A3">
              <w:rPr>
                <w:sz w:val="22"/>
                <w:szCs w:val="22"/>
                <w:vertAlign w:val="superscript"/>
              </w:rPr>
              <w:t>er</w:t>
            </w:r>
            <w:r w:rsidRPr="003C17A3">
              <w:rPr>
                <w:sz w:val="22"/>
                <w:szCs w:val="22"/>
              </w:rPr>
              <w:t xml:space="preserve"> avril : « état de catastrophe naturelle » déclaré le 24 mars, utilisation de l’article 15 </w:t>
            </w:r>
            <w:r>
              <w:rPr>
                <w:sz w:val="22"/>
                <w:szCs w:val="22"/>
              </w:rPr>
              <w:t>à partir</w:t>
            </w:r>
            <w:r w:rsidRPr="003C17A3">
              <w:rPr>
                <w:sz w:val="22"/>
                <w:szCs w:val="22"/>
              </w:rPr>
              <w:t xml:space="preserve"> du 1</w:t>
            </w:r>
            <w:r w:rsidRPr="003C17A3">
              <w:rPr>
                <w:sz w:val="22"/>
                <w:szCs w:val="22"/>
                <w:vertAlign w:val="superscript"/>
              </w:rPr>
              <w:t>er</w:t>
            </w:r>
            <w:r w:rsidRPr="003C17A3">
              <w:rPr>
                <w:sz w:val="22"/>
                <w:szCs w:val="22"/>
              </w:rPr>
              <w:t xml:space="preserve"> avril </w:t>
            </w:r>
          </w:p>
          <w:p w14:paraId="2D8AFCB4" w14:textId="77777777" w:rsidR="00457E5B" w:rsidRPr="003C17A3" w:rsidRDefault="00457E5B" w:rsidP="00A10239">
            <w:pPr>
              <w:rPr>
                <w:sz w:val="22"/>
                <w:szCs w:val="22"/>
              </w:rPr>
            </w:pPr>
            <w:r w:rsidRPr="003C17A3">
              <w:rPr>
                <w:b/>
                <w:bCs/>
                <w:sz w:val="22"/>
                <w:szCs w:val="22"/>
              </w:rPr>
              <w:t xml:space="preserve">MAI : </w:t>
            </w:r>
            <w:r w:rsidRPr="003C17A3">
              <w:rPr>
                <w:sz w:val="22"/>
                <w:szCs w:val="22"/>
              </w:rPr>
              <w:t xml:space="preserve">note du 12 mai : prolongation de l’état de catastrophe naturelle jusqu’au 23 juin </w:t>
            </w:r>
          </w:p>
          <w:p w14:paraId="480D5171" w14:textId="231FE8E7" w:rsidR="00457E5B" w:rsidRPr="003C17A3" w:rsidRDefault="00457E5B" w:rsidP="00A10239">
            <w:pPr>
              <w:rPr>
                <w:color w:val="FF0000"/>
                <w:sz w:val="22"/>
                <w:szCs w:val="22"/>
              </w:rPr>
            </w:pPr>
            <w:r w:rsidRPr="003C17A3">
              <w:rPr>
                <w:b/>
                <w:bCs/>
                <w:sz w:val="22"/>
                <w:szCs w:val="22"/>
              </w:rPr>
              <w:t>JUIN</w:t>
            </w:r>
            <w:r w:rsidRPr="003C17A3">
              <w:rPr>
                <w:sz w:val="22"/>
                <w:szCs w:val="22"/>
              </w:rPr>
              <w:t xml:space="preserve"> : </w:t>
            </w:r>
            <w:r w:rsidR="00F35F1E" w:rsidRPr="00F35F1E">
              <w:rPr>
                <w:sz w:val="22"/>
                <w:szCs w:val="22"/>
              </w:rPr>
              <w:t xml:space="preserve">note du 25 juin : </w:t>
            </w:r>
            <w:r w:rsidR="00F35F1E">
              <w:rPr>
                <w:color w:val="FF0000"/>
                <w:sz w:val="22"/>
                <w:szCs w:val="22"/>
              </w:rPr>
              <w:t>r</w:t>
            </w:r>
            <w:r w:rsidRPr="003C17A3">
              <w:rPr>
                <w:color w:val="FF0000"/>
                <w:sz w:val="22"/>
                <w:szCs w:val="22"/>
              </w:rPr>
              <w:t>etire les dérogations le 23 juin</w:t>
            </w:r>
          </w:p>
          <w:p w14:paraId="41FA43E7" w14:textId="77777777" w:rsidR="00457E5B" w:rsidRPr="003C17A3" w:rsidRDefault="00457E5B" w:rsidP="00A10239">
            <w:pPr>
              <w:rPr>
                <w:color w:val="00B050"/>
                <w:sz w:val="22"/>
                <w:szCs w:val="22"/>
              </w:rPr>
            </w:pPr>
            <w:r w:rsidRPr="003C17A3">
              <w:rPr>
                <w:b/>
                <w:bCs/>
                <w:color w:val="00B050"/>
                <w:sz w:val="22"/>
                <w:szCs w:val="22"/>
              </w:rPr>
              <w:t>Droits concernés</w:t>
            </w:r>
            <w:r w:rsidRPr="003C17A3">
              <w:rPr>
                <w:color w:val="00B050"/>
                <w:sz w:val="22"/>
                <w:szCs w:val="22"/>
              </w:rPr>
              <w:t> : articles 8 et 11</w:t>
            </w:r>
            <w:r>
              <w:rPr>
                <w:color w:val="00B050"/>
                <w:sz w:val="22"/>
                <w:szCs w:val="22"/>
              </w:rPr>
              <w:t xml:space="preserve"> de la Convention</w:t>
            </w:r>
            <w:r w:rsidRPr="003C17A3">
              <w:rPr>
                <w:color w:val="00B050"/>
                <w:sz w:val="22"/>
                <w:szCs w:val="22"/>
              </w:rPr>
              <w:t xml:space="preserve">, article 1 et 2 </w:t>
            </w:r>
            <w:r>
              <w:rPr>
                <w:color w:val="00B050"/>
                <w:sz w:val="22"/>
                <w:szCs w:val="22"/>
              </w:rPr>
              <w:t xml:space="preserve">du </w:t>
            </w:r>
            <w:r w:rsidRPr="003C17A3">
              <w:rPr>
                <w:color w:val="00B050"/>
                <w:sz w:val="22"/>
                <w:szCs w:val="22"/>
              </w:rPr>
              <w:t xml:space="preserve">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4</w:t>
            </w:r>
          </w:p>
        </w:tc>
        <w:tc>
          <w:tcPr>
            <w:tcW w:w="2821" w:type="dxa"/>
          </w:tcPr>
          <w:p w14:paraId="390BC551" w14:textId="77777777" w:rsidR="00457E5B" w:rsidRPr="003C17A3" w:rsidRDefault="00457E5B" w:rsidP="00A10239">
            <w:pPr>
              <w:rPr>
                <w:sz w:val="22"/>
                <w:szCs w:val="22"/>
              </w:rPr>
            </w:pPr>
          </w:p>
        </w:tc>
      </w:tr>
      <w:tr w:rsidR="00457E5B" w:rsidRPr="003C17A3" w14:paraId="759B9004" w14:textId="77777777" w:rsidTr="00A10239">
        <w:trPr>
          <w:jc w:val="center"/>
        </w:trPr>
        <w:tc>
          <w:tcPr>
            <w:tcW w:w="1115" w:type="dxa"/>
          </w:tcPr>
          <w:p w14:paraId="1DD4FEF9" w14:textId="77777777" w:rsidR="00457E5B" w:rsidRPr="003C17A3" w:rsidRDefault="00457E5B" w:rsidP="00A10239">
            <w:pPr>
              <w:rPr>
                <w:sz w:val="22"/>
                <w:szCs w:val="22"/>
              </w:rPr>
            </w:pPr>
            <w:r w:rsidRPr="003C17A3">
              <w:rPr>
                <w:sz w:val="22"/>
                <w:szCs w:val="22"/>
              </w:rPr>
              <w:t xml:space="preserve">ARMÉNIE </w:t>
            </w:r>
          </w:p>
        </w:tc>
        <w:tc>
          <w:tcPr>
            <w:tcW w:w="5287" w:type="dxa"/>
          </w:tcPr>
          <w:p w14:paraId="0F465BD8" w14:textId="77777777" w:rsidR="00457E5B" w:rsidRPr="003C17A3" w:rsidRDefault="00457E5B" w:rsidP="00A10239">
            <w:pPr>
              <w:rPr>
                <w:sz w:val="22"/>
                <w:szCs w:val="22"/>
              </w:rPr>
            </w:pPr>
            <w:r w:rsidRPr="003C17A3">
              <w:rPr>
                <w:b/>
                <w:bCs/>
                <w:sz w:val="22"/>
                <w:szCs w:val="22"/>
              </w:rPr>
              <w:t xml:space="preserve">MARS : </w:t>
            </w:r>
            <w:r w:rsidRPr="003C17A3">
              <w:rPr>
                <w:sz w:val="22"/>
                <w:szCs w:val="22"/>
              </w:rPr>
              <w:t xml:space="preserve">note du 20 mars : état d'urgence du 16 mars au 14 avril </w:t>
            </w:r>
          </w:p>
          <w:p w14:paraId="193E2897" w14:textId="77777777" w:rsidR="00457E5B" w:rsidRPr="003C17A3" w:rsidRDefault="00457E5B" w:rsidP="00A10239">
            <w:pPr>
              <w:rPr>
                <w:sz w:val="22"/>
                <w:szCs w:val="22"/>
              </w:rPr>
            </w:pPr>
            <w:r w:rsidRPr="003C17A3">
              <w:rPr>
                <w:b/>
                <w:bCs/>
                <w:sz w:val="22"/>
                <w:szCs w:val="22"/>
              </w:rPr>
              <w:t>AVRIL</w:t>
            </w:r>
            <w:r w:rsidRPr="003C17A3">
              <w:rPr>
                <w:sz w:val="22"/>
                <w:szCs w:val="22"/>
              </w:rPr>
              <w:t xml:space="preserve"> : note du 17 avril : état d'urgence prolongé jusqu'au 14 mai </w:t>
            </w:r>
          </w:p>
          <w:p w14:paraId="00A7E866" w14:textId="77777777" w:rsidR="00457E5B" w:rsidRPr="003C17A3" w:rsidRDefault="00457E5B" w:rsidP="00A10239">
            <w:pPr>
              <w:rPr>
                <w:sz w:val="22"/>
                <w:szCs w:val="22"/>
              </w:rPr>
            </w:pPr>
            <w:r w:rsidRPr="003C17A3">
              <w:rPr>
                <w:b/>
                <w:bCs/>
                <w:sz w:val="22"/>
                <w:szCs w:val="22"/>
              </w:rPr>
              <w:t>MAI</w:t>
            </w:r>
            <w:r w:rsidRPr="003C17A3">
              <w:rPr>
                <w:sz w:val="22"/>
                <w:szCs w:val="22"/>
              </w:rPr>
              <w:t xml:space="preserve"> : note du 15 mai : état d'urgence prolongé jusqu'au 13 juin </w:t>
            </w:r>
          </w:p>
          <w:p w14:paraId="448B45BB" w14:textId="77777777" w:rsidR="00457E5B" w:rsidRPr="003C17A3" w:rsidRDefault="00457E5B" w:rsidP="00A10239">
            <w:pPr>
              <w:rPr>
                <w:sz w:val="22"/>
                <w:szCs w:val="22"/>
              </w:rPr>
            </w:pPr>
            <w:r w:rsidRPr="003C17A3">
              <w:rPr>
                <w:b/>
                <w:bCs/>
                <w:sz w:val="22"/>
                <w:szCs w:val="22"/>
              </w:rPr>
              <w:t>JUIN</w:t>
            </w:r>
            <w:r w:rsidRPr="003C17A3">
              <w:rPr>
                <w:sz w:val="22"/>
                <w:szCs w:val="22"/>
              </w:rPr>
              <w:t> : note du 16 juin : prolongation jusqu'au 13 juillet</w:t>
            </w:r>
          </w:p>
          <w:p w14:paraId="2DFEE503" w14:textId="77777777" w:rsidR="00457E5B" w:rsidRPr="003C17A3" w:rsidRDefault="00457E5B" w:rsidP="00A10239">
            <w:pPr>
              <w:rPr>
                <w:sz w:val="22"/>
                <w:szCs w:val="22"/>
              </w:rPr>
            </w:pPr>
            <w:r w:rsidRPr="003C17A3">
              <w:rPr>
                <w:b/>
                <w:bCs/>
                <w:sz w:val="22"/>
                <w:szCs w:val="22"/>
              </w:rPr>
              <w:t>JUILLET</w:t>
            </w:r>
            <w:r w:rsidRPr="003C17A3">
              <w:rPr>
                <w:sz w:val="22"/>
                <w:szCs w:val="22"/>
              </w:rPr>
              <w:t> : note du 15 juillet : prolongation jusqu'au 12 août</w:t>
            </w:r>
          </w:p>
          <w:p w14:paraId="26A46D5F" w14:textId="77777777" w:rsidR="00457E5B" w:rsidRPr="003C17A3" w:rsidRDefault="00457E5B" w:rsidP="00A10239">
            <w:pPr>
              <w:rPr>
                <w:sz w:val="22"/>
                <w:szCs w:val="22"/>
              </w:rPr>
            </w:pPr>
            <w:r w:rsidRPr="003C17A3">
              <w:rPr>
                <w:b/>
                <w:bCs/>
                <w:sz w:val="22"/>
                <w:szCs w:val="22"/>
              </w:rPr>
              <w:t>AOÛT</w:t>
            </w:r>
            <w:r w:rsidRPr="003C17A3">
              <w:rPr>
                <w:sz w:val="22"/>
                <w:szCs w:val="22"/>
              </w:rPr>
              <w:t> : note du 13 août : prolongation jusqu'au 11 septembre</w:t>
            </w:r>
          </w:p>
          <w:p w14:paraId="0D04A1B8" w14:textId="77777777" w:rsidR="00457E5B" w:rsidRPr="003C17A3" w:rsidRDefault="00457E5B" w:rsidP="00A10239">
            <w:pPr>
              <w:rPr>
                <w:color w:val="FF0000"/>
                <w:sz w:val="22"/>
                <w:szCs w:val="22"/>
              </w:rPr>
            </w:pPr>
            <w:r w:rsidRPr="003C17A3">
              <w:rPr>
                <w:b/>
                <w:bCs/>
                <w:sz w:val="22"/>
                <w:szCs w:val="22"/>
              </w:rPr>
              <w:t>SEPTEMBRE</w:t>
            </w:r>
            <w:r w:rsidRPr="003C17A3">
              <w:rPr>
                <w:sz w:val="22"/>
                <w:szCs w:val="22"/>
              </w:rPr>
              <w:t xml:space="preserve"> : </w:t>
            </w:r>
            <w:r w:rsidRPr="00F35F1E">
              <w:rPr>
                <w:sz w:val="22"/>
                <w:szCs w:val="22"/>
              </w:rPr>
              <w:t xml:space="preserve">note du 16 septembre : </w:t>
            </w:r>
            <w:r w:rsidRPr="003C17A3">
              <w:rPr>
                <w:color w:val="FF0000"/>
                <w:sz w:val="22"/>
                <w:szCs w:val="22"/>
              </w:rPr>
              <w:t xml:space="preserve">fin de l'état d'urgence le 11 septembre </w:t>
            </w:r>
          </w:p>
          <w:p w14:paraId="05BCB8E9" w14:textId="77777777" w:rsidR="00457E5B" w:rsidRPr="003C17A3" w:rsidRDefault="00457E5B" w:rsidP="00A10239">
            <w:pPr>
              <w:pStyle w:val="NormalWeb"/>
              <w:spacing w:before="0" w:beforeAutospacing="0" w:after="0" w:afterAutospacing="0"/>
              <w:rPr>
                <w:color w:val="00B050"/>
                <w:lang w:val="en-US"/>
              </w:rPr>
            </w:pPr>
            <w:r w:rsidRPr="003C17A3">
              <w:rPr>
                <w:b/>
                <w:bCs/>
                <w:color w:val="00B050"/>
                <w:sz w:val="22"/>
                <w:szCs w:val="22"/>
                <w:lang w:val="en-US"/>
              </w:rPr>
              <w:t xml:space="preserve">Droits </w:t>
            </w:r>
            <w:proofErr w:type="gramStart"/>
            <w:r w:rsidRPr="003C17A3">
              <w:rPr>
                <w:b/>
                <w:bCs/>
                <w:color w:val="00B050"/>
                <w:sz w:val="22"/>
                <w:szCs w:val="22"/>
                <w:lang w:val="en-US"/>
              </w:rPr>
              <w:t>concernés</w:t>
            </w:r>
            <w:r w:rsidRPr="003C17A3">
              <w:rPr>
                <w:color w:val="00B050"/>
                <w:sz w:val="22"/>
                <w:szCs w:val="22"/>
                <w:lang w:val="en-US"/>
              </w:rPr>
              <w:t> :</w:t>
            </w:r>
            <w:proofErr w:type="gramEnd"/>
            <w:r w:rsidRPr="003C17A3">
              <w:rPr>
                <w:color w:val="00B050"/>
                <w:sz w:val="22"/>
                <w:szCs w:val="22"/>
                <w:lang w:val="en-US"/>
              </w:rPr>
              <w:t xml:space="preserve"> ne mentionne pas précisément les droits concernés : « Measures taken during the state of emergency may include derogations from the obligations of the Republic of Armenia under the Convention for the Protection of Human Rights and Fundamental Freedoms”. </w:t>
            </w:r>
          </w:p>
          <w:p w14:paraId="340E6470" w14:textId="40C61705" w:rsidR="00457E5B" w:rsidRPr="003C17A3" w:rsidRDefault="00457E5B" w:rsidP="00A10239">
            <w:pPr>
              <w:rPr>
                <w:sz w:val="22"/>
                <w:szCs w:val="22"/>
              </w:rPr>
            </w:pPr>
            <w:r>
              <w:rPr>
                <w:sz w:val="22"/>
                <w:szCs w:val="22"/>
              </w:rPr>
              <w:t>Remarque</w:t>
            </w:r>
            <w:r w:rsidRPr="003C17A3">
              <w:rPr>
                <w:b/>
                <w:bCs/>
                <w:sz w:val="22"/>
                <w:szCs w:val="22"/>
              </w:rPr>
              <w:t xml:space="preserve"> : </w:t>
            </w:r>
            <w:r w:rsidRPr="003C17A3">
              <w:rPr>
                <w:sz w:val="22"/>
                <w:szCs w:val="22"/>
              </w:rPr>
              <w:t>nouvel usage de l’article 15 entre fin septembre 2020 et mars 2021 suite à une attaque de l’Azerbadjan</w:t>
            </w:r>
          </w:p>
        </w:tc>
        <w:tc>
          <w:tcPr>
            <w:tcW w:w="2821" w:type="dxa"/>
          </w:tcPr>
          <w:p w14:paraId="272FF375" w14:textId="77777777" w:rsidR="00457E5B" w:rsidRPr="003C17A3" w:rsidRDefault="00457E5B" w:rsidP="00A10239">
            <w:pPr>
              <w:rPr>
                <w:sz w:val="22"/>
                <w:szCs w:val="22"/>
              </w:rPr>
            </w:pPr>
          </w:p>
        </w:tc>
      </w:tr>
      <w:tr w:rsidR="00457E5B" w:rsidRPr="003C17A3" w14:paraId="3E3CADD6" w14:textId="77777777" w:rsidTr="00A10239">
        <w:trPr>
          <w:jc w:val="center"/>
        </w:trPr>
        <w:tc>
          <w:tcPr>
            <w:tcW w:w="1115" w:type="dxa"/>
          </w:tcPr>
          <w:p w14:paraId="6BF0D25A" w14:textId="77777777" w:rsidR="00457E5B" w:rsidRPr="003C17A3" w:rsidRDefault="00457E5B" w:rsidP="00A10239">
            <w:pPr>
              <w:rPr>
                <w:sz w:val="22"/>
                <w:szCs w:val="22"/>
              </w:rPr>
            </w:pPr>
            <w:r w:rsidRPr="003C17A3">
              <w:rPr>
                <w:sz w:val="22"/>
                <w:szCs w:val="22"/>
              </w:rPr>
              <w:t>ESTONIE</w:t>
            </w:r>
          </w:p>
        </w:tc>
        <w:tc>
          <w:tcPr>
            <w:tcW w:w="5287" w:type="dxa"/>
          </w:tcPr>
          <w:p w14:paraId="10C2ABED" w14:textId="77777777" w:rsidR="00457E5B" w:rsidRPr="003C17A3" w:rsidRDefault="00457E5B" w:rsidP="00A10239">
            <w:pPr>
              <w:rPr>
                <w:sz w:val="22"/>
                <w:szCs w:val="22"/>
              </w:rPr>
            </w:pPr>
            <w:r w:rsidRPr="003C17A3">
              <w:rPr>
                <w:b/>
                <w:bCs/>
                <w:sz w:val="22"/>
                <w:szCs w:val="22"/>
              </w:rPr>
              <w:t>MARS</w:t>
            </w:r>
            <w:r w:rsidRPr="003C17A3">
              <w:rPr>
                <w:sz w:val="22"/>
                <w:szCs w:val="22"/>
              </w:rPr>
              <w:t xml:space="preserve"> : note du 20 mars : début de l'état d'urgence le 12 mars jusqu'au 1er mai </w:t>
            </w:r>
          </w:p>
          <w:p w14:paraId="174A65DD" w14:textId="086E9668" w:rsidR="00457E5B" w:rsidRPr="003C17A3" w:rsidRDefault="00457E5B" w:rsidP="00A10239">
            <w:pPr>
              <w:rPr>
                <w:color w:val="FF0000"/>
                <w:sz w:val="22"/>
                <w:szCs w:val="22"/>
              </w:rPr>
            </w:pPr>
            <w:r w:rsidRPr="003C17A3">
              <w:rPr>
                <w:b/>
                <w:bCs/>
                <w:sz w:val="22"/>
                <w:szCs w:val="22"/>
              </w:rPr>
              <w:t>MAI</w:t>
            </w:r>
            <w:r w:rsidRPr="003C17A3">
              <w:rPr>
                <w:sz w:val="22"/>
                <w:szCs w:val="22"/>
              </w:rPr>
              <w:t xml:space="preserve"> : </w:t>
            </w:r>
            <w:r w:rsidR="00F35F1E">
              <w:rPr>
                <w:sz w:val="22"/>
                <w:szCs w:val="22"/>
              </w:rPr>
              <w:t xml:space="preserve">note du 18 mai : </w:t>
            </w:r>
            <w:r w:rsidRPr="003C17A3">
              <w:rPr>
                <w:color w:val="FF0000"/>
                <w:sz w:val="22"/>
                <w:szCs w:val="22"/>
              </w:rPr>
              <w:t xml:space="preserve">fin de l’état d’urgence le 17 mai </w:t>
            </w:r>
          </w:p>
          <w:p w14:paraId="1C327CB2" w14:textId="77777777" w:rsidR="00457E5B" w:rsidRPr="003C17A3" w:rsidRDefault="00457E5B" w:rsidP="00A10239">
            <w:pPr>
              <w:rPr>
                <w:color w:val="00B050"/>
                <w:sz w:val="22"/>
                <w:szCs w:val="22"/>
              </w:rPr>
            </w:pPr>
            <w:r w:rsidRPr="003C17A3">
              <w:rPr>
                <w:b/>
                <w:bCs/>
                <w:color w:val="00B050"/>
                <w:sz w:val="22"/>
                <w:szCs w:val="22"/>
              </w:rPr>
              <w:t xml:space="preserve">Droits concernés : </w:t>
            </w:r>
            <w:r w:rsidRPr="003C17A3">
              <w:rPr>
                <w:color w:val="00B050"/>
                <w:sz w:val="22"/>
                <w:szCs w:val="22"/>
              </w:rPr>
              <w:t>Articles 5, 6, 8 et 11</w:t>
            </w:r>
            <w:r>
              <w:rPr>
                <w:color w:val="00B050"/>
                <w:sz w:val="22"/>
                <w:szCs w:val="22"/>
              </w:rPr>
              <w:t xml:space="preserve"> de la Convention</w:t>
            </w:r>
            <w:r w:rsidRPr="003C17A3">
              <w:rPr>
                <w:color w:val="00B050"/>
                <w:sz w:val="22"/>
                <w:szCs w:val="22"/>
              </w:rPr>
              <w:t xml:space="preserve">, Articles 1 et 2 </w:t>
            </w:r>
            <w:r>
              <w:rPr>
                <w:color w:val="00B050"/>
                <w:sz w:val="22"/>
                <w:szCs w:val="22"/>
              </w:rPr>
              <w:t>du</w:t>
            </w:r>
            <w:r w:rsidRPr="003C17A3">
              <w:rPr>
                <w:color w:val="00B050"/>
                <w:sz w:val="22"/>
                <w:szCs w:val="22"/>
              </w:rPr>
              <w:t xml:space="preserve"> 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 xml:space="preserve">4.  </w:t>
            </w:r>
          </w:p>
        </w:tc>
        <w:tc>
          <w:tcPr>
            <w:tcW w:w="2821" w:type="dxa"/>
          </w:tcPr>
          <w:p w14:paraId="57E66EFC" w14:textId="77777777" w:rsidR="00457E5B" w:rsidRPr="003C17A3" w:rsidRDefault="00457E5B" w:rsidP="00A10239">
            <w:pPr>
              <w:rPr>
                <w:sz w:val="22"/>
                <w:szCs w:val="22"/>
              </w:rPr>
            </w:pPr>
          </w:p>
        </w:tc>
      </w:tr>
      <w:tr w:rsidR="00457E5B" w:rsidRPr="003C17A3" w14:paraId="65CB07D5" w14:textId="77777777" w:rsidTr="00A10239">
        <w:trPr>
          <w:jc w:val="center"/>
        </w:trPr>
        <w:tc>
          <w:tcPr>
            <w:tcW w:w="1115" w:type="dxa"/>
          </w:tcPr>
          <w:p w14:paraId="38E5C0FC" w14:textId="77777777" w:rsidR="00457E5B" w:rsidRPr="003C17A3" w:rsidRDefault="00457E5B" w:rsidP="00A10239">
            <w:pPr>
              <w:rPr>
                <w:sz w:val="22"/>
                <w:szCs w:val="22"/>
              </w:rPr>
            </w:pPr>
            <w:r w:rsidRPr="003C17A3">
              <w:rPr>
                <w:sz w:val="22"/>
                <w:szCs w:val="22"/>
              </w:rPr>
              <w:t>GÉORGIE</w:t>
            </w:r>
          </w:p>
        </w:tc>
        <w:tc>
          <w:tcPr>
            <w:tcW w:w="5287" w:type="dxa"/>
          </w:tcPr>
          <w:p w14:paraId="61296002" w14:textId="77777777" w:rsidR="00457E5B" w:rsidRPr="003C17A3" w:rsidRDefault="00457E5B" w:rsidP="00A10239">
            <w:pPr>
              <w:rPr>
                <w:sz w:val="22"/>
                <w:szCs w:val="22"/>
              </w:rPr>
            </w:pPr>
            <w:r w:rsidRPr="003C17A3">
              <w:rPr>
                <w:b/>
                <w:bCs/>
                <w:sz w:val="22"/>
                <w:szCs w:val="22"/>
              </w:rPr>
              <w:t>MARS</w:t>
            </w:r>
            <w:r w:rsidRPr="003C17A3">
              <w:rPr>
                <w:sz w:val="22"/>
                <w:szCs w:val="22"/>
              </w:rPr>
              <w:t xml:space="preserve"> : note du 23 mars : début de l'état d'urgence le 21 mars jusqu'au 21 avril </w:t>
            </w:r>
          </w:p>
          <w:p w14:paraId="0B550C1D" w14:textId="77777777" w:rsidR="00457E5B" w:rsidRPr="003C17A3" w:rsidRDefault="00457E5B" w:rsidP="00A10239">
            <w:pPr>
              <w:rPr>
                <w:sz w:val="22"/>
                <w:szCs w:val="22"/>
              </w:rPr>
            </w:pPr>
            <w:r w:rsidRPr="003C17A3">
              <w:rPr>
                <w:b/>
                <w:bCs/>
                <w:sz w:val="22"/>
                <w:szCs w:val="22"/>
              </w:rPr>
              <w:t>AVRIL</w:t>
            </w:r>
            <w:r w:rsidRPr="003C17A3">
              <w:rPr>
                <w:sz w:val="22"/>
                <w:szCs w:val="22"/>
              </w:rPr>
              <w:t xml:space="preserve"> : note du 23 avril : prolongation jusqu'au 22 mai </w:t>
            </w:r>
          </w:p>
          <w:p w14:paraId="58BE70C7" w14:textId="77777777" w:rsidR="00457E5B" w:rsidRPr="003C17A3" w:rsidRDefault="00457E5B" w:rsidP="00A10239">
            <w:pPr>
              <w:rPr>
                <w:sz w:val="22"/>
                <w:szCs w:val="22"/>
              </w:rPr>
            </w:pPr>
            <w:r w:rsidRPr="003C17A3">
              <w:rPr>
                <w:b/>
                <w:bCs/>
                <w:sz w:val="22"/>
                <w:szCs w:val="22"/>
              </w:rPr>
              <w:t>MAI</w:t>
            </w:r>
            <w:r w:rsidRPr="003C17A3">
              <w:rPr>
                <w:sz w:val="22"/>
                <w:szCs w:val="22"/>
              </w:rPr>
              <w:t xml:space="preserve"> : note du 25 mai : prolongation de l'état d'urgence jusqu'au 15 juillet   </w:t>
            </w:r>
          </w:p>
          <w:p w14:paraId="1CF95DA2" w14:textId="77777777" w:rsidR="00457E5B" w:rsidRPr="003C17A3" w:rsidRDefault="00457E5B" w:rsidP="00A10239">
            <w:pPr>
              <w:rPr>
                <w:sz w:val="22"/>
                <w:szCs w:val="22"/>
              </w:rPr>
            </w:pPr>
            <w:r w:rsidRPr="003C17A3">
              <w:rPr>
                <w:b/>
                <w:bCs/>
                <w:sz w:val="22"/>
                <w:szCs w:val="22"/>
              </w:rPr>
              <w:t>JUILLET</w:t>
            </w:r>
            <w:r w:rsidRPr="003C17A3">
              <w:rPr>
                <w:sz w:val="22"/>
                <w:szCs w:val="22"/>
              </w:rPr>
              <w:t> : note du 16 juillet : prolongation jusqu'au 1 janvier 2021</w:t>
            </w:r>
          </w:p>
          <w:p w14:paraId="2589D370" w14:textId="77777777" w:rsidR="00457E5B" w:rsidRPr="003C17A3" w:rsidRDefault="00457E5B" w:rsidP="00A10239">
            <w:pPr>
              <w:rPr>
                <w:sz w:val="22"/>
                <w:szCs w:val="22"/>
              </w:rPr>
            </w:pPr>
            <w:r w:rsidRPr="003C17A3">
              <w:rPr>
                <w:b/>
                <w:bCs/>
                <w:color w:val="00B050"/>
                <w:sz w:val="22"/>
                <w:szCs w:val="22"/>
              </w:rPr>
              <w:lastRenderedPageBreak/>
              <w:t>Droits concernés</w:t>
            </w:r>
            <w:r w:rsidRPr="003C17A3">
              <w:rPr>
                <w:color w:val="00B050"/>
                <w:sz w:val="22"/>
                <w:szCs w:val="22"/>
              </w:rPr>
              <w:t> : Articles 5, 8 et 11</w:t>
            </w:r>
            <w:r>
              <w:rPr>
                <w:color w:val="00B050"/>
                <w:sz w:val="22"/>
                <w:szCs w:val="22"/>
              </w:rPr>
              <w:t xml:space="preserve"> de la Convention</w:t>
            </w:r>
            <w:r w:rsidRPr="003C17A3">
              <w:rPr>
                <w:color w:val="00B050"/>
                <w:sz w:val="22"/>
                <w:szCs w:val="22"/>
              </w:rPr>
              <w:t xml:space="preserve">, Articles 1 et 2 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 xml:space="preserve">4 </w:t>
            </w:r>
            <w:r>
              <w:rPr>
                <w:color w:val="00B050"/>
                <w:sz w:val="22"/>
                <w:szCs w:val="22"/>
              </w:rPr>
              <w:t xml:space="preserve">+ </w:t>
            </w:r>
            <w:r w:rsidRPr="006A3FB2">
              <w:rPr>
                <w:color w:val="00B050"/>
                <w:sz w:val="22"/>
                <w:szCs w:val="22"/>
              </w:rPr>
              <w:t>article 6 CEDH rajouté le 25 mai</w:t>
            </w:r>
            <w:r w:rsidRPr="003C17A3">
              <w:rPr>
                <w:color w:val="00B050"/>
                <w:sz w:val="22"/>
                <w:szCs w:val="22"/>
              </w:rPr>
              <w:t xml:space="preserve"> </w:t>
            </w:r>
          </w:p>
        </w:tc>
        <w:tc>
          <w:tcPr>
            <w:tcW w:w="2821" w:type="dxa"/>
          </w:tcPr>
          <w:p w14:paraId="33814362" w14:textId="77777777" w:rsidR="00457E5B" w:rsidRPr="003C17A3" w:rsidRDefault="00457E5B" w:rsidP="00A10239">
            <w:pPr>
              <w:rPr>
                <w:sz w:val="22"/>
                <w:szCs w:val="22"/>
              </w:rPr>
            </w:pPr>
            <w:r w:rsidRPr="003C17A3">
              <w:rPr>
                <w:b/>
                <w:bCs/>
                <w:sz w:val="22"/>
                <w:szCs w:val="22"/>
              </w:rPr>
              <w:lastRenderedPageBreak/>
              <w:t>JANVIER</w:t>
            </w:r>
            <w:r w:rsidRPr="003C17A3">
              <w:rPr>
                <w:sz w:val="22"/>
                <w:szCs w:val="22"/>
              </w:rPr>
              <w:t> : note du 4 janvier : prolongation jusqu’au 1</w:t>
            </w:r>
            <w:r w:rsidRPr="003C17A3">
              <w:rPr>
                <w:sz w:val="22"/>
                <w:szCs w:val="22"/>
                <w:vertAlign w:val="superscript"/>
              </w:rPr>
              <w:t>er</w:t>
            </w:r>
            <w:r w:rsidRPr="003C17A3">
              <w:rPr>
                <w:sz w:val="22"/>
                <w:szCs w:val="22"/>
              </w:rPr>
              <w:t xml:space="preserve"> juillet </w:t>
            </w:r>
          </w:p>
          <w:p w14:paraId="0102DC53" w14:textId="77777777" w:rsidR="00457E5B" w:rsidRPr="003C17A3" w:rsidRDefault="00457E5B" w:rsidP="00A10239">
            <w:pPr>
              <w:rPr>
                <w:sz w:val="22"/>
                <w:szCs w:val="22"/>
              </w:rPr>
            </w:pPr>
            <w:r w:rsidRPr="003C17A3">
              <w:rPr>
                <w:b/>
                <w:bCs/>
                <w:sz w:val="22"/>
                <w:szCs w:val="22"/>
              </w:rPr>
              <w:t>JUIN</w:t>
            </w:r>
            <w:r w:rsidRPr="003C17A3">
              <w:rPr>
                <w:sz w:val="22"/>
                <w:szCs w:val="22"/>
              </w:rPr>
              <w:t> : note du 30 juin : prolongation jusqu’au 1</w:t>
            </w:r>
            <w:r w:rsidRPr="003C17A3">
              <w:rPr>
                <w:sz w:val="22"/>
                <w:szCs w:val="22"/>
                <w:vertAlign w:val="superscript"/>
              </w:rPr>
              <w:t>er</w:t>
            </w:r>
            <w:r w:rsidRPr="003C17A3">
              <w:rPr>
                <w:sz w:val="22"/>
                <w:szCs w:val="22"/>
              </w:rPr>
              <w:t xml:space="preserve"> janvier 2022</w:t>
            </w:r>
          </w:p>
        </w:tc>
      </w:tr>
      <w:tr w:rsidR="00457E5B" w:rsidRPr="003C17A3" w14:paraId="42316AA5" w14:textId="77777777" w:rsidTr="00A10239">
        <w:trPr>
          <w:trHeight w:val="1975"/>
          <w:jc w:val="center"/>
        </w:trPr>
        <w:tc>
          <w:tcPr>
            <w:tcW w:w="1115" w:type="dxa"/>
          </w:tcPr>
          <w:p w14:paraId="38F8729D" w14:textId="77777777" w:rsidR="00457E5B" w:rsidRPr="003C17A3" w:rsidRDefault="00457E5B" w:rsidP="00A10239">
            <w:pPr>
              <w:rPr>
                <w:sz w:val="22"/>
                <w:szCs w:val="22"/>
              </w:rPr>
            </w:pPr>
            <w:r w:rsidRPr="003C17A3">
              <w:rPr>
                <w:sz w:val="22"/>
                <w:szCs w:val="22"/>
              </w:rPr>
              <w:t xml:space="preserve">LETTONIE </w:t>
            </w:r>
          </w:p>
        </w:tc>
        <w:tc>
          <w:tcPr>
            <w:tcW w:w="5287" w:type="dxa"/>
          </w:tcPr>
          <w:p w14:paraId="2E51B61F" w14:textId="77777777" w:rsidR="00457E5B" w:rsidRPr="003C17A3" w:rsidRDefault="00457E5B" w:rsidP="00A10239">
            <w:pPr>
              <w:rPr>
                <w:sz w:val="22"/>
                <w:szCs w:val="22"/>
              </w:rPr>
            </w:pPr>
            <w:r w:rsidRPr="003C17A3">
              <w:rPr>
                <w:b/>
                <w:bCs/>
                <w:sz w:val="22"/>
                <w:szCs w:val="22"/>
              </w:rPr>
              <w:t>MARS</w:t>
            </w:r>
            <w:r w:rsidRPr="003C17A3">
              <w:rPr>
                <w:sz w:val="22"/>
                <w:szCs w:val="22"/>
              </w:rPr>
              <w:t xml:space="preserve"> : note du 16 mars : situation d'urgence du 13 mars jusqu'au 14 avril </w:t>
            </w:r>
          </w:p>
          <w:p w14:paraId="0FC488E0" w14:textId="77777777" w:rsidR="00457E5B" w:rsidRPr="003C17A3" w:rsidRDefault="00457E5B" w:rsidP="00A10239">
            <w:pPr>
              <w:rPr>
                <w:sz w:val="22"/>
                <w:szCs w:val="22"/>
              </w:rPr>
            </w:pPr>
            <w:r w:rsidRPr="003C17A3">
              <w:rPr>
                <w:b/>
                <w:bCs/>
                <w:sz w:val="22"/>
                <w:szCs w:val="22"/>
              </w:rPr>
              <w:t>AVRIL</w:t>
            </w:r>
            <w:r w:rsidRPr="003C17A3">
              <w:rPr>
                <w:sz w:val="22"/>
                <w:szCs w:val="22"/>
              </w:rPr>
              <w:t xml:space="preserve"> : note du 16 avril : prolongation jusqu'au 12 mai </w:t>
            </w:r>
          </w:p>
          <w:p w14:paraId="01C3A30A" w14:textId="77777777" w:rsidR="00457E5B" w:rsidRPr="003C17A3" w:rsidRDefault="00457E5B" w:rsidP="00A10239">
            <w:pPr>
              <w:rPr>
                <w:sz w:val="22"/>
                <w:szCs w:val="22"/>
              </w:rPr>
            </w:pPr>
            <w:r w:rsidRPr="003C17A3">
              <w:rPr>
                <w:b/>
                <w:bCs/>
                <w:sz w:val="22"/>
                <w:szCs w:val="22"/>
              </w:rPr>
              <w:t>MAI</w:t>
            </w:r>
            <w:r w:rsidRPr="003C17A3">
              <w:rPr>
                <w:sz w:val="22"/>
                <w:szCs w:val="22"/>
              </w:rPr>
              <w:t xml:space="preserve"> : note du 15 mai : prolongation jusqu'au 9 juin </w:t>
            </w:r>
          </w:p>
          <w:p w14:paraId="495269CF" w14:textId="77777777" w:rsidR="00457E5B" w:rsidRPr="003C17A3" w:rsidRDefault="00457E5B" w:rsidP="00A10239">
            <w:pPr>
              <w:rPr>
                <w:sz w:val="22"/>
                <w:szCs w:val="22"/>
              </w:rPr>
            </w:pPr>
            <w:r w:rsidRPr="003C17A3">
              <w:rPr>
                <w:b/>
                <w:bCs/>
                <w:sz w:val="22"/>
                <w:szCs w:val="22"/>
              </w:rPr>
              <w:t>JUIN</w:t>
            </w:r>
            <w:r w:rsidRPr="00944CFB">
              <w:rPr>
                <w:sz w:val="22"/>
                <w:szCs w:val="22"/>
              </w:rPr>
              <w:t xml:space="preserve"> : note du 10 juin : </w:t>
            </w:r>
            <w:r w:rsidRPr="003C17A3">
              <w:rPr>
                <w:color w:val="FF0000"/>
                <w:sz w:val="22"/>
                <w:szCs w:val="22"/>
              </w:rPr>
              <w:t>fin des dérogations le 10 juin</w:t>
            </w:r>
          </w:p>
          <w:p w14:paraId="79B2065C" w14:textId="77777777" w:rsidR="00457E5B" w:rsidRPr="003C17A3" w:rsidRDefault="00457E5B" w:rsidP="00A10239">
            <w:pPr>
              <w:rPr>
                <w:color w:val="FF0000"/>
                <w:sz w:val="22"/>
                <w:szCs w:val="22"/>
              </w:rPr>
            </w:pPr>
            <w:r w:rsidRPr="003C17A3">
              <w:rPr>
                <w:b/>
                <w:bCs/>
                <w:color w:val="00B050"/>
                <w:sz w:val="22"/>
                <w:szCs w:val="22"/>
              </w:rPr>
              <w:t>Droits</w:t>
            </w:r>
            <w:r w:rsidRPr="003C17A3">
              <w:rPr>
                <w:color w:val="00B050"/>
                <w:sz w:val="22"/>
                <w:szCs w:val="22"/>
              </w:rPr>
              <w:t xml:space="preserve"> </w:t>
            </w:r>
            <w:r w:rsidRPr="003C17A3">
              <w:rPr>
                <w:b/>
                <w:bCs/>
                <w:color w:val="00B050"/>
                <w:sz w:val="22"/>
                <w:szCs w:val="22"/>
              </w:rPr>
              <w:t>concernés</w:t>
            </w:r>
            <w:r w:rsidRPr="003C17A3">
              <w:rPr>
                <w:color w:val="00B050"/>
                <w:sz w:val="22"/>
                <w:szCs w:val="22"/>
              </w:rPr>
              <w:t> : Articles 8 et 11</w:t>
            </w:r>
            <w:r>
              <w:rPr>
                <w:color w:val="00B050"/>
                <w:sz w:val="22"/>
                <w:szCs w:val="22"/>
              </w:rPr>
              <w:t xml:space="preserve"> de la Convention</w:t>
            </w:r>
            <w:r w:rsidRPr="003C17A3">
              <w:rPr>
                <w:color w:val="00B050"/>
                <w:sz w:val="22"/>
                <w:szCs w:val="22"/>
              </w:rPr>
              <w:t xml:space="preserve">, Article 2 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 xml:space="preserve">4. </w:t>
            </w:r>
            <w:r w:rsidRPr="003C17A3">
              <w:rPr>
                <w:color w:val="FF0000"/>
                <w:sz w:val="22"/>
                <w:szCs w:val="22"/>
              </w:rPr>
              <w:t xml:space="preserve">Fin de la dérogation aux article 11 CEDH (et article 2 Protocole </w:t>
            </w:r>
            <w:r>
              <w:rPr>
                <w:color w:val="FF0000"/>
                <w:sz w:val="22"/>
                <w:szCs w:val="22"/>
              </w:rPr>
              <w:t>n°</w:t>
            </w:r>
            <w:r w:rsidRPr="003C17A3">
              <w:rPr>
                <w:color w:val="FF0000"/>
                <w:sz w:val="22"/>
                <w:szCs w:val="22"/>
              </w:rPr>
              <w:t xml:space="preserve">1) via la note du 15 mai 2020. </w:t>
            </w:r>
          </w:p>
          <w:p w14:paraId="3DAAF84D" w14:textId="77777777" w:rsidR="00457E5B" w:rsidRPr="003C17A3" w:rsidRDefault="00457E5B" w:rsidP="00A10239">
            <w:pPr>
              <w:rPr>
                <w:sz w:val="22"/>
                <w:szCs w:val="22"/>
              </w:rPr>
            </w:pPr>
            <w:r w:rsidRPr="003C17A3">
              <w:rPr>
                <w:b/>
                <w:bCs/>
                <w:sz w:val="22"/>
                <w:szCs w:val="22"/>
              </w:rPr>
              <w:t xml:space="preserve">DÉCEMBRE : </w:t>
            </w:r>
            <w:r w:rsidRPr="003C17A3">
              <w:rPr>
                <w:sz w:val="22"/>
                <w:szCs w:val="22"/>
              </w:rPr>
              <w:t xml:space="preserve">note du 31 décembre : nouvel état d’urgence depuis le 9 novembre jusqu’au 7 février 2021. Depuis le 30 décembre : </w:t>
            </w:r>
            <w:r w:rsidRPr="003C17A3">
              <w:rPr>
                <w:color w:val="00B050"/>
                <w:sz w:val="22"/>
                <w:szCs w:val="22"/>
              </w:rPr>
              <w:t xml:space="preserve">dérogation à l’article 11 </w:t>
            </w:r>
            <w:r>
              <w:rPr>
                <w:color w:val="00B050"/>
                <w:sz w:val="22"/>
                <w:szCs w:val="22"/>
              </w:rPr>
              <w:t>de la Convention</w:t>
            </w:r>
            <w:r w:rsidRPr="003C17A3">
              <w:rPr>
                <w:color w:val="00B050"/>
                <w:sz w:val="22"/>
                <w:szCs w:val="22"/>
              </w:rPr>
              <w:t xml:space="preserve"> </w:t>
            </w:r>
          </w:p>
        </w:tc>
        <w:tc>
          <w:tcPr>
            <w:tcW w:w="2821" w:type="dxa"/>
          </w:tcPr>
          <w:p w14:paraId="630465A2" w14:textId="77777777" w:rsidR="00457E5B" w:rsidRPr="003C17A3" w:rsidRDefault="00457E5B" w:rsidP="00A10239">
            <w:pPr>
              <w:rPr>
                <w:sz w:val="22"/>
                <w:szCs w:val="22"/>
              </w:rPr>
            </w:pPr>
            <w:r w:rsidRPr="003C17A3">
              <w:rPr>
                <w:b/>
                <w:bCs/>
                <w:sz w:val="22"/>
                <w:szCs w:val="22"/>
              </w:rPr>
              <w:t>FÉVRIER</w:t>
            </w:r>
            <w:r w:rsidRPr="003C17A3">
              <w:rPr>
                <w:sz w:val="22"/>
                <w:szCs w:val="22"/>
              </w:rPr>
              <w:t xml:space="preserve"> : note du 9 février : prolongation de l’état d’urgence jusqu’au 6 avril </w:t>
            </w:r>
          </w:p>
          <w:p w14:paraId="3ABBD284" w14:textId="34A32498" w:rsidR="00457E5B" w:rsidRPr="003C17A3" w:rsidRDefault="00457E5B" w:rsidP="00A10239">
            <w:pPr>
              <w:rPr>
                <w:sz w:val="22"/>
                <w:szCs w:val="22"/>
              </w:rPr>
            </w:pPr>
            <w:r w:rsidRPr="003C17A3">
              <w:rPr>
                <w:b/>
                <w:bCs/>
                <w:sz w:val="22"/>
                <w:szCs w:val="22"/>
              </w:rPr>
              <w:t>AVRIL</w:t>
            </w:r>
            <w:r w:rsidRPr="003C17A3">
              <w:rPr>
                <w:sz w:val="22"/>
                <w:szCs w:val="22"/>
              </w:rPr>
              <w:t> :</w:t>
            </w:r>
            <w:r w:rsidR="00540D99">
              <w:rPr>
                <w:sz w:val="22"/>
                <w:szCs w:val="22"/>
              </w:rPr>
              <w:t xml:space="preserve"> note du 7 avril :</w:t>
            </w:r>
            <w:r w:rsidRPr="003C17A3">
              <w:rPr>
                <w:sz w:val="22"/>
                <w:szCs w:val="22"/>
              </w:rPr>
              <w:t xml:space="preserve"> </w:t>
            </w:r>
            <w:r w:rsidRPr="003C17A3">
              <w:rPr>
                <w:color w:val="FF0000"/>
                <w:sz w:val="22"/>
                <w:szCs w:val="22"/>
              </w:rPr>
              <w:t>fin de la dérogation à l’article 11 le 6 avril</w:t>
            </w:r>
          </w:p>
          <w:p w14:paraId="5287E38D" w14:textId="77777777" w:rsidR="00457E5B" w:rsidRPr="003C17A3" w:rsidRDefault="00457E5B" w:rsidP="00A10239">
            <w:pPr>
              <w:rPr>
                <w:sz w:val="22"/>
                <w:szCs w:val="22"/>
              </w:rPr>
            </w:pPr>
          </w:p>
        </w:tc>
      </w:tr>
      <w:tr w:rsidR="00457E5B" w:rsidRPr="003C17A3" w14:paraId="5FC3267B" w14:textId="77777777" w:rsidTr="00A10239">
        <w:trPr>
          <w:jc w:val="center"/>
        </w:trPr>
        <w:tc>
          <w:tcPr>
            <w:tcW w:w="1115" w:type="dxa"/>
          </w:tcPr>
          <w:p w14:paraId="7CD50E49" w14:textId="77777777" w:rsidR="00457E5B" w:rsidRPr="003C17A3" w:rsidRDefault="00457E5B" w:rsidP="00A10239">
            <w:pPr>
              <w:rPr>
                <w:sz w:val="22"/>
                <w:szCs w:val="22"/>
              </w:rPr>
            </w:pPr>
            <w:r w:rsidRPr="003C17A3">
              <w:rPr>
                <w:sz w:val="22"/>
                <w:szCs w:val="22"/>
              </w:rPr>
              <w:t xml:space="preserve">MACÉDOINE DU NORD </w:t>
            </w:r>
          </w:p>
        </w:tc>
        <w:tc>
          <w:tcPr>
            <w:tcW w:w="5287" w:type="dxa"/>
          </w:tcPr>
          <w:p w14:paraId="1491F843" w14:textId="77777777" w:rsidR="00457E5B" w:rsidRPr="003C17A3" w:rsidRDefault="00457E5B" w:rsidP="00A10239">
            <w:pPr>
              <w:rPr>
                <w:sz w:val="22"/>
                <w:szCs w:val="22"/>
              </w:rPr>
            </w:pPr>
            <w:r w:rsidRPr="003C17A3">
              <w:rPr>
                <w:b/>
                <w:bCs/>
                <w:sz w:val="22"/>
                <w:szCs w:val="22"/>
              </w:rPr>
              <w:t>MARS-AVRIL</w:t>
            </w:r>
            <w:r w:rsidRPr="003C17A3">
              <w:rPr>
                <w:sz w:val="22"/>
                <w:szCs w:val="22"/>
              </w:rPr>
              <w:t xml:space="preserve"> : </w:t>
            </w:r>
          </w:p>
          <w:p w14:paraId="3EEDF1FD" w14:textId="77777777" w:rsidR="00457E5B" w:rsidRPr="003C17A3" w:rsidRDefault="00457E5B" w:rsidP="00457E5B">
            <w:pPr>
              <w:pStyle w:val="Paragraphedeliste"/>
              <w:numPr>
                <w:ilvl w:val="0"/>
                <w:numId w:val="7"/>
              </w:numPr>
              <w:rPr>
                <w:sz w:val="22"/>
                <w:szCs w:val="22"/>
              </w:rPr>
            </w:pPr>
            <w:r w:rsidRPr="003C17A3">
              <w:rPr>
                <w:sz w:val="22"/>
                <w:szCs w:val="22"/>
              </w:rPr>
              <w:t>Note du 1</w:t>
            </w:r>
            <w:r w:rsidRPr="003C17A3">
              <w:rPr>
                <w:sz w:val="22"/>
                <w:szCs w:val="22"/>
                <w:vertAlign w:val="superscript"/>
              </w:rPr>
              <w:t>er</w:t>
            </w:r>
            <w:r w:rsidRPr="003C17A3">
              <w:rPr>
                <w:sz w:val="22"/>
                <w:szCs w:val="22"/>
              </w:rPr>
              <w:t xml:space="preserve"> avril : état d’urgence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18 mars pour 30 jours. </w:t>
            </w:r>
          </w:p>
          <w:p w14:paraId="496953F9" w14:textId="77777777" w:rsidR="00457E5B" w:rsidRPr="003C17A3" w:rsidRDefault="00457E5B" w:rsidP="00457E5B">
            <w:pPr>
              <w:pStyle w:val="Paragraphedeliste"/>
              <w:numPr>
                <w:ilvl w:val="0"/>
                <w:numId w:val="7"/>
              </w:numPr>
              <w:rPr>
                <w:sz w:val="22"/>
                <w:szCs w:val="22"/>
              </w:rPr>
            </w:pPr>
            <w:r w:rsidRPr="003C17A3">
              <w:rPr>
                <w:sz w:val="22"/>
                <w:szCs w:val="22"/>
              </w:rPr>
              <w:t>Note du 30 avril : état d'urgence prolongé pour une nouvelle période de 30 jours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17 avril</w:t>
            </w:r>
            <w:r w:rsidRPr="003C17A3">
              <w:rPr>
                <w:color w:val="000000"/>
                <w:sz w:val="22"/>
                <w:szCs w:val="22"/>
                <w:shd w:val="clear" w:color="auto" w:fill="FF0000"/>
              </w:rPr>
              <w:t xml:space="preserve"> </w:t>
            </w:r>
            <w:r w:rsidRPr="003C17A3">
              <w:rPr>
                <w:sz w:val="22"/>
                <w:szCs w:val="22"/>
              </w:rPr>
              <w:t xml:space="preserve"> </w:t>
            </w:r>
          </w:p>
          <w:p w14:paraId="68C741DC" w14:textId="77777777" w:rsidR="00457E5B" w:rsidRPr="003C17A3" w:rsidRDefault="00457E5B" w:rsidP="00A10239">
            <w:pPr>
              <w:rPr>
                <w:sz w:val="22"/>
                <w:szCs w:val="22"/>
              </w:rPr>
            </w:pPr>
            <w:r w:rsidRPr="003C17A3">
              <w:rPr>
                <w:b/>
                <w:bCs/>
                <w:sz w:val="22"/>
                <w:szCs w:val="22"/>
              </w:rPr>
              <w:t>MAI</w:t>
            </w:r>
            <w:r w:rsidRPr="003C17A3">
              <w:rPr>
                <w:sz w:val="22"/>
                <w:szCs w:val="22"/>
              </w:rPr>
              <w:t> : note du 25 mai : prolongation de l'état d'urgence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17 mai pour 14 jours</w:t>
            </w:r>
          </w:p>
          <w:p w14:paraId="3F367CEC" w14:textId="77777777" w:rsidR="00457E5B" w:rsidRPr="003C17A3" w:rsidRDefault="00457E5B" w:rsidP="00A10239">
            <w:pPr>
              <w:rPr>
                <w:sz w:val="22"/>
                <w:szCs w:val="22"/>
              </w:rPr>
            </w:pPr>
            <w:r w:rsidRPr="003C17A3">
              <w:rPr>
                <w:b/>
                <w:bCs/>
                <w:sz w:val="22"/>
                <w:szCs w:val="22"/>
              </w:rPr>
              <w:t>JUIN</w:t>
            </w:r>
            <w:r w:rsidRPr="003C17A3">
              <w:rPr>
                <w:sz w:val="22"/>
                <w:szCs w:val="22"/>
              </w:rPr>
              <w:t xml:space="preserve"> : </w:t>
            </w:r>
          </w:p>
          <w:p w14:paraId="28634812" w14:textId="77777777" w:rsidR="00457E5B" w:rsidRPr="003C17A3" w:rsidRDefault="00457E5B" w:rsidP="00457E5B">
            <w:pPr>
              <w:pStyle w:val="Paragraphedeliste"/>
              <w:numPr>
                <w:ilvl w:val="0"/>
                <w:numId w:val="7"/>
              </w:numPr>
              <w:rPr>
                <w:color w:val="FF0000"/>
                <w:sz w:val="22"/>
                <w:szCs w:val="22"/>
              </w:rPr>
            </w:pPr>
            <w:r w:rsidRPr="003C17A3">
              <w:rPr>
                <w:sz w:val="22"/>
                <w:szCs w:val="22"/>
              </w:rPr>
              <w:t>Note du 3 juin : état d'urgence prolongé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31 mai pour une période de 14 jours. </w:t>
            </w:r>
          </w:p>
          <w:p w14:paraId="03D0A852" w14:textId="77777777" w:rsidR="00457E5B" w:rsidRPr="003C17A3" w:rsidRDefault="00457E5B" w:rsidP="00457E5B">
            <w:pPr>
              <w:pStyle w:val="Paragraphedeliste"/>
              <w:numPr>
                <w:ilvl w:val="0"/>
                <w:numId w:val="7"/>
              </w:numPr>
              <w:rPr>
                <w:color w:val="FF0000"/>
                <w:sz w:val="22"/>
                <w:szCs w:val="22"/>
              </w:rPr>
            </w:pPr>
            <w:r w:rsidRPr="003C17A3">
              <w:rPr>
                <w:sz w:val="22"/>
                <w:szCs w:val="22"/>
              </w:rPr>
              <w:t>Note du 18 juin : état d'urgence prolongé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15 juin pour une période de 8 pour tenir des élections anticipées. </w:t>
            </w:r>
          </w:p>
          <w:p w14:paraId="76D5F3BB" w14:textId="77777777" w:rsidR="00457E5B" w:rsidRPr="003C17A3" w:rsidRDefault="00457E5B" w:rsidP="00457E5B">
            <w:pPr>
              <w:pStyle w:val="Paragraphedeliste"/>
              <w:numPr>
                <w:ilvl w:val="0"/>
                <w:numId w:val="7"/>
              </w:numPr>
              <w:rPr>
                <w:color w:val="00B050"/>
                <w:sz w:val="22"/>
                <w:szCs w:val="22"/>
              </w:rPr>
            </w:pPr>
            <w:r w:rsidRPr="003C17A3">
              <w:rPr>
                <w:color w:val="FF0000"/>
                <w:sz w:val="22"/>
                <w:szCs w:val="22"/>
              </w:rPr>
              <w:t xml:space="preserve">Note du 30 juin : état d'urgence a pris fin le 24 juin </w:t>
            </w:r>
          </w:p>
          <w:p w14:paraId="08F431A4" w14:textId="77777777" w:rsidR="00457E5B" w:rsidRPr="003C17A3" w:rsidRDefault="00457E5B" w:rsidP="00A10239">
            <w:pPr>
              <w:rPr>
                <w:color w:val="00B050"/>
                <w:sz w:val="22"/>
                <w:szCs w:val="22"/>
              </w:rPr>
            </w:pPr>
            <w:r w:rsidRPr="003C17A3">
              <w:rPr>
                <w:b/>
                <w:bCs/>
                <w:color w:val="00B050"/>
                <w:sz w:val="22"/>
                <w:szCs w:val="22"/>
              </w:rPr>
              <w:t>Droits concernés</w:t>
            </w:r>
            <w:r w:rsidRPr="003C17A3">
              <w:rPr>
                <w:color w:val="00B050"/>
                <w:sz w:val="22"/>
                <w:szCs w:val="22"/>
              </w:rPr>
              <w:t xml:space="preserve"> : Articles 8 et 11</w:t>
            </w:r>
            <w:r>
              <w:rPr>
                <w:color w:val="00B050"/>
                <w:sz w:val="22"/>
                <w:szCs w:val="22"/>
              </w:rPr>
              <w:t xml:space="preserve"> de la Convention</w:t>
            </w:r>
            <w:r w:rsidRPr="003C17A3">
              <w:rPr>
                <w:color w:val="00B050"/>
                <w:sz w:val="22"/>
                <w:szCs w:val="22"/>
              </w:rPr>
              <w:t xml:space="preserve">, Article 2 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 xml:space="preserve">4. Note du 30 juin mentionne aussi une dérogation à l’article 1 Protocole </w:t>
            </w:r>
            <w:r>
              <w:rPr>
                <w:color w:val="00B050"/>
                <w:sz w:val="22"/>
                <w:szCs w:val="22"/>
              </w:rPr>
              <w:t>n°</w:t>
            </w:r>
            <w:r w:rsidRPr="003C17A3">
              <w:rPr>
                <w:color w:val="00B050"/>
                <w:sz w:val="22"/>
                <w:szCs w:val="22"/>
              </w:rPr>
              <w:t xml:space="preserve">1 alors que ce n’est jamais mentionné dans les autres notes. </w:t>
            </w:r>
          </w:p>
        </w:tc>
        <w:tc>
          <w:tcPr>
            <w:tcW w:w="2821" w:type="dxa"/>
          </w:tcPr>
          <w:p w14:paraId="1B2118DA" w14:textId="77777777" w:rsidR="00457E5B" w:rsidRPr="003C17A3" w:rsidRDefault="00457E5B" w:rsidP="00A10239">
            <w:pPr>
              <w:rPr>
                <w:sz w:val="22"/>
                <w:szCs w:val="22"/>
              </w:rPr>
            </w:pPr>
          </w:p>
        </w:tc>
      </w:tr>
      <w:tr w:rsidR="00457E5B" w:rsidRPr="003C17A3" w14:paraId="28DBA44B" w14:textId="77777777" w:rsidTr="00A10239">
        <w:trPr>
          <w:jc w:val="center"/>
        </w:trPr>
        <w:tc>
          <w:tcPr>
            <w:tcW w:w="1115" w:type="dxa"/>
          </w:tcPr>
          <w:p w14:paraId="5CA81ADE" w14:textId="77777777" w:rsidR="00457E5B" w:rsidRPr="003C17A3" w:rsidRDefault="00457E5B" w:rsidP="00A10239">
            <w:pPr>
              <w:rPr>
                <w:sz w:val="22"/>
                <w:szCs w:val="22"/>
              </w:rPr>
            </w:pPr>
            <w:r w:rsidRPr="003C17A3">
              <w:rPr>
                <w:sz w:val="22"/>
                <w:szCs w:val="22"/>
              </w:rPr>
              <w:t>MOLDOVA</w:t>
            </w:r>
          </w:p>
        </w:tc>
        <w:tc>
          <w:tcPr>
            <w:tcW w:w="5287" w:type="dxa"/>
          </w:tcPr>
          <w:p w14:paraId="381B9CDA" w14:textId="77777777" w:rsidR="00457E5B" w:rsidRPr="003C17A3" w:rsidRDefault="00457E5B" w:rsidP="00A10239">
            <w:pPr>
              <w:rPr>
                <w:sz w:val="22"/>
                <w:szCs w:val="22"/>
              </w:rPr>
            </w:pPr>
            <w:r w:rsidRPr="003C17A3">
              <w:rPr>
                <w:b/>
                <w:bCs/>
                <w:sz w:val="22"/>
                <w:szCs w:val="22"/>
              </w:rPr>
              <w:t>MARS</w:t>
            </w:r>
            <w:r w:rsidRPr="003C17A3">
              <w:rPr>
                <w:sz w:val="22"/>
                <w:szCs w:val="22"/>
              </w:rPr>
              <w:t xml:space="preserve"> : note du 20 mars : état d'urgence du 17 mars au 15 mai </w:t>
            </w:r>
          </w:p>
          <w:p w14:paraId="165D27BF" w14:textId="77777777" w:rsidR="00457E5B" w:rsidRPr="003C17A3" w:rsidRDefault="00457E5B" w:rsidP="00A10239">
            <w:pPr>
              <w:rPr>
                <w:sz w:val="22"/>
                <w:szCs w:val="22"/>
              </w:rPr>
            </w:pPr>
            <w:r w:rsidRPr="003C17A3">
              <w:rPr>
                <w:b/>
                <w:bCs/>
                <w:sz w:val="22"/>
                <w:szCs w:val="22"/>
              </w:rPr>
              <w:t>MAI</w:t>
            </w:r>
            <w:r w:rsidRPr="003C17A3">
              <w:rPr>
                <w:sz w:val="22"/>
                <w:szCs w:val="22"/>
              </w:rPr>
              <w:t xml:space="preserve"> : note du 20 mai : </w:t>
            </w:r>
            <w:r w:rsidRPr="003C17A3">
              <w:rPr>
                <w:color w:val="FF0000"/>
                <w:sz w:val="22"/>
                <w:szCs w:val="22"/>
              </w:rPr>
              <w:t>l'état d'urgence a été levé le 15 mai</w:t>
            </w:r>
            <w:r w:rsidRPr="003C17A3">
              <w:rPr>
                <w:color w:val="FF0000"/>
                <w:sz w:val="22"/>
                <w:szCs w:val="22"/>
                <w:shd w:val="clear" w:color="auto" w:fill="FF0000"/>
              </w:rPr>
              <w:t xml:space="preserve"> </w:t>
            </w:r>
          </w:p>
          <w:p w14:paraId="0ECA87FB" w14:textId="77777777" w:rsidR="00457E5B" w:rsidRPr="003C17A3" w:rsidRDefault="00457E5B" w:rsidP="00A10239">
            <w:pPr>
              <w:rPr>
                <w:sz w:val="22"/>
                <w:szCs w:val="22"/>
              </w:rPr>
            </w:pPr>
            <w:r w:rsidRPr="003C17A3">
              <w:rPr>
                <w:b/>
                <w:bCs/>
                <w:color w:val="00B050"/>
                <w:sz w:val="22"/>
                <w:szCs w:val="22"/>
              </w:rPr>
              <w:t>Droits</w:t>
            </w:r>
            <w:r w:rsidRPr="003C17A3">
              <w:rPr>
                <w:color w:val="00B050"/>
                <w:sz w:val="22"/>
                <w:szCs w:val="22"/>
              </w:rPr>
              <w:t xml:space="preserve"> </w:t>
            </w:r>
            <w:r w:rsidRPr="003C17A3">
              <w:rPr>
                <w:b/>
                <w:bCs/>
                <w:color w:val="00B050"/>
                <w:sz w:val="22"/>
                <w:szCs w:val="22"/>
              </w:rPr>
              <w:t>concernés</w:t>
            </w:r>
            <w:r w:rsidRPr="003C17A3">
              <w:rPr>
                <w:color w:val="00B050"/>
                <w:sz w:val="22"/>
                <w:szCs w:val="22"/>
              </w:rPr>
              <w:t xml:space="preserve"> : Article 11 de la Convention, Article 2 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4</w:t>
            </w:r>
          </w:p>
        </w:tc>
        <w:tc>
          <w:tcPr>
            <w:tcW w:w="2821" w:type="dxa"/>
          </w:tcPr>
          <w:p w14:paraId="0ACF6780" w14:textId="77777777" w:rsidR="00457E5B" w:rsidRPr="003C17A3" w:rsidRDefault="00457E5B" w:rsidP="00A10239">
            <w:pPr>
              <w:rPr>
                <w:color w:val="FF0000"/>
                <w:sz w:val="22"/>
                <w:szCs w:val="22"/>
              </w:rPr>
            </w:pPr>
            <w:r w:rsidRPr="003C17A3">
              <w:rPr>
                <w:b/>
                <w:bCs/>
                <w:sz w:val="22"/>
                <w:szCs w:val="22"/>
              </w:rPr>
              <w:t>AVRIL</w:t>
            </w:r>
            <w:r w:rsidRPr="003C17A3">
              <w:rPr>
                <w:sz w:val="22"/>
                <w:szCs w:val="22"/>
              </w:rPr>
              <w:t xml:space="preserve"> : note du 6 avril : état d'urgence du 1 avril au 30 mai. Note du 30 avril </w:t>
            </w:r>
            <w:r w:rsidRPr="003C17A3">
              <w:rPr>
                <w:color w:val="FF0000"/>
                <w:sz w:val="22"/>
                <w:szCs w:val="22"/>
              </w:rPr>
              <w:t xml:space="preserve">: fin de l'état d'urgence le 28 avril (suite à une décision de la </w:t>
            </w:r>
            <w:r>
              <w:rPr>
                <w:color w:val="FF0000"/>
                <w:sz w:val="22"/>
                <w:szCs w:val="22"/>
              </w:rPr>
              <w:t>Cour constitutionnelle moldave</w:t>
            </w:r>
            <w:r w:rsidRPr="003C17A3">
              <w:rPr>
                <w:color w:val="FF0000"/>
                <w:sz w:val="22"/>
                <w:szCs w:val="22"/>
              </w:rPr>
              <w:t>)</w:t>
            </w:r>
          </w:p>
          <w:p w14:paraId="51C25FA2" w14:textId="77777777" w:rsidR="00457E5B" w:rsidRPr="003C17A3" w:rsidRDefault="00457E5B" w:rsidP="00A10239">
            <w:pPr>
              <w:rPr>
                <w:sz w:val="22"/>
                <w:szCs w:val="22"/>
              </w:rPr>
            </w:pPr>
            <w:r w:rsidRPr="003C17A3">
              <w:rPr>
                <w:b/>
                <w:bCs/>
                <w:color w:val="00B050"/>
                <w:sz w:val="22"/>
                <w:szCs w:val="22"/>
              </w:rPr>
              <w:t>Droits</w:t>
            </w:r>
            <w:r w:rsidRPr="003C17A3">
              <w:rPr>
                <w:color w:val="00B050"/>
                <w:sz w:val="22"/>
                <w:szCs w:val="22"/>
              </w:rPr>
              <w:t xml:space="preserve"> </w:t>
            </w:r>
            <w:r w:rsidRPr="003C17A3">
              <w:rPr>
                <w:b/>
                <w:bCs/>
                <w:color w:val="00B050"/>
                <w:sz w:val="22"/>
                <w:szCs w:val="22"/>
              </w:rPr>
              <w:t>concernés</w:t>
            </w:r>
            <w:r w:rsidRPr="003C17A3">
              <w:rPr>
                <w:color w:val="00B050"/>
                <w:sz w:val="22"/>
                <w:szCs w:val="22"/>
              </w:rPr>
              <w:t xml:space="preserve"> : Article 11 de la Convention, Article 2 Protocole </w:t>
            </w:r>
            <w:r>
              <w:rPr>
                <w:color w:val="00B050"/>
                <w:sz w:val="22"/>
                <w:szCs w:val="22"/>
              </w:rPr>
              <w:t>n°</w:t>
            </w:r>
            <w:r w:rsidRPr="003C17A3">
              <w:rPr>
                <w:color w:val="00B050"/>
                <w:sz w:val="22"/>
                <w:szCs w:val="22"/>
              </w:rPr>
              <w:t xml:space="preserve">1, Article 2 Protocole </w:t>
            </w:r>
            <w:r>
              <w:rPr>
                <w:color w:val="00B050"/>
                <w:sz w:val="22"/>
                <w:szCs w:val="22"/>
              </w:rPr>
              <w:t>n°</w:t>
            </w:r>
            <w:r w:rsidRPr="003C17A3">
              <w:rPr>
                <w:color w:val="00B050"/>
                <w:sz w:val="22"/>
                <w:szCs w:val="22"/>
              </w:rPr>
              <w:t>4</w:t>
            </w:r>
          </w:p>
        </w:tc>
      </w:tr>
      <w:tr w:rsidR="00457E5B" w:rsidRPr="00C73A0B" w14:paraId="057B6121" w14:textId="77777777" w:rsidTr="00A10239">
        <w:trPr>
          <w:jc w:val="center"/>
        </w:trPr>
        <w:tc>
          <w:tcPr>
            <w:tcW w:w="1115" w:type="dxa"/>
          </w:tcPr>
          <w:p w14:paraId="0D3A8DF1" w14:textId="77777777" w:rsidR="00457E5B" w:rsidRPr="003C17A3" w:rsidRDefault="00457E5B" w:rsidP="00A10239">
            <w:pPr>
              <w:rPr>
                <w:sz w:val="22"/>
                <w:szCs w:val="22"/>
              </w:rPr>
            </w:pPr>
            <w:r w:rsidRPr="003C17A3">
              <w:rPr>
                <w:sz w:val="22"/>
                <w:szCs w:val="22"/>
              </w:rPr>
              <w:t>ROUMANIE</w:t>
            </w:r>
          </w:p>
        </w:tc>
        <w:tc>
          <w:tcPr>
            <w:tcW w:w="5287" w:type="dxa"/>
          </w:tcPr>
          <w:p w14:paraId="1A640EF9" w14:textId="77777777" w:rsidR="00457E5B" w:rsidRPr="003C17A3" w:rsidRDefault="00457E5B" w:rsidP="00A10239">
            <w:pPr>
              <w:rPr>
                <w:sz w:val="22"/>
                <w:szCs w:val="22"/>
              </w:rPr>
            </w:pPr>
            <w:r w:rsidRPr="003C17A3">
              <w:rPr>
                <w:b/>
                <w:bCs/>
                <w:sz w:val="22"/>
                <w:szCs w:val="22"/>
              </w:rPr>
              <w:t>MARS</w:t>
            </w:r>
            <w:r w:rsidRPr="003C17A3">
              <w:rPr>
                <w:sz w:val="22"/>
                <w:szCs w:val="22"/>
              </w:rPr>
              <w:t> : note du 18 mars : état d'urgence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16 mars pour une période de 30 jours </w:t>
            </w:r>
          </w:p>
          <w:p w14:paraId="0B9F37AF" w14:textId="77777777" w:rsidR="00457E5B" w:rsidRPr="003C17A3" w:rsidRDefault="00457E5B" w:rsidP="00A10239">
            <w:pPr>
              <w:rPr>
                <w:sz w:val="22"/>
                <w:szCs w:val="22"/>
              </w:rPr>
            </w:pPr>
            <w:r w:rsidRPr="003C17A3">
              <w:rPr>
                <w:b/>
                <w:bCs/>
                <w:sz w:val="22"/>
                <w:szCs w:val="22"/>
              </w:rPr>
              <w:t>AVRIL</w:t>
            </w:r>
            <w:r w:rsidRPr="003C17A3">
              <w:rPr>
                <w:sz w:val="22"/>
                <w:szCs w:val="22"/>
              </w:rPr>
              <w:t> : note du 22 avril : prolongation de l'état d'urgence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15 avril pour une période de 30 jours</w:t>
            </w:r>
          </w:p>
          <w:p w14:paraId="7627E427" w14:textId="77777777" w:rsidR="00457E5B" w:rsidRPr="003C17A3" w:rsidRDefault="00457E5B" w:rsidP="00A10239">
            <w:pPr>
              <w:rPr>
                <w:color w:val="FF0000"/>
                <w:sz w:val="22"/>
                <w:szCs w:val="22"/>
              </w:rPr>
            </w:pPr>
            <w:r w:rsidRPr="003C17A3">
              <w:rPr>
                <w:b/>
                <w:bCs/>
                <w:sz w:val="22"/>
                <w:szCs w:val="22"/>
              </w:rPr>
              <w:lastRenderedPageBreak/>
              <w:t>MAI</w:t>
            </w:r>
            <w:r w:rsidRPr="003C17A3">
              <w:rPr>
                <w:sz w:val="22"/>
                <w:szCs w:val="22"/>
              </w:rPr>
              <w:t xml:space="preserve"> : note du 15 mai : </w:t>
            </w:r>
            <w:r w:rsidRPr="003C17A3">
              <w:rPr>
                <w:color w:val="FF0000"/>
                <w:sz w:val="22"/>
                <w:szCs w:val="22"/>
              </w:rPr>
              <w:t xml:space="preserve">fin de l'état d'urgence le 14 mai </w:t>
            </w:r>
          </w:p>
          <w:p w14:paraId="7368931E" w14:textId="77777777" w:rsidR="00457E5B" w:rsidRPr="003C17A3" w:rsidRDefault="00457E5B" w:rsidP="00A10239">
            <w:pPr>
              <w:rPr>
                <w:color w:val="00B050"/>
                <w:sz w:val="22"/>
                <w:szCs w:val="22"/>
                <w:lang w:val="en-US"/>
              </w:rPr>
            </w:pPr>
            <w:r w:rsidRPr="003C17A3">
              <w:rPr>
                <w:b/>
                <w:bCs/>
                <w:color w:val="00B050"/>
                <w:sz w:val="22"/>
                <w:szCs w:val="22"/>
                <w:lang w:val="en-US"/>
              </w:rPr>
              <w:t xml:space="preserve">Droits </w:t>
            </w:r>
            <w:proofErr w:type="gramStart"/>
            <w:r w:rsidRPr="003C17A3">
              <w:rPr>
                <w:b/>
                <w:bCs/>
                <w:color w:val="00B050"/>
                <w:sz w:val="22"/>
                <w:szCs w:val="22"/>
                <w:lang w:val="en-US"/>
              </w:rPr>
              <w:t>concernés</w:t>
            </w:r>
            <w:r w:rsidRPr="003C17A3">
              <w:rPr>
                <w:color w:val="00B050"/>
                <w:sz w:val="22"/>
                <w:szCs w:val="22"/>
                <w:lang w:val="en-US"/>
              </w:rPr>
              <w:t> :</w:t>
            </w:r>
            <w:proofErr w:type="gramEnd"/>
            <w:r w:rsidRPr="003C17A3">
              <w:rPr>
                <w:color w:val="00B050"/>
                <w:sz w:val="22"/>
                <w:szCs w:val="22"/>
                <w:lang w:val="en-US"/>
              </w:rPr>
              <w:t xml:space="preserve"> ne mentionne pas précisément les droits concernés: “Some of the measures taken in this context involve derogations from the obligations under the Convention for the Protection of Human Rights and Fundamental Freedoms (Rome, 4 November 1950), to which Romania is a party”.</w:t>
            </w:r>
          </w:p>
        </w:tc>
        <w:tc>
          <w:tcPr>
            <w:tcW w:w="2821" w:type="dxa"/>
          </w:tcPr>
          <w:p w14:paraId="0DE0D5EB" w14:textId="77777777" w:rsidR="00457E5B" w:rsidRPr="003C17A3" w:rsidRDefault="00457E5B" w:rsidP="00A10239">
            <w:pPr>
              <w:rPr>
                <w:sz w:val="22"/>
                <w:szCs w:val="22"/>
                <w:lang w:val="en-US"/>
              </w:rPr>
            </w:pPr>
          </w:p>
        </w:tc>
      </w:tr>
      <w:tr w:rsidR="00457E5B" w:rsidRPr="00C73A0B" w14:paraId="3C8B768A" w14:textId="77777777" w:rsidTr="00A10239">
        <w:trPr>
          <w:jc w:val="center"/>
        </w:trPr>
        <w:tc>
          <w:tcPr>
            <w:tcW w:w="1115" w:type="dxa"/>
          </w:tcPr>
          <w:p w14:paraId="6949F0C6" w14:textId="77777777" w:rsidR="00457E5B" w:rsidRPr="003C17A3" w:rsidRDefault="00457E5B" w:rsidP="00A10239">
            <w:pPr>
              <w:rPr>
                <w:sz w:val="22"/>
                <w:szCs w:val="22"/>
              </w:rPr>
            </w:pPr>
            <w:r w:rsidRPr="003C17A3">
              <w:rPr>
                <w:sz w:val="22"/>
                <w:szCs w:val="22"/>
              </w:rPr>
              <w:t>SAINT-MARIN</w:t>
            </w:r>
          </w:p>
        </w:tc>
        <w:tc>
          <w:tcPr>
            <w:tcW w:w="5287" w:type="dxa"/>
          </w:tcPr>
          <w:p w14:paraId="54A6C833" w14:textId="77777777" w:rsidR="00457E5B" w:rsidRPr="003C17A3" w:rsidRDefault="00457E5B" w:rsidP="00A10239">
            <w:pPr>
              <w:rPr>
                <w:sz w:val="22"/>
                <w:szCs w:val="22"/>
              </w:rPr>
            </w:pPr>
            <w:r w:rsidRPr="003C17A3">
              <w:rPr>
                <w:b/>
                <w:bCs/>
                <w:sz w:val="22"/>
                <w:szCs w:val="22"/>
              </w:rPr>
              <w:t>MARS-AVRIL</w:t>
            </w:r>
            <w:r w:rsidRPr="003C17A3">
              <w:rPr>
                <w:sz w:val="22"/>
                <w:szCs w:val="22"/>
              </w:rPr>
              <w:t xml:space="preserve"> : </w:t>
            </w:r>
          </w:p>
          <w:p w14:paraId="1D5B386D" w14:textId="77777777" w:rsidR="00457E5B" w:rsidRPr="003C17A3" w:rsidRDefault="00457E5B" w:rsidP="00457E5B">
            <w:pPr>
              <w:pStyle w:val="Paragraphedeliste"/>
              <w:numPr>
                <w:ilvl w:val="0"/>
                <w:numId w:val="7"/>
              </w:numPr>
              <w:rPr>
                <w:sz w:val="22"/>
                <w:szCs w:val="22"/>
              </w:rPr>
            </w:pPr>
            <w:r w:rsidRPr="003C17A3">
              <w:rPr>
                <w:sz w:val="22"/>
                <w:szCs w:val="22"/>
              </w:rPr>
              <w:t>Note du 14 avril : les mesures prises à</w:t>
            </w:r>
            <w:r>
              <w:rPr>
                <w:sz w:val="22"/>
                <w:szCs w:val="22"/>
              </w:rPr>
              <w:t xml:space="preserve"> </w:t>
            </w:r>
            <w:r w:rsidRPr="003C17A3">
              <w:rPr>
                <w:sz w:val="22"/>
                <w:szCs w:val="22"/>
              </w:rPr>
              <w:t>p</w:t>
            </w:r>
            <w:r>
              <w:rPr>
                <w:sz w:val="22"/>
                <w:szCs w:val="22"/>
              </w:rPr>
              <w:t xml:space="preserve">artir </w:t>
            </w:r>
            <w:r w:rsidRPr="003C17A3">
              <w:rPr>
                <w:sz w:val="22"/>
                <w:szCs w:val="22"/>
              </w:rPr>
              <w:t>d</w:t>
            </w:r>
            <w:r>
              <w:rPr>
                <w:sz w:val="22"/>
                <w:szCs w:val="22"/>
              </w:rPr>
              <w:t>u</w:t>
            </w:r>
            <w:r w:rsidRPr="003C17A3">
              <w:rPr>
                <w:sz w:val="22"/>
                <w:szCs w:val="22"/>
              </w:rPr>
              <w:t xml:space="preserve"> 5 mars qui impliquent des dérogations seront en vigueur jusqu'au 20 avril </w:t>
            </w:r>
          </w:p>
          <w:p w14:paraId="4F9076A7" w14:textId="77777777" w:rsidR="00457E5B" w:rsidRPr="003C17A3" w:rsidRDefault="00457E5B" w:rsidP="00457E5B">
            <w:pPr>
              <w:pStyle w:val="Paragraphedeliste"/>
              <w:numPr>
                <w:ilvl w:val="0"/>
                <w:numId w:val="7"/>
              </w:numPr>
              <w:rPr>
                <w:sz w:val="22"/>
                <w:szCs w:val="22"/>
              </w:rPr>
            </w:pPr>
            <w:r w:rsidRPr="003C17A3">
              <w:rPr>
                <w:sz w:val="22"/>
                <w:szCs w:val="22"/>
              </w:rPr>
              <w:t>Note du 24 avril : prolongation des mesures jusqu'au 4 mai</w:t>
            </w:r>
          </w:p>
          <w:p w14:paraId="7424C253" w14:textId="77777777" w:rsidR="00457E5B" w:rsidRPr="003C17A3" w:rsidRDefault="00457E5B" w:rsidP="00A10239">
            <w:pPr>
              <w:rPr>
                <w:sz w:val="22"/>
                <w:szCs w:val="22"/>
              </w:rPr>
            </w:pPr>
            <w:r w:rsidRPr="003C17A3">
              <w:rPr>
                <w:b/>
                <w:bCs/>
                <w:sz w:val="22"/>
                <w:szCs w:val="22"/>
              </w:rPr>
              <w:t>MAI</w:t>
            </w:r>
            <w:r w:rsidRPr="003C17A3">
              <w:rPr>
                <w:sz w:val="22"/>
                <w:szCs w:val="22"/>
              </w:rPr>
              <w:t xml:space="preserve"> : note du 12 mai : prolongation des mesures jusqu'au 31 mai mais réduction de certaines mesures (« Le Décret-loi n° 68 du 3 mai 2020 prévoit une réduction partielle des mesures restrictives adoptées pour faire face à l'urgence sanitaire Covid-19 en ce qui concerne la liberté de circulation, de réunion et d'association. La législation la plus récente prévoit également, dans la mesure du possible, la tenue de réunions à distance et la possibilité d'organiser des cérémonies religieuses et funéraires. »). </w:t>
            </w:r>
          </w:p>
          <w:p w14:paraId="413FEC4E" w14:textId="77777777" w:rsidR="00457E5B" w:rsidRPr="006A3FB2" w:rsidRDefault="00457E5B" w:rsidP="00A10239">
            <w:pPr>
              <w:rPr>
                <w:color w:val="FF0000"/>
                <w:sz w:val="22"/>
                <w:szCs w:val="22"/>
              </w:rPr>
            </w:pPr>
            <w:r w:rsidRPr="006A3FB2">
              <w:rPr>
                <w:b/>
                <w:bCs/>
                <w:sz w:val="22"/>
                <w:szCs w:val="22"/>
              </w:rPr>
              <w:t>JUIN</w:t>
            </w:r>
            <w:r w:rsidRPr="006A3FB2">
              <w:rPr>
                <w:sz w:val="22"/>
                <w:szCs w:val="22"/>
              </w:rPr>
              <w:t xml:space="preserve"> : n</w:t>
            </w:r>
            <w:r w:rsidRPr="006A3FB2">
              <w:rPr>
                <w:sz w:val="22"/>
                <w:szCs w:val="22"/>
                <w:shd w:val="clear" w:color="auto" w:fill="FFFFFF"/>
              </w:rPr>
              <w:t xml:space="preserve">ote du 8 juillet : </w:t>
            </w:r>
            <w:r w:rsidRPr="006A3FB2">
              <w:rPr>
                <w:color w:val="FF0000"/>
                <w:sz w:val="22"/>
                <w:szCs w:val="22"/>
                <w:shd w:val="clear" w:color="auto" w:fill="FFFFFF"/>
              </w:rPr>
              <w:t>fin des mesures et des dérogations avec le décret du 30 juin</w:t>
            </w:r>
          </w:p>
          <w:p w14:paraId="4C593371" w14:textId="77777777" w:rsidR="00457E5B" w:rsidRPr="003C17A3" w:rsidRDefault="00457E5B" w:rsidP="00A10239">
            <w:pPr>
              <w:rPr>
                <w:sz w:val="22"/>
                <w:szCs w:val="22"/>
                <w:lang w:val="en-US"/>
              </w:rPr>
            </w:pPr>
            <w:r w:rsidRPr="003C17A3">
              <w:rPr>
                <w:b/>
                <w:bCs/>
                <w:color w:val="00B050"/>
                <w:sz w:val="22"/>
                <w:szCs w:val="22"/>
                <w:lang w:val="en-US"/>
              </w:rPr>
              <w:t>Droits concernés</w:t>
            </w:r>
            <w:r w:rsidRPr="003C17A3">
              <w:rPr>
                <w:color w:val="00B050"/>
                <w:sz w:val="22"/>
                <w:szCs w:val="22"/>
                <w:lang w:val="en-US"/>
              </w:rPr>
              <w:t xml:space="preserve"> : ne mentionne pas précisément les droits concernés: “Some of the measures taken in this context imply derogations from the obligations under the European Convention for the Protection of Human Rights and Fundamental Freedoms; therefore, the Ministry of Foreign Affairs requests that this Verbal Note be considered as notification for the purposes of Article 15 of the Convention”. </w:t>
            </w:r>
          </w:p>
        </w:tc>
        <w:tc>
          <w:tcPr>
            <w:tcW w:w="2821" w:type="dxa"/>
          </w:tcPr>
          <w:p w14:paraId="15175E5B" w14:textId="77777777" w:rsidR="00457E5B" w:rsidRPr="003C17A3" w:rsidRDefault="00457E5B" w:rsidP="00A10239">
            <w:pPr>
              <w:rPr>
                <w:sz w:val="22"/>
                <w:szCs w:val="22"/>
                <w:lang w:val="en-US"/>
              </w:rPr>
            </w:pPr>
          </w:p>
        </w:tc>
      </w:tr>
      <w:tr w:rsidR="00457E5B" w:rsidRPr="003C17A3" w14:paraId="53527544" w14:textId="77777777" w:rsidTr="00A10239">
        <w:trPr>
          <w:jc w:val="center"/>
        </w:trPr>
        <w:tc>
          <w:tcPr>
            <w:tcW w:w="1115" w:type="dxa"/>
          </w:tcPr>
          <w:p w14:paraId="4D4F6FC9" w14:textId="77777777" w:rsidR="00457E5B" w:rsidRPr="003C17A3" w:rsidRDefault="00457E5B" w:rsidP="00A10239">
            <w:pPr>
              <w:rPr>
                <w:sz w:val="22"/>
                <w:szCs w:val="22"/>
              </w:rPr>
            </w:pPr>
            <w:r w:rsidRPr="003C17A3">
              <w:rPr>
                <w:sz w:val="22"/>
                <w:szCs w:val="22"/>
              </w:rPr>
              <w:t>SERBIE</w:t>
            </w:r>
          </w:p>
        </w:tc>
        <w:tc>
          <w:tcPr>
            <w:tcW w:w="5287" w:type="dxa"/>
          </w:tcPr>
          <w:p w14:paraId="7B80622F" w14:textId="77777777" w:rsidR="00457E5B" w:rsidRPr="003C17A3" w:rsidRDefault="00457E5B" w:rsidP="00A10239">
            <w:pPr>
              <w:rPr>
                <w:sz w:val="22"/>
                <w:szCs w:val="22"/>
              </w:rPr>
            </w:pPr>
            <w:r w:rsidRPr="003C17A3">
              <w:rPr>
                <w:b/>
                <w:bCs/>
                <w:sz w:val="22"/>
                <w:szCs w:val="22"/>
              </w:rPr>
              <w:t>MARS</w:t>
            </w:r>
            <w:r w:rsidRPr="003C17A3">
              <w:rPr>
                <w:sz w:val="22"/>
                <w:szCs w:val="22"/>
              </w:rPr>
              <w:t xml:space="preserve"> – </w:t>
            </w:r>
            <w:r w:rsidRPr="003C17A3">
              <w:rPr>
                <w:b/>
                <w:bCs/>
                <w:sz w:val="22"/>
                <w:szCs w:val="22"/>
              </w:rPr>
              <w:t>AVRIL</w:t>
            </w:r>
            <w:r w:rsidRPr="003C17A3">
              <w:rPr>
                <w:sz w:val="22"/>
                <w:szCs w:val="22"/>
              </w:rPr>
              <w:t xml:space="preserve"> : note du 7 avril : état d'urgence depuis le 15 mars </w:t>
            </w:r>
          </w:p>
          <w:p w14:paraId="0743A20F" w14:textId="77777777" w:rsidR="00457E5B" w:rsidRPr="003C17A3" w:rsidRDefault="00457E5B" w:rsidP="00A10239">
            <w:pPr>
              <w:rPr>
                <w:color w:val="FF0000"/>
                <w:sz w:val="22"/>
                <w:szCs w:val="22"/>
              </w:rPr>
            </w:pPr>
            <w:r w:rsidRPr="003C17A3">
              <w:rPr>
                <w:b/>
                <w:bCs/>
                <w:sz w:val="22"/>
                <w:szCs w:val="22"/>
              </w:rPr>
              <w:t>MAI</w:t>
            </w:r>
            <w:r w:rsidRPr="003C17A3">
              <w:rPr>
                <w:sz w:val="22"/>
                <w:szCs w:val="22"/>
              </w:rPr>
              <w:t xml:space="preserve"> : note du 13 octobre : </w:t>
            </w:r>
            <w:r w:rsidRPr="003C17A3">
              <w:rPr>
                <w:color w:val="FF0000"/>
                <w:sz w:val="22"/>
                <w:szCs w:val="22"/>
              </w:rPr>
              <w:t xml:space="preserve">fin de l'état d'urgence le 6 mai </w:t>
            </w:r>
          </w:p>
          <w:p w14:paraId="48ACCC07" w14:textId="77777777" w:rsidR="00457E5B" w:rsidRPr="003C17A3" w:rsidRDefault="00457E5B" w:rsidP="00A10239">
            <w:pPr>
              <w:rPr>
                <w:color w:val="00B050"/>
                <w:sz w:val="22"/>
                <w:szCs w:val="22"/>
              </w:rPr>
            </w:pPr>
            <w:r w:rsidRPr="003C17A3">
              <w:rPr>
                <w:b/>
                <w:bCs/>
                <w:color w:val="00B050"/>
                <w:sz w:val="22"/>
                <w:szCs w:val="22"/>
              </w:rPr>
              <w:t>Droits concernés</w:t>
            </w:r>
            <w:r w:rsidRPr="003C17A3">
              <w:rPr>
                <w:color w:val="00B050"/>
                <w:sz w:val="22"/>
                <w:szCs w:val="22"/>
              </w:rPr>
              <w:t xml:space="preserve"> : ne mentionne pas précisément les droits </w:t>
            </w:r>
            <w:proofErr w:type="gramStart"/>
            <w:r w:rsidRPr="003C17A3">
              <w:rPr>
                <w:color w:val="00B050"/>
                <w:sz w:val="22"/>
                <w:szCs w:val="22"/>
              </w:rPr>
              <w:t>concernés:</w:t>
            </w:r>
            <w:proofErr w:type="gramEnd"/>
            <w:r w:rsidRPr="003C17A3">
              <w:rPr>
                <w:color w:val="00B050"/>
                <w:sz w:val="22"/>
                <w:szCs w:val="22"/>
              </w:rPr>
              <w:t xml:space="preserve"> « Les mesures mises en œuvre par la République de Serbie ont dérogé à certaines obligations prévues par la Convention européenne des Droits de l'Homme dans la mesure strictement requise par les exigences de la situation épidémiologique et de la nécessité médicale ».</w:t>
            </w:r>
          </w:p>
        </w:tc>
        <w:tc>
          <w:tcPr>
            <w:tcW w:w="2821" w:type="dxa"/>
          </w:tcPr>
          <w:p w14:paraId="281BF353" w14:textId="77777777" w:rsidR="00457E5B" w:rsidRPr="003C17A3" w:rsidRDefault="00457E5B" w:rsidP="00A10239">
            <w:pPr>
              <w:rPr>
                <w:sz w:val="22"/>
                <w:szCs w:val="22"/>
              </w:rPr>
            </w:pPr>
          </w:p>
        </w:tc>
      </w:tr>
    </w:tbl>
    <w:p w14:paraId="426828A3" w14:textId="2E93511D" w:rsidR="0010012D" w:rsidRDefault="0010012D" w:rsidP="00457E5B">
      <w:pPr>
        <w:rPr>
          <w:b/>
        </w:rPr>
      </w:pPr>
    </w:p>
    <w:p w14:paraId="7DFD3B8C" w14:textId="623B14A6" w:rsidR="0050318B" w:rsidRPr="00AA7FEB" w:rsidRDefault="0050318B" w:rsidP="00457E5B">
      <w:pPr>
        <w:rPr>
          <w:b/>
        </w:rPr>
      </w:pPr>
    </w:p>
    <w:sectPr w:rsidR="0050318B" w:rsidRPr="00AA7F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22871" w14:textId="77777777" w:rsidR="00B16FE0" w:rsidRDefault="00B16FE0" w:rsidP="008D4BD5">
      <w:r>
        <w:separator/>
      </w:r>
    </w:p>
  </w:endnote>
  <w:endnote w:type="continuationSeparator" w:id="0">
    <w:p w14:paraId="6A0C2372" w14:textId="77777777" w:rsidR="00B16FE0" w:rsidRDefault="00B16FE0" w:rsidP="008D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NRMTCo">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D72B5" w14:textId="77777777" w:rsidR="00B16FE0" w:rsidRDefault="00B16FE0" w:rsidP="008D4BD5">
      <w:r>
        <w:separator/>
      </w:r>
    </w:p>
  </w:footnote>
  <w:footnote w:type="continuationSeparator" w:id="0">
    <w:p w14:paraId="0E3292FF" w14:textId="77777777" w:rsidR="00B16FE0" w:rsidRDefault="00B16FE0" w:rsidP="008D4BD5">
      <w:r>
        <w:continuationSeparator/>
      </w:r>
    </w:p>
  </w:footnote>
  <w:footnote w:id="1">
    <w:p w14:paraId="175B947C" w14:textId="0761E2B4" w:rsidR="00AE7729" w:rsidRPr="003304E0" w:rsidRDefault="00AE7729" w:rsidP="00256733">
      <w:pPr>
        <w:jc w:val="both"/>
        <w:rPr>
          <w:sz w:val="20"/>
          <w:szCs w:val="20"/>
        </w:rPr>
      </w:pPr>
      <w:r w:rsidRPr="003304E0">
        <w:rPr>
          <w:rStyle w:val="Appelnotedebasdep"/>
          <w:sz w:val="20"/>
          <w:szCs w:val="20"/>
        </w:rPr>
        <w:footnoteRef/>
      </w:r>
      <w:r w:rsidRPr="003304E0">
        <w:rPr>
          <w:sz w:val="20"/>
          <w:szCs w:val="20"/>
        </w:rPr>
        <w:t xml:space="preserve"> La présente contribution doit beaucoup aux réflexions collectives menées par l’un de ses auteurs avec </w:t>
      </w:r>
      <w:r w:rsidRPr="000E5DE3">
        <w:rPr>
          <w:smallCaps/>
          <w:sz w:val="20"/>
          <w:szCs w:val="20"/>
        </w:rPr>
        <w:t>R. Delforge</w:t>
      </w:r>
      <w:r w:rsidRPr="003304E0">
        <w:rPr>
          <w:sz w:val="20"/>
          <w:szCs w:val="20"/>
        </w:rPr>
        <w:t xml:space="preserve">, </w:t>
      </w:r>
      <w:r w:rsidRPr="000E5DE3">
        <w:rPr>
          <w:smallCaps/>
          <w:sz w:val="20"/>
          <w:szCs w:val="20"/>
        </w:rPr>
        <w:t xml:space="preserve">M. Verdussen </w:t>
      </w:r>
      <w:r w:rsidRPr="003304E0">
        <w:rPr>
          <w:sz w:val="20"/>
          <w:szCs w:val="20"/>
        </w:rPr>
        <w:t xml:space="preserve">et </w:t>
      </w:r>
      <w:r w:rsidRPr="000E5DE3">
        <w:rPr>
          <w:smallCaps/>
          <w:sz w:val="20"/>
          <w:szCs w:val="20"/>
        </w:rPr>
        <w:t>C. Romainville</w:t>
      </w:r>
      <w:r w:rsidRPr="003304E0">
        <w:rPr>
          <w:sz w:val="20"/>
          <w:szCs w:val="20"/>
        </w:rPr>
        <w:t xml:space="preserve"> (voy</w:t>
      </w:r>
      <w:r w:rsidRPr="000E5DE3">
        <w:rPr>
          <w:smallCaps/>
          <w:sz w:val="20"/>
          <w:szCs w:val="20"/>
        </w:rPr>
        <w:t>. R. Delforge</w:t>
      </w:r>
      <w:r w:rsidRPr="003304E0">
        <w:rPr>
          <w:sz w:val="20"/>
          <w:szCs w:val="20"/>
        </w:rPr>
        <w:t xml:space="preserve">, </w:t>
      </w:r>
      <w:r w:rsidRPr="000E5DE3">
        <w:rPr>
          <w:smallCaps/>
          <w:sz w:val="20"/>
          <w:szCs w:val="20"/>
        </w:rPr>
        <w:t>C. Romainville</w:t>
      </w:r>
      <w:r w:rsidRPr="003304E0">
        <w:rPr>
          <w:sz w:val="20"/>
          <w:szCs w:val="20"/>
        </w:rPr>
        <w:t xml:space="preserve">, </w:t>
      </w:r>
      <w:r w:rsidRPr="000E5DE3">
        <w:rPr>
          <w:smallCaps/>
          <w:sz w:val="20"/>
          <w:szCs w:val="20"/>
        </w:rPr>
        <w:t>S. Van Drooghenbroeck</w:t>
      </w:r>
      <w:r w:rsidRPr="003304E0">
        <w:rPr>
          <w:sz w:val="20"/>
          <w:szCs w:val="20"/>
        </w:rPr>
        <w:t xml:space="preserve"> et </w:t>
      </w:r>
      <w:r w:rsidRPr="000E5DE3">
        <w:rPr>
          <w:smallCaps/>
          <w:sz w:val="20"/>
          <w:szCs w:val="20"/>
        </w:rPr>
        <w:t>M. Verdussen</w:t>
      </w:r>
      <w:r w:rsidRPr="003304E0">
        <w:rPr>
          <w:sz w:val="20"/>
          <w:szCs w:val="20"/>
        </w:rPr>
        <w:t xml:space="preserve">, “L’absence d’état d’urgence en droit constitutionnel belge », </w:t>
      </w:r>
      <w:r w:rsidRPr="003304E0">
        <w:rPr>
          <w:i/>
          <w:sz w:val="20"/>
          <w:szCs w:val="20"/>
        </w:rPr>
        <w:t xml:space="preserve">Le droit public belge face à la crise covid19. Quelles leçons pour l’avenir, </w:t>
      </w:r>
      <w:r w:rsidRPr="003304E0">
        <w:rPr>
          <w:sz w:val="20"/>
          <w:szCs w:val="20"/>
        </w:rPr>
        <w:t xml:space="preserve">sous la dir. De F. Bouhon, E. Slautsky et S. Wattier, Bruxelles, Larcier, à paraître). </w:t>
      </w:r>
    </w:p>
  </w:footnote>
  <w:footnote w:id="2">
    <w:p w14:paraId="7CC8DC78" w14:textId="5E4E44F5" w:rsidR="00AE7729" w:rsidRPr="001358BC" w:rsidRDefault="00AE7729" w:rsidP="00256733">
      <w:pPr>
        <w:jc w:val="both"/>
      </w:pPr>
      <w:r>
        <w:rPr>
          <w:rStyle w:val="Appelnotedebasdep"/>
        </w:rPr>
        <w:footnoteRef/>
      </w:r>
      <w:r>
        <w:t xml:space="preserve"> </w:t>
      </w:r>
      <w:r w:rsidRPr="00F90BF0">
        <w:rPr>
          <w:sz w:val="20"/>
          <w:szCs w:val="20"/>
        </w:rPr>
        <w:t xml:space="preserve">Commission de Venise, « Respect de la démocratie, des droits de l’Homme et de l’état de droit en situation d’État d’urgence : réflexions »,  26 mai 2020, CDL-PI(2020)005rev., p. 3, n°5. </w:t>
      </w:r>
    </w:p>
  </w:footnote>
  <w:footnote w:id="3">
    <w:p w14:paraId="6892E260" w14:textId="20E9D9A6" w:rsidR="00AE7729" w:rsidRPr="00EB5D3E" w:rsidRDefault="00AE7729" w:rsidP="00256733">
      <w:pPr>
        <w:jc w:val="both"/>
      </w:pPr>
      <w:r>
        <w:rPr>
          <w:rStyle w:val="Appelnotedebasdep"/>
        </w:rPr>
        <w:footnoteRef/>
      </w:r>
      <w:r>
        <w:t xml:space="preserve"> </w:t>
      </w:r>
      <w:r w:rsidRPr="00F90BF0">
        <w:rPr>
          <w:sz w:val="20"/>
          <w:szCs w:val="20"/>
        </w:rPr>
        <w:t>Voy. également les définitions retenues par W. V</w:t>
      </w:r>
      <w:r w:rsidRPr="00F90BF0">
        <w:rPr>
          <w:smallCaps/>
          <w:sz w:val="20"/>
          <w:szCs w:val="20"/>
        </w:rPr>
        <w:t>errijdt</w:t>
      </w:r>
      <w:r w:rsidRPr="00F90BF0">
        <w:rPr>
          <w:sz w:val="20"/>
          <w:szCs w:val="20"/>
        </w:rPr>
        <w:t xml:space="preserve">, « De belgische overheden kunnen de noodtoestand niet uitropen…», </w:t>
      </w:r>
      <w:hyperlink r:id="rId1" w:history="1">
        <w:r w:rsidRPr="00877ACD">
          <w:rPr>
            <w:rStyle w:val="Lienhypertexte"/>
            <w:sz w:val="20"/>
            <w:szCs w:val="20"/>
          </w:rPr>
          <w:t>https://www.leuvenpubliclaw.com/belgie-kan-de-noodtoestand-niet-uitroepen/</w:t>
        </w:r>
      </w:hyperlink>
      <w:r>
        <w:rPr>
          <w:rStyle w:val="Lienhypertexte"/>
          <w:sz w:val="20"/>
          <w:szCs w:val="20"/>
        </w:rPr>
        <w:t>,</w:t>
      </w:r>
      <w:r w:rsidRPr="004D07FD">
        <w:rPr>
          <w:rStyle w:val="Lienhypertexte"/>
          <w:sz w:val="20"/>
          <w:szCs w:val="20"/>
          <w:u w:val="none"/>
        </w:rPr>
        <w:t xml:space="preserve"> </w:t>
      </w:r>
      <w:r w:rsidRPr="004D07FD">
        <w:rPr>
          <w:rStyle w:val="Lienhypertexte"/>
          <w:color w:val="auto"/>
          <w:sz w:val="20"/>
          <w:szCs w:val="20"/>
          <w:u w:val="none"/>
        </w:rPr>
        <w:t>21 mai 2020</w:t>
      </w:r>
      <w:r w:rsidRPr="004D07FD">
        <w:rPr>
          <w:sz w:val="20"/>
          <w:szCs w:val="20"/>
        </w:rPr>
        <w:t xml:space="preserve">. </w:t>
      </w:r>
    </w:p>
  </w:footnote>
  <w:footnote w:id="4">
    <w:p w14:paraId="2D113207" w14:textId="0362F8EF" w:rsidR="00AE7729" w:rsidRPr="00EB5D3E" w:rsidRDefault="00AE7729" w:rsidP="00256733">
      <w:pPr>
        <w:pStyle w:val="Notedebasdepage"/>
        <w:jc w:val="both"/>
      </w:pPr>
      <w:r>
        <w:rPr>
          <w:rStyle w:val="Appelnotedebasdep"/>
        </w:rPr>
        <w:footnoteRef/>
      </w:r>
      <w:r>
        <w:t xml:space="preserve"> </w:t>
      </w:r>
      <w:r w:rsidRPr="00EF5273">
        <w:rPr>
          <w:smallCaps/>
        </w:rPr>
        <w:t>J</w:t>
      </w:r>
      <w:r>
        <w:rPr>
          <w:smallCaps/>
        </w:rPr>
        <w:t>-</w:t>
      </w:r>
      <w:r w:rsidRPr="00EF5273">
        <w:rPr>
          <w:smallCaps/>
        </w:rPr>
        <w:t>L. de</w:t>
      </w:r>
      <w:r w:rsidRPr="00D653F7">
        <w:rPr>
          <w:smallCaps/>
        </w:rPr>
        <w:t xml:space="preserve"> Corail</w:t>
      </w:r>
      <w:r>
        <w:t xml:space="preserve">, « État d’exception », Encyclopœdia Universalis (en ligne), consulté le 6 septembre 2021 </w:t>
      </w:r>
      <w:r w:rsidRPr="00D653F7">
        <w:t>.</w:t>
      </w:r>
    </w:p>
  </w:footnote>
  <w:footnote w:id="5">
    <w:p w14:paraId="6DE48E94" w14:textId="1E11C7DE" w:rsidR="00AE7729" w:rsidRPr="00EB5D3E" w:rsidRDefault="00AE7729" w:rsidP="00256733">
      <w:pPr>
        <w:pStyle w:val="Notedebasdepage"/>
        <w:jc w:val="both"/>
      </w:pPr>
      <w:r w:rsidRPr="00EF5273">
        <w:rPr>
          <w:rStyle w:val="Appelnotedebasdep"/>
          <w:highlight w:val="yellow"/>
        </w:rPr>
        <w:footnoteRef/>
      </w:r>
      <w:r w:rsidRPr="00EF5273">
        <w:rPr>
          <w:highlight w:val="yellow"/>
        </w:rPr>
        <w:t xml:space="preserve"> Compléter</w:t>
      </w:r>
    </w:p>
  </w:footnote>
  <w:footnote w:id="6">
    <w:p w14:paraId="45384D44" w14:textId="27B6898B" w:rsidR="00AE7729" w:rsidRPr="00F90BF0" w:rsidRDefault="00AE7729" w:rsidP="00256733">
      <w:pPr>
        <w:jc w:val="both"/>
        <w:rPr>
          <w:sz w:val="20"/>
          <w:szCs w:val="20"/>
        </w:rPr>
      </w:pPr>
      <w:r w:rsidRPr="003304E0">
        <w:rPr>
          <w:rStyle w:val="Appelnotedebasdep"/>
          <w:sz w:val="20"/>
          <w:szCs w:val="20"/>
        </w:rPr>
        <w:footnoteRef/>
      </w:r>
      <w:r w:rsidRPr="003304E0">
        <w:rPr>
          <w:sz w:val="20"/>
          <w:szCs w:val="20"/>
        </w:rPr>
        <w:t xml:space="preserve"> Voy. </w:t>
      </w:r>
      <w:r w:rsidRPr="000E5DE3">
        <w:rPr>
          <w:smallCaps/>
          <w:sz w:val="20"/>
          <w:szCs w:val="20"/>
        </w:rPr>
        <w:t>R. Delforge</w:t>
      </w:r>
      <w:r w:rsidRPr="003304E0">
        <w:rPr>
          <w:sz w:val="20"/>
          <w:szCs w:val="20"/>
        </w:rPr>
        <w:t xml:space="preserve">, </w:t>
      </w:r>
      <w:r w:rsidRPr="000E5DE3">
        <w:rPr>
          <w:smallCaps/>
          <w:sz w:val="20"/>
          <w:szCs w:val="20"/>
        </w:rPr>
        <w:t>C. Romainville</w:t>
      </w:r>
      <w:r w:rsidRPr="003304E0">
        <w:rPr>
          <w:sz w:val="20"/>
          <w:szCs w:val="20"/>
        </w:rPr>
        <w:t xml:space="preserve">, </w:t>
      </w:r>
      <w:r w:rsidRPr="000E5DE3">
        <w:rPr>
          <w:smallCaps/>
          <w:sz w:val="20"/>
          <w:szCs w:val="20"/>
        </w:rPr>
        <w:t>S. Van Drooghenbroeck</w:t>
      </w:r>
      <w:r w:rsidRPr="003304E0">
        <w:rPr>
          <w:sz w:val="20"/>
          <w:szCs w:val="20"/>
        </w:rPr>
        <w:t xml:space="preserve"> et </w:t>
      </w:r>
      <w:r w:rsidRPr="000E5DE3">
        <w:rPr>
          <w:smallCaps/>
          <w:sz w:val="20"/>
          <w:szCs w:val="20"/>
        </w:rPr>
        <w:t>M. Verdussen</w:t>
      </w:r>
      <w:r w:rsidRPr="003304E0">
        <w:rPr>
          <w:sz w:val="20"/>
          <w:szCs w:val="20"/>
        </w:rPr>
        <w:t xml:space="preserve">, </w:t>
      </w:r>
      <w:r>
        <w:rPr>
          <w:sz w:val="20"/>
          <w:szCs w:val="20"/>
        </w:rPr>
        <w:t>« </w:t>
      </w:r>
      <w:r w:rsidRPr="003304E0">
        <w:rPr>
          <w:sz w:val="20"/>
          <w:szCs w:val="20"/>
        </w:rPr>
        <w:t xml:space="preserve">L’absence d’état d’urgence en droit constitutionnel belge », </w:t>
      </w:r>
      <w:r>
        <w:rPr>
          <w:i/>
          <w:sz w:val="20"/>
          <w:szCs w:val="20"/>
        </w:rPr>
        <w:t>op. cit.</w:t>
      </w:r>
      <w:r w:rsidRPr="003304E0">
        <w:rPr>
          <w:sz w:val="20"/>
          <w:szCs w:val="20"/>
        </w:rPr>
        <w:t xml:space="preserve">. </w:t>
      </w:r>
      <w:r>
        <w:rPr>
          <w:sz w:val="20"/>
          <w:szCs w:val="20"/>
        </w:rPr>
        <w:t xml:space="preserve">Voy. ég., plus anciennement, </w:t>
      </w:r>
      <w:r w:rsidRPr="00F90BF0">
        <w:rPr>
          <w:sz w:val="20"/>
          <w:szCs w:val="20"/>
        </w:rPr>
        <w:t xml:space="preserve">J. </w:t>
      </w:r>
      <w:r w:rsidRPr="0052544F">
        <w:rPr>
          <w:smallCaps/>
          <w:sz w:val="20"/>
          <w:szCs w:val="20"/>
        </w:rPr>
        <w:t>Velaers</w:t>
      </w:r>
      <w:r w:rsidRPr="00F90BF0">
        <w:rPr>
          <w:sz w:val="20"/>
          <w:szCs w:val="20"/>
        </w:rPr>
        <w:t xml:space="preserve"> et S. Van </w:t>
      </w:r>
      <w:r w:rsidRPr="0052544F">
        <w:rPr>
          <w:smallCaps/>
          <w:sz w:val="20"/>
          <w:szCs w:val="20"/>
        </w:rPr>
        <w:t>Drooghenbroeck</w:t>
      </w:r>
      <w:r w:rsidRPr="00F90BF0">
        <w:rPr>
          <w:sz w:val="20"/>
          <w:szCs w:val="20"/>
        </w:rPr>
        <w:t xml:space="preserve">, « L’article 187 de la </w:t>
      </w:r>
      <w:r w:rsidRPr="00F90BF0">
        <w:rPr>
          <w:spacing w:val="-2"/>
          <w:sz w:val="20"/>
          <w:szCs w:val="20"/>
        </w:rPr>
        <w:t>Constitution</w:t>
      </w:r>
      <w:r w:rsidRPr="00F90BF0">
        <w:rPr>
          <w:sz w:val="20"/>
          <w:szCs w:val="20"/>
        </w:rPr>
        <w:t xml:space="preserve"> et la problématique de la protection des droits et libertés dans les états d’exception », </w:t>
      </w:r>
      <w:r w:rsidRPr="00F90BF0">
        <w:rPr>
          <w:i/>
          <w:sz w:val="20"/>
          <w:szCs w:val="20"/>
        </w:rPr>
        <w:t xml:space="preserve">Uitzonderlijke omstandigheden in het grondwettelijk recht, </w:t>
      </w:r>
      <w:r w:rsidRPr="00F90BF0">
        <w:rPr>
          <w:sz w:val="20"/>
          <w:szCs w:val="20"/>
        </w:rPr>
        <w:t>sous la dir. de E. Vandenbossche, Bruges, La Charte, 2019, pp. 3 et suiv</w:t>
      </w:r>
      <w:r w:rsidRPr="00F90BF0">
        <w:rPr>
          <w:b/>
          <w:bCs/>
          <w:sz w:val="20"/>
          <w:szCs w:val="20"/>
        </w:rPr>
        <w:t>.</w:t>
      </w:r>
      <w:r>
        <w:rPr>
          <w:b/>
          <w:bCs/>
          <w:sz w:val="20"/>
          <w:szCs w:val="20"/>
        </w:rPr>
        <w:t xml:space="preserve"> </w:t>
      </w:r>
    </w:p>
    <w:p w14:paraId="00266BD5" w14:textId="2869BB82" w:rsidR="00AE7729" w:rsidRPr="003304E0" w:rsidRDefault="00AE7729" w:rsidP="00256733">
      <w:pPr>
        <w:jc w:val="both"/>
        <w:rPr>
          <w:sz w:val="20"/>
          <w:szCs w:val="20"/>
          <w:u w:val="single"/>
        </w:rPr>
      </w:pPr>
    </w:p>
    <w:p w14:paraId="138EF1BC" w14:textId="5D037A55" w:rsidR="00AE7729" w:rsidRPr="00EB5D3E" w:rsidRDefault="00AE7729" w:rsidP="00256733">
      <w:pPr>
        <w:pStyle w:val="Notedebasdepage"/>
        <w:jc w:val="both"/>
      </w:pPr>
    </w:p>
  </w:footnote>
  <w:footnote w:id="7">
    <w:p w14:paraId="61BF4587" w14:textId="23F81265" w:rsidR="00AE7729" w:rsidRPr="005F4DBD" w:rsidRDefault="00AE7729" w:rsidP="00256733">
      <w:pPr>
        <w:pStyle w:val="Notedebasdepage"/>
        <w:jc w:val="both"/>
        <w:rPr>
          <w:lang w:val="nl-NL"/>
        </w:rPr>
      </w:pPr>
      <w:r w:rsidRPr="00CD04BF">
        <w:rPr>
          <w:rStyle w:val="Appelnotedebasdep"/>
        </w:rPr>
        <w:footnoteRef/>
      </w:r>
      <w:r w:rsidRPr="005F4DBD">
        <w:rPr>
          <w:lang w:val="nl-NL"/>
        </w:rPr>
        <w:t xml:space="preserve"> Voy. J. V</w:t>
      </w:r>
      <w:r w:rsidRPr="005F4DBD">
        <w:rPr>
          <w:smallCaps/>
          <w:lang w:val="nl-NL"/>
        </w:rPr>
        <w:t>elaers</w:t>
      </w:r>
      <w:r w:rsidRPr="005F4DBD">
        <w:rPr>
          <w:lang w:val="nl-NL"/>
        </w:rPr>
        <w:t xml:space="preserve"> et S. V</w:t>
      </w:r>
      <w:r w:rsidRPr="005F4DBD">
        <w:rPr>
          <w:smallCaps/>
          <w:lang w:val="nl-NL"/>
        </w:rPr>
        <w:t>an</w:t>
      </w:r>
      <w:r w:rsidRPr="005F4DBD">
        <w:rPr>
          <w:lang w:val="nl-NL"/>
        </w:rPr>
        <w:t xml:space="preserve"> D</w:t>
      </w:r>
      <w:r w:rsidRPr="005F4DBD">
        <w:rPr>
          <w:smallCaps/>
          <w:lang w:val="nl-NL"/>
        </w:rPr>
        <w:t>rooghenbroeck</w:t>
      </w:r>
      <w:r w:rsidRPr="005F4DBD">
        <w:rPr>
          <w:lang w:val="nl-NL"/>
        </w:rPr>
        <w:t xml:space="preserve">, « L’article 187 de la Constitution … », </w:t>
      </w:r>
      <w:r w:rsidRPr="005F4DBD">
        <w:rPr>
          <w:i/>
          <w:iCs/>
          <w:lang w:val="nl-NL"/>
        </w:rPr>
        <w:t xml:space="preserve">op. </w:t>
      </w:r>
      <w:proofErr w:type="gramStart"/>
      <w:r w:rsidRPr="005F4DBD">
        <w:rPr>
          <w:i/>
          <w:iCs/>
          <w:lang w:val="nl-NL"/>
        </w:rPr>
        <w:t>cit</w:t>
      </w:r>
      <w:proofErr w:type="gramEnd"/>
      <w:r w:rsidRPr="005F4DBD">
        <w:rPr>
          <w:lang w:val="nl-NL"/>
        </w:rPr>
        <w:t>.</w:t>
      </w:r>
      <w:r w:rsidRPr="005F4DBD">
        <w:rPr>
          <w:i/>
          <w:lang w:val="nl-NL"/>
        </w:rPr>
        <w:t xml:space="preserve"> </w:t>
      </w:r>
      <w:r w:rsidRPr="005F4DBD">
        <w:rPr>
          <w:lang w:val="nl-NL"/>
        </w:rPr>
        <w:t xml:space="preserve">; G. </w:t>
      </w:r>
      <w:r w:rsidRPr="005F4DBD">
        <w:rPr>
          <w:smallCaps/>
          <w:lang w:val="nl-NL"/>
        </w:rPr>
        <w:t>Van Haegenborgh</w:t>
      </w:r>
      <w:r w:rsidRPr="005F4DBD">
        <w:rPr>
          <w:lang w:val="nl-NL"/>
        </w:rPr>
        <w:t xml:space="preserve"> et W</w:t>
      </w:r>
      <w:r w:rsidRPr="005F4DBD">
        <w:rPr>
          <w:smallCaps/>
          <w:lang w:val="nl-NL"/>
        </w:rPr>
        <w:t>. Verrijdt</w:t>
      </w:r>
      <w:r w:rsidRPr="005F4DBD">
        <w:rPr>
          <w:lang w:val="nl-NL"/>
        </w:rPr>
        <w:t xml:space="preserve">, « De noodtoestand in het Belgisch publiekrecht », </w:t>
      </w:r>
      <w:r w:rsidRPr="005F4DBD">
        <w:rPr>
          <w:i/>
          <w:lang w:val="nl-NL"/>
        </w:rPr>
        <w:t>Preadviezen VVSRBN</w:t>
      </w:r>
      <w:r w:rsidRPr="005F4DBD">
        <w:rPr>
          <w:lang w:val="nl-NL"/>
        </w:rPr>
        <w:t xml:space="preserve">, 2016, Boom Uitgevers, pp. 39-40. </w:t>
      </w:r>
    </w:p>
  </w:footnote>
  <w:footnote w:id="8">
    <w:p w14:paraId="10A8AEE1" w14:textId="42BCFAC3" w:rsidR="00AE7729" w:rsidRPr="00CD04BF" w:rsidRDefault="00AE7729" w:rsidP="00256733">
      <w:pPr>
        <w:pStyle w:val="Notedebasdepage"/>
        <w:jc w:val="both"/>
      </w:pPr>
      <w:r w:rsidRPr="00CD04BF">
        <w:rPr>
          <w:rStyle w:val="Appelnotedebasdep"/>
        </w:rPr>
        <w:footnoteRef/>
      </w:r>
      <w:r w:rsidRPr="00CD04BF">
        <w:t xml:space="preserve"> C.E., 4 février 2021, n° 249 723, </w:t>
      </w:r>
      <w:r w:rsidRPr="00CD04BF">
        <w:rPr>
          <w:i/>
          <w:iCs/>
        </w:rPr>
        <w:t>société à responsabilité limitée Mainego et consort</w:t>
      </w:r>
      <w:r w:rsidRPr="00CD04BF">
        <w:t>, point VI.2</w:t>
      </w:r>
      <w:r>
        <w:t xml:space="preserve"> ; </w:t>
      </w:r>
      <w:r w:rsidRPr="00CD04BF">
        <w:t xml:space="preserve">C.E., </w:t>
      </w:r>
      <w:r w:rsidRPr="00CD04BF">
        <w:rPr>
          <w:bCs/>
        </w:rPr>
        <w:t xml:space="preserve">n°249.314 du 22 </w:t>
      </w:r>
      <w:r w:rsidRPr="00CD04BF">
        <w:t>décembre</w:t>
      </w:r>
      <w:r w:rsidRPr="00CD04BF">
        <w:rPr>
          <w:bCs/>
        </w:rPr>
        <w:t xml:space="preserve"> 2020, </w:t>
      </w:r>
      <w:r w:rsidRPr="00CD04BF">
        <w:rPr>
          <w:bCs/>
          <w:i/>
        </w:rPr>
        <w:t>Parmentier et autres</w:t>
      </w:r>
      <w:r>
        <w:rPr>
          <w:bCs/>
          <w:i/>
        </w:rPr>
        <w:t xml:space="preserve"> ; </w:t>
      </w:r>
      <w:r w:rsidRPr="00CD04BF">
        <w:t xml:space="preserve">C.E., 13 novembre 2020, n° 248 918, </w:t>
      </w:r>
      <w:r w:rsidRPr="00CD04BF">
        <w:rPr>
          <w:i/>
          <w:iCs/>
        </w:rPr>
        <w:t>société à responsabilité limitée Mainego</w:t>
      </w:r>
      <w:r w:rsidRPr="00CD04BF">
        <w:t>, point VI.2.</w:t>
      </w:r>
    </w:p>
  </w:footnote>
  <w:footnote w:id="9">
    <w:p w14:paraId="2C72908A" w14:textId="4F4EE46A" w:rsidR="00AE7729" w:rsidRPr="00CD04BF" w:rsidRDefault="00AE7729" w:rsidP="00256733">
      <w:pPr>
        <w:pStyle w:val="Notedebasdepage"/>
        <w:jc w:val="both"/>
        <w:rPr>
          <w:lang w:val="fr-FR"/>
        </w:rPr>
      </w:pPr>
      <w:r w:rsidRPr="00CD04BF">
        <w:rPr>
          <w:rStyle w:val="Appelnotedebasdep"/>
        </w:rPr>
        <w:footnoteRef/>
      </w:r>
      <w:r w:rsidRPr="00CD04BF">
        <w:t xml:space="preserve"> </w:t>
      </w:r>
      <w:r w:rsidRPr="00CD04BF">
        <w:rPr>
          <w:i/>
          <w:lang w:val="fr-FR"/>
        </w:rPr>
        <w:t xml:space="preserve">Doc. Parl Chambre, </w:t>
      </w:r>
      <w:r w:rsidRPr="00CD04BF">
        <w:rPr>
          <w:lang w:val="fr-FR"/>
        </w:rPr>
        <w:t>Doc</w:t>
      </w:r>
      <w:r>
        <w:rPr>
          <w:lang w:val="fr-FR"/>
        </w:rPr>
        <w:t>.</w:t>
      </w:r>
      <w:r w:rsidRPr="00CD04BF">
        <w:rPr>
          <w:lang w:val="fr-FR"/>
        </w:rPr>
        <w:t xml:space="preserve"> 55-1951/1, p. 60</w:t>
      </w:r>
      <w:r>
        <w:rPr>
          <w:lang w:val="fr-FR"/>
        </w:rPr>
        <w:t xml:space="preserve">. </w:t>
      </w:r>
    </w:p>
  </w:footnote>
  <w:footnote w:id="10">
    <w:p w14:paraId="468CE71F" w14:textId="10E30A10" w:rsidR="00AE7729" w:rsidRPr="003B45B5" w:rsidRDefault="00AE7729" w:rsidP="00256733">
      <w:pPr>
        <w:pStyle w:val="Notedebasdepage"/>
        <w:jc w:val="both"/>
        <w:rPr>
          <w:u w:val="single"/>
        </w:rPr>
      </w:pPr>
      <w:r>
        <w:rPr>
          <w:rStyle w:val="Appelnotedebasdep"/>
        </w:rPr>
        <w:footnoteRef/>
      </w:r>
      <w:r>
        <w:t xml:space="preserve"> Voy. ég. les interrogations de la doctrine au Grand-Duché du Luxembourg : </w:t>
      </w:r>
      <w:r w:rsidRPr="000E5DE3">
        <w:rPr>
          <w:smallCaps/>
        </w:rPr>
        <w:t>F. Moyse</w:t>
      </w:r>
      <w:r>
        <w:t xml:space="preserve">, « L’état de crise au Luxembourg face à l’article 15 de la Convention européenne des droits de l’Homme », </w:t>
      </w:r>
      <w:r>
        <w:rPr>
          <w:i/>
        </w:rPr>
        <w:t xml:space="preserve">Rev. Trim. Dr. Homme, </w:t>
      </w:r>
      <w:r>
        <w:t xml:space="preserve">2021, pp. 301 et suiv. </w:t>
      </w:r>
    </w:p>
  </w:footnote>
  <w:footnote w:id="11">
    <w:p w14:paraId="4CC3D387" w14:textId="0B37DF4B" w:rsidR="00AE7729" w:rsidRPr="005854F9" w:rsidRDefault="00AE7729" w:rsidP="00256733">
      <w:pPr>
        <w:pStyle w:val="Notedebasdepage"/>
        <w:jc w:val="both"/>
      </w:pPr>
      <w:r>
        <w:rPr>
          <w:rStyle w:val="Appelnotedebasdep"/>
        </w:rPr>
        <w:footnoteRef/>
      </w:r>
      <w:r>
        <w:t xml:space="preserve"> Sur les différentes positions en présence, voy. e.a. </w:t>
      </w:r>
      <w:r w:rsidRPr="000E5DE3">
        <w:rPr>
          <w:smallCaps/>
        </w:rPr>
        <w:t>G. Gonzalez</w:t>
      </w:r>
      <w:r w:rsidRPr="003D31CC">
        <w:t xml:space="preserve">, « L’article 15 de la Convention européenne à l’épreuve du Covid 19 ou l’ombre d’un doute », </w:t>
      </w:r>
      <w:r w:rsidRPr="003D31CC">
        <w:rPr>
          <w:i/>
        </w:rPr>
        <w:t xml:space="preserve">RDLF, </w:t>
      </w:r>
      <w:r w:rsidRPr="003D31CC">
        <w:t>2020, chron. 43</w:t>
      </w:r>
      <w:r>
        <w:t xml:space="preserve"> ; </w:t>
      </w:r>
      <w:r w:rsidRPr="000E5DE3">
        <w:rPr>
          <w:smallCaps/>
        </w:rPr>
        <w:t>F. Sudre</w:t>
      </w:r>
      <w:r w:rsidRPr="003D31CC">
        <w:t>, « </w:t>
      </w:r>
      <w:r w:rsidRPr="000E5DE3">
        <w:t>La mise en quarantaine de la Convention européenne des droits de l’homme </w:t>
      </w:r>
      <w:r w:rsidRPr="00772F66">
        <w:t>», </w:t>
      </w:r>
      <w:r w:rsidRPr="00772F66">
        <w:rPr>
          <w:i/>
          <w:iCs/>
        </w:rPr>
        <w:t>J</w:t>
      </w:r>
      <w:r w:rsidRPr="00772F66">
        <w:rPr>
          <w:i/>
        </w:rPr>
        <w:t>CP G </w:t>
      </w:r>
      <w:r w:rsidRPr="00772F66">
        <w:rPr>
          <w:shd w:val="clear" w:color="auto" w:fill="FFFFFF"/>
        </w:rPr>
        <w:t xml:space="preserve">2020.510 ; </w:t>
      </w:r>
      <w:r w:rsidRPr="000E5DE3">
        <w:rPr>
          <w:smallCaps/>
        </w:rPr>
        <w:t>F. Sudre</w:t>
      </w:r>
      <w:r w:rsidRPr="003D31CC">
        <w:t xml:space="preserve">, « La Convention EDH face au Covid-19 : dépasser les apparences », </w:t>
      </w:r>
      <w:hyperlink r:id="rId2" w:history="1">
        <w:r w:rsidRPr="006B75BB">
          <w:rPr>
            <w:rStyle w:val="Lienhypertexte"/>
          </w:rPr>
          <w:t>https://www.leclubdesjuristes.com/blog-du-coronavirus/</w:t>
        </w:r>
      </w:hyperlink>
      <w:r>
        <w:rPr>
          <w:rStyle w:val="Lienhypertexte"/>
        </w:rPr>
        <w:t xml:space="preserve">, </w:t>
      </w:r>
      <w:r w:rsidRPr="004D07FD">
        <w:rPr>
          <w:rStyle w:val="Lienhypertexte"/>
          <w:color w:val="auto"/>
          <w:u w:val="none"/>
        </w:rPr>
        <w:t xml:space="preserve">27 avril 2020 </w:t>
      </w:r>
      <w:r w:rsidRPr="004D07FD">
        <w:t xml:space="preserve">; </w:t>
      </w:r>
      <w:r w:rsidRPr="00772F66">
        <w:rPr>
          <w:smallCaps/>
        </w:rPr>
        <w:t>S. Touzé</w:t>
      </w:r>
      <w:r>
        <w:t xml:space="preserve">, « La restriction vaudra toujours mieux que la dérogation… », </w:t>
      </w:r>
      <w:hyperlink r:id="rId3" w:history="1">
        <w:r w:rsidRPr="006B75BB">
          <w:rPr>
            <w:rStyle w:val="Lienhypertexte"/>
          </w:rPr>
          <w:t>https://www.leclubdesjuristes.com/blog-du-coronavirus/</w:t>
        </w:r>
      </w:hyperlink>
      <w:r>
        <w:rPr>
          <w:rStyle w:val="Lienhypertexte"/>
        </w:rPr>
        <w:t>,</w:t>
      </w:r>
      <w:r w:rsidRPr="004D07FD">
        <w:rPr>
          <w:rStyle w:val="Lienhypertexte"/>
          <w:color w:val="auto"/>
          <w:u w:val="none"/>
        </w:rPr>
        <w:t xml:space="preserve"> 22 avril 2020 </w:t>
      </w:r>
      <w:r w:rsidRPr="004D07FD">
        <w:t>;</w:t>
      </w:r>
      <w:r>
        <w:t xml:space="preserve"> </w:t>
      </w:r>
      <w:r w:rsidRPr="00772F66">
        <w:rPr>
          <w:smallCaps/>
        </w:rPr>
        <w:t>T. Renoux</w:t>
      </w:r>
      <w:r w:rsidRPr="003D31CC">
        <w:t xml:space="preserve">, « Pas de mise en quarantaine de la Convention européenne des droits de l’homme », </w:t>
      </w:r>
      <w:hyperlink r:id="rId4" w:history="1">
        <w:r w:rsidRPr="00877ACD">
          <w:rPr>
            <w:rStyle w:val="Lienhypertexte"/>
          </w:rPr>
          <w:t>https://www.leclubdesjuristes.com/blog-du-coronavirus/</w:t>
        </w:r>
      </w:hyperlink>
      <w:r>
        <w:rPr>
          <w:rStyle w:val="Lienhypertexte"/>
        </w:rPr>
        <w:t xml:space="preserve">, </w:t>
      </w:r>
      <w:r w:rsidRPr="004D07FD">
        <w:rPr>
          <w:rStyle w:val="Lienhypertexte"/>
          <w:color w:val="auto"/>
          <w:u w:val="none"/>
        </w:rPr>
        <w:t>24 avril 2020</w:t>
      </w:r>
      <w:r>
        <w:t xml:space="preserve">. </w:t>
      </w:r>
    </w:p>
  </w:footnote>
  <w:footnote w:id="12">
    <w:p w14:paraId="276AAF10" w14:textId="75498D0E" w:rsidR="00AE7729" w:rsidRPr="00772F66" w:rsidRDefault="00AE7729" w:rsidP="00256733">
      <w:pPr>
        <w:pStyle w:val="Notedebasdepage"/>
        <w:jc w:val="both"/>
        <w:rPr>
          <w:color w:val="FF0000"/>
          <w:lang w:val="en-US"/>
        </w:rPr>
      </w:pPr>
      <w:r>
        <w:rPr>
          <w:rStyle w:val="Appelnotedebasdep"/>
        </w:rPr>
        <w:footnoteRef/>
      </w:r>
      <w:r w:rsidRPr="003304E0">
        <w:rPr>
          <w:lang w:val="en-US"/>
        </w:rPr>
        <w:t xml:space="preserve"> </w:t>
      </w:r>
      <w:r w:rsidRPr="00772F66">
        <w:rPr>
          <w:rFonts w:eastAsiaTheme="minorEastAsia"/>
          <w:smallCaps/>
          <w:lang w:val="en-US"/>
        </w:rPr>
        <w:t>K. Dzehtsiarou</w:t>
      </w:r>
      <w:r w:rsidRPr="003D31CC">
        <w:rPr>
          <w:rFonts w:eastAsiaTheme="minorEastAsia"/>
          <w:lang w:val="en-US"/>
        </w:rPr>
        <w:t xml:space="preserve">, « COVID-19 and the European Convention on Human Rights », </w:t>
      </w:r>
      <w:hyperlink r:id="rId5" w:history="1">
        <w:r w:rsidRPr="003D31CC">
          <w:rPr>
            <w:rFonts w:eastAsiaTheme="minorEastAsia"/>
            <w:lang w:val="en-US"/>
          </w:rPr>
          <w:t>https://strasbourgobservers.com</w:t>
        </w:r>
      </w:hyperlink>
      <w:r>
        <w:rPr>
          <w:rFonts w:eastAsiaTheme="minorEastAsia"/>
          <w:lang w:val="en-US"/>
        </w:rPr>
        <w:t xml:space="preserve">; </w:t>
      </w:r>
      <w:r w:rsidRPr="00772F66">
        <w:rPr>
          <w:smallCaps/>
          <w:lang w:val="en-US"/>
        </w:rPr>
        <w:t>M</w:t>
      </w:r>
      <w:r w:rsidRPr="00772F66">
        <w:rPr>
          <w:rFonts w:eastAsiaTheme="minorEastAsia"/>
          <w:smallCaps/>
          <w:lang w:val="en-US"/>
        </w:rPr>
        <w:t>. Scheinin</w:t>
      </w:r>
      <w:r w:rsidRPr="003D31CC">
        <w:rPr>
          <w:rFonts w:eastAsiaTheme="minorEastAsia"/>
          <w:lang w:val="en-US"/>
        </w:rPr>
        <w:t xml:space="preserve">, “COVID-19 Symposium: To Derogate or Not to Derogate?”, </w:t>
      </w:r>
      <w:hyperlink r:id="rId6" w:history="1">
        <w:r w:rsidRPr="003D31CC">
          <w:rPr>
            <w:rStyle w:val="Lienhypertexte"/>
            <w:rFonts w:eastAsiaTheme="minorEastAsia"/>
            <w:lang w:val="en-US"/>
          </w:rPr>
          <w:t>https://opiniojuris.org/2020/04/06/covid-19-symposium-to-derogate-or-not-to-derogate/</w:t>
        </w:r>
      </w:hyperlink>
      <w:r>
        <w:rPr>
          <w:rStyle w:val="Lienhypertexte"/>
          <w:rFonts w:eastAsiaTheme="minorEastAsia"/>
          <w:lang w:val="en-US"/>
        </w:rPr>
        <w:t>,</w:t>
      </w:r>
      <w:r w:rsidRPr="004D07FD">
        <w:rPr>
          <w:rStyle w:val="Lienhypertexte"/>
          <w:rFonts w:eastAsiaTheme="minorEastAsia"/>
          <w:color w:val="auto"/>
          <w:u w:val="none"/>
          <w:lang w:val="en-US"/>
        </w:rPr>
        <w:t xml:space="preserve"> 6 avril 2020 ; </w:t>
      </w:r>
      <w:r w:rsidRPr="00772F66">
        <w:rPr>
          <w:smallCaps/>
          <w:color w:val="000000" w:themeColor="text1"/>
          <w:lang w:val="en-US"/>
        </w:rPr>
        <w:t>A. Greene</w:t>
      </w:r>
      <w:r w:rsidRPr="00112BB0">
        <w:rPr>
          <w:color w:val="000000" w:themeColor="text1"/>
          <w:lang w:val="en-US"/>
        </w:rPr>
        <w:t xml:space="preserve">, “States should declare a State of Emergency using Article 15 ECHR to confront the Coronavirus Pandemic”, </w:t>
      </w:r>
      <w:hyperlink r:id="rId7" w:history="1">
        <w:r w:rsidRPr="00112BB0">
          <w:rPr>
            <w:rFonts w:eastAsiaTheme="minorEastAsia"/>
            <w:color w:val="000000" w:themeColor="text1"/>
            <w:lang w:val="en-US"/>
          </w:rPr>
          <w:t>https://strasbourgobservers.com</w:t>
        </w:r>
      </w:hyperlink>
      <w:r>
        <w:rPr>
          <w:rFonts w:eastAsiaTheme="minorEastAsia"/>
          <w:color w:val="000000" w:themeColor="text1"/>
          <w:lang w:val="en-US"/>
        </w:rPr>
        <w:t xml:space="preserve">, 1er avril </w:t>
      </w:r>
      <w:r w:rsidRPr="004D07FD">
        <w:rPr>
          <w:rFonts w:eastAsiaTheme="minorEastAsia"/>
          <w:lang w:val="en-US"/>
        </w:rPr>
        <w:t>2020.</w:t>
      </w:r>
    </w:p>
  </w:footnote>
  <w:footnote w:id="13">
    <w:p w14:paraId="4E86024C" w14:textId="35F5523B" w:rsidR="00AE7729" w:rsidRPr="00256733" w:rsidRDefault="00AE7729" w:rsidP="00256733">
      <w:pPr>
        <w:autoSpaceDE w:val="0"/>
        <w:autoSpaceDN w:val="0"/>
        <w:adjustRightInd w:val="0"/>
        <w:jc w:val="both"/>
        <w:rPr>
          <w:sz w:val="20"/>
          <w:szCs w:val="20"/>
          <w:lang w:val="nl-NL"/>
        </w:rPr>
      </w:pPr>
      <w:r w:rsidRPr="00256733">
        <w:rPr>
          <w:rStyle w:val="Appelnotedebasdep"/>
          <w:sz w:val="20"/>
          <w:szCs w:val="20"/>
        </w:rPr>
        <w:footnoteRef/>
      </w:r>
      <w:r w:rsidRPr="00256733">
        <w:rPr>
          <w:sz w:val="20"/>
          <w:szCs w:val="20"/>
        </w:rPr>
        <w:t xml:space="preserve"> Pour un aperçu récent de la matière, voy</w:t>
      </w:r>
      <w:r w:rsidRPr="00256733">
        <w:rPr>
          <w:smallCaps/>
          <w:sz w:val="20"/>
          <w:szCs w:val="20"/>
        </w:rPr>
        <w:t>. M. Afroukh</w:t>
      </w:r>
      <w:r w:rsidRPr="00256733">
        <w:rPr>
          <w:sz w:val="20"/>
          <w:szCs w:val="20"/>
        </w:rPr>
        <w:t xml:space="preserve">, </w:t>
      </w:r>
      <w:r w:rsidRPr="00256733">
        <w:rPr>
          <w:color w:val="000000" w:themeColor="text1"/>
          <w:sz w:val="20"/>
          <w:szCs w:val="20"/>
        </w:rPr>
        <w:t xml:space="preserve">« Covid-19 et droit de dérogation : les réponses du droit international des droits de l’homme », </w:t>
      </w:r>
      <w:r w:rsidRPr="00256733">
        <w:rPr>
          <w:i/>
          <w:color w:val="000000" w:themeColor="text1"/>
          <w:sz w:val="20"/>
          <w:szCs w:val="20"/>
        </w:rPr>
        <w:t xml:space="preserve">RDLF, </w:t>
      </w:r>
      <w:r w:rsidRPr="00256733">
        <w:rPr>
          <w:color w:val="000000" w:themeColor="text1"/>
          <w:sz w:val="20"/>
          <w:szCs w:val="20"/>
        </w:rPr>
        <w:t xml:space="preserve">2020, Chron., n°40. Voy. encore </w:t>
      </w:r>
      <w:r w:rsidRPr="00256733">
        <w:rPr>
          <w:smallCaps/>
          <w:color w:val="000000" w:themeColor="text1"/>
          <w:sz w:val="20"/>
          <w:szCs w:val="20"/>
        </w:rPr>
        <w:t>L. Hennebel</w:t>
      </w:r>
      <w:r w:rsidRPr="00256733">
        <w:rPr>
          <w:color w:val="000000" w:themeColor="text1"/>
          <w:sz w:val="20"/>
          <w:szCs w:val="20"/>
        </w:rPr>
        <w:t xml:space="preserve"> et </w:t>
      </w:r>
      <w:r w:rsidRPr="00256733">
        <w:rPr>
          <w:smallCaps/>
          <w:color w:val="000000" w:themeColor="text1"/>
          <w:sz w:val="20"/>
          <w:szCs w:val="20"/>
        </w:rPr>
        <w:t>H. Tigroudja</w:t>
      </w:r>
      <w:r w:rsidRPr="00256733">
        <w:rPr>
          <w:color w:val="000000" w:themeColor="text1"/>
          <w:sz w:val="20"/>
          <w:szCs w:val="20"/>
        </w:rPr>
        <w:t xml:space="preserve">, </w:t>
      </w:r>
      <w:r w:rsidRPr="00256733">
        <w:rPr>
          <w:i/>
          <w:color w:val="000000" w:themeColor="text1"/>
          <w:sz w:val="20"/>
          <w:szCs w:val="20"/>
        </w:rPr>
        <w:t xml:space="preserve">Traité de droit international des droits de l’Homme, </w:t>
      </w:r>
      <w:r w:rsidRPr="00256733">
        <w:rPr>
          <w:color w:val="000000" w:themeColor="text1"/>
          <w:sz w:val="20"/>
          <w:szCs w:val="20"/>
        </w:rPr>
        <w:t>2</w:t>
      </w:r>
      <w:r w:rsidRPr="00256733">
        <w:rPr>
          <w:color w:val="000000" w:themeColor="text1"/>
          <w:sz w:val="20"/>
          <w:szCs w:val="20"/>
          <w:vertAlign w:val="superscript"/>
        </w:rPr>
        <w:t>ème</w:t>
      </w:r>
      <w:r w:rsidRPr="00256733">
        <w:rPr>
          <w:color w:val="000000" w:themeColor="text1"/>
          <w:sz w:val="20"/>
          <w:szCs w:val="20"/>
        </w:rPr>
        <w:t xml:space="preserve"> éd., 2018, Paris, Pedone, pp. 713 ss. </w:t>
      </w:r>
      <w:r w:rsidRPr="00256733">
        <w:rPr>
          <w:color w:val="000000" w:themeColor="text1"/>
          <w:sz w:val="20"/>
          <w:szCs w:val="20"/>
          <w:lang w:val="en-US"/>
        </w:rPr>
        <w:t xml:space="preserve">S’agissant spécifiquement de l’article 15 de la CEDH, voy. e. a. </w:t>
      </w:r>
      <w:r w:rsidRPr="00256733">
        <w:rPr>
          <w:smallCaps/>
          <w:color w:val="000000" w:themeColor="text1"/>
          <w:sz w:val="20"/>
          <w:szCs w:val="20"/>
          <w:lang w:val="en-US"/>
        </w:rPr>
        <w:t xml:space="preserve">T. </w:t>
      </w:r>
      <w:r w:rsidRPr="00256733">
        <w:rPr>
          <w:rFonts w:eastAsiaTheme="minorHAnsi"/>
          <w:smallCaps/>
          <w:sz w:val="20"/>
          <w:szCs w:val="20"/>
          <w:lang w:val="en-US" w:eastAsia="en-US"/>
        </w:rPr>
        <w:t>Mariniello</w:t>
      </w:r>
      <w:r w:rsidRPr="00256733">
        <w:rPr>
          <w:rFonts w:eastAsiaTheme="minorHAnsi"/>
          <w:sz w:val="20"/>
          <w:szCs w:val="20"/>
          <w:lang w:val="en-US" w:eastAsia="en-US"/>
        </w:rPr>
        <w:t>, "Prolonged Emergency and Derogation of Human Rights: Why the European Court Should Raise Its Immunity System</w:t>
      </w:r>
      <w:r w:rsidRPr="00256733">
        <w:rPr>
          <w:rFonts w:eastAsiaTheme="minorHAnsi"/>
          <w:i/>
          <w:sz w:val="20"/>
          <w:szCs w:val="20"/>
          <w:lang w:val="en-US" w:eastAsia="en-US"/>
        </w:rPr>
        <w:t>," German Law Journal</w:t>
      </w:r>
      <w:r w:rsidRPr="00256733">
        <w:rPr>
          <w:rFonts w:eastAsiaTheme="minorHAnsi"/>
          <w:sz w:val="20"/>
          <w:szCs w:val="20"/>
          <w:lang w:val="en-US" w:eastAsia="en-US"/>
        </w:rPr>
        <w:t xml:space="preserve"> 20, no. 1  (2019): 46-71; </w:t>
      </w:r>
      <w:r w:rsidRPr="00256733">
        <w:rPr>
          <w:rFonts w:eastAsiaTheme="minorHAnsi"/>
          <w:smallCaps/>
          <w:sz w:val="20"/>
          <w:szCs w:val="20"/>
          <w:lang w:val="en-US" w:eastAsia="en-US"/>
        </w:rPr>
        <w:t>P. Kempees</w:t>
      </w:r>
      <w:r w:rsidRPr="00256733">
        <w:rPr>
          <w:rFonts w:eastAsiaTheme="minorHAnsi"/>
          <w:sz w:val="20"/>
          <w:szCs w:val="20"/>
          <w:lang w:val="en-US" w:eastAsia="en-US"/>
        </w:rPr>
        <w:t xml:space="preserve">, </w:t>
      </w:r>
      <w:r w:rsidRPr="00256733">
        <w:rPr>
          <w:rFonts w:eastAsiaTheme="minorHAnsi"/>
          <w:i/>
          <w:sz w:val="20"/>
          <w:szCs w:val="20"/>
          <w:lang w:val="en-US" w:eastAsia="en-US"/>
        </w:rPr>
        <w:t>Thoughts on Article 15 of the European Convention on Human Rights</w:t>
      </w:r>
      <w:r w:rsidRPr="00256733">
        <w:rPr>
          <w:rFonts w:eastAsiaTheme="minorHAnsi"/>
          <w:sz w:val="20"/>
          <w:szCs w:val="20"/>
          <w:lang w:val="en-US" w:eastAsia="en-US"/>
        </w:rPr>
        <w:t xml:space="preserve">, Wolf Legal Publishers, 2017 ; </w:t>
      </w:r>
      <w:r w:rsidRPr="00256733">
        <w:rPr>
          <w:rFonts w:eastAsiaTheme="minorHAnsi"/>
          <w:smallCaps/>
          <w:sz w:val="20"/>
          <w:szCs w:val="20"/>
          <w:lang w:val="en-US" w:eastAsia="en-US"/>
        </w:rPr>
        <w:t>J.P. Loof</w:t>
      </w:r>
      <w:r w:rsidRPr="00256733">
        <w:rPr>
          <w:rFonts w:eastAsiaTheme="minorHAnsi"/>
          <w:sz w:val="20"/>
          <w:szCs w:val="20"/>
          <w:lang w:val="en-US" w:eastAsia="en-US"/>
        </w:rPr>
        <w:t xml:space="preserve">, </w:t>
      </w:r>
      <w:r w:rsidRPr="00256733">
        <w:rPr>
          <w:rFonts w:eastAsiaTheme="minorHAnsi"/>
          <w:i/>
          <w:iCs/>
          <w:sz w:val="20"/>
          <w:szCs w:val="20"/>
          <w:lang w:val="en-US" w:eastAsia="en-US"/>
        </w:rPr>
        <w:t xml:space="preserve">Mensenrechten en staatsveiligheid: verenigbare grootheden? </w:t>
      </w:r>
      <w:r w:rsidRPr="00256733">
        <w:rPr>
          <w:rFonts w:eastAsiaTheme="minorHAnsi"/>
          <w:i/>
          <w:iCs/>
          <w:sz w:val="20"/>
          <w:szCs w:val="20"/>
          <w:lang w:val="nl-NL" w:eastAsia="en-US"/>
        </w:rPr>
        <w:t>Opschorting en beperking van mensenrechtenbescherming tijdens noodtoestanden en andere situaties die de staatsveiligheid bedreigen</w:t>
      </w:r>
      <w:r w:rsidRPr="00256733">
        <w:rPr>
          <w:rFonts w:eastAsiaTheme="minorHAnsi"/>
          <w:sz w:val="20"/>
          <w:szCs w:val="20"/>
          <w:lang w:val="nl-NL" w:eastAsia="en-US"/>
        </w:rPr>
        <w:t xml:space="preserve">, Nijmegen, Wolf Legal Publishers, </w:t>
      </w:r>
      <w:proofErr w:type="gramStart"/>
      <w:r w:rsidRPr="00256733">
        <w:rPr>
          <w:rFonts w:eastAsiaTheme="minorHAnsi"/>
          <w:sz w:val="20"/>
          <w:szCs w:val="20"/>
          <w:lang w:val="nl-NL" w:eastAsia="en-US"/>
        </w:rPr>
        <w:t>2005 ;</w:t>
      </w:r>
      <w:proofErr w:type="gramEnd"/>
      <w:r w:rsidRPr="00256733">
        <w:rPr>
          <w:rFonts w:eastAsiaTheme="minorHAnsi"/>
          <w:sz w:val="20"/>
          <w:szCs w:val="20"/>
          <w:lang w:val="nl-NL" w:eastAsia="en-US"/>
        </w:rPr>
        <w:t xml:space="preserve"> </w:t>
      </w:r>
      <w:r w:rsidRPr="00256733">
        <w:rPr>
          <w:rFonts w:eastAsiaTheme="minorHAnsi"/>
          <w:smallCaps/>
          <w:sz w:val="20"/>
          <w:szCs w:val="20"/>
          <w:lang w:val="nl-NL" w:eastAsia="en-US"/>
        </w:rPr>
        <w:t>B. Van Der Sloot</w:t>
      </w:r>
      <w:r w:rsidRPr="00256733">
        <w:rPr>
          <w:rFonts w:eastAsiaTheme="minorHAnsi"/>
          <w:sz w:val="20"/>
          <w:szCs w:val="20"/>
          <w:lang w:val="nl-NL" w:eastAsia="en-US"/>
        </w:rPr>
        <w:t xml:space="preserve">, « Langs lijnen van geleidelijkheid: een jurisprudentieanalyse van Artikel 15 EVRM », NJCM-Bulletin, 2012/2, pp. 208 et suiv. ; </w:t>
      </w:r>
      <w:r w:rsidRPr="00256733">
        <w:rPr>
          <w:rFonts w:eastAsiaTheme="minorHAnsi"/>
          <w:smallCaps/>
          <w:sz w:val="20"/>
          <w:szCs w:val="20"/>
          <w:lang w:val="nl-NL" w:eastAsia="en-US"/>
        </w:rPr>
        <w:t>V. Souty</w:t>
      </w:r>
      <w:r w:rsidRPr="00256733">
        <w:rPr>
          <w:rFonts w:eastAsiaTheme="minorHAnsi"/>
          <w:sz w:val="20"/>
          <w:szCs w:val="20"/>
          <w:lang w:val="nl-NL" w:eastAsia="en-US"/>
        </w:rPr>
        <w:t xml:space="preserve">, « Les dérogations en cas de circonstances exceptionnelles », </w:t>
      </w:r>
      <w:r w:rsidRPr="00256733">
        <w:rPr>
          <w:rFonts w:eastAsiaTheme="minorHAnsi"/>
          <w:i/>
          <w:sz w:val="20"/>
          <w:szCs w:val="20"/>
          <w:lang w:val="nl-NL" w:eastAsia="en-US"/>
        </w:rPr>
        <w:t>Rev. trim. dr. h.,</w:t>
      </w:r>
      <w:r w:rsidRPr="00256733">
        <w:rPr>
          <w:rFonts w:eastAsiaTheme="minorHAnsi"/>
          <w:sz w:val="20"/>
          <w:szCs w:val="20"/>
          <w:lang w:val="nl-NL" w:eastAsia="en-US"/>
        </w:rPr>
        <w:t xml:space="preserve"> 2017, pp. 89 et suiv.</w:t>
      </w:r>
    </w:p>
  </w:footnote>
  <w:footnote w:id="14">
    <w:p w14:paraId="7689BD52" w14:textId="06D70F2E" w:rsidR="00E10B31" w:rsidRPr="00E10B31" w:rsidRDefault="00E10B31">
      <w:pPr>
        <w:pStyle w:val="Notedebasdepage"/>
      </w:pPr>
      <w:r w:rsidRPr="00E10B31">
        <w:rPr>
          <w:rStyle w:val="Appelnotedebasdep"/>
          <w:highlight w:val="yellow"/>
        </w:rPr>
        <w:footnoteRef/>
      </w:r>
      <w:r w:rsidRPr="00E10B31">
        <w:rPr>
          <w:highlight w:val="yellow"/>
        </w:rPr>
        <w:t xml:space="preserve"> Voy. récemment, L. </w:t>
      </w:r>
      <w:r w:rsidRPr="00E10B31">
        <w:rPr>
          <w:smallCaps/>
          <w:highlight w:val="yellow"/>
        </w:rPr>
        <w:t>Helfer,</w:t>
      </w:r>
      <w:r w:rsidRPr="00E10B31">
        <w:rPr>
          <w:highlight w:val="yellow"/>
        </w:rPr>
        <w:t xml:space="preserve"> « Rethinking Derogation from Human Rights Trraties », </w:t>
      </w:r>
      <w:r w:rsidRPr="00E10B31">
        <w:rPr>
          <w:i/>
          <w:highlight w:val="yellow"/>
        </w:rPr>
        <w:t xml:space="preserve">American Journal of International Law, </w:t>
      </w:r>
      <w:r w:rsidRPr="00E10B31">
        <w:rPr>
          <w:highlight w:val="yellow"/>
        </w:rPr>
        <w:t>2021, Vol. 115, pp. 20 et suiv</w:t>
      </w:r>
    </w:p>
  </w:footnote>
  <w:footnote w:id="15">
    <w:p w14:paraId="23C68312" w14:textId="534C1F44" w:rsidR="00AE7729" w:rsidRPr="00834249" w:rsidRDefault="00AE7729" w:rsidP="00256733">
      <w:pPr>
        <w:pStyle w:val="Notedebasdepage"/>
        <w:jc w:val="both"/>
      </w:pPr>
      <w:r>
        <w:rPr>
          <w:rStyle w:val="Appelnotedebasdep"/>
        </w:rPr>
        <w:footnoteRef/>
      </w:r>
      <w:r>
        <w:t xml:space="preserve"> Pour l’interprétation de ces termes, voy. e.a. </w:t>
      </w:r>
      <w:r w:rsidRPr="00F42994">
        <w:rPr>
          <w:smallCaps/>
        </w:rPr>
        <w:t xml:space="preserve">L. Hennebel </w:t>
      </w:r>
      <w:r>
        <w:t xml:space="preserve">et </w:t>
      </w:r>
      <w:r w:rsidRPr="00F42994">
        <w:rPr>
          <w:smallCaps/>
        </w:rPr>
        <w:t>H. Tigroudja</w:t>
      </w:r>
      <w:r>
        <w:t xml:space="preserve">, </w:t>
      </w:r>
      <w:r>
        <w:rPr>
          <w:i/>
        </w:rPr>
        <w:t xml:space="preserve">Traité…, op. cit., </w:t>
      </w:r>
      <w:r>
        <w:t xml:space="preserve">p. 715-716. </w:t>
      </w:r>
    </w:p>
  </w:footnote>
  <w:footnote w:id="16">
    <w:p w14:paraId="2E16A699" w14:textId="77777777" w:rsidR="00AE7729" w:rsidRPr="000E20D6" w:rsidRDefault="00AE7729" w:rsidP="00256733">
      <w:pPr>
        <w:pStyle w:val="Notedebasdepage"/>
        <w:jc w:val="both"/>
      </w:pPr>
      <w:r w:rsidRPr="000E20D6">
        <w:rPr>
          <w:rStyle w:val="Appelnotedebasdep"/>
        </w:rPr>
        <w:footnoteRef/>
      </w:r>
      <w:r w:rsidRPr="000E20D6">
        <w:t xml:space="preserve"> Tout au contraire, l’article 38 de cette convention prévoit que </w:t>
      </w:r>
    </w:p>
    <w:p w14:paraId="65E956FC" w14:textId="36020F47" w:rsidR="00AE7729" w:rsidRPr="000E20D6" w:rsidRDefault="00AE7729" w:rsidP="00256733">
      <w:pPr>
        <w:pStyle w:val="Notedebasdepage"/>
        <w:jc w:val="both"/>
        <w:rPr>
          <w:color w:val="000000"/>
        </w:rPr>
      </w:pPr>
      <w:r w:rsidRPr="000E20D6">
        <w:t>« </w:t>
      </w:r>
      <w:r w:rsidRPr="000E20D6">
        <w:rPr>
          <w:color w:val="000000"/>
        </w:rPr>
        <w:t xml:space="preserve">1. Les Etats parties s'engagent à respecter et à faire respecter les règles du droit humanitaire international qui leur sont applicables en cas de conflit armé et dont la protection s'étend aux enfants. </w:t>
      </w:r>
    </w:p>
    <w:p w14:paraId="3822FC5E" w14:textId="43BAFAC8" w:rsidR="00AE7729" w:rsidRPr="000E20D6" w:rsidRDefault="00AE7729" w:rsidP="00256733">
      <w:pPr>
        <w:pStyle w:val="Notedebasdepage"/>
        <w:jc w:val="both"/>
        <w:rPr>
          <w:color w:val="000000"/>
        </w:rPr>
      </w:pPr>
      <w:r w:rsidRPr="000E20D6">
        <w:rPr>
          <w:color w:val="000000"/>
        </w:rPr>
        <w:t xml:space="preserve">2. Les </w:t>
      </w:r>
      <w:r w:rsidRPr="000E20D6">
        <w:t>Etats</w:t>
      </w:r>
      <w:r w:rsidRPr="000E20D6">
        <w:rPr>
          <w:color w:val="000000"/>
        </w:rPr>
        <w:t xml:space="preserve"> parties prennent toutes les mesures possibles dans la pratique pour veiller à ce que les personnes n'ayant pas atteint l'âge de quinze ans ne participent pas directement aux hostilités. </w:t>
      </w:r>
    </w:p>
    <w:p w14:paraId="31386A4E" w14:textId="77777777" w:rsidR="00AE7729" w:rsidRPr="00B80C74" w:rsidRDefault="00AE7729" w:rsidP="00256733">
      <w:pPr>
        <w:pStyle w:val="Notedebasdepage"/>
        <w:jc w:val="both"/>
        <w:rPr>
          <w:color w:val="000000"/>
        </w:rPr>
      </w:pPr>
      <w:r w:rsidRPr="00B80C74">
        <w:rPr>
          <w:color w:val="000000"/>
        </w:rPr>
        <w:t xml:space="preserve">3. Les </w:t>
      </w:r>
      <w:r w:rsidRPr="00B80C74">
        <w:t>Etats</w:t>
      </w:r>
      <w:r w:rsidRPr="00B80C74">
        <w:rPr>
          <w:color w:val="000000"/>
        </w:rPr>
        <w:t xml:space="preserve"> parties s'abstiennent d'enrôler dans leurs forces armées toute personne n'ayant pas atteint l'âge de quinze ans. Lorsqu'ils incorporent des personnes de plus de quinze ans mais de moins de dix-huit ans, les Etats parties s'efforcent d'enrôler en priorité les plus âgées.</w:t>
      </w:r>
      <w:r w:rsidRPr="000E20D6">
        <w:rPr>
          <w:color w:val="000000"/>
        </w:rPr>
        <w:t> </w:t>
      </w:r>
    </w:p>
    <w:p w14:paraId="4ED21154" w14:textId="06198109" w:rsidR="00AE7729" w:rsidRPr="00B80C74" w:rsidRDefault="00AE7729" w:rsidP="00256733">
      <w:pPr>
        <w:pStyle w:val="Notedebasdepage"/>
        <w:jc w:val="both"/>
      </w:pPr>
      <w:r w:rsidRPr="00B80C74">
        <w:rPr>
          <w:color w:val="000000"/>
        </w:rPr>
        <w:t xml:space="preserve">4. </w:t>
      </w:r>
      <w:r w:rsidRPr="00B80C74">
        <w:t>Conformément</w:t>
      </w:r>
      <w:r w:rsidRPr="00B80C74">
        <w:rPr>
          <w:color w:val="000000"/>
        </w:rPr>
        <w:t xml:space="preserve"> à l'obligation qui leur incombe en vertu du droit humanitaire international de protéger la population civile en cas de conflit armé, les </w:t>
      </w:r>
      <w:r w:rsidR="00F35F1E" w:rsidRPr="00B80C74">
        <w:rPr>
          <w:color w:val="000000"/>
        </w:rPr>
        <w:t>États</w:t>
      </w:r>
      <w:r w:rsidRPr="00B80C74">
        <w:rPr>
          <w:color w:val="000000"/>
        </w:rPr>
        <w:t xml:space="preserve"> parties prennent toutes les mesures possibles dans la pratique pour que les enfants qui sont touchés par un conflit armé bénéficient d'une protection et de soin</w:t>
      </w:r>
      <w:r w:rsidRPr="000E20D6">
        <w:rPr>
          <w:color w:val="000000"/>
        </w:rPr>
        <w:t>s »</w:t>
      </w:r>
      <w:r>
        <w:t xml:space="preserve">. </w:t>
      </w:r>
    </w:p>
  </w:footnote>
  <w:footnote w:id="17">
    <w:p w14:paraId="6BE48AA2" w14:textId="5F5082ED" w:rsidR="00AE7729" w:rsidRPr="000E20D6" w:rsidRDefault="00AE7729" w:rsidP="00256733">
      <w:pPr>
        <w:jc w:val="both"/>
        <w:rPr>
          <w:sz w:val="20"/>
          <w:szCs w:val="20"/>
        </w:rPr>
      </w:pPr>
      <w:r w:rsidRPr="000E20D6">
        <w:rPr>
          <w:rStyle w:val="Appelnotedebasdep"/>
          <w:sz w:val="20"/>
          <w:szCs w:val="20"/>
        </w:rPr>
        <w:footnoteRef/>
      </w:r>
      <w:r w:rsidRPr="000E20D6">
        <w:rPr>
          <w:sz w:val="20"/>
          <w:szCs w:val="20"/>
        </w:rPr>
        <w:t xml:space="preserve"> Tout au contraire l’article 11 de cette Convention prévoit-elle que « </w:t>
      </w:r>
      <w:r w:rsidRPr="000E20D6">
        <w:rPr>
          <w:color w:val="000000"/>
          <w:sz w:val="20"/>
          <w:szCs w:val="20"/>
          <w:shd w:val="clear" w:color="auto" w:fill="FFFFFF"/>
        </w:rPr>
        <w:t xml:space="preserve">Les États Parties prennent, conformément aux obligations qui leur incombent en vertu du droit international, notamment le droit international humanitaire et le droit international des droits de l'homme, toutes mesures nécessaires pour assurer la protection et la sûreté des personnes handicapées dans les situations de risque, y compris les conflits armés, les crises humanitaires et les catastrophes naturelles ». Pour un commentaire de cette disposition, voy. </w:t>
      </w:r>
      <w:r w:rsidRPr="00D82776">
        <w:rPr>
          <w:smallCaps/>
          <w:color w:val="000000"/>
          <w:sz w:val="20"/>
          <w:szCs w:val="20"/>
          <w:shd w:val="clear" w:color="auto" w:fill="FFFFFF"/>
        </w:rPr>
        <w:t>S. Motz</w:t>
      </w:r>
      <w:r w:rsidRPr="00D82776">
        <w:rPr>
          <w:color w:val="000000"/>
          <w:sz w:val="20"/>
          <w:szCs w:val="20"/>
          <w:shd w:val="clear" w:color="auto" w:fill="FFFFFF"/>
        </w:rPr>
        <w:t xml:space="preserve">, « Situations of Risks and Humanitarian Emergencies », </w:t>
      </w:r>
      <w:r w:rsidRPr="00D82776">
        <w:rPr>
          <w:i/>
          <w:color w:val="000000"/>
          <w:sz w:val="20"/>
          <w:szCs w:val="20"/>
          <w:shd w:val="clear" w:color="auto" w:fill="FFFFFF"/>
        </w:rPr>
        <w:t xml:space="preserve">The UN Convention on the Rights of Persons with disabilities. </w:t>
      </w:r>
      <w:r w:rsidRPr="000E20D6">
        <w:rPr>
          <w:i/>
          <w:color w:val="000000"/>
          <w:sz w:val="20"/>
          <w:szCs w:val="20"/>
          <w:shd w:val="clear" w:color="auto" w:fill="FFFFFF"/>
        </w:rPr>
        <w:t xml:space="preserve">A Commentary, </w:t>
      </w:r>
      <w:r w:rsidRPr="000E20D6">
        <w:rPr>
          <w:color w:val="000000"/>
          <w:sz w:val="20"/>
          <w:szCs w:val="20"/>
          <w:shd w:val="clear" w:color="auto" w:fill="FFFFFF"/>
        </w:rPr>
        <w:t xml:space="preserve">sous la dir. de I. Bantekas, M.A. Stein et D. Anastasiou, OUP, 2018, pp. 314 et suiv. </w:t>
      </w:r>
      <w:r w:rsidRPr="000E20D6">
        <w:rPr>
          <w:sz w:val="20"/>
          <w:szCs w:val="20"/>
        </w:rPr>
        <w:t xml:space="preserve"> </w:t>
      </w:r>
    </w:p>
  </w:footnote>
  <w:footnote w:id="18">
    <w:p w14:paraId="00B2AC22" w14:textId="7135FC06" w:rsidR="00AE7729" w:rsidRPr="00461F68" w:rsidRDefault="00AE7729" w:rsidP="00256733">
      <w:pPr>
        <w:pStyle w:val="Notedebasdepage"/>
        <w:jc w:val="both"/>
        <w:rPr>
          <w:lang w:val="en-US"/>
        </w:rPr>
      </w:pPr>
      <w:r w:rsidRPr="00461F68">
        <w:rPr>
          <w:rStyle w:val="Appelnotedebasdep"/>
        </w:rPr>
        <w:footnoteRef/>
      </w:r>
      <w:r w:rsidRPr="00461F68">
        <w:t xml:space="preserve"> Voy. Commission africaine des droits de l’Homme, </w:t>
      </w:r>
      <w:r w:rsidRPr="00461F68">
        <w:rPr>
          <w:i/>
        </w:rPr>
        <w:t xml:space="preserve">Sudan Human Rights Organization et al. v. Sudan, </w:t>
      </w:r>
      <w:r w:rsidRPr="00461F68">
        <w:t xml:space="preserve">décision du 13-27mai 2009, petititon n°279/03, § 165 (reprenant l’enseignement de </w:t>
      </w:r>
      <w:r w:rsidRPr="00461F68">
        <w:rPr>
          <w:i/>
        </w:rPr>
        <w:t>Constitutional Rights Projet c. Nigeria) </w:t>
      </w:r>
      <w:r w:rsidRPr="00461F68">
        <w:t xml:space="preserve">: « In contrast to other international human rights instruments, the African Charter does not contain a derogation clause. </w:t>
      </w:r>
      <w:r w:rsidRPr="00461F68">
        <w:rPr>
          <w:lang w:val="en-US"/>
        </w:rPr>
        <w:t xml:space="preserve">Therefore, limitations on the rights and freedoms enshrined in the Charter cannot be justified by emergencies or special circumstances. The only legitimate reasons for limitations of the rights and freedoms of the African Charter are found in article 27(2), that is, that the rights of the Charter 'shall be exercised with due regard to the rights of others, collective security, morality and common interest'; </w:t>
      </w:r>
      <w:r w:rsidRPr="00461F68">
        <w:rPr>
          <w:smallCaps/>
          <w:shd w:val="clear" w:color="auto" w:fill="FFFFFF"/>
          <w:lang w:val="en-US"/>
        </w:rPr>
        <w:t>L. Sermet</w:t>
      </w:r>
      <w:r w:rsidRPr="00461F68">
        <w:rPr>
          <w:shd w:val="clear" w:color="auto" w:fill="FFFFFF"/>
          <w:lang w:val="en-US"/>
        </w:rPr>
        <w:t>, « De la carence dans la Charte africaine des droits de l’homme et des peuples de la clause de dérogation aux droits de l’homme », </w:t>
      </w:r>
      <w:r w:rsidRPr="00461F68">
        <w:rPr>
          <w:i/>
          <w:iCs/>
          <w:lang w:val="en-US"/>
        </w:rPr>
        <w:t>RGDIP</w:t>
      </w:r>
      <w:r w:rsidRPr="00461F68">
        <w:rPr>
          <w:shd w:val="clear" w:color="auto" w:fill="FFFFFF"/>
          <w:lang w:val="en-US"/>
        </w:rPr>
        <w:t xml:space="preserve">, 2005, p. 399. </w:t>
      </w:r>
    </w:p>
  </w:footnote>
  <w:footnote w:id="19">
    <w:p w14:paraId="7C366895" w14:textId="073CD2B2" w:rsidR="00AE7729" w:rsidRPr="00FB6D53" w:rsidRDefault="00AE7729" w:rsidP="00256733">
      <w:pPr>
        <w:pStyle w:val="Notedebasdepage"/>
        <w:jc w:val="both"/>
      </w:pPr>
      <w:r>
        <w:rPr>
          <w:rStyle w:val="Appelnotedebasdep"/>
        </w:rPr>
        <w:footnoteRef/>
      </w:r>
      <w:r>
        <w:t xml:space="preserve"> </w:t>
      </w:r>
      <w:r>
        <w:rPr>
          <w:i/>
        </w:rPr>
        <w:t xml:space="preserve">JOUE, </w:t>
      </w:r>
      <w:r>
        <w:t xml:space="preserve">14 décembre 2007, C-303/17. </w:t>
      </w:r>
    </w:p>
  </w:footnote>
  <w:footnote w:id="20">
    <w:p w14:paraId="306357C1" w14:textId="0C34BCB1" w:rsidR="00AE7729" w:rsidRPr="00FB6D53" w:rsidRDefault="00AE7729" w:rsidP="00256733">
      <w:pPr>
        <w:pStyle w:val="Notedebasdepage"/>
        <w:jc w:val="both"/>
      </w:pPr>
      <w:r>
        <w:rPr>
          <w:rStyle w:val="Appelnotedebasdep"/>
        </w:rPr>
        <w:footnoteRef/>
      </w:r>
      <w:r>
        <w:t xml:space="preserve"> Voy. sur ces limitations, </w:t>
      </w:r>
      <w:r w:rsidRPr="00256733">
        <w:rPr>
          <w:smallCaps/>
        </w:rPr>
        <w:t>S. Van Drooghenbroeck</w:t>
      </w:r>
      <w:r>
        <w:t xml:space="preserve"> et </w:t>
      </w:r>
      <w:r w:rsidRPr="00256733">
        <w:rPr>
          <w:smallCaps/>
        </w:rPr>
        <w:t>C. Rizcallah</w:t>
      </w:r>
      <w:r>
        <w:t xml:space="preserve">, « Article 52-1. Limitations aux droits garantis », </w:t>
      </w:r>
      <w:r>
        <w:rPr>
          <w:i/>
        </w:rPr>
        <w:t xml:space="preserve">La Charte des droits fondamentaux de l’Union européenne. Commentaire article par article, </w:t>
      </w:r>
      <w:r>
        <w:t>sous la dir. de F. Picod, C. Rizcallah et S. Van Drooghenbroeck, 2</w:t>
      </w:r>
      <w:r w:rsidRPr="00FB6D53">
        <w:rPr>
          <w:vertAlign w:val="superscript"/>
        </w:rPr>
        <w:t>ème</w:t>
      </w:r>
      <w:r>
        <w:t xml:space="preserve"> éd., </w:t>
      </w:r>
      <w:r w:rsidRPr="00C73A0B">
        <w:rPr>
          <w:color w:val="000000" w:themeColor="text1"/>
        </w:rPr>
        <w:t>2020</w:t>
      </w:r>
      <w:r w:rsidRPr="00C73A0B">
        <w:t>,</w:t>
      </w:r>
      <w:r>
        <w:t xml:space="preserve"> pp. 1249 et suiv</w:t>
      </w:r>
    </w:p>
  </w:footnote>
  <w:footnote w:id="21">
    <w:p w14:paraId="45429DCD" w14:textId="07264084" w:rsidR="00AE7729" w:rsidRPr="00256733" w:rsidRDefault="00AE7729" w:rsidP="00256733">
      <w:pPr>
        <w:pStyle w:val="Notedebasdepage"/>
        <w:jc w:val="both"/>
        <w:rPr>
          <w:lang w:val="en-US"/>
        </w:rPr>
      </w:pPr>
      <w:r>
        <w:rPr>
          <w:rStyle w:val="Appelnotedebasdep"/>
        </w:rPr>
        <w:footnoteRef/>
      </w:r>
      <w:r w:rsidRPr="002C7740">
        <w:rPr>
          <w:lang w:val="en-US"/>
        </w:rPr>
        <w:t xml:space="preserve"> Comp. </w:t>
      </w:r>
      <w:r w:rsidRPr="000E5DE3">
        <w:rPr>
          <w:lang w:val="en-US"/>
        </w:rPr>
        <w:t>cependant</w:t>
      </w:r>
      <w:r w:rsidRPr="002C7740">
        <w:rPr>
          <w:lang w:val="en-US"/>
        </w:rPr>
        <w:t xml:space="preserve"> </w:t>
      </w:r>
      <w:r w:rsidRPr="00256733">
        <w:rPr>
          <w:smallCaps/>
          <w:lang w:val="en-US"/>
        </w:rPr>
        <w:t>B. Saul, D. Kinley</w:t>
      </w:r>
      <w:r w:rsidRPr="002C7740">
        <w:rPr>
          <w:lang w:val="en-US"/>
        </w:rPr>
        <w:t xml:space="preserve"> et </w:t>
      </w:r>
      <w:r w:rsidRPr="00256733">
        <w:rPr>
          <w:smallCaps/>
          <w:lang w:val="en-US"/>
        </w:rPr>
        <w:t>J. Mowbray</w:t>
      </w:r>
      <w:r w:rsidRPr="002C7740">
        <w:rPr>
          <w:lang w:val="en-US"/>
        </w:rPr>
        <w:t xml:space="preserve">, </w:t>
      </w:r>
      <w:r w:rsidRPr="002C7740">
        <w:rPr>
          <w:i/>
          <w:lang w:val="en-US"/>
        </w:rPr>
        <w:t xml:space="preserve">The international Covenant on Economic, Social and </w:t>
      </w:r>
      <w:r w:rsidRPr="00256733">
        <w:rPr>
          <w:i/>
          <w:lang w:val="en-US"/>
        </w:rPr>
        <w:t xml:space="preserve">Cultural Rights. Commentary, Cases and Material, </w:t>
      </w:r>
      <w:r w:rsidRPr="00256733">
        <w:rPr>
          <w:lang w:val="en-US"/>
        </w:rPr>
        <w:t xml:space="preserve">OUP, 2014, pp. 258 et suiv. </w:t>
      </w:r>
    </w:p>
  </w:footnote>
  <w:footnote w:id="22">
    <w:p w14:paraId="216770E2" w14:textId="16C97D77" w:rsidR="00AE7729" w:rsidRPr="00DC1568" w:rsidRDefault="00AE7729" w:rsidP="00256733">
      <w:pPr>
        <w:autoSpaceDE w:val="0"/>
        <w:autoSpaceDN w:val="0"/>
        <w:adjustRightInd w:val="0"/>
        <w:jc w:val="both"/>
        <w:rPr>
          <w:lang w:val="en-US"/>
        </w:rPr>
      </w:pPr>
      <w:r w:rsidRPr="00256733">
        <w:rPr>
          <w:rStyle w:val="Appelnotedebasdep"/>
          <w:sz w:val="20"/>
          <w:szCs w:val="20"/>
        </w:rPr>
        <w:footnoteRef/>
      </w:r>
      <w:r w:rsidRPr="00256733">
        <w:rPr>
          <w:sz w:val="20"/>
          <w:szCs w:val="20"/>
          <w:lang w:val="en-US"/>
        </w:rPr>
        <w:t xml:space="preserve"> </w:t>
      </w:r>
      <w:r w:rsidRPr="00256733">
        <w:rPr>
          <w:rFonts w:eastAsiaTheme="minorHAnsi"/>
          <w:sz w:val="20"/>
          <w:szCs w:val="20"/>
          <w:lang w:val="en-US" w:eastAsia="en-US"/>
        </w:rPr>
        <w:t xml:space="preserve">Voy. </w:t>
      </w:r>
      <w:r w:rsidRPr="00256733">
        <w:rPr>
          <w:rFonts w:eastAsiaTheme="minorHAnsi"/>
          <w:smallCaps/>
          <w:sz w:val="20"/>
          <w:szCs w:val="20"/>
          <w:lang w:val="en-US" w:eastAsia="en-US"/>
        </w:rPr>
        <w:t>A Müller</w:t>
      </w:r>
      <w:r w:rsidRPr="00256733">
        <w:rPr>
          <w:rFonts w:eastAsiaTheme="minorHAnsi"/>
          <w:sz w:val="20"/>
          <w:szCs w:val="20"/>
          <w:lang w:val="en-US" w:eastAsia="en-US"/>
        </w:rPr>
        <w:t>, "Limitations to and Derogations from Economic, Social and Cultural Rights," Human Rights Law Review 9, no. 4 (2009): 557-602</w:t>
      </w:r>
      <w:r>
        <w:rPr>
          <w:rFonts w:eastAsiaTheme="minorHAnsi"/>
          <w:sz w:val="20"/>
          <w:szCs w:val="20"/>
          <w:lang w:val="en-US" w:eastAsia="en-US"/>
        </w:rPr>
        <w:t xml:space="preserve">. </w:t>
      </w:r>
    </w:p>
  </w:footnote>
  <w:footnote w:id="23">
    <w:p w14:paraId="3692012C" w14:textId="2F6DF0CE" w:rsidR="00AE7729" w:rsidRPr="00256733" w:rsidRDefault="00AE7729" w:rsidP="00256733">
      <w:pPr>
        <w:pStyle w:val="Notedebasdepage"/>
        <w:jc w:val="both"/>
      </w:pPr>
      <w:r>
        <w:rPr>
          <w:rStyle w:val="Appelnotedebasdep"/>
        </w:rPr>
        <w:footnoteRef/>
      </w:r>
      <w:r w:rsidRPr="008961F4">
        <w:t xml:space="preserve"> Voy. </w:t>
      </w:r>
      <w:r w:rsidRPr="00256733">
        <w:rPr>
          <w:smallCaps/>
        </w:rPr>
        <w:t>F. Ouguergouz</w:t>
      </w:r>
      <w:r>
        <w:t>, “L’absence de clause de dérogation dans certains traité</w:t>
      </w:r>
      <w:r w:rsidRPr="008961F4">
        <w:t>s relatif</w:t>
      </w:r>
      <w:r>
        <w:t xml:space="preserve">s aux droits de </w:t>
      </w:r>
      <w:r w:rsidRPr="00256733">
        <w:t xml:space="preserve">l’Homme: les réponses du droit international général”, </w:t>
      </w:r>
      <w:r w:rsidRPr="00256733">
        <w:rPr>
          <w:i/>
        </w:rPr>
        <w:t>R.G.D.I.P.,</w:t>
      </w:r>
      <w:r w:rsidRPr="00256733">
        <w:t xml:space="preserve"> 1994, pp. 289 et suiv. </w:t>
      </w:r>
    </w:p>
  </w:footnote>
  <w:footnote w:id="24">
    <w:p w14:paraId="2018F50C" w14:textId="4F31C522" w:rsidR="00AE7729" w:rsidRPr="00256733" w:rsidRDefault="00AE7729" w:rsidP="00256733">
      <w:pPr>
        <w:autoSpaceDE w:val="0"/>
        <w:autoSpaceDN w:val="0"/>
        <w:adjustRightInd w:val="0"/>
        <w:jc w:val="both"/>
        <w:rPr>
          <w:sz w:val="20"/>
          <w:szCs w:val="20"/>
          <w:lang w:val="en-US"/>
        </w:rPr>
      </w:pPr>
      <w:r w:rsidRPr="00256733">
        <w:rPr>
          <w:rStyle w:val="Appelnotedebasdep"/>
          <w:sz w:val="20"/>
          <w:szCs w:val="20"/>
        </w:rPr>
        <w:footnoteRef/>
      </w:r>
      <w:r w:rsidRPr="00256733">
        <w:rPr>
          <w:sz w:val="20"/>
          <w:szCs w:val="20"/>
          <w:lang w:val="en-US"/>
        </w:rPr>
        <w:t xml:space="preserve"> Voy </w:t>
      </w:r>
      <w:r w:rsidRPr="00256733">
        <w:rPr>
          <w:smallCaps/>
          <w:sz w:val="20"/>
          <w:szCs w:val="20"/>
          <w:lang w:val="en-US"/>
        </w:rPr>
        <w:t>M.A. Tolera</w:t>
      </w:r>
      <w:r w:rsidRPr="00256733">
        <w:rPr>
          <w:sz w:val="20"/>
          <w:szCs w:val="20"/>
          <w:lang w:val="en-US"/>
        </w:rPr>
        <w:t xml:space="preserve">, "Absence of a Derogation Clause under the African Charter and the Position of the African Commission," Bahir Dar University Journal of Law 4, no. 2 (July 2014): 229-283; </w:t>
      </w:r>
      <w:r w:rsidRPr="00256733">
        <w:rPr>
          <w:i/>
          <w:sz w:val="20"/>
          <w:szCs w:val="20"/>
          <w:lang w:val="en-US"/>
        </w:rPr>
        <w:t>Law in Times of Crisis:</w:t>
      </w:r>
      <w:r>
        <w:rPr>
          <w:i/>
          <w:sz w:val="20"/>
          <w:szCs w:val="20"/>
          <w:lang w:val="en-US"/>
        </w:rPr>
        <w:t xml:space="preserve"> </w:t>
      </w:r>
      <w:r w:rsidRPr="00256733">
        <w:rPr>
          <w:i/>
          <w:sz w:val="20"/>
          <w:szCs w:val="20"/>
          <w:lang w:val="en-US"/>
        </w:rPr>
        <w:t>Emergency Powers in Theory and Practice</w:t>
      </w:r>
      <w:r w:rsidRPr="00256733">
        <w:rPr>
          <w:sz w:val="20"/>
          <w:szCs w:val="20"/>
          <w:lang w:val="en-US"/>
        </w:rPr>
        <w:t>. e-Book, Cambridge University Press, 2006. Comp.</w:t>
      </w:r>
      <w:r w:rsidRPr="00256733">
        <w:rPr>
          <w:rFonts w:eastAsiaTheme="minorHAnsi"/>
          <w:sz w:val="20"/>
          <w:szCs w:val="20"/>
          <w:lang w:val="en-US" w:eastAsia="en-US"/>
        </w:rPr>
        <w:t xml:space="preserve"> </w:t>
      </w:r>
      <w:r w:rsidRPr="00256733">
        <w:rPr>
          <w:rFonts w:eastAsiaTheme="minorHAnsi"/>
          <w:smallCaps/>
          <w:sz w:val="20"/>
          <w:szCs w:val="20"/>
          <w:lang w:val="en-US" w:eastAsia="en-US"/>
        </w:rPr>
        <w:t>B.K. Kombo</w:t>
      </w:r>
      <w:r w:rsidRPr="00256733">
        <w:rPr>
          <w:rFonts w:eastAsiaTheme="minorHAnsi"/>
          <w:sz w:val="20"/>
          <w:szCs w:val="20"/>
          <w:lang w:val="en-US" w:eastAsia="en-US"/>
        </w:rPr>
        <w:t xml:space="preserve">, “A Missed Opportunity? Derogation and the African Court Case of APDF and IHRDA v Mali” (2020) 20(2) </w:t>
      </w:r>
      <w:r w:rsidRPr="00256733">
        <w:rPr>
          <w:rFonts w:eastAsiaTheme="minorHAnsi"/>
          <w:i/>
          <w:sz w:val="20"/>
          <w:szCs w:val="20"/>
          <w:lang w:val="en-US" w:eastAsia="en-US"/>
        </w:rPr>
        <w:t>African Human Rights Law Journal</w:t>
      </w:r>
      <w:r w:rsidRPr="00256733">
        <w:rPr>
          <w:rFonts w:eastAsiaTheme="minorHAnsi"/>
          <w:sz w:val="20"/>
          <w:szCs w:val="20"/>
          <w:lang w:val="en-US" w:eastAsia="en-US"/>
        </w:rPr>
        <w:t xml:space="preserve"> 756.</w:t>
      </w:r>
    </w:p>
  </w:footnote>
  <w:footnote w:id="25">
    <w:p w14:paraId="4DD9A505" w14:textId="41BFB937" w:rsidR="00AE7729" w:rsidRPr="00030B7B" w:rsidRDefault="00AE7729" w:rsidP="00030B7B">
      <w:pPr>
        <w:rPr>
          <w:lang w:val="en-US"/>
        </w:rPr>
      </w:pPr>
      <w:r w:rsidRPr="00030B7B">
        <w:rPr>
          <w:rStyle w:val="Appelnotedebasdep"/>
          <w:sz w:val="20"/>
          <w:szCs w:val="20"/>
        </w:rPr>
        <w:footnoteRef/>
      </w:r>
      <w:r w:rsidRPr="00030B7B">
        <w:rPr>
          <w:sz w:val="20"/>
          <w:szCs w:val="20"/>
        </w:rPr>
        <w:t xml:space="preserve"> Comp. cependant avec </w:t>
      </w:r>
      <w:r w:rsidRPr="00030B7B">
        <w:rPr>
          <w:i/>
          <w:sz w:val="20"/>
          <w:szCs w:val="20"/>
        </w:rPr>
        <w:t xml:space="preserve">Children’s Rights. </w:t>
      </w:r>
      <w:r w:rsidRPr="00030B7B">
        <w:rPr>
          <w:rStyle w:val="Sous-titre1"/>
          <w:bCs/>
          <w:i/>
          <w:sz w:val="20"/>
          <w:szCs w:val="20"/>
          <w:lang w:val="en-US"/>
        </w:rPr>
        <w:t>A Commentary on the Convention on the Rights of the Child and its Protocols</w:t>
      </w:r>
      <w:r w:rsidRPr="00030B7B">
        <w:rPr>
          <w:rStyle w:val="Sous-titre1"/>
          <w:bCs/>
          <w:sz w:val="20"/>
          <w:szCs w:val="20"/>
          <w:lang w:val="en-US"/>
        </w:rPr>
        <w:t xml:space="preserve">, sous la dir. de W. Vandenhole, G. Erdem Turkelli et S. Lambrecht, </w:t>
      </w:r>
      <w:r w:rsidRPr="00030B7B">
        <w:rPr>
          <w:sz w:val="20"/>
          <w:szCs w:val="20"/>
          <w:lang w:val="en-US"/>
        </w:rPr>
        <w:t>Edward Elgar Publishing</w:t>
      </w:r>
      <w:r w:rsidRPr="00030B7B">
        <w:rPr>
          <w:sz w:val="20"/>
          <w:szCs w:val="20"/>
          <w:shd w:val="clear" w:color="auto" w:fill="FFFFFF"/>
          <w:lang w:val="en-US"/>
        </w:rPr>
        <w:t>, 2019, nn° I-54 à I-57.</w:t>
      </w:r>
      <w:r w:rsidR="00030B7B" w:rsidRPr="00030B7B">
        <w:rPr>
          <w:sz w:val="20"/>
          <w:szCs w:val="20"/>
          <w:shd w:val="clear" w:color="auto" w:fill="FFFFFF"/>
          <w:lang w:val="en-US"/>
        </w:rPr>
        <w:t xml:space="preserve"> Voy. Ég. L’analyse nuance de Shaheed Fatima (GC) (dir), </w:t>
      </w:r>
      <w:r w:rsidR="00030B7B" w:rsidRPr="00030B7B">
        <w:rPr>
          <w:i/>
          <w:color w:val="000000"/>
          <w:sz w:val="20"/>
          <w:szCs w:val="20"/>
          <w:lang w:val="en-US"/>
        </w:rPr>
        <w:t>Protecting Children in Armed Conflict</w:t>
      </w:r>
      <w:r w:rsidR="00030B7B">
        <w:rPr>
          <w:i/>
          <w:color w:val="000000"/>
          <w:sz w:val="20"/>
          <w:szCs w:val="20"/>
          <w:lang w:val="en-US"/>
        </w:rPr>
        <w:t xml:space="preserve">, </w:t>
      </w:r>
      <w:r w:rsidR="00030B7B">
        <w:rPr>
          <w:color w:val="000000"/>
          <w:sz w:val="20"/>
          <w:szCs w:val="20"/>
          <w:lang w:val="en-US"/>
        </w:rPr>
        <w:t>Bloomsbury Publishing, 2018, nn°3.107 et 3.108</w:t>
      </w:r>
    </w:p>
  </w:footnote>
  <w:footnote w:id="26">
    <w:p w14:paraId="4AF24DC4" w14:textId="38064685" w:rsidR="00AE7729" w:rsidRPr="00CF56F3" w:rsidRDefault="00AE7729" w:rsidP="00256733">
      <w:pPr>
        <w:pStyle w:val="Titre3"/>
        <w:spacing w:before="0"/>
        <w:jc w:val="both"/>
        <w:rPr>
          <w:rFonts w:ascii="Times New Roman" w:hAnsi="Times New Roman" w:cs="Times New Roman"/>
          <w:color w:val="auto"/>
          <w:sz w:val="20"/>
          <w:szCs w:val="20"/>
        </w:rPr>
      </w:pPr>
      <w:r w:rsidRPr="00CF56F3">
        <w:rPr>
          <w:rStyle w:val="Appelnotedebasdep"/>
          <w:rFonts w:ascii="Times New Roman" w:hAnsi="Times New Roman" w:cs="Times New Roman"/>
          <w:color w:val="auto"/>
          <w:sz w:val="20"/>
          <w:szCs w:val="20"/>
        </w:rPr>
        <w:footnoteRef/>
      </w:r>
      <w:r w:rsidRPr="00CF56F3">
        <w:rPr>
          <w:rFonts w:ascii="Times New Roman" w:hAnsi="Times New Roman" w:cs="Times New Roman"/>
          <w:color w:val="auto"/>
          <w:sz w:val="20"/>
          <w:szCs w:val="20"/>
        </w:rPr>
        <w:t xml:space="preserve"> Dans son observation générale n°16 (2013) dédiée aux obligations des États concernant les incidences du secteur des entreprises sur les droits de l’enfant, le Comité indique :</w:t>
      </w:r>
    </w:p>
    <w:p w14:paraId="2B5C24A6" w14:textId="77777777" w:rsidR="00CF56F3" w:rsidRPr="00CF56F3" w:rsidRDefault="00AE7729" w:rsidP="00CF56F3">
      <w:pPr>
        <w:jc w:val="both"/>
        <w:rPr>
          <w:sz w:val="20"/>
          <w:szCs w:val="20"/>
        </w:rPr>
      </w:pPr>
      <w:r w:rsidRPr="00CF56F3">
        <w:rPr>
          <w:sz w:val="20"/>
          <w:szCs w:val="20"/>
        </w:rPr>
        <w:t xml:space="preserve"> « Il faut souligner </w:t>
      </w:r>
      <w:r w:rsidRPr="00CF56F3">
        <w:rPr>
          <w:color w:val="000000"/>
          <w:sz w:val="20"/>
          <w:szCs w:val="20"/>
        </w:rPr>
        <w:t>que la Convention et les Protocoles facultatifs s’y rapportant s’appliquent en tout temps et qu’ils n’autorisent aucune dérogation à leurs dispositions dans les situations d’urgence »</w:t>
      </w:r>
      <w:r w:rsidRPr="00CF56F3">
        <w:rPr>
          <w:sz w:val="20"/>
          <w:szCs w:val="20"/>
        </w:rPr>
        <w:t xml:space="preserve">. </w:t>
      </w:r>
    </w:p>
    <w:p w14:paraId="6E80A1EE" w14:textId="08F6BAE4" w:rsidR="00CF56F3" w:rsidRPr="00CF56F3" w:rsidRDefault="00CF56F3" w:rsidP="00CF56F3">
      <w:pPr>
        <w:jc w:val="both"/>
      </w:pPr>
      <w:r w:rsidRPr="00CF56F3">
        <w:rPr>
          <w:sz w:val="20"/>
          <w:szCs w:val="20"/>
        </w:rPr>
        <w:t xml:space="preserve">Dans une déclaration du 8 avril 2020, à propos de la lutte contre la pandémie, le Comité se montre toutefois plus ambigü : « Bien qu'initialement déclarées pour de courtes périodes, il apparaît clairement que les déclarations d'état d'urgence et/ou de catastrophe peuvent être maintenues pour des périodes très longues, ce qui entraîne des restrictions durables de la jouissance des droits de l'homme. </w:t>
      </w:r>
      <w:r w:rsidRPr="00CF56F3">
        <w:rPr>
          <w:i/>
          <w:sz w:val="20"/>
          <w:szCs w:val="20"/>
        </w:rPr>
        <w:t>Le Comité reconnaît que dans les situations de crise, le droit international des droits de l'homme autorise exceptionnellement des mesures susceptibles de restreindre la jouissance de certains droits de l'homme afin de protéger la santé publique</w:t>
      </w:r>
      <w:r w:rsidRPr="00CF56F3">
        <w:rPr>
          <w:sz w:val="20"/>
          <w:szCs w:val="20"/>
        </w:rPr>
        <w:t xml:space="preserve">. Toutefois, ces restrictions doivent être imposées uniquement en cas de nécessité, être proportionnées et limitées au minimum absolu. En outre, tout en reconnaissant que la pandémie </w:t>
      </w:r>
      <w:r w:rsidRPr="00CF56F3">
        <w:rPr>
          <w:sz w:val="20"/>
          <w:szCs w:val="20"/>
          <w:lang w:val="fr-CH"/>
        </w:rPr>
        <w:t xml:space="preserve">de </w:t>
      </w:r>
      <w:r w:rsidRPr="00CF56F3">
        <w:rPr>
          <w:sz w:val="20"/>
          <w:szCs w:val="20"/>
        </w:rPr>
        <w:t>COVID-19 peut avoir un impact significatif et négatif sur la disponibilité des ressources financières, ces difficultés ne devraient pas être considérées comme un obstacle à la mise en œuvre de la Convention. Les États devraient donc veiller à ce que les réponses à la pandémie, y compris les restrictions et les décisions relatives à l'allocation des ressources, reflètent le principe de l'intérêt supérieur de l'enfant » (notre accent)(</w:t>
      </w:r>
      <w:r w:rsidRPr="00CF56F3">
        <w:rPr>
          <w:color w:val="000000" w:themeColor="text1"/>
          <w:sz w:val="20"/>
          <w:szCs w:val="20"/>
        </w:rPr>
        <w:t xml:space="preserve">INT/CRC/STA/9095, </w:t>
      </w:r>
      <w:r w:rsidRPr="00CF56F3">
        <w:rPr>
          <w:sz w:val="20"/>
          <w:szCs w:val="20"/>
        </w:rPr>
        <w:t xml:space="preserve">Recommendation 1) </w:t>
      </w:r>
    </w:p>
  </w:footnote>
  <w:footnote w:id="27">
    <w:p w14:paraId="1AF3175C" w14:textId="63CC24C5" w:rsidR="00AE7729" w:rsidRPr="00FC5D9A" w:rsidRDefault="00AE7729" w:rsidP="00256733">
      <w:pPr>
        <w:tabs>
          <w:tab w:val="left" w:pos="6480"/>
        </w:tabs>
        <w:jc w:val="both"/>
      </w:pPr>
      <w:r w:rsidRPr="008961F4">
        <w:rPr>
          <w:rStyle w:val="Appelnotedebasdep"/>
          <w:sz w:val="20"/>
          <w:szCs w:val="20"/>
        </w:rPr>
        <w:footnoteRef/>
      </w:r>
      <w:r w:rsidRPr="008961F4">
        <w:rPr>
          <w:sz w:val="20"/>
          <w:szCs w:val="20"/>
        </w:rPr>
        <w:t xml:space="preserve"> Voy. CCPR, Observations générales n°29, </w:t>
      </w:r>
      <w:r w:rsidRPr="008961F4">
        <w:rPr>
          <w:i/>
          <w:sz w:val="20"/>
          <w:szCs w:val="20"/>
        </w:rPr>
        <w:t>Etats d’urgence (article 4</w:t>
      </w:r>
      <w:r w:rsidRPr="008961F4">
        <w:rPr>
          <w:sz w:val="20"/>
          <w:szCs w:val="20"/>
        </w:rPr>
        <w:t>), CCPR/C/21/Rev.1/Add.11, n°10, note 5</w:t>
      </w:r>
    </w:p>
  </w:footnote>
  <w:footnote w:id="28">
    <w:p w14:paraId="7B7EC2AA" w14:textId="19AD95D8" w:rsidR="00AE7729" w:rsidRPr="00A404B7" w:rsidRDefault="00AE7729" w:rsidP="00256733">
      <w:pPr>
        <w:pStyle w:val="Notedebasdepage"/>
        <w:jc w:val="both"/>
      </w:pPr>
      <w:r>
        <w:rPr>
          <w:rStyle w:val="Appelnotedebasdep"/>
        </w:rPr>
        <w:footnoteRef/>
      </w:r>
      <w:r>
        <w:t xml:space="preserve"> </w:t>
      </w:r>
      <w:r w:rsidRPr="00EA498F">
        <w:t>Notons toutefois qu’aucun état n’a, à ce jour, fait usage d</w:t>
      </w:r>
      <w:r>
        <w:t xml:space="preserve">e la clause dérogatoire prévue à l’article F de la Charte sociale européenne. </w:t>
      </w:r>
    </w:p>
  </w:footnote>
  <w:footnote w:id="29">
    <w:p w14:paraId="4FC3A228" w14:textId="27FD7090" w:rsidR="00AE7729" w:rsidRPr="008D0874" w:rsidRDefault="00AE7729" w:rsidP="00256733">
      <w:pPr>
        <w:pStyle w:val="Notedebasdepage"/>
        <w:jc w:val="both"/>
        <w:rPr>
          <w:lang w:val="en-US"/>
        </w:rPr>
      </w:pPr>
      <w:r>
        <w:rPr>
          <w:rStyle w:val="Appelnotedebasdep"/>
        </w:rPr>
        <w:footnoteRef/>
      </w:r>
      <w:r w:rsidRPr="000E5DE3">
        <w:rPr>
          <w:lang w:val="en-US"/>
        </w:rPr>
        <w:t xml:space="preserve"> Voy. ég. </w:t>
      </w:r>
      <w:r w:rsidRPr="007C446F">
        <w:rPr>
          <w:smallCaps/>
          <w:lang w:val="en-US"/>
        </w:rPr>
        <w:t>O. De Schutter</w:t>
      </w:r>
      <w:r w:rsidRPr="008D0874">
        <w:rPr>
          <w:lang w:val="en-US"/>
        </w:rPr>
        <w:t xml:space="preserve">, </w:t>
      </w:r>
      <w:r w:rsidRPr="008D0874">
        <w:rPr>
          <w:i/>
          <w:lang w:val="en-US"/>
        </w:rPr>
        <w:t xml:space="preserve">International Human rights Law, </w:t>
      </w:r>
      <w:r>
        <w:rPr>
          <w:lang w:val="en-US"/>
        </w:rPr>
        <w:t>Cambridge University Press, 2010, p. 531-532.</w:t>
      </w:r>
    </w:p>
  </w:footnote>
  <w:footnote w:id="30">
    <w:p w14:paraId="142FC056" w14:textId="77777777" w:rsidR="00AE7729" w:rsidRPr="0011015D" w:rsidRDefault="00AE7729" w:rsidP="00256733">
      <w:pPr>
        <w:pStyle w:val="Notedebasdepage"/>
        <w:jc w:val="both"/>
      </w:pPr>
      <w:r>
        <w:rPr>
          <w:rStyle w:val="Appelnotedebasdep"/>
        </w:rPr>
        <w:footnoteRef/>
      </w:r>
      <w:r w:rsidRPr="0011015D">
        <w:t xml:space="preserve"> Les articles F et H de la Charte sociale eu</w:t>
      </w:r>
      <w:r>
        <w:t xml:space="preserve">ropéenne prévoient un même régime. </w:t>
      </w:r>
    </w:p>
  </w:footnote>
  <w:footnote w:id="31">
    <w:p w14:paraId="06F26555" w14:textId="6AA193DC" w:rsidR="00AE7729" w:rsidRPr="00BC1EF5" w:rsidRDefault="00AE7729" w:rsidP="00256733">
      <w:pPr>
        <w:pStyle w:val="Notedebasdepage"/>
        <w:jc w:val="both"/>
        <w:rPr>
          <w:lang w:val="en-GB"/>
        </w:rPr>
      </w:pPr>
      <w:r w:rsidRPr="00BC1EF5">
        <w:rPr>
          <w:rStyle w:val="Appelnotedebasdep"/>
        </w:rPr>
        <w:footnoteRef/>
      </w:r>
      <w:r w:rsidRPr="00BC1EF5">
        <w:rPr>
          <w:lang w:val="en-US"/>
        </w:rPr>
        <w:t xml:space="preserve"> Voy. </w:t>
      </w:r>
      <w:r w:rsidRPr="007C446F">
        <w:rPr>
          <w:smallCaps/>
          <w:lang w:val="en-US"/>
        </w:rPr>
        <w:t>J. Allais</w:t>
      </w:r>
      <w:r w:rsidRPr="00BC1EF5">
        <w:rPr>
          <w:lang w:val="en-US"/>
        </w:rPr>
        <w:t xml:space="preserve">, “Derogation from </w:t>
      </w:r>
      <w:r w:rsidRPr="00BC1EF5">
        <w:rPr>
          <w:lang w:val="en-GB"/>
        </w:rPr>
        <w:t xml:space="preserve">the European Convention of Human Rights in light of ‘Other Obligations under International Law’”,  </w:t>
      </w:r>
      <w:r w:rsidRPr="00BC1EF5">
        <w:rPr>
          <w:i/>
          <w:lang w:val="en-GB"/>
        </w:rPr>
        <w:t>EHRLR</w:t>
      </w:r>
      <w:r w:rsidRPr="00BC1EF5">
        <w:rPr>
          <w:lang w:val="en-GB"/>
        </w:rPr>
        <w:t>, 2005, 11, 480 ss</w:t>
      </w:r>
      <w:r>
        <w:rPr>
          <w:lang w:val="en-GB"/>
        </w:rPr>
        <w:t>.</w:t>
      </w:r>
      <w:r w:rsidRPr="00BC1EF5">
        <w:rPr>
          <w:lang w:val="en-GB"/>
        </w:rPr>
        <w:t xml:space="preserve"> </w:t>
      </w:r>
      <w:r w:rsidRPr="00BC1EF5">
        <w:rPr>
          <w:lang w:val="en-US"/>
        </w:rPr>
        <w:t xml:space="preserve">Comp. </w:t>
      </w:r>
      <w:r w:rsidRPr="007C446F">
        <w:rPr>
          <w:smallCaps/>
          <w:lang w:val="en-US"/>
        </w:rPr>
        <w:t>P. Kempees</w:t>
      </w:r>
      <w:r w:rsidRPr="00BC1EF5">
        <w:rPr>
          <w:lang w:val="en-US"/>
        </w:rPr>
        <w:t xml:space="preserve">, </w:t>
      </w:r>
      <w:r w:rsidRPr="00BC1EF5">
        <w:rPr>
          <w:i/>
          <w:lang w:val="en-US"/>
        </w:rPr>
        <w:t xml:space="preserve">Thoughts on Article 15 of the European Convention on Human Rights, </w:t>
      </w:r>
      <w:r w:rsidRPr="00BC1EF5">
        <w:rPr>
          <w:lang w:val="en-US"/>
        </w:rPr>
        <w:t xml:space="preserve">Wolf Legal Publishers, Oisterwijk, 2017, p. 86 : “As a matter of common sense, it must be a mistake to interpret ‘other obligations under international law’ so as to import into Article 15 substantive provisions from other human rights treaties offering greater protection than the Convention itself (…)”. </w:t>
      </w:r>
    </w:p>
  </w:footnote>
  <w:footnote w:id="32">
    <w:p w14:paraId="1C26294D" w14:textId="143B2560" w:rsidR="00AE7729" w:rsidRPr="00BC1EF5" w:rsidRDefault="00AE7729" w:rsidP="00256733">
      <w:pPr>
        <w:pStyle w:val="NormalWeb"/>
        <w:spacing w:before="0" w:beforeAutospacing="0" w:after="0" w:afterAutospacing="0"/>
        <w:jc w:val="both"/>
        <w:rPr>
          <w:i/>
          <w:sz w:val="20"/>
          <w:szCs w:val="20"/>
        </w:rPr>
      </w:pPr>
      <w:r w:rsidRPr="00BC1EF5">
        <w:rPr>
          <w:rStyle w:val="Appelnotedebasdep"/>
          <w:sz w:val="20"/>
          <w:szCs w:val="20"/>
        </w:rPr>
        <w:footnoteRef/>
      </w:r>
      <w:r w:rsidRPr="00BC1EF5">
        <w:rPr>
          <w:sz w:val="20"/>
          <w:szCs w:val="20"/>
        </w:rPr>
        <w:t xml:space="preserve"> CCPR/C/128/2, 30 avril 2020. Voy. encore l’observation générale n°29, </w:t>
      </w:r>
      <w:r w:rsidRPr="00BC1EF5">
        <w:rPr>
          <w:i/>
          <w:sz w:val="20"/>
          <w:szCs w:val="20"/>
        </w:rPr>
        <w:t>op. cit.</w:t>
      </w:r>
    </w:p>
  </w:footnote>
  <w:footnote w:id="33">
    <w:p w14:paraId="4D69620B" w14:textId="23761CC6" w:rsidR="00AE7729" w:rsidRPr="002A6375" w:rsidRDefault="00AE7729" w:rsidP="00256733">
      <w:pPr>
        <w:pStyle w:val="Notedebasdepage"/>
        <w:jc w:val="both"/>
        <w:rPr>
          <w:lang w:val="en-US"/>
        </w:rPr>
      </w:pPr>
      <w:r w:rsidRPr="00BC1EF5">
        <w:rPr>
          <w:rStyle w:val="Appelnotedebasdep"/>
        </w:rPr>
        <w:footnoteRef/>
      </w:r>
      <w:r w:rsidRPr="00BC1EF5">
        <w:rPr>
          <w:lang w:val="en-US"/>
        </w:rPr>
        <w:t xml:space="preserve"> </w:t>
      </w:r>
      <w:r w:rsidRPr="007C446F">
        <w:rPr>
          <w:i/>
          <w:lang w:val="en-US"/>
        </w:rPr>
        <w:t xml:space="preserve">Children’s Rights. </w:t>
      </w:r>
      <w:r w:rsidRPr="007C446F">
        <w:rPr>
          <w:rStyle w:val="Sous-titre1"/>
          <w:bCs/>
          <w:i/>
          <w:lang w:val="en-US"/>
        </w:rPr>
        <w:t>A Commentary on the Convention on the Rights of the Child and its Protocols,</w:t>
      </w:r>
      <w:r w:rsidRPr="007C446F">
        <w:rPr>
          <w:rStyle w:val="Sous-titre1"/>
          <w:bCs/>
          <w:lang w:val="en-US"/>
        </w:rPr>
        <w:t xml:space="preserve"> sous la dir. de W. Vandenhole, G. Erdem Turkelli et S. Lambrecht, </w:t>
      </w:r>
      <w:r w:rsidRPr="007C446F">
        <w:rPr>
          <w:lang w:val="en-US"/>
        </w:rPr>
        <w:t>Edward Elgar Publishing</w:t>
      </w:r>
      <w:r w:rsidRPr="007C446F">
        <w:rPr>
          <w:shd w:val="clear" w:color="auto" w:fill="FFFFFF"/>
          <w:lang w:val="en-US"/>
        </w:rPr>
        <w:t xml:space="preserve">, 2019, nn° I-54 à I-57. </w:t>
      </w:r>
    </w:p>
  </w:footnote>
  <w:footnote w:id="34">
    <w:p w14:paraId="4B49C81C" w14:textId="35B3CB7F" w:rsidR="00AE7729" w:rsidRPr="002C7740" w:rsidRDefault="00AE7729" w:rsidP="00256733">
      <w:pPr>
        <w:pStyle w:val="Notedebasdepage"/>
        <w:jc w:val="both"/>
      </w:pPr>
      <w:r w:rsidRPr="002C7740">
        <w:rPr>
          <w:rStyle w:val="Appelnotedebasdep"/>
        </w:rPr>
        <w:footnoteRef/>
      </w:r>
      <w:r w:rsidRPr="002C7740">
        <w:t xml:space="preserve"> CDL-AD (2016)37, pt. 156-163;  Commission de Venise, « Respect de la démocratie, des droits de l’Homme et de l’état de droit en situation d’État d’urgence : réflexions »  26 mai 2020, </w:t>
      </w:r>
      <w:r w:rsidRPr="002C7740">
        <w:rPr>
          <w:i/>
        </w:rPr>
        <w:t xml:space="preserve">op. cit., </w:t>
      </w:r>
      <w:r w:rsidRPr="002C7740">
        <w:t>n°41 et 75. Dans son Observation générale n° 32, le Comité des droits de l’homme de l’ONU affirme que « les garanties inhérentes au droit à un procès équitable ne peuvent jamais faire l’objet de mesures qui détourneraient la protection des droits auxquels il ne peut pas e</w:t>
      </w:r>
      <w:r w:rsidRPr="002C7740">
        <w:rPr>
          <w:rFonts w:ascii="Cambria Math" w:hAnsi="Cambria Math" w:cs="Cambria Math"/>
        </w:rPr>
        <w:t>̂</w:t>
      </w:r>
      <w:r w:rsidRPr="002C7740">
        <w:t xml:space="preserve">tre dérogé ». Doc. ONU </w:t>
      </w:r>
      <w:r w:rsidRPr="002C7740">
        <w:rPr>
          <w:bCs/>
        </w:rPr>
        <w:t xml:space="preserve">CCPR/C/GC/32 (2007), </w:t>
      </w:r>
      <w:r w:rsidRPr="002C7740">
        <w:rPr>
          <w:bCs/>
          <w:i/>
          <w:iCs/>
        </w:rPr>
        <w:t>Observation générale n° 32, article 14 : Droit à l’égalité devant les tribunaux et les cours de justice et à un procès équitable</w:t>
      </w:r>
      <w:r w:rsidRPr="002C7740">
        <w:rPr>
          <w:bCs/>
        </w:rPr>
        <w:t>, 23 aou</w:t>
      </w:r>
      <w:r w:rsidRPr="002C7740">
        <w:rPr>
          <w:rFonts w:ascii="Cambria Math" w:hAnsi="Cambria Math" w:cs="Cambria Math"/>
          <w:bCs/>
        </w:rPr>
        <w:t>̂</w:t>
      </w:r>
      <w:r w:rsidRPr="002C7740">
        <w:rPr>
          <w:bCs/>
        </w:rPr>
        <w:t xml:space="preserve">t 2007, par. 6. </w:t>
      </w:r>
    </w:p>
  </w:footnote>
  <w:footnote w:id="35">
    <w:p w14:paraId="688EBF79" w14:textId="77777777" w:rsidR="00AE7729" w:rsidRPr="004439FC" w:rsidRDefault="00AE7729" w:rsidP="00256733">
      <w:pPr>
        <w:pStyle w:val="Notedebasdepage"/>
        <w:jc w:val="both"/>
        <w:rPr>
          <w:i/>
        </w:rPr>
      </w:pPr>
      <w:r>
        <w:rPr>
          <w:rStyle w:val="Appelnotedebasdep"/>
        </w:rPr>
        <w:footnoteRef/>
      </w:r>
      <w:r>
        <w:t xml:space="preserve"> </w:t>
      </w:r>
      <w:r w:rsidRPr="00982ACA">
        <w:t xml:space="preserve">Voy. les références citées par </w:t>
      </w:r>
      <w:r w:rsidRPr="00982ACA">
        <w:rPr>
          <w:i/>
        </w:rPr>
        <w:t>Ibid.</w:t>
      </w:r>
    </w:p>
  </w:footnote>
  <w:footnote w:id="36">
    <w:p w14:paraId="46B4572B" w14:textId="3635F616" w:rsidR="00AE7729" w:rsidRPr="00E16862" w:rsidRDefault="00AE7729" w:rsidP="00256733">
      <w:pPr>
        <w:pStyle w:val="Notedebasdepage"/>
        <w:jc w:val="both"/>
      </w:pPr>
      <w:r>
        <w:rPr>
          <w:rStyle w:val="Appelnotedebasdep"/>
        </w:rPr>
        <w:footnoteRef/>
      </w:r>
      <w:r>
        <w:t xml:space="preserve"> </w:t>
      </w:r>
      <w:r w:rsidRPr="00E16862">
        <w:t>Voy. Cour eur</w:t>
      </w:r>
      <w:r>
        <w:t xml:space="preserve">. D.H., arrêt </w:t>
      </w:r>
      <w:r>
        <w:rPr>
          <w:i/>
        </w:rPr>
        <w:t xml:space="preserve">Demir &amp; Baykara c. Turquie </w:t>
      </w:r>
      <w:r>
        <w:t xml:space="preserve">du 12 novembre 2008. </w:t>
      </w:r>
    </w:p>
  </w:footnote>
  <w:footnote w:id="37">
    <w:p w14:paraId="475474FA" w14:textId="77777777" w:rsidR="00AE7729" w:rsidRPr="006019F8" w:rsidRDefault="00AE7729" w:rsidP="00256733">
      <w:pPr>
        <w:pStyle w:val="Notedebasdepage"/>
        <w:jc w:val="both"/>
      </w:pPr>
      <w:r>
        <w:rPr>
          <w:rStyle w:val="Appelnotedebasdep"/>
        </w:rPr>
        <w:footnoteRef/>
      </w:r>
      <w:r>
        <w:t xml:space="preserve"> </w:t>
      </w:r>
      <w:r w:rsidRPr="00982ACA">
        <w:t xml:space="preserve">Cour eur. D.H., arrêt </w:t>
      </w:r>
      <w:r w:rsidRPr="00982ACA">
        <w:rPr>
          <w:i/>
        </w:rPr>
        <w:t xml:space="preserve">Lawless c. Irlande (n°3) </w:t>
      </w:r>
      <w:r w:rsidRPr="00982ACA">
        <w:t>du 1</w:t>
      </w:r>
      <w:r w:rsidRPr="00982ACA">
        <w:rPr>
          <w:vertAlign w:val="superscript"/>
        </w:rPr>
        <w:t>er</w:t>
      </w:r>
      <w:r w:rsidRPr="00982ACA">
        <w:t xml:space="preserve"> juillet 1961, Série A, n°3, § 7</w:t>
      </w:r>
    </w:p>
  </w:footnote>
  <w:footnote w:id="38">
    <w:p w14:paraId="795BFB06" w14:textId="30516076" w:rsidR="00AE7729" w:rsidRPr="002C7740" w:rsidRDefault="00AE7729" w:rsidP="00256733">
      <w:pPr>
        <w:pStyle w:val="Notedebasdepage"/>
        <w:jc w:val="both"/>
      </w:pPr>
      <w:r w:rsidRPr="00C73A0B">
        <w:rPr>
          <w:rStyle w:val="Appelnotedebasdep"/>
        </w:rPr>
        <w:footnoteRef/>
      </w:r>
      <w:r w:rsidRPr="00C73A0B">
        <w:t xml:space="preserve"> </w:t>
      </w:r>
      <w:r w:rsidR="00C73A0B" w:rsidRPr="00C73A0B">
        <w:t>Cfr Annexes</w:t>
      </w:r>
    </w:p>
  </w:footnote>
  <w:footnote w:id="39">
    <w:p w14:paraId="0F7DFA21" w14:textId="77777777" w:rsidR="00AE7729" w:rsidRDefault="00AE7729" w:rsidP="00256733">
      <w:pPr>
        <w:pStyle w:val="Notedebasdepage"/>
        <w:jc w:val="both"/>
      </w:pPr>
      <w:r>
        <w:rPr>
          <w:rStyle w:val="Appelnotedebasdep"/>
        </w:rPr>
        <w:footnoteRef/>
      </w:r>
      <w:r>
        <w:t xml:space="preserve"> CCPR, Observation générale n°29 (Etat d’urgence – Article 4), 31 août 2001, CCPR/C/21/Rev.1/Add.11</w:t>
      </w:r>
    </w:p>
  </w:footnote>
  <w:footnote w:id="40">
    <w:p w14:paraId="6EF16E2C" w14:textId="5C217CDA" w:rsidR="00AE7729" w:rsidRPr="00112BB0" w:rsidRDefault="00AE7729" w:rsidP="00256733">
      <w:pPr>
        <w:pStyle w:val="Notedebasdepage"/>
        <w:jc w:val="both"/>
        <w:rPr>
          <w:iCs/>
        </w:rPr>
      </w:pPr>
      <w:r>
        <w:rPr>
          <w:rStyle w:val="Appelnotedebasdep"/>
        </w:rPr>
        <w:footnoteRef/>
      </w:r>
      <w:r>
        <w:t xml:space="preserve"> Voy. </w:t>
      </w:r>
      <w:r w:rsidRPr="007C446F">
        <w:rPr>
          <w:smallCaps/>
        </w:rPr>
        <w:t>R. Ergec</w:t>
      </w:r>
      <w:r>
        <w:t xml:space="preserve">, </w:t>
      </w:r>
      <w:r>
        <w:rPr>
          <w:i/>
          <w:iCs/>
        </w:rPr>
        <w:t xml:space="preserve">Les droits de l’Homme à l’épreuve des circonstances exceptionnelles. Essai sur l’article 15 de la Convention européenne des droits de l’Homme, </w:t>
      </w:r>
      <w:r>
        <w:rPr>
          <w:iCs/>
        </w:rPr>
        <w:t>Bruxelles, Bruylant, 1987,</w:t>
      </w:r>
      <w:r>
        <w:rPr>
          <w:i/>
          <w:iCs/>
        </w:rPr>
        <w:t xml:space="preserve"> </w:t>
      </w:r>
      <w:r>
        <w:rPr>
          <w:iCs/>
        </w:rPr>
        <w:t>pp. 218-219.</w:t>
      </w:r>
    </w:p>
  </w:footnote>
  <w:footnote w:id="41">
    <w:p w14:paraId="39F071FD" w14:textId="6D77C452" w:rsidR="00AE7729" w:rsidRPr="002E0023" w:rsidRDefault="00AE7729" w:rsidP="00256733">
      <w:pPr>
        <w:pStyle w:val="Notedebasdepage"/>
        <w:jc w:val="both"/>
      </w:pPr>
      <w:r w:rsidRPr="00DC1568">
        <w:rPr>
          <w:rStyle w:val="Appelnotedebasdep"/>
          <w:color w:val="000000" w:themeColor="text1"/>
        </w:rPr>
        <w:footnoteRef/>
      </w:r>
      <w:r w:rsidRPr="00DC1568">
        <w:rPr>
          <w:color w:val="000000" w:themeColor="text1"/>
        </w:rPr>
        <w:t xml:space="preserve"> Cour eur. D.H., arrêt </w:t>
      </w:r>
      <w:r w:rsidRPr="00DC1568">
        <w:rPr>
          <w:i/>
          <w:color w:val="000000" w:themeColor="text1"/>
        </w:rPr>
        <w:t xml:space="preserve">Hassan c. </w:t>
      </w:r>
      <w:r>
        <w:rPr>
          <w:i/>
          <w:color w:val="000000" w:themeColor="text1"/>
        </w:rPr>
        <w:t xml:space="preserve">Royaume-Uni, </w:t>
      </w:r>
      <w:r w:rsidRPr="00DC1568">
        <w:rPr>
          <w:iCs/>
          <w:color w:val="000000" w:themeColor="text1"/>
        </w:rPr>
        <w:t xml:space="preserve">16 septembre 2014, §101. Voy. ég. Cour eur. D.H., arrêt </w:t>
      </w:r>
      <w:r w:rsidRPr="00DC1568">
        <w:rPr>
          <w:i/>
          <w:iCs/>
          <w:color w:val="000000" w:themeColor="text1"/>
        </w:rPr>
        <w:t xml:space="preserve">Géorgie c. Russie (II), </w:t>
      </w:r>
      <w:r w:rsidRPr="00DC1568">
        <w:rPr>
          <w:iCs/>
          <w:color w:val="000000" w:themeColor="text1"/>
        </w:rPr>
        <w:t xml:space="preserve">21 janvier </w:t>
      </w:r>
      <w:r w:rsidRPr="00DC1568">
        <w:rPr>
          <w:color w:val="000000" w:themeColor="text1"/>
        </w:rPr>
        <w:t xml:space="preserve">2021, § 139 </w:t>
      </w:r>
      <w:r>
        <w:rPr>
          <w:color w:val="000000" w:themeColor="text1"/>
        </w:rPr>
        <w:t xml:space="preserve">. </w:t>
      </w:r>
    </w:p>
  </w:footnote>
  <w:footnote w:id="42">
    <w:p w14:paraId="5851B82C" w14:textId="5E9F0E01" w:rsidR="00AE7729" w:rsidRPr="007C446F" w:rsidRDefault="00AE7729" w:rsidP="007C446F">
      <w:pPr>
        <w:autoSpaceDE w:val="0"/>
        <w:autoSpaceDN w:val="0"/>
        <w:adjustRightInd w:val="0"/>
        <w:jc w:val="both"/>
        <w:rPr>
          <w:rFonts w:eastAsiaTheme="minorHAnsi"/>
          <w:sz w:val="20"/>
          <w:szCs w:val="20"/>
          <w:lang w:val="en-US" w:eastAsia="en-US"/>
        </w:rPr>
      </w:pPr>
      <w:r w:rsidRPr="007C446F">
        <w:rPr>
          <w:rStyle w:val="Appelnotedebasdep"/>
          <w:sz w:val="20"/>
          <w:szCs w:val="20"/>
        </w:rPr>
        <w:footnoteRef/>
      </w:r>
      <w:r w:rsidRPr="007C446F">
        <w:rPr>
          <w:sz w:val="20"/>
          <w:szCs w:val="20"/>
        </w:rPr>
        <w:t xml:space="preserve"> Les </w:t>
      </w:r>
      <w:r w:rsidRPr="007C446F">
        <w:rPr>
          <w:iCs/>
          <w:sz w:val="20"/>
          <w:szCs w:val="20"/>
        </w:rPr>
        <w:t>notifications</w:t>
      </w:r>
      <w:r w:rsidRPr="007C446F">
        <w:rPr>
          <w:sz w:val="20"/>
          <w:szCs w:val="20"/>
        </w:rPr>
        <w:t xml:space="preserve"> des États portant sur l’article 15 de la Convention, ainsi que leurs éventuelles prolongations ou retraits, peuvent être consultées à la page suivante : </w:t>
      </w:r>
      <w:hyperlink r:id="rId8" w:history="1">
        <w:r w:rsidRPr="007C446F">
          <w:rPr>
            <w:sz w:val="20"/>
            <w:szCs w:val="20"/>
          </w:rPr>
          <w:t>https://www.coe.int/fr/web/conventions/full-list/-/conventions/webContent/62111354</w:t>
        </w:r>
      </w:hyperlink>
      <w:r w:rsidRPr="007C446F">
        <w:rPr>
          <w:sz w:val="20"/>
          <w:szCs w:val="20"/>
        </w:rPr>
        <w:t xml:space="preserve">. voy. </w:t>
      </w:r>
      <w:r w:rsidRPr="007C446F">
        <w:rPr>
          <w:rFonts w:eastAsiaTheme="minorHAnsi"/>
          <w:smallCaps/>
          <w:sz w:val="20"/>
          <w:szCs w:val="20"/>
          <w:lang w:val="en-US" w:eastAsia="en-US"/>
        </w:rPr>
        <w:t>A. Lebret</w:t>
      </w:r>
      <w:r w:rsidRPr="007C446F">
        <w:rPr>
          <w:rFonts w:eastAsiaTheme="minorHAnsi"/>
          <w:sz w:val="20"/>
          <w:szCs w:val="20"/>
          <w:lang w:val="en-US" w:eastAsia="en-US"/>
        </w:rPr>
        <w:t xml:space="preserve">, 'COVID-19 Pandemic and Derogation to Human Rights' (2020) 7(1) Journal of Law and the Biosciences, p. 3). </w:t>
      </w:r>
    </w:p>
  </w:footnote>
  <w:footnote w:id="43">
    <w:p w14:paraId="52135D4E" w14:textId="3BD30E5C" w:rsidR="00AE7729" w:rsidRPr="00B74874" w:rsidRDefault="00AE7729" w:rsidP="00256733">
      <w:pPr>
        <w:jc w:val="both"/>
        <w:rPr>
          <w:sz w:val="20"/>
          <w:szCs w:val="20"/>
        </w:rPr>
      </w:pPr>
      <w:r w:rsidRPr="00B74874">
        <w:rPr>
          <w:rStyle w:val="Appelnotedebasdep"/>
          <w:sz w:val="20"/>
          <w:szCs w:val="20"/>
        </w:rPr>
        <w:footnoteRef/>
      </w:r>
      <w:r w:rsidRPr="00B74874">
        <w:rPr>
          <w:sz w:val="20"/>
          <w:szCs w:val="20"/>
        </w:rPr>
        <w:t xml:space="preserve"> Relevons que vingt-</w:t>
      </w:r>
      <w:r w:rsidRPr="00C75001">
        <w:rPr>
          <w:color w:val="000000" w:themeColor="text1"/>
          <w:sz w:val="20"/>
          <w:szCs w:val="20"/>
        </w:rPr>
        <w:t xml:space="preserve">deux États </w:t>
      </w:r>
      <w:r w:rsidR="00C75001" w:rsidRPr="00C75001">
        <w:rPr>
          <w:color w:val="000000" w:themeColor="text1"/>
          <w:sz w:val="20"/>
          <w:szCs w:val="20"/>
        </w:rPr>
        <w:t>sur cent-septante-deux</w:t>
      </w:r>
      <w:r w:rsidRPr="00C75001">
        <w:rPr>
          <w:color w:val="000000" w:themeColor="text1"/>
          <w:sz w:val="20"/>
          <w:szCs w:val="20"/>
        </w:rPr>
        <w:t xml:space="preserve"> ont </w:t>
      </w:r>
      <w:r w:rsidRPr="00B74874">
        <w:rPr>
          <w:sz w:val="20"/>
          <w:szCs w:val="20"/>
        </w:rPr>
        <w:t>fait usage du régime d’exception prévu par l’article 4 du Pacte international relatif aux droits civils et politiques. Il n’y a que pour la Convention américaine relative aux droits de l’homme qu’une majorité des États membres ont fait usage du régime d’exception prévu par</w:t>
      </w:r>
      <w:r>
        <w:rPr>
          <w:sz w:val="20"/>
          <w:szCs w:val="20"/>
        </w:rPr>
        <w:t xml:space="preserve"> l’</w:t>
      </w:r>
      <w:r w:rsidRPr="00B74874">
        <w:rPr>
          <w:sz w:val="20"/>
          <w:szCs w:val="20"/>
        </w:rPr>
        <w:t>a</w:t>
      </w:r>
      <w:r>
        <w:rPr>
          <w:sz w:val="20"/>
          <w:szCs w:val="20"/>
        </w:rPr>
        <w:t>rticle 27 de la</w:t>
      </w:r>
      <w:r w:rsidRPr="00B74874">
        <w:rPr>
          <w:sz w:val="20"/>
          <w:szCs w:val="20"/>
        </w:rPr>
        <w:t xml:space="preserve"> Convention (quatorze États sur vingt-quatre). Toutefois, M. </w:t>
      </w:r>
      <w:r w:rsidRPr="00B74874">
        <w:rPr>
          <w:smallCaps/>
          <w:sz w:val="20"/>
          <w:szCs w:val="20"/>
        </w:rPr>
        <w:t xml:space="preserve">Afroukh </w:t>
      </w:r>
      <w:r w:rsidRPr="00B74874">
        <w:rPr>
          <w:sz w:val="20"/>
          <w:szCs w:val="20"/>
        </w:rPr>
        <w:t>fait remarquer que le nombre important de dérogations enregistré</w:t>
      </w:r>
      <w:r>
        <w:rPr>
          <w:sz w:val="20"/>
          <w:szCs w:val="20"/>
        </w:rPr>
        <w:t>e</w:t>
      </w:r>
      <w:r w:rsidRPr="00B74874">
        <w:rPr>
          <w:sz w:val="20"/>
          <w:szCs w:val="20"/>
        </w:rPr>
        <w:t xml:space="preserve">s pour la Convention américaine tient notamment du fait que « la Cour de San José, contrairement au juge de Strasbourg, accepte d’examiner une affaire sous l’angle de la clause dérogatoire même en l’absence de notification. Elle ne s’arrête pas aux qualifications nationales. Compte tenu de ce contrôle, les États ont intérêt à jouer le jeu de la transparence. Dans le cadre européen, le recours à l’article 15 n’est pas une obligation, de sorte que l’opération de requalification ne relève pas de l’office du juge » (M. </w:t>
      </w:r>
      <w:r w:rsidRPr="00B74874">
        <w:rPr>
          <w:smallCaps/>
          <w:sz w:val="20"/>
          <w:szCs w:val="20"/>
        </w:rPr>
        <w:t>Afroukh</w:t>
      </w:r>
      <w:r w:rsidRPr="00B74874">
        <w:rPr>
          <w:sz w:val="20"/>
          <w:szCs w:val="20"/>
        </w:rPr>
        <w:t>, « Le recours au mécanisme dérogatoire en période de Covid-19</w:t>
      </w:r>
      <w:r>
        <w:rPr>
          <w:sz w:val="20"/>
          <w:szCs w:val="20"/>
        </w:rPr>
        <w:t xml:space="preserve"> </w:t>
      </w:r>
      <w:r w:rsidRPr="00B74874">
        <w:rPr>
          <w:sz w:val="20"/>
          <w:szCs w:val="20"/>
        </w:rPr>
        <w:t xml:space="preserve">ou le droit international des droits de l’homme à la croisée des chemins », </w:t>
      </w:r>
      <w:r w:rsidRPr="00B74874">
        <w:rPr>
          <w:i/>
          <w:iCs/>
          <w:sz w:val="20"/>
          <w:szCs w:val="20"/>
        </w:rPr>
        <w:t>Rev. trim. dr. h.</w:t>
      </w:r>
      <w:r w:rsidRPr="00B74874">
        <w:rPr>
          <w:sz w:val="20"/>
          <w:szCs w:val="20"/>
        </w:rPr>
        <w:t xml:space="preserve">, n°126/2021, p. 288) ; voy. aussi </w:t>
      </w:r>
      <w:r w:rsidRPr="00B74874">
        <w:rPr>
          <w:smallCaps/>
          <w:sz w:val="20"/>
          <w:szCs w:val="20"/>
        </w:rPr>
        <w:t>M. Rota</w:t>
      </w:r>
      <w:r w:rsidRPr="00B74874">
        <w:rPr>
          <w:sz w:val="20"/>
          <w:szCs w:val="20"/>
        </w:rPr>
        <w:t xml:space="preserve">, « Les régimes dérogatoires en droit international des droits et libertés : approche comparée (Comité, Cour européenne et Cour interaméricaine des droits de l’homme) », </w:t>
      </w:r>
      <w:r w:rsidRPr="00B74874">
        <w:rPr>
          <w:i/>
          <w:iCs/>
          <w:sz w:val="20"/>
          <w:szCs w:val="20"/>
        </w:rPr>
        <w:t>Cahiers de la recherche sur les droits fondamentaux</w:t>
      </w:r>
      <w:r w:rsidRPr="00B74874">
        <w:rPr>
          <w:sz w:val="20"/>
          <w:szCs w:val="20"/>
        </w:rPr>
        <w:t>, n°1/2019, p. 197-198</w:t>
      </w:r>
      <w:r>
        <w:rPr>
          <w:sz w:val="20"/>
          <w:szCs w:val="20"/>
        </w:rPr>
        <w:t>)</w:t>
      </w:r>
      <w:r w:rsidRPr="00B74874">
        <w:rPr>
          <w:sz w:val="20"/>
          <w:szCs w:val="20"/>
        </w:rPr>
        <w:t>.</w:t>
      </w:r>
    </w:p>
  </w:footnote>
  <w:footnote w:id="44">
    <w:p w14:paraId="376AD61D" w14:textId="77777777" w:rsidR="00AE7729" w:rsidRPr="00631AE4" w:rsidRDefault="00AE7729" w:rsidP="00256733">
      <w:pPr>
        <w:pStyle w:val="Notedebasdepage"/>
        <w:jc w:val="both"/>
      </w:pPr>
      <w:r w:rsidRPr="00631AE4">
        <w:rPr>
          <w:rStyle w:val="Appelnotedebasdep"/>
        </w:rPr>
        <w:footnoteRef/>
      </w:r>
      <w:r w:rsidRPr="00631AE4">
        <w:t xml:space="preserve"> Pour une visualisation schématique de l’utilisation de l’article 15 par les états « dérogeants » lors de la crise « Covid </w:t>
      </w:r>
      <w:r w:rsidRPr="00C75001">
        <w:t>», voy. annexe.</w:t>
      </w:r>
      <w:r w:rsidRPr="00631AE4">
        <w:t xml:space="preserve"> </w:t>
      </w:r>
    </w:p>
  </w:footnote>
  <w:footnote w:id="45">
    <w:p w14:paraId="18A4F971" w14:textId="01938051" w:rsidR="00AE7729" w:rsidRPr="003E542D" w:rsidRDefault="00AE7729" w:rsidP="00256733">
      <w:pPr>
        <w:pStyle w:val="Notedebasdepage"/>
        <w:jc w:val="both"/>
      </w:pPr>
      <w:r>
        <w:rPr>
          <w:rStyle w:val="Appelnotedebasdep"/>
        </w:rPr>
        <w:footnoteRef/>
      </w:r>
      <w:r>
        <w:t xml:space="preserve"> Outre ces considérations, il est possible de remarquer des différences au niveau de la terminologie et de la motivation utilisées par les états. </w:t>
      </w:r>
      <w:r>
        <w:rPr>
          <w:color w:val="000000" w:themeColor="text1"/>
          <w:shd w:val="clear" w:color="auto" w:fill="FFFFFF"/>
        </w:rPr>
        <w:t xml:space="preserve">Pour une analyse en ce sens, </w:t>
      </w:r>
      <w:r>
        <w:t>voy</w:t>
      </w:r>
      <w:r w:rsidRPr="000506A8">
        <w:t xml:space="preserve">. M. </w:t>
      </w:r>
      <w:r w:rsidRPr="000506A8">
        <w:rPr>
          <w:smallCaps/>
        </w:rPr>
        <w:t>Afroukh</w:t>
      </w:r>
      <w:r w:rsidRPr="000506A8">
        <w:t xml:space="preserve">, </w:t>
      </w:r>
      <w:r w:rsidRPr="00B74874">
        <w:t>« Le recours au mécanisme dérogatoire en période de Covid-19</w:t>
      </w:r>
      <w:r>
        <w:t>… </w:t>
      </w:r>
      <w:r w:rsidRPr="005F4DBD">
        <w:t xml:space="preserve">», </w:t>
      </w:r>
      <w:r w:rsidRPr="005F4DBD">
        <w:rPr>
          <w:i/>
          <w:iCs/>
        </w:rPr>
        <w:t>op.cit.</w:t>
      </w:r>
      <w:r w:rsidRPr="005F4DBD">
        <w:t xml:space="preserve">, </w:t>
      </w:r>
      <w:r>
        <w:t xml:space="preserve">p. 289-293. </w:t>
      </w:r>
    </w:p>
  </w:footnote>
  <w:footnote w:id="46">
    <w:p w14:paraId="0C0234E7" w14:textId="77777777" w:rsidR="00AE7729" w:rsidRPr="005D097E" w:rsidRDefault="00AE7729" w:rsidP="00256733">
      <w:pPr>
        <w:pStyle w:val="Notedebasdepage"/>
        <w:jc w:val="both"/>
      </w:pPr>
      <w:r w:rsidRPr="009966B0">
        <w:rPr>
          <w:rStyle w:val="Appelnotedebasdep"/>
        </w:rPr>
        <w:footnoteRef/>
      </w:r>
      <w:r w:rsidRPr="009966B0">
        <w:t xml:space="preserve"> </w:t>
      </w:r>
      <w:r>
        <w:t>Pour la Moldova, l</w:t>
      </w:r>
      <w:r w:rsidRPr="009966B0">
        <w:t>es nouvelles dérogations étaient initialement prévues pour une période de deux mois. Cette période a été raccourcie suite à une décision de la Cour constitutionnelle moldave. Voy. la note verbale du 30 avril 2021</w:t>
      </w:r>
      <w:r>
        <w:t xml:space="preserve"> </w:t>
      </w:r>
      <w:r w:rsidRPr="009966B0">
        <w:t>de  la Moldova adressée au Secrétaire général du Conseil de l’Europe.</w:t>
      </w:r>
      <w:r>
        <w:t xml:space="preserve"> </w:t>
      </w:r>
    </w:p>
  </w:footnote>
  <w:footnote w:id="47">
    <w:p w14:paraId="4BB43505" w14:textId="77777777" w:rsidR="00AE7729" w:rsidRPr="009714B2" w:rsidRDefault="00AE7729" w:rsidP="00256733">
      <w:pPr>
        <w:pStyle w:val="Notedebasdepage"/>
        <w:jc w:val="both"/>
      </w:pPr>
      <w:r>
        <w:rPr>
          <w:rStyle w:val="Appelnotedebasdep"/>
        </w:rPr>
        <w:footnoteRef/>
      </w:r>
      <w:r>
        <w:t xml:space="preserve"> Pour l’année 2021, la Géorgie a fait parvenir au </w:t>
      </w:r>
      <w:r w:rsidRPr="009966B0">
        <w:t>Secrétaire général du Conseil de l’Europe</w:t>
      </w:r>
      <w:r>
        <w:t xml:space="preserve"> deux notes verbales prévoyant le renouvellement de l’état d’urgence à chaque fois pour une période de six mois. </w:t>
      </w:r>
    </w:p>
  </w:footnote>
  <w:footnote w:id="48">
    <w:p w14:paraId="5B62D602" w14:textId="77777777" w:rsidR="00AE7729" w:rsidRPr="00D82776" w:rsidRDefault="00AE7729" w:rsidP="00256733">
      <w:pPr>
        <w:pStyle w:val="Notedebasdepage"/>
        <w:jc w:val="both"/>
      </w:pPr>
      <w:r>
        <w:rPr>
          <w:rStyle w:val="Appelnotedebasdep"/>
        </w:rPr>
        <w:footnoteRef/>
      </w:r>
      <w:r w:rsidRPr="00D82776">
        <w:t xml:space="preserve"> </w:t>
      </w:r>
      <w:r w:rsidRPr="00D82776">
        <w:rPr>
          <w:rFonts w:ascii="TimesNRMTCo" w:hAnsi="TimesNRMTCo"/>
        </w:rPr>
        <w:t xml:space="preserve">SG/Inf(2020)11, 7 avril 2020. </w:t>
      </w:r>
    </w:p>
  </w:footnote>
  <w:footnote w:id="49">
    <w:p w14:paraId="79B8F8B8" w14:textId="778BDC05" w:rsidR="00AE7729" w:rsidRPr="00713DE8" w:rsidRDefault="00AE7729" w:rsidP="00256733">
      <w:pPr>
        <w:autoSpaceDE w:val="0"/>
        <w:autoSpaceDN w:val="0"/>
        <w:adjustRightInd w:val="0"/>
        <w:jc w:val="both"/>
        <w:rPr>
          <w:color w:val="212121"/>
          <w:sz w:val="20"/>
          <w:szCs w:val="20"/>
          <w:lang w:val="en-US"/>
        </w:rPr>
      </w:pPr>
      <w:r w:rsidRPr="00631AE4">
        <w:rPr>
          <w:rStyle w:val="Appelnotedebasdep"/>
          <w:sz w:val="20"/>
          <w:szCs w:val="20"/>
        </w:rPr>
        <w:footnoteRef/>
      </w:r>
      <w:r w:rsidRPr="005F4DBD">
        <w:rPr>
          <w:sz w:val="20"/>
          <w:szCs w:val="20"/>
        </w:rPr>
        <w:t xml:space="preserve"> M. </w:t>
      </w:r>
      <w:r w:rsidRPr="005F4DBD">
        <w:rPr>
          <w:smallCaps/>
          <w:sz w:val="20"/>
          <w:szCs w:val="20"/>
        </w:rPr>
        <w:t>Afroukh</w:t>
      </w:r>
      <w:r w:rsidRPr="005F4DBD">
        <w:rPr>
          <w:sz w:val="20"/>
          <w:szCs w:val="20"/>
        </w:rPr>
        <w:t xml:space="preserve">, </w:t>
      </w:r>
      <w:r w:rsidRPr="00B74874">
        <w:rPr>
          <w:sz w:val="20"/>
          <w:szCs w:val="20"/>
        </w:rPr>
        <w:t>« Le recours au mécanisme dérogatoire en période de Covid-19</w:t>
      </w:r>
      <w:r>
        <w:rPr>
          <w:sz w:val="20"/>
          <w:szCs w:val="20"/>
        </w:rPr>
        <w:t xml:space="preserve"> … », </w:t>
      </w:r>
      <w:r w:rsidRPr="005F4DBD">
        <w:rPr>
          <w:i/>
          <w:iCs/>
          <w:sz w:val="20"/>
          <w:szCs w:val="20"/>
        </w:rPr>
        <w:t>op.cit.</w:t>
      </w:r>
      <w:r w:rsidRPr="005F4DBD">
        <w:rPr>
          <w:sz w:val="20"/>
          <w:szCs w:val="20"/>
        </w:rPr>
        <w:t xml:space="preserve">, p. 279. </w:t>
      </w:r>
      <w:r>
        <w:rPr>
          <w:sz w:val="20"/>
          <w:szCs w:val="20"/>
          <w:lang w:val="en-US"/>
        </w:rPr>
        <w:t>V</w:t>
      </w:r>
      <w:r w:rsidRPr="00713DE8">
        <w:rPr>
          <w:sz w:val="20"/>
          <w:szCs w:val="20"/>
          <w:lang w:val="en-US"/>
        </w:rPr>
        <w:t xml:space="preserve">oy. </w:t>
      </w:r>
      <w:r w:rsidRPr="007C446F">
        <w:rPr>
          <w:rFonts w:eastAsiaTheme="minorHAnsi"/>
          <w:smallCaps/>
          <w:sz w:val="20"/>
          <w:szCs w:val="20"/>
          <w:lang w:val="en-US" w:eastAsia="en-US"/>
        </w:rPr>
        <w:t>A. Lebret</w:t>
      </w:r>
      <w:r w:rsidRPr="00DC1568">
        <w:rPr>
          <w:rFonts w:eastAsiaTheme="minorHAnsi"/>
          <w:sz w:val="20"/>
          <w:szCs w:val="20"/>
          <w:lang w:val="en-US" w:eastAsia="en-US"/>
        </w:rPr>
        <w:t>, 'COVID-19 Pandemic and Derogation to Human Rights' (2020) 7(1) Journal</w:t>
      </w:r>
      <w:r>
        <w:rPr>
          <w:rFonts w:eastAsiaTheme="minorHAnsi"/>
          <w:sz w:val="20"/>
          <w:szCs w:val="20"/>
          <w:lang w:val="en-US" w:eastAsia="en-US"/>
        </w:rPr>
        <w:t xml:space="preserve"> </w:t>
      </w:r>
      <w:r w:rsidRPr="00DC1568">
        <w:rPr>
          <w:rFonts w:eastAsiaTheme="minorHAnsi"/>
          <w:sz w:val="20"/>
          <w:szCs w:val="20"/>
          <w:lang w:val="en-US" w:eastAsia="en-US"/>
        </w:rPr>
        <w:t>of Law and the Biosciences, p. 3</w:t>
      </w:r>
      <w:r>
        <w:rPr>
          <w:rFonts w:eastAsiaTheme="minorHAnsi"/>
          <w:sz w:val="20"/>
          <w:szCs w:val="20"/>
          <w:lang w:val="en-US" w:eastAsia="en-US"/>
        </w:rPr>
        <w:t>.</w:t>
      </w:r>
      <w:r w:rsidRPr="00713DE8">
        <w:rPr>
          <w:color w:val="212121"/>
          <w:sz w:val="20"/>
          <w:szCs w:val="20"/>
          <w:lang w:val="en-US"/>
        </w:rPr>
        <w:t xml:space="preserve"> </w:t>
      </w:r>
    </w:p>
  </w:footnote>
  <w:footnote w:id="50">
    <w:p w14:paraId="482A9D8F" w14:textId="77777777" w:rsidR="00AE7729" w:rsidRPr="00A11762" w:rsidRDefault="00AE7729" w:rsidP="00256733">
      <w:pPr>
        <w:pStyle w:val="NormalWeb"/>
        <w:spacing w:before="0" w:beforeAutospacing="0" w:after="0" w:afterAutospacing="0"/>
        <w:jc w:val="both"/>
        <w:rPr>
          <w:sz w:val="20"/>
          <w:szCs w:val="20"/>
        </w:rPr>
      </w:pPr>
      <w:r w:rsidRPr="00631AE4">
        <w:rPr>
          <w:rStyle w:val="Appelnotedebasdep"/>
          <w:sz w:val="20"/>
          <w:szCs w:val="20"/>
        </w:rPr>
        <w:footnoteRef/>
      </w:r>
      <w:r w:rsidRPr="00631AE4">
        <w:rPr>
          <w:sz w:val="20"/>
          <w:szCs w:val="20"/>
        </w:rPr>
        <w:t xml:space="preserve"> Les</w:t>
      </w:r>
      <w:r w:rsidRPr="000D091B">
        <w:rPr>
          <w:rFonts w:ascii="TimesNRMTCo" w:hAnsi="TimesNRMTCo"/>
          <w:sz w:val="20"/>
          <w:szCs w:val="20"/>
        </w:rPr>
        <w:t xml:space="preserve"> dérogations au titre de l’article 4 du Pacte peuvent être consultées à l’adresse suivante</w:t>
      </w:r>
      <w:r>
        <w:rPr>
          <w:rFonts w:ascii="TimesNRMTCo" w:hAnsi="TimesNRMTCo"/>
          <w:sz w:val="20"/>
          <w:szCs w:val="20"/>
        </w:rPr>
        <w:t xml:space="preserve"> </w:t>
      </w:r>
      <w:r w:rsidRPr="000D091B">
        <w:rPr>
          <w:rFonts w:ascii="TimesNRMTCo" w:hAnsi="TimesNRMTCo"/>
          <w:sz w:val="20"/>
          <w:szCs w:val="20"/>
        </w:rPr>
        <w:t xml:space="preserve">: </w:t>
      </w:r>
      <w:r w:rsidRPr="00A11762">
        <w:rPr>
          <w:sz w:val="20"/>
          <w:szCs w:val="20"/>
        </w:rPr>
        <w:t xml:space="preserve">https://treaties.un.org/Pages/CNs.aspx?cnTab=tab2&amp;clang=_fr ; celles au titre de l’article 27 de la Convention américaine sont consultables à l’adresse www.oas.org/en/sla/dil/inter_american_trea- ties_suspension_guarantees.asp. </w:t>
      </w:r>
    </w:p>
  </w:footnote>
  <w:footnote w:id="51">
    <w:p w14:paraId="25EB5463" w14:textId="77777777" w:rsidR="00AE7729" w:rsidRDefault="00AE7729" w:rsidP="00256733">
      <w:pPr>
        <w:pStyle w:val="NormalWeb"/>
        <w:spacing w:before="0" w:beforeAutospacing="0" w:after="0" w:afterAutospacing="0"/>
        <w:jc w:val="both"/>
      </w:pPr>
      <w:r w:rsidRPr="00A11762">
        <w:rPr>
          <w:rStyle w:val="Appelnotedebasdep"/>
          <w:sz w:val="20"/>
          <w:szCs w:val="20"/>
        </w:rPr>
        <w:footnoteRef/>
      </w:r>
      <w:r w:rsidRPr="00A11762">
        <w:rPr>
          <w:sz w:val="20"/>
          <w:szCs w:val="20"/>
        </w:rPr>
        <w:t xml:space="preserve"> </w:t>
      </w:r>
      <w:r w:rsidRPr="00A11762">
        <w:rPr>
          <w:smallCaps/>
          <w:color w:val="000000" w:themeColor="text1"/>
          <w:sz w:val="20"/>
          <w:szCs w:val="20"/>
          <w:shd w:val="clear" w:color="auto" w:fill="FFFFFF"/>
        </w:rPr>
        <w:t xml:space="preserve">C. Santulli, </w:t>
      </w:r>
      <w:r w:rsidRPr="00A11762">
        <w:rPr>
          <w:sz w:val="20"/>
          <w:szCs w:val="20"/>
        </w:rPr>
        <w:t>«</w:t>
      </w:r>
      <w:r>
        <w:rPr>
          <w:sz w:val="20"/>
          <w:szCs w:val="20"/>
        </w:rPr>
        <w:t xml:space="preserve"> </w:t>
      </w:r>
      <w:r>
        <w:rPr>
          <w:rFonts w:ascii="TimesNRMTCo" w:hAnsi="TimesNRMTCo"/>
          <w:sz w:val="20"/>
          <w:szCs w:val="20"/>
        </w:rPr>
        <w:t xml:space="preserve">Chronique de droit administratif et droit international », </w:t>
      </w:r>
      <w:r>
        <w:rPr>
          <w:rFonts w:ascii="TimesNRMTCo" w:hAnsi="TimesNRMTCo"/>
          <w:i/>
          <w:iCs/>
          <w:sz w:val="20"/>
          <w:szCs w:val="20"/>
        </w:rPr>
        <w:t>Rev. fr. dr. adm.</w:t>
      </w:r>
      <w:r>
        <w:rPr>
          <w:rFonts w:ascii="TimesNRMTCo" w:hAnsi="TimesNRMTCo"/>
          <w:sz w:val="20"/>
          <w:szCs w:val="20"/>
        </w:rPr>
        <w:t xml:space="preserve">, n°1/2016, p. 163. </w:t>
      </w:r>
    </w:p>
    <w:p w14:paraId="501120D9" w14:textId="77777777" w:rsidR="00AE7729" w:rsidRPr="00A11762" w:rsidRDefault="00AE7729" w:rsidP="00256733">
      <w:pPr>
        <w:pStyle w:val="Notedebasdepage"/>
        <w:jc w:val="both"/>
      </w:pPr>
    </w:p>
  </w:footnote>
  <w:footnote w:id="52">
    <w:p w14:paraId="52D770E9" w14:textId="21980CD2" w:rsidR="00AE7729" w:rsidRPr="00713DE8" w:rsidRDefault="00AE7729" w:rsidP="00256733">
      <w:pPr>
        <w:jc w:val="both"/>
      </w:pPr>
      <w:r>
        <w:rPr>
          <w:rStyle w:val="Appelnotedebasdep"/>
        </w:rPr>
        <w:footnoteRef/>
      </w:r>
      <w:r>
        <w:t xml:space="preserve"> </w:t>
      </w:r>
      <w:r w:rsidRPr="00F90BF0">
        <w:rPr>
          <w:sz w:val="20"/>
          <w:szCs w:val="20"/>
        </w:rPr>
        <w:t xml:space="preserve">Sur les limitations implicites, voy., de manière générale, S. </w:t>
      </w:r>
      <w:r w:rsidRPr="00F90BF0">
        <w:rPr>
          <w:smallCaps/>
          <w:sz w:val="20"/>
          <w:szCs w:val="20"/>
        </w:rPr>
        <w:t>Van Drooghenbroeck</w:t>
      </w:r>
      <w:r w:rsidRPr="00F90BF0">
        <w:rPr>
          <w:sz w:val="20"/>
          <w:szCs w:val="20"/>
        </w:rPr>
        <w:t xml:space="preserve">, </w:t>
      </w:r>
      <w:r w:rsidRPr="00F90BF0">
        <w:rPr>
          <w:i/>
          <w:sz w:val="20"/>
          <w:szCs w:val="20"/>
        </w:rPr>
        <w:t xml:space="preserve">La proportionnalité dans le droit de la Convention européenne des droits de l’Homme. Prendre l’idée simple au sérieux, </w:t>
      </w:r>
      <w:r w:rsidRPr="00F90BF0">
        <w:rPr>
          <w:sz w:val="20"/>
          <w:szCs w:val="20"/>
        </w:rPr>
        <w:t>Bruxelles, FUSL/Bruylant, 2001</w:t>
      </w:r>
      <w:r w:rsidRPr="00C75001">
        <w:rPr>
          <w:color w:val="000000" w:themeColor="text1"/>
          <w:sz w:val="20"/>
          <w:szCs w:val="20"/>
        </w:rPr>
        <w:t>, pp.</w:t>
      </w:r>
      <w:r w:rsidR="00C75001" w:rsidRPr="00C75001">
        <w:rPr>
          <w:color w:val="000000" w:themeColor="text1"/>
          <w:sz w:val="20"/>
          <w:szCs w:val="20"/>
        </w:rPr>
        <w:t xml:space="preserve"> 95 et suiv</w:t>
      </w:r>
      <w:r w:rsidR="00C75001">
        <w:rPr>
          <w:color w:val="FF0000"/>
          <w:sz w:val="20"/>
          <w:szCs w:val="20"/>
        </w:rPr>
        <w:t>.</w:t>
      </w:r>
      <w:r w:rsidRPr="007C446F">
        <w:rPr>
          <w:color w:val="FF0000"/>
          <w:sz w:val="20"/>
          <w:szCs w:val="20"/>
        </w:rPr>
        <w:t xml:space="preserve"> </w:t>
      </w:r>
      <w:r w:rsidRPr="00F90BF0">
        <w:rPr>
          <w:sz w:val="20"/>
          <w:szCs w:val="20"/>
        </w:rPr>
        <w:t xml:space="preserve">Voy. p. ex., sur les limitations implicites qui affectent le principe du contradictoire et de l’égalité des armes, Cour eur. D.H., arrêt </w:t>
      </w:r>
      <w:r w:rsidRPr="00F90BF0">
        <w:rPr>
          <w:i/>
          <w:sz w:val="20"/>
          <w:szCs w:val="20"/>
        </w:rPr>
        <w:t>Regner c. République Tchèque</w:t>
      </w:r>
      <w:r>
        <w:rPr>
          <w:sz w:val="20"/>
          <w:szCs w:val="20"/>
        </w:rPr>
        <w:t>,</w:t>
      </w:r>
      <w:r w:rsidRPr="00F90BF0">
        <w:rPr>
          <w:sz w:val="20"/>
          <w:szCs w:val="20"/>
        </w:rPr>
        <w:t xml:space="preserve"> 19 septembre 2017</w:t>
      </w:r>
      <w:r>
        <w:rPr>
          <w:sz w:val="20"/>
          <w:szCs w:val="20"/>
        </w:rPr>
        <w:t>.</w:t>
      </w:r>
      <w:r w:rsidRPr="00713DE8">
        <w:t xml:space="preserve"> </w:t>
      </w:r>
    </w:p>
  </w:footnote>
  <w:footnote w:id="53">
    <w:p w14:paraId="5811ACDD" w14:textId="1E3AA311" w:rsidR="00AE7729" w:rsidRPr="00713DE8" w:rsidRDefault="00AE7729" w:rsidP="00256733">
      <w:pPr>
        <w:pStyle w:val="Notedebasdepage"/>
        <w:jc w:val="both"/>
        <w:rPr>
          <w:lang w:val="fr-FR"/>
        </w:rPr>
      </w:pPr>
      <w:r>
        <w:rPr>
          <w:rStyle w:val="Appelnotedebasdep"/>
        </w:rPr>
        <w:footnoteRef/>
      </w:r>
      <w:r>
        <w:t xml:space="preserve"> </w:t>
      </w:r>
      <w:r w:rsidRPr="00F90BF0">
        <w:t xml:space="preserve">Voy. S. </w:t>
      </w:r>
      <w:r w:rsidRPr="00F90BF0">
        <w:rPr>
          <w:smallCaps/>
        </w:rPr>
        <w:t>Van Drooghenbroeck</w:t>
      </w:r>
      <w:r w:rsidRPr="00F90BF0">
        <w:t xml:space="preserve">, </w:t>
      </w:r>
      <w:r w:rsidRPr="00F90BF0">
        <w:rPr>
          <w:i/>
        </w:rPr>
        <w:t>La Convention…, op. cit</w:t>
      </w:r>
      <w:r w:rsidRPr="00C75001">
        <w:rPr>
          <w:i/>
          <w:color w:val="000000" w:themeColor="text1"/>
        </w:rPr>
        <w:t xml:space="preserve">., </w:t>
      </w:r>
      <w:r w:rsidR="00C75001" w:rsidRPr="00C75001">
        <w:rPr>
          <w:color w:val="000000" w:themeColor="text1"/>
        </w:rPr>
        <w:t>p</w:t>
      </w:r>
      <w:r w:rsidRPr="00C75001">
        <w:rPr>
          <w:color w:val="000000" w:themeColor="text1"/>
        </w:rPr>
        <w:t xml:space="preserve">. </w:t>
      </w:r>
      <w:r w:rsidR="00C75001" w:rsidRPr="00C75001">
        <w:rPr>
          <w:color w:val="000000" w:themeColor="text1"/>
        </w:rPr>
        <w:t xml:space="preserve">387. </w:t>
      </w:r>
      <w:r w:rsidRPr="00F90BF0">
        <w:t xml:space="preserve">Voy. ég. Cour eur. D.H., arrêt </w:t>
      </w:r>
      <w:r w:rsidRPr="00F90BF0">
        <w:rPr>
          <w:i/>
        </w:rPr>
        <w:t xml:space="preserve">Austin c. </w:t>
      </w:r>
      <w:r>
        <w:rPr>
          <w:i/>
        </w:rPr>
        <w:t>Royaume-Uni</w:t>
      </w:r>
      <w:r>
        <w:t xml:space="preserve">, </w:t>
      </w:r>
      <w:r w:rsidRPr="00F90BF0">
        <w:t xml:space="preserve">15 mars 2012, § 53 ; arrêt </w:t>
      </w:r>
      <w:r w:rsidRPr="00F90BF0">
        <w:rPr>
          <w:i/>
        </w:rPr>
        <w:t>S., V. et A. c. Danemark</w:t>
      </w:r>
      <w:r>
        <w:t xml:space="preserve">, </w:t>
      </w:r>
      <w:r w:rsidRPr="00F90BF0">
        <w:t>22 octobre 2018</w:t>
      </w:r>
      <w:r>
        <w:t>.</w:t>
      </w:r>
    </w:p>
  </w:footnote>
  <w:footnote w:id="54">
    <w:p w14:paraId="021E19B1" w14:textId="16A45C14" w:rsidR="00AE7729" w:rsidRPr="00713DE8" w:rsidRDefault="00AE7729" w:rsidP="00256733">
      <w:pPr>
        <w:pStyle w:val="Notedebasdepage"/>
        <w:jc w:val="both"/>
        <w:rPr>
          <w:lang w:val="fr-FR"/>
        </w:rPr>
      </w:pPr>
      <w:r>
        <w:rPr>
          <w:rStyle w:val="Appelnotedebasdep"/>
        </w:rPr>
        <w:footnoteRef/>
      </w:r>
      <w:r>
        <w:t xml:space="preserve"> </w:t>
      </w:r>
      <w:r w:rsidRPr="00F90BF0">
        <w:t xml:space="preserve">Cour eur. D.H., arrêt </w:t>
      </w:r>
      <w:r w:rsidRPr="00F90BF0">
        <w:rPr>
          <w:i/>
        </w:rPr>
        <w:t xml:space="preserve">Ibrahim c. </w:t>
      </w:r>
      <w:r>
        <w:rPr>
          <w:i/>
        </w:rPr>
        <w:t>Royaume-Uni</w:t>
      </w:r>
      <w:r>
        <w:t>,</w:t>
      </w:r>
      <w:r w:rsidRPr="00F90BF0">
        <w:t>16 septembre 2016. Voy. encore, en matière sanitaire, 15 juillet 2010, n° 44174/06 et 44190/06</w:t>
      </w:r>
      <w:r>
        <w:t>.</w:t>
      </w:r>
    </w:p>
  </w:footnote>
  <w:footnote w:id="55">
    <w:p w14:paraId="1D9C74E7" w14:textId="4967752C" w:rsidR="00AE7729" w:rsidRPr="008D417A" w:rsidRDefault="00AE7729" w:rsidP="00256733">
      <w:pPr>
        <w:pStyle w:val="Notedebasdepage"/>
        <w:jc w:val="both"/>
      </w:pPr>
      <w:r>
        <w:rPr>
          <w:rStyle w:val="Appelnotedebasdep"/>
        </w:rPr>
        <w:footnoteRef/>
      </w:r>
      <w:r>
        <w:t xml:space="preserve"> Cour eur. D.H., </w:t>
      </w:r>
      <w:r>
        <w:rPr>
          <w:color w:val="000000"/>
        </w:rPr>
        <w:t xml:space="preserve">arrêt </w:t>
      </w:r>
      <w:r>
        <w:rPr>
          <w:i/>
          <w:color w:val="000000"/>
        </w:rPr>
        <w:t xml:space="preserve">Muhammad et Muhammad c. Roumanie, </w:t>
      </w:r>
      <w:r>
        <w:t xml:space="preserve">15 octobre 2020, § 132. </w:t>
      </w:r>
    </w:p>
  </w:footnote>
  <w:footnote w:id="56">
    <w:p w14:paraId="673DE20A" w14:textId="25C3361D" w:rsidR="00AE7729" w:rsidRPr="00713DE8" w:rsidRDefault="00AE7729" w:rsidP="00256733">
      <w:pPr>
        <w:pStyle w:val="Notedebasdepage"/>
        <w:jc w:val="both"/>
      </w:pPr>
      <w:r>
        <w:rPr>
          <w:rStyle w:val="Appelnotedebasdep"/>
        </w:rPr>
        <w:footnoteRef/>
      </w:r>
      <w:r>
        <w:t xml:space="preserve"> </w:t>
      </w:r>
      <w:r w:rsidRPr="00F90BF0">
        <w:t xml:space="preserve">Voy. S. </w:t>
      </w:r>
      <w:r w:rsidRPr="00F90BF0">
        <w:rPr>
          <w:smallCaps/>
        </w:rPr>
        <w:t>Van Drooghenroeck</w:t>
      </w:r>
      <w:r w:rsidRPr="00F90BF0">
        <w:t xml:space="preserve">, </w:t>
      </w:r>
      <w:r w:rsidRPr="00F90BF0">
        <w:rPr>
          <w:i/>
        </w:rPr>
        <w:t>La proportionnalité…, op. cit.,</w:t>
      </w:r>
      <w:r>
        <w:t xml:space="preserve"> p. 93. </w:t>
      </w:r>
    </w:p>
  </w:footnote>
  <w:footnote w:id="57">
    <w:p w14:paraId="35BE1EFC" w14:textId="58D3CDFA" w:rsidR="00AE7729" w:rsidRPr="00F068DF" w:rsidRDefault="00AE7729" w:rsidP="00256733">
      <w:pPr>
        <w:pStyle w:val="Notedebasdepage"/>
        <w:jc w:val="both"/>
      </w:pPr>
      <w:r>
        <w:rPr>
          <w:rStyle w:val="Appelnotedebasdep"/>
        </w:rPr>
        <w:footnoteRef/>
      </w:r>
      <w:r>
        <w:t xml:space="preserve"> </w:t>
      </w:r>
      <w:r w:rsidRPr="00F068DF">
        <w:t xml:space="preserve">Pour un </w:t>
      </w:r>
      <w:r>
        <w:t xml:space="preserve">rappel sur ce point, voy. Cour eur. D.H., arrêt </w:t>
      </w:r>
      <w:r>
        <w:rPr>
          <w:i/>
        </w:rPr>
        <w:t xml:space="preserve">Bas c. Turquie, </w:t>
      </w:r>
      <w:r>
        <w:t xml:space="preserve">3 mars 2020, § 196. </w:t>
      </w:r>
    </w:p>
  </w:footnote>
  <w:footnote w:id="58">
    <w:p w14:paraId="458F8E29" w14:textId="5960E426" w:rsidR="00AE7729" w:rsidRPr="00B31BC1" w:rsidRDefault="00AE7729" w:rsidP="00256733">
      <w:pPr>
        <w:pStyle w:val="Notedebasdepage"/>
        <w:jc w:val="both"/>
        <w:rPr>
          <w:color w:val="000000" w:themeColor="text1"/>
          <w:lang w:val="fr-FR"/>
        </w:rPr>
      </w:pPr>
      <w:r w:rsidRPr="00B31BC1">
        <w:rPr>
          <w:rStyle w:val="Appelnotedebasdep"/>
          <w:color w:val="000000" w:themeColor="text1"/>
        </w:rPr>
        <w:footnoteRef/>
      </w:r>
      <w:r w:rsidRPr="00B31BC1">
        <w:rPr>
          <w:color w:val="000000" w:themeColor="text1"/>
        </w:rPr>
        <w:t xml:space="preserve"> Voy. </w:t>
      </w:r>
      <w:r w:rsidRPr="007C446F">
        <w:rPr>
          <w:smallCaps/>
          <w:color w:val="000000" w:themeColor="text1"/>
        </w:rPr>
        <w:t>S. Van Drooghenbroeck</w:t>
      </w:r>
      <w:r w:rsidRPr="00B31BC1">
        <w:rPr>
          <w:color w:val="000000" w:themeColor="text1"/>
        </w:rPr>
        <w:t xml:space="preserve">, </w:t>
      </w:r>
      <w:r w:rsidRPr="00B31BC1">
        <w:rPr>
          <w:i/>
          <w:color w:val="000000" w:themeColor="text1"/>
        </w:rPr>
        <w:t>La proportionnalité….</w:t>
      </w:r>
      <w:r w:rsidRPr="00B31BC1">
        <w:rPr>
          <w:color w:val="000000" w:themeColor="text1"/>
        </w:rPr>
        <w:t>, p. 294</w:t>
      </w:r>
      <w:r>
        <w:rPr>
          <w:color w:val="000000" w:themeColor="text1"/>
        </w:rPr>
        <w:t xml:space="preserve">. </w:t>
      </w:r>
    </w:p>
  </w:footnote>
  <w:footnote w:id="59">
    <w:p w14:paraId="6487AD04" w14:textId="797F0CDA" w:rsidR="00AE7729" w:rsidRPr="00B31BC1" w:rsidRDefault="00AE7729" w:rsidP="00256733">
      <w:pPr>
        <w:jc w:val="both"/>
        <w:rPr>
          <w:color w:val="000000" w:themeColor="text1"/>
          <w:sz w:val="20"/>
          <w:szCs w:val="20"/>
        </w:rPr>
      </w:pPr>
      <w:r w:rsidRPr="00B31BC1">
        <w:rPr>
          <w:rStyle w:val="Appelnotedebasdep"/>
          <w:color w:val="000000" w:themeColor="text1"/>
          <w:sz w:val="20"/>
          <w:szCs w:val="20"/>
        </w:rPr>
        <w:footnoteRef/>
      </w:r>
      <w:r w:rsidRPr="00B31BC1">
        <w:rPr>
          <w:color w:val="000000" w:themeColor="text1"/>
          <w:sz w:val="20"/>
          <w:szCs w:val="20"/>
        </w:rPr>
        <w:t xml:space="preserve"> Cour eur. D.H., arrêt </w:t>
      </w:r>
      <w:r w:rsidRPr="00B31BC1">
        <w:rPr>
          <w:i/>
          <w:color w:val="000000" w:themeColor="text1"/>
          <w:sz w:val="20"/>
          <w:szCs w:val="20"/>
        </w:rPr>
        <w:t>A c. Royaume-Uni</w:t>
      </w:r>
      <w:r w:rsidRPr="00B31BC1">
        <w:rPr>
          <w:color w:val="000000" w:themeColor="text1"/>
          <w:sz w:val="20"/>
          <w:szCs w:val="20"/>
        </w:rPr>
        <w:t>, 19 février 2009 § 184. Voy. également l’observation générale n°29 du Comité des droits de l’Homme des Nations-Unies, pt  16</w:t>
      </w:r>
    </w:p>
  </w:footnote>
  <w:footnote w:id="60">
    <w:p w14:paraId="219133E0" w14:textId="7481D898" w:rsidR="00AE7729" w:rsidRPr="00B31BC1" w:rsidRDefault="00AE7729" w:rsidP="00256733">
      <w:pPr>
        <w:pStyle w:val="Notedebasdepage"/>
        <w:jc w:val="both"/>
        <w:rPr>
          <w:color w:val="000000" w:themeColor="text1"/>
          <w:lang w:val="fr-FR"/>
        </w:rPr>
      </w:pPr>
      <w:r w:rsidRPr="00B31BC1">
        <w:rPr>
          <w:rStyle w:val="Appelnotedebasdep"/>
          <w:color w:val="000000" w:themeColor="text1"/>
        </w:rPr>
        <w:footnoteRef/>
      </w:r>
      <w:r w:rsidRPr="00B31BC1">
        <w:rPr>
          <w:color w:val="000000" w:themeColor="text1"/>
        </w:rPr>
        <w:t xml:space="preserve"> Cour eur. D.H., arrêt </w:t>
      </w:r>
      <w:r w:rsidRPr="00B31BC1">
        <w:rPr>
          <w:i/>
          <w:color w:val="000000" w:themeColor="text1"/>
        </w:rPr>
        <w:t>Alparslan Altan c. Turquie</w:t>
      </w:r>
      <w:r w:rsidRPr="00B31BC1">
        <w:rPr>
          <w:color w:val="000000" w:themeColor="text1"/>
        </w:rPr>
        <w:t xml:space="preserve">, 16 avril 2019, § 119 ; arrêt </w:t>
      </w:r>
      <w:r w:rsidRPr="00B31BC1">
        <w:rPr>
          <w:i/>
          <w:color w:val="000000" w:themeColor="text1"/>
        </w:rPr>
        <w:t>Sahin Alpay c. Turquie</w:t>
      </w:r>
      <w:r w:rsidRPr="00B31BC1">
        <w:rPr>
          <w:color w:val="000000" w:themeColor="text1"/>
        </w:rPr>
        <w:t xml:space="preserve">, § 119 ; </w:t>
      </w:r>
      <w:r w:rsidRPr="00B31BC1">
        <w:rPr>
          <w:i/>
          <w:iCs/>
          <w:color w:val="000000" w:themeColor="text1"/>
        </w:rPr>
        <w:t>Mehmet Hasan Altan c. Turquie</w:t>
      </w:r>
      <w:r w:rsidRPr="00B31BC1">
        <w:rPr>
          <w:color w:val="000000" w:themeColor="text1"/>
        </w:rPr>
        <w:t xml:space="preserve">, 2018, §§ 140 et 213; </w:t>
      </w:r>
      <w:r w:rsidRPr="00B31BC1">
        <w:rPr>
          <w:i/>
          <w:iCs/>
          <w:color w:val="000000" w:themeColor="text1"/>
        </w:rPr>
        <w:t>Alparslan Altan c. Turquie</w:t>
      </w:r>
      <w:r w:rsidRPr="00B31BC1">
        <w:rPr>
          <w:color w:val="000000" w:themeColor="text1"/>
        </w:rPr>
        <w:t xml:space="preserve">, 2019, §§ 117-119 ; </w:t>
      </w:r>
      <w:r w:rsidRPr="00B31BC1">
        <w:rPr>
          <w:i/>
          <w:iCs/>
          <w:color w:val="000000" w:themeColor="text1"/>
        </w:rPr>
        <w:t>Bas</w:t>
      </w:r>
      <w:r w:rsidRPr="00B31BC1">
        <w:rPr>
          <w:rFonts w:ascii="Cambria Math" w:hAnsi="Cambria Math" w:cs="Cambria Math"/>
          <w:i/>
          <w:iCs/>
          <w:color w:val="000000" w:themeColor="text1"/>
        </w:rPr>
        <w:t>̧</w:t>
      </w:r>
      <w:r w:rsidRPr="00B31BC1">
        <w:rPr>
          <w:i/>
          <w:iCs/>
          <w:color w:val="000000" w:themeColor="text1"/>
        </w:rPr>
        <w:t xml:space="preserve"> c. Turquie</w:t>
      </w:r>
      <w:r w:rsidRPr="00B31BC1">
        <w:rPr>
          <w:color w:val="000000" w:themeColor="text1"/>
        </w:rPr>
        <w:t>, 2020, §§ 160-161.</w:t>
      </w:r>
    </w:p>
  </w:footnote>
  <w:footnote w:id="61">
    <w:p w14:paraId="38ABF14D" w14:textId="2F89C9A3" w:rsidR="00AE7729" w:rsidRPr="00C33B4D" w:rsidRDefault="00AE7729" w:rsidP="00256733">
      <w:pPr>
        <w:jc w:val="both"/>
      </w:pPr>
      <w:r w:rsidRPr="00B31BC1">
        <w:rPr>
          <w:rStyle w:val="Appelnotedebasdep"/>
          <w:sz w:val="20"/>
          <w:szCs w:val="20"/>
        </w:rPr>
        <w:footnoteRef/>
      </w:r>
      <w:r w:rsidRPr="00B31BC1">
        <w:rPr>
          <w:sz w:val="20"/>
          <w:szCs w:val="20"/>
        </w:rPr>
        <w:t xml:space="preserve"> S’agissant de l’article 4 du Pacte international relatif aux droits civils et politiques, voy. l’observation générale n°29, pt. 4 : « </w:t>
      </w:r>
      <w:r w:rsidRPr="00B31BC1">
        <w:rPr>
          <w:color w:val="000000"/>
          <w:sz w:val="20"/>
          <w:szCs w:val="20"/>
        </w:rPr>
        <w:t>Une condition fondamentale à remplir concernant toutes mesures dérogeant aux dispositions du Pacte, telles qu’énoncées au paragraphe 1 de l’article 4, est que ces dérogations ne soient permises que dans la stricte mesure où la situation l’exige. Cette condition vise la durée, l’étendue géographique et la portée matérielle de l’état d’urgence et de toute dérogation appliquée par l’État du fait de l’état d’urgence. Une dérogation à certaines obligations découlant du Pacte se différencie clairement des restrictions ou limites autorisées même en temps ordinaire par plusieurs dispositions du Pacte. Néanmoins, l’obligation de limiter les dérogations à ce qui est strictement exigé par la situation a son origine dans le principe de proportionnalité qui est commun aux pouvoirs de dérogation et de restriction. En outre, le simple fait qu’une dérogation admise à une disposition spécifique puisse être en soi exigée par les circonstances ne dispense pas de montrer également que les mesures spécifiques prises conformément à cette dérogation sont dictées par les nécessités de la situation. Dans la pratique, cela garantira qu’aucune disposition du Pacte, même s’il y est dérogé valablement, ne puisse être entièrement inapplicable au comportement d’un État partie. Lors de l’examen de rapports d’États parties, le Comité s’est déclaré préoccupé par le fait qu’il ne soit pas tenu suffisamment compte du principe de proportionnalité »</w:t>
      </w:r>
    </w:p>
  </w:footnote>
  <w:footnote w:id="62">
    <w:p w14:paraId="2AB16A3C" w14:textId="21CCE11C" w:rsidR="00AE7729" w:rsidRPr="00B31BC1" w:rsidRDefault="00AE7729" w:rsidP="00256733">
      <w:pPr>
        <w:jc w:val="both"/>
      </w:pPr>
      <w:r>
        <w:rPr>
          <w:rStyle w:val="Appelnotedebasdep"/>
        </w:rPr>
        <w:footnoteRef/>
      </w:r>
      <w:r>
        <w:t xml:space="preserve"> </w:t>
      </w:r>
      <w:r w:rsidRPr="00F90BF0">
        <w:rPr>
          <w:sz w:val="20"/>
          <w:szCs w:val="20"/>
        </w:rPr>
        <w:t xml:space="preserve">Cour eur. D.H., arrêt </w:t>
      </w:r>
      <w:r w:rsidRPr="00F90BF0">
        <w:rPr>
          <w:i/>
          <w:sz w:val="20"/>
          <w:szCs w:val="20"/>
        </w:rPr>
        <w:t>Sahin Alpay c. Turquie</w:t>
      </w:r>
      <w:r>
        <w:rPr>
          <w:sz w:val="20"/>
          <w:szCs w:val="20"/>
        </w:rPr>
        <w:t>,</w:t>
      </w:r>
      <w:r w:rsidRPr="00F90BF0">
        <w:rPr>
          <w:sz w:val="20"/>
          <w:szCs w:val="20"/>
        </w:rPr>
        <w:t xml:space="preserve"> 20 mars 2018, §§ 119 et 183</w:t>
      </w:r>
      <w:r>
        <w:rPr>
          <w:sz w:val="20"/>
          <w:szCs w:val="20"/>
        </w:rPr>
        <w:t>.</w:t>
      </w:r>
      <w:r w:rsidRPr="00B31BC1">
        <w:t xml:space="preserve"> </w:t>
      </w:r>
    </w:p>
  </w:footnote>
  <w:footnote w:id="63">
    <w:p w14:paraId="0F864FFA" w14:textId="2F52FE94" w:rsidR="00AE7729" w:rsidRPr="00B31BC1" w:rsidRDefault="00AE7729" w:rsidP="00256733">
      <w:pPr>
        <w:pStyle w:val="Notedebasdepage"/>
        <w:jc w:val="both"/>
        <w:rPr>
          <w:lang w:val="fr-FR"/>
        </w:rPr>
      </w:pPr>
      <w:r w:rsidRPr="00B31BC1">
        <w:rPr>
          <w:rStyle w:val="Appelnotedebasdep"/>
        </w:rPr>
        <w:footnoteRef/>
      </w:r>
      <w:r w:rsidRPr="00B31BC1">
        <w:t xml:space="preserve"> Voy. S. Van Drooghenbroeck, </w:t>
      </w:r>
      <w:r w:rsidRPr="00B31BC1">
        <w:rPr>
          <w:i/>
        </w:rPr>
        <w:t>La proportionnalité…</w:t>
      </w:r>
      <w:r w:rsidRPr="00B31BC1">
        <w:t>, p.</w:t>
      </w:r>
      <w:r w:rsidRPr="007C446F">
        <w:rPr>
          <w:iCs/>
        </w:rPr>
        <w:t xml:space="preserve"> 294</w:t>
      </w:r>
      <w:r>
        <w:rPr>
          <w:iCs/>
        </w:rPr>
        <w:t xml:space="preserve">. </w:t>
      </w:r>
    </w:p>
  </w:footnote>
  <w:footnote w:id="64">
    <w:p w14:paraId="600D35D9" w14:textId="3553F914" w:rsidR="00AE7729" w:rsidRPr="00B31BC1" w:rsidRDefault="00AE7729" w:rsidP="00256733">
      <w:pPr>
        <w:pStyle w:val="Notedebasdepage"/>
        <w:jc w:val="both"/>
      </w:pPr>
      <w:r w:rsidRPr="00B31BC1">
        <w:rPr>
          <w:rStyle w:val="Appelnotedebasdep"/>
        </w:rPr>
        <w:footnoteRef/>
      </w:r>
      <w:r w:rsidRPr="00B31BC1">
        <w:t xml:space="preserve"> M. </w:t>
      </w:r>
      <w:r w:rsidRPr="00B31BC1">
        <w:rPr>
          <w:smallCaps/>
        </w:rPr>
        <w:t>Afroukh</w:t>
      </w:r>
      <w:r w:rsidRPr="00B31BC1">
        <w:t xml:space="preserve">, « Section I. - Une hiérarchie des droits et libertés fondée sur la théorie des circonstances exceptionnelles », </w:t>
      </w:r>
      <w:r w:rsidRPr="00B31BC1">
        <w:rPr>
          <w:i/>
        </w:rPr>
        <w:t>La hiérarchie des droits et libertés dans la jurisprudence de la Cour européenne des droits de l'homme</w:t>
      </w:r>
      <w:r w:rsidRPr="00B31BC1">
        <w:t>, Bruxelles, Bruylant, 2011, p. 73.</w:t>
      </w:r>
    </w:p>
  </w:footnote>
  <w:footnote w:id="65">
    <w:p w14:paraId="58949CD6" w14:textId="7E1DC40B" w:rsidR="00AE7729" w:rsidRPr="00B31BC1" w:rsidRDefault="00AE7729" w:rsidP="00256733">
      <w:pPr>
        <w:jc w:val="both"/>
        <w:rPr>
          <w:sz w:val="20"/>
          <w:szCs w:val="20"/>
        </w:rPr>
      </w:pPr>
      <w:r w:rsidRPr="00B31BC1">
        <w:rPr>
          <w:rStyle w:val="Appelnotedebasdep"/>
          <w:sz w:val="20"/>
          <w:szCs w:val="20"/>
        </w:rPr>
        <w:footnoteRef/>
      </w:r>
      <w:r w:rsidRPr="00B31BC1">
        <w:rPr>
          <w:sz w:val="20"/>
          <w:szCs w:val="20"/>
        </w:rPr>
        <w:t xml:space="preserve"> R. </w:t>
      </w:r>
      <w:r w:rsidRPr="00B31BC1">
        <w:rPr>
          <w:smallCaps/>
          <w:sz w:val="20"/>
          <w:szCs w:val="20"/>
        </w:rPr>
        <w:t>Ergec</w:t>
      </w:r>
      <w:r w:rsidRPr="00B31BC1">
        <w:rPr>
          <w:sz w:val="20"/>
          <w:szCs w:val="20"/>
        </w:rPr>
        <w:t xml:space="preserve">, </w:t>
      </w:r>
      <w:r w:rsidRPr="00B31BC1">
        <w:rPr>
          <w:i/>
          <w:sz w:val="20"/>
          <w:szCs w:val="20"/>
        </w:rPr>
        <w:t>Les droits de l’Homme à l’épreuve des circonstances exceptionnelles…, op. cit.</w:t>
      </w:r>
      <w:r w:rsidRPr="00B31BC1">
        <w:rPr>
          <w:sz w:val="20"/>
          <w:szCs w:val="20"/>
        </w:rPr>
        <w:t xml:space="preserve">, p. 33-34. </w:t>
      </w:r>
      <w:r w:rsidRPr="000E5DE3">
        <w:rPr>
          <w:sz w:val="20"/>
          <w:szCs w:val="20"/>
        </w:rPr>
        <w:t xml:space="preserve">Voy. ég. </w:t>
      </w:r>
      <w:r w:rsidRPr="007C446F">
        <w:rPr>
          <w:smallCaps/>
          <w:sz w:val="20"/>
          <w:szCs w:val="20"/>
        </w:rPr>
        <w:t>M. Afroukh</w:t>
      </w:r>
      <w:r w:rsidRPr="00B31BC1">
        <w:rPr>
          <w:sz w:val="20"/>
          <w:szCs w:val="20"/>
        </w:rPr>
        <w:t xml:space="preserve">, « Le recours au mécanisme dérogatoire…. », </w:t>
      </w:r>
      <w:r w:rsidRPr="00B31BC1">
        <w:rPr>
          <w:i/>
          <w:sz w:val="20"/>
          <w:szCs w:val="20"/>
        </w:rPr>
        <w:t xml:space="preserve">op. cit., </w:t>
      </w:r>
      <w:r w:rsidRPr="00B31BC1">
        <w:rPr>
          <w:sz w:val="20"/>
          <w:szCs w:val="20"/>
        </w:rPr>
        <w:t xml:space="preserve">pp. 283 et suiv. </w:t>
      </w:r>
    </w:p>
  </w:footnote>
  <w:footnote w:id="66">
    <w:p w14:paraId="401D965D" w14:textId="7391389E" w:rsidR="00AE7729" w:rsidRPr="000E5DE3" w:rsidRDefault="00AE7729" w:rsidP="00256733">
      <w:pPr>
        <w:jc w:val="both"/>
        <w:rPr>
          <w:sz w:val="20"/>
          <w:szCs w:val="20"/>
          <w:lang w:val="nl-NL"/>
        </w:rPr>
      </w:pPr>
      <w:r w:rsidRPr="00B31BC1">
        <w:rPr>
          <w:rStyle w:val="Appelnotedebasdep"/>
          <w:sz w:val="20"/>
          <w:szCs w:val="20"/>
        </w:rPr>
        <w:footnoteRef/>
      </w:r>
      <w:r w:rsidRPr="000E5DE3">
        <w:rPr>
          <w:sz w:val="20"/>
          <w:szCs w:val="20"/>
          <w:lang w:val="nl-NL"/>
        </w:rPr>
        <w:t xml:space="preserve"> S. </w:t>
      </w:r>
      <w:r w:rsidRPr="000E5DE3">
        <w:rPr>
          <w:smallCaps/>
          <w:sz w:val="20"/>
          <w:szCs w:val="20"/>
          <w:lang w:val="nl-NL"/>
        </w:rPr>
        <w:t>Van Drooghenbroeck</w:t>
      </w:r>
      <w:r w:rsidRPr="000E5DE3">
        <w:rPr>
          <w:sz w:val="20"/>
          <w:szCs w:val="20"/>
          <w:lang w:val="nl-NL"/>
        </w:rPr>
        <w:t xml:space="preserve">, </w:t>
      </w:r>
      <w:r w:rsidRPr="000E5DE3">
        <w:rPr>
          <w:i/>
          <w:sz w:val="20"/>
          <w:szCs w:val="20"/>
          <w:lang w:val="nl-NL"/>
        </w:rPr>
        <w:t>ibid</w:t>
      </w:r>
      <w:r w:rsidRPr="000E5DE3">
        <w:rPr>
          <w:sz w:val="20"/>
          <w:szCs w:val="20"/>
          <w:lang w:val="nl-NL"/>
        </w:rPr>
        <w:t xml:space="preserve">., p. 295. </w:t>
      </w:r>
    </w:p>
  </w:footnote>
  <w:footnote w:id="67">
    <w:p w14:paraId="0924F06A" w14:textId="7A5E60DE" w:rsidR="00AE7729" w:rsidRPr="00B31BC1" w:rsidRDefault="00AE7729" w:rsidP="00256733">
      <w:pPr>
        <w:pStyle w:val="Notedebasdepage"/>
        <w:jc w:val="both"/>
        <w:rPr>
          <w:i/>
        </w:rPr>
      </w:pPr>
      <w:r w:rsidRPr="00B31BC1">
        <w:rPr>
          <w:rStyle w:val="Appelnotedebasdep"/>
        </w:rPr>
        <w:footnoteRef/>
      </w:r>
      <w:r w:rsidRPr="00B31BC1">
        <w:t xml:space="preserve"> Voy. </w:t>
      </w:r>
      <w:r w:rsidRPr="007C446F">
        <w:rPr>
          <w:smallCaps/>
        </w:rPr>
        <w:t>R. Delforge</w:t>
      </w:r>
      <w:r w:rsidRPr="00B31BC1">
        <w:t xml:space="preserve">, </w:t>
      </w:r>
      <w:r w:rsidRPr="007C446F">
        <w:rPr>
          <w:smallCaps/>
        </w:rPr>
        <w:t>C. Romainville</w:t>
      </w:r>
      <w:r w:rsidRPr="00B31BC1">
        <w:t xml:space="preserve">, </w:t>
      </w:r>
      <w:r w:rsidRPr="007C446F">
        <w:rPr>
          <w:smallCaps/>
        </w:rPr>
        <w:t>S. Van Drooghenbroeck</w:t>
      </w:r>
      <w:r w:rsidRPr="00B31BC1">
        <w:t xml:space="preserve"> et </w:t>
      </w:r>
      <w:r w:rsidRPr="007C446F">
        <w:rPr>
          <w:smallCaps/>
        </w:rPr>
        <w:t>M. Verdussen</w:t>
      </w:r>
      <w:r w:rsidRPr="00B31BC1">
        <w:t xml:space="preserve">, “L’absence d’état d’urgence en droit constitutionnel belge », </w:t>
      </w:r>
      <w:r w:rsidRPr="00B31BC1">
        <w:rPr>
          <w:i/>
        </w:rPr>
        <w:t>op. cit.</w:t>
      </w:r>
    </w:p>
  </w:footnote>
  <w:footnote w:id="68">
    <w:p w14:paraId="7074EDD5" w14:textId="42E4F19E" w:rsidR="00AE7729" w:rsidRPr="008D09AB" w:rsidRDefault="00AE7729" w:rsidP="00256733">
      <w:pPr>
        <w:jc w:val="both"/>
      </w:pPr>
      <w:r w:rsidRPr="00B31BC1">
        <w:rPr>
          <w:rStyle w:val="Appelnotedebasdep"/>
          <w:sz w:val="20"/>
          <w:szCs w:val="20"/>
        </w:rPr>
        <w:footnoteRef/>
      </w:r>
      <w:r w:rsidRPr="00B31BC1">
        <w:rPr>
          <w:sz w:val="20"/>
          <w:szCs w:val="20"/>
        </w:rPr>
        <w:t xml:space="preserve"> Voy. </w:t>
      </w:r>
      <w:r w:rsidRPr="007C446F">
        <w:rPr>
          <w:smallCaps/>
          <w:sz w:val="20"/>
          <w:szCs w:val="20"/>
        </w:rPr>
        <w:t>S. Van Drooghenbroeck</w:t>
      </w:r>
      <w:r w:rsidRPr="00B31BC1">
        <w:rPr>
          <w:sz w:val="20"/>
          <w:szCs w:val="20"/>
        </w:rPr>
        <w:t xml:space="preserve"> et </w:t>
      </w:r>
      <w:r w:rsidRPr="007C446F">
        <w:rPr>
          <w:smallCaps/>
          <w:sz w:val="20"/>
          <w:szCs w:val="20"/>
        </w:rPr>
        <w:t>C. Rizcal</w:t>
      </w:r>
      <w:r>
        <w:rPr>
          <w:smallCaps/>
          <w:sz w:val="20"/>
          <w:szCs w:val="20"/>
        </w:rPr>
        <w:t>l</w:t>
      </w:r>
      <w:r w:rsidRPr="007C446F">
        <w:rPr>
          <w:smallCaps/>
          <w:sz w:val="20"/>
          <w:szCs w:val="20"/>
        </w:rPr>
        <w:t>ah</w:t>
      </w:r>
      <w:r w:rsidRPr="00B31BC1">
        <w:rPr>
          <w:sz w:val="20"/>
          <w:szCs w:val="20"/>
        </w:rPr>
        <w:t>, “Légalité</w:t>
      </w:r>
      <w:r w:rsidRPr="00B31BC1">
        <w:rPr>
          <w:bCs/>
          <w:color w:val="000000" w:themeColor="text1"/>
          <w:sz w:val="20"/>
          <w:szCs w:val="20"/>
        </w:rPr>
        <w:t xml:space="preserve"> et intangibilité de l'essence des droits : quelles balises pour le principe de proportionnalité dans la Charte des droits fondamentaux de l'Union européenne ? »,</w:t>
      </w:r>
      <w:r>
        <w:rPr>
          <w:bCs/>
          <w:color w:val="000000" w:themeColor="text1"/>
          <w:sz w:val="20"/>
          <w:szCs w:val="20"/>
        </w:rPr>
        <w:t xml:space="preserve"> </w:t>
      </w:r>
      <w:r w:rsidRPr="00B31BC1">
        <w:rPr>
          <w:bCs/>
          <w:color w:val="000000" w:themeColor="text1"/>
          <w:sz w:val="20"/>
          <w:szCs w:val="20"/>
        </w:rPr>
        <w:t>in R.</w:t>
      </w:r>
      <w:r w:rsidRPr="00B31BC1">
        <w:rPr>
          <w:bCs/>
          <w:color w:val="000000"/>
          <w:sz w:val="20"/>
          <w:szCs w:val="20"/>
        </w:rPr>
        <w:t xml:space="preserve"> Bentirou Mathlouthi (dir.), </w:t>
      </w:r>
      <w:r w:rsidRPr="00B31BC1">
        <w:rPr>
          <w:bCs/>
          <w:i/>
          <w:color w:val="000000"/>
          <w:sz w:val="20"/>
          <w:szCs w:val="20"/>
        </w:rPr>
        <w:t>Proportionnalité, droits fondamentaux et juges, Actes du colloque international, 20 et 21 novembre 2019</w:t>
      </w:r>
      <w:r w:rsidRPr="00B31BC1">
        <w:rPr>
          <w:bCs/>
          <w:color w:val="000000"/>
          <w:sz w:val="20"/>
          <w:szCs w:val="20"/>
        </w:rPr>
        <w:t>, Neuchâtel, à paraître chez L'Harmattan, décembre 2021</w:t>
      </w:r>
      <w:r w:rsidRPr="00B31BC1">
        <w:rPr>
          <w:color w:val="000000"/>
          <w:sz w:val="20"/>
          <w:szCs w:val="20"/>
        </w:rPr>
        <w:t>.</w:t>
      </w:r>
      <w:r w:rsidRPr="0049225F">
        <w:rPr>
          <w:b/>
          <w:bCs/>
          <w:color w:val="000000" w:themeColor="text1"/>
          <w:sz w:val="28"/>
          <w:szCs w:val="28"/>
        </w:rPr>
        <w:t xml:space="preserve"> </w:t>
      </w:r>
    </w:p>
  </w:footnote>
  <w:footnote w:id="69">
    <w:p w14:paraId="6F8D68E0" w14:textId="41EF419A" w:rsidR="00AE7729" w:rsidRPr="00B31BC1" w:rsidRDefault="00AE7729" w:rsidP="00256733">
      <w:pPr>
        <w:pStyle w:val="Notedebasdepage"/>
        <w:jc w:val="both"/>
        <w:rPr>
          <w:lang w:val="fr-FR"/>
        </w:rPr>
      </w:pPr>
      <w:r>
        <w:rPr>
          <w:rStyle w:val="Appelnotedebasdep"/>
        </w:rPr>
        <w:footnoteRef/>
      </w:r>
      <w:r>
        <w:t xml:space="preserve"> « La Convention européenne des droits de l’Homme et la pandémie de Covid-19 », </w:t>
      </w:r>
      <w:r>
        <w:rPr>
          <w:i/>
        </w:rPr>
        <w:t xml:space="preserve">Rev. Trim. Dr. Homme, </w:t>
      </w:r>
      <w:r>
        <w:t>2021, pp. 15 et suiv.</w:t>
      </w:r>
    </w:p>
  </w:footnote>
  <w:footnote w:id="70">
    <w:p w14:paraId="72A2D635" w14:textId="293C01B9" w:rsidR="00AE7729" w:rsidRPr="00544589" w:rsidRDefault="00AE7729" w:rsidP="00256733">
      <w:pPr>
        <w:pStyle w:val="Notedebasdepage"/>
        <w:jc w:val="both"/>
        <w:rPr>
          <w:lang w:val="fr-FR"/>
        </w:rPr>
      </w:pPr>
      <w:r>
        <w:rPr>
          <w:rStyle w:val="Appelnotedebasdep"/>
        </w:rPr>
        <w:footnoteRef/>
      </w:r>
      <w:r>
        <w:t xml:space="preserve"> </w:t>
      </w:r>
      <w:r>
        <w:rPr>
          <w:lang w:val="fr-FR"/>
        </w:rPr>
        <w:t xml:space="preserve">Pour un inventaire de celles-ci, voy. </w:t>
      </w:r>
      <w:proofErr w:type="gramStart"/>
      <w:r>
        <w:rPr>
          <w:lang w:val="fr-FR"/>
        </w:rPr>
        <w:t>la</w:t>
      </w:r>
      <w:proofErr w:type="gramEnd"/>
      <w:r>
        <w:rPr>
          <w:lang w:val="fr-FR"/>
        </w:rPr>
        <w:t xml:space="preserve"> fiche thématique « Crise sanitaire de la Covid-19 », consultable sur </w:t>
      </w:r>
      <w:hyperlink r:id="rId9" w:history="1">
        <w:r w:rsidRPr="0032476A">
          <w:rPr>
            <w:rStyle w:val="Lienhypertexte"/>
            <w:lang w:val="fr-FR"/>
          </w:rPr>
          <w:t>https://www.echr.coe.int/Documents/FS_Covid_FRA.pdf</w:t>
        </w:r>
      </w:hyperlink>
      <w:r>
        <w:rPr>
          <w:lang w:val="fr-FR"/>
        </w:rPr>
        <w:t xml:space="preserve">. </w:t>
      </w:r>
    </w:p>
  </w:footnote>
  <w:footnote w:id="71">
    <w:p w14:paraId="27BD7E75" w14:textId="66673CD8" w:rsidR="00AE7729" w:rsidRPr="000E5DE3" w:rsidRDefault="00AE7729" w:rsidP="00256733">
      <w:pPr>
        <w:pStyle w:val="Notedebasdepage"/>
        <w:jc w:val="both"/>
      </w:pPr>
      <w:r>
        <w:rPr>
          <w:rStyle w:val="Appelnotedebasdep"/>
        </w:rPr>
        <w:footnoteRef/>
      </w:r>
      <w:r>
        <w:t xml:space="preserve"> </w:t>
      </w:r>
      <w:r w:rsidRPr="000E5DE3">
        <w:t>Req. N°19090/20</w:t>
      </w:r>
      <w:r>
        <w:t xml:space="preserve">. </w:t>
      </w:r>
    </w:p>
  </w:footnote>
  <w:footnote w:id="72">
    <w:p w14:paraId="0131CA64" w14:textId="1837E270" w:rsidR="00AE7729" w:rsidRPr="00544589" w:rsidRDefault="00AE7729" w:rsidP="00256733">
      <w:pPr>
        <w:jc w:val="both"/>
        <w:rPr>
          <w:sz w:val="20"/>
          <w:szCs w:val="20"/>
          <w:lang w:val="en-US"/>
        </w:rPr>
      </w:pPr>
      <w:r w:rsidRPr="00544589">
        <w:rPr>
          <w:rStyle w:val="Appelnotedebasdep"/>
          <w:sz w:val="20"/>
          <w:szCs w:val="20"/>
        </w:rPr>
        <w:footnoteRef/>
      </w:r>
      <w:r w:rsidRPr="00544589">
        <w:rPr>
          <w:sz w:val="20"/>
          <w:szCs w:val="20"/>
        </w:rPr>
        <w:t xml:space="preserve"> Voy. ég. Cour eur. </w:t>
      </w:r>
      <w:r w:rsidRPr="000E5DE3">
        <w:rPr>
          <w:sz w:val="20"/>
          <w:szCs w:val="20"/>
        </w:rPr>
        <w:t xml:space="preserve">D.H., req. </w:t>
      </w:r>
      <w:r w:rsidRPr="00544589">
        <w:rPr>
          <w:sz w:val="20"/>
          <w:szCs w:val="20"/>
        </w:rPr>
        <w:t>n°</w:t>
      </w:r>
      <w:r w:rsidRPr="00544589">
        <w:rPr>
          <w:rStyle w:val="Titre2Car"/>
          <w:rFonts w:ascii="Times New Roman" w:hAnsi="Times New Roman" w:cs="Times New Roman"/>
          <w:color w:val="000000"/>
          <w:sz w:val="20"/>
          <w:szCs w:val="20"/>
        </w:rPr>
        <w:t xml:space="preserve"> </w:t>
      </w:r>
      <w:r w:rsidRPr="00544589">
        <w:rPr>
          <w:rStyle w:val="column"/>
          <w:color w:val="000000"/>
          <w:sz w:val="20"/>
          <w:szCs w:val="20"/>
        </w:rPr>
        <w:t>35751/20</w:t>
      </w:r>
      <w:r w:rsidRPr="00544589">
        <w:rPr>
          <w:sz w:val="20"/>
          <w:szCs w:val="20"/>
        </w:rPr>
        <w:t>, décision Bah c. Pays-Bas du 22 juin 2021 : « 44</w:t>
      </w:r>
      <w:r w:rsidRPr="00544589">
        <w:rPr>
          <w:rStyle w:val="sb8d990e2"/>
          <w:color w:val="000000"/>
          <w:sz w:val="20"/>
          <w:szCs w:val="20"/>
        </w:rPr>
        <w:t>.  </w:t>
      </w:r>
      <w:r w:rsidRPr="00544589">
        <w:rPr>
          <w:rStyle w:val="sb8d990e2"/>
          <w:color w:val="000000"/>
          <w:sz w:val="20"/>
          <w:szCs w:val="20"/>
          <w:lang w:val="en-US"/>
        </w:rPr>
        <w:t>Given the difficult and unforeseen practical problems with which the State was confronted during the first weeks of the Covid-19 pandemic, the fact that the applicant was represented by and heard through his lawyer with whom he had regular contact and who presented his views on his behalf, the importance of the applicant’s other applicable fundamental rights and the general interest of public health – referred to in the Administrative Jurisdiction Division’s judgment of 7 April 2020 (</w:t>
      </w:r>
      <w:r>
        <w:rPr>
          <w:rStyle w:val="sb8d990e2"/>
          <w:color w:val="000000"/>
          <w:sz w:val="20"/>
          <w:szCs w:val="20"/>
          <w:lang w:val="en-US"/>
        </w:rPr>
        <w:t>…</w:t>
      </w:r>
      <w:r w:rsidRPr="00544589">
        <w:rPr>
          <w:rStyle w:val="sb8d990e2"/>
          <w:color w:val="000000"/>
          <w:sz w:val="20"/>
          <w:szCs w:val="20"/>
          <w:lang w:val="en-US"/>
        </w:rPr>
        <w:t>) –, it was not incompatible with Article 5 § 4 to assess the applicant’s detention order without securing his attendance at the hearing in person or by videoconference.</w:t>
      </w:r>
      <w:r w:rsidRPr="00544589">
        <w:rPr>
          <w:rStyle w:val="apple-converted-space"/>
          <w:color w:val="000000"/>
          <w:sz w:val="20"/>
          <w:szCs w:val="20"/>
          <w:lang w:val="en-US"/>
        </w:rPr>
        <w:t> </w:t>
      </w:r>
      <w:r w:rsidRPr="00544589">
        <w:rPr>
          <w:rStyle w:val="sb8d990e2"/>
          <w:color w:val="000000"/>
          <w:sz w:val="20"/>
          <w:szCs w:val="20"/>
          <w:lang w:val="en-US"/>
        </w:rPr>
        <w:t>In this context it should be borne in mind that Article 5 § 4 does not impose the same stringent requirements on hearings as Article 6 under its civil or criminal head (</w:t>
      </w:r>
      <w:r>
        <w:rPr>
          <w:rStyle w:val="sb8d990e2"/>
          <w:color w:val="000000"/>
          <w:sz w:val="20"/>
          <w:szCs w:val="20"/>
          <w:lang w:val="en-US"/>
        </w:rPr>
        <w:t>…</w:t>
      </w:r>
      <w:r w:rsidRPr="00544589">
        <w:rPr>
          <w:rStyle w:val="sb8d990e2"/>
          <w:color w:val="000000"/>
          <w:sz w:val="20"/>
          <w:szCs w:val="20"/>
          <w:lang w:val="en-US"/>
        </w:rPr>
        <w:t>) »</w:t>
      </w:r>
      <w:r>
        <w:rPr>
          <w:rStyle w:val="sb8d990e2"/>
          <w:color w:val="000000"/>
          <w:sz w:val="20"/>
          <w:szCs w:val="20"/>
          <w:lang w:val="en-US"/>
        </w:rPr>
        <w:t xml:space="preserve">. </w:t>
      </w:r>
    </w:p>
    <w:p w14:paraId="29DAD1F0" w14:textId="6E2E182C" w:rsidR="00AE7729" w:rsidRPr="003304E0" w:rsidRDefault="00AE7729" w:rsidP="00256733">
      <w:pPr>
        <w:jc w:val="both"/>
        <w:rPr>
          <w:lang w:val="en-US"/>
        </w:rPr>
      </w:pPr>
    </w:p>
  </w:footnote>
  <w:footnote w:id="73">
    <w:p w14:paraId="59E052F6" w14:textId="7849999B" w:rsidR="00AE7729" w:rsidRPr="004C0802" w:rsidRDefault="00AE7729" w:rsidP="00256733">
      <w:pPr>
        <w:pStyle w:val="Notedebasdepage"/>
        <w:jc w:val="both"/>
        <w:rPr>
          <w:color w:val="FF0000"/>
        </w:rPr>
      </w:pPr>
      <w:r>
        <w:rPr>
          <w:rStyle w:val="Appelnotedebasdep"/>
        </w:rPr>
        <w:footnoteRef/>
      </w:r>
      <w:r w:rsidRPr="004C0802">
        <w:t xml:space="preserve"> Cour eur. D.</w:t>
      </w:r>
      <w:r w:rsidRPr="00C75001">
        <w:rPr>
          <w:color w:val="000000" w:themeColor="text1"/>
        </w:rPr>
        <w:t xml:space="preserve">H., req. n° </w:t>
      </w:r>
      <w:r w:rsidR="00C75001" w:rsidRPr="00C75001">
        <w:rPr>
          <w:color w:val="000000" w:themeColor="text1"/>
        </w:rPr>
        <w:t>49933/20, 13 avril 2021</w:t>
      </w:r>
    </w:p>
  </w:footnote>
  <w:footnote w:id="74">
    <w:p w14:paraId="6C286094" w14:textId="56290455" w:rsidR="00AE7729" w:rsidRPr="00C277AF" w:rsidRDefault="00AE7729" w:rsidP="004C0802">
      <w:pPr>
        <w:pStyle w:val="Titre1"/>
        <w:spacing w:before="0"/>
        <w:jc w:val="both"/>
        <w:textAlignment w:val="baseline"/>
        <w:rPr>
          <w:rFonts w:ascii="Times New Roman" w:eastAsia="Times New Roman" w:hAnsi="Times New Roman" w:cs="Times New Roman"/>
          <w:color w:val="auto"/>
          <w:sz w:val="20"/>
          <w:szCs w:val="20"/>
          <w:lang w:val="en-US"/>
        </w:rPr>
      </w:pPr>
      <w:r w:rsidRPr="00C277AF">
        <w:rPr>
          <w:rStyle w:val="Appelnotedebasdep"/>
          <w:rFonts w:ascii="Times New Roman" w:hAnsi="Times New Roman" w:cs="Times New Roman"/>
          <w:color w:val="auto"/>
          <w:sz w:val="20"/>
          <w:szCs w:val="20"/>
        </w:rPr>
        <w:footnoteRef/>
      </w:r>
      <w:r w:rsidRPr="00C277AF">
        <w:rPr>
          <w:rFonts w:ascii="Times New Roman" w:hAnsi="Times New Roman" w:cs="Times New Roman"/>
          <w:color w:val="auto"/>
          <w:sz w:val="20"/>
          <w:szCs w:val="20"/>
          <w:lang w:val="en-US"/>
        </w:rPr>
        <w:t xml:space="preserve"> </w:t>
      </w:r>
      <w:r w:rsidRPr="00C277AF">
        <w:rPr>
          <w:rFonts w:ascii="Times New Roman" w:eastAsia="Times New Roman" w:hAnsi="Times New Roman" w:cs="Times New Roman"/>
          <w:smallCaps/>
          <w:color w:val="auto"/>
          <w:sz w:val="20"/>
          <w:szCs w:val="20"/>
          <w:lang w:val="en-US"/>
        </w:rPr>
        <w:t>A. Greene</w:t>
      </w:r>
      <w:r w:rsidRPr="00C277AF">
        <w:rPr>
          <w:rFonts w:ascii="Times New Roman" w:eastAsia="Times New Roman" w:hAnsi="Times New Roman" w:cs="Times New Roman"/>
          <w:color w:val="auto"/>
          <w:sz w:val="20"/>
          <w:szCs w:val="20"/>
          <w:lang w:val="en-US"/>
        </w:rPr>
        <w:t xml:space="preserve">, “Falling at the first </w:t>
      </w:r>
      <w:proofErr w:type="gramStart"/>
      <w:r w:rsidRPr="00C277AF">
        <w:rPr>
          <w:rFonts w:ascii="Times New Roman" w:eastAsia="Times New Roman" w:hAnsi="Times New Roman" w:cs="Times New Roman"/>
          <w:color w:val="auto"/>
          <w:sz w:val="20"/>
          <w:szCs w:val="20"/>
          <w:lang w:val="en-US"/>
        </w:rPr>
        <w:t>hurdle ?</w:t>
      </w:r>
      <w:proofErr w:type="gramEnd"/>
      <w:r w:rsidRPr="00C277AF">
        <w:rPr>
          <w:rFonts w:ascii="Times New Roman" w:eastAsia="Times New Roman" w:hAnsi="Times New Roman" w:cs="Times New Roman"/>
          <w:color w:val="auto"/>
          <w:sz w:val="20"/>
          <w:szCs w:val="20"/>
          <w:lang w:val="en-US"/>
        </w:rPr>
        <w:t xml:space="preserve"> Terhes v. Romenia: Lockdowns and normalizing the exception”, </w:t>
      </w:r>
      <w:r w:rsidRPr="00C277AF">
        <w:rPr>
          <w:rFonts w:ascii="Times New Roman" w:hAnsi="Times New Roman" w:cs="Times New Roman"/>
          <w:sz w:val="20"/>
          <w:szCs w:val="20"/>
          <w:lang w:val="en-US"/>
        </w:rPr>
        <w:t>https://strasbourgobservers.com/2021/06/18/falling-at-the-first-hurdle-terhes-v-romania-lockdowns-and-normalising-the-exception/</w:t>
      </w:r>
      <w:r w:rsidRPr="00C277AF">
        <w:rPr>
          <w:rFonts w:ascii="Times New Roman" w:eastAsia="Times New Roman" w:hAnsi="Times New Roman" w:cs="Times New Roman"/>
          <w:color w:val="auto"/>
          <w:sz w:val="20"/>
          <w:szCs w:val="20"/>
          <w:lang w:val="en-US"/>
        </w:rPr>
        <w:t>, 18 juin 2021.</w:t>
      </w:r>
    </w:p>
  </w:footnote>
  <w:footnote w:id="75">
    <w:p w14:paraId="3986B4D2" w14:textId="73D4F834" w:rsidR="00AE7729" w:rsidRPr="00112BB0" w:rsidRDefault="00AE7729" w:rsidP="00256733">
      <w:pPr>
        <w:pStyle w:val="Notedebasdepage"/>
        <w:jc w:val="both"/>
      </w:pPr>
      <w:r>
        <w:rPr>
          <w:rStyle w:val="Appelnotedebasdep"/>
        </w:rPr>
        <w:footnoteRef/>
      </w:r>
      <w:r>
        <w:t xml:space="preserve"> Voy. </w:t>
      </w:r>
      <w:r w:rsidRPr="00EF5273">
        <w:rPr>
          <w:smallCaps/>
        </w:rPr>
        <w:t>J. Velaers</w:t>
      </w:r>
      <w:r>
        <w:t xml:space="preserve"> et </w:t>
      </w:r>
      <w:r w:rsidRPr="00EF5273">
        <w:rPr>
          <w:smallCaps/>
        </w:rPr>
        <w:t>S. Van Drooghenbroeck</w:t>
      </w:r>
      <w:r>
        <w:t xml:space="preserve">, « L’article 187 de la Constitution … », </w:t>
      </w:r>
      <w:r w:rsidRPr="005F4DBD">
        <w:rPr>
          <w:i/>
          <w:iCs/>
        </w:rPr>
        <w:t>op. cit.</w:t>
      </w:r>
      <w:r>
        <w:t xml:space="preserve">, pp. 35-40 ; </w:t>
      </w:r>
      <w:r w:rsidRPr="00EF5273">
        <w:rPr>
          <w:smallCaps/>
        </w:rPr>
        <w:t>R. Delforge</w:t>
      </w:r>
      <w:r w:rsidRPr="003304E0">
        <w:t xml:space="preserve">, </w:t>
      </w:r>
      <w:r w:rsidRPr="00EF5273">
        <w:rPr>
          <w:smallCaps/>
        </w:rPr>
        <w:t>C. Romainville</w:t>
      </w:r>
      <w:r w:rsidRPr="003304E0">
        <w:t xml:space="preserve">, </w:t>
      </w:r>
      <w:r w:rsidRPr="00EF5273">
        <w:rPr>
          <w:smallCaps/>
        </w:rPr>
        <w:t>S. Van Drooghenbroeck</w:t>
      </w:r>
      <w:r w:rsidRPr="003304E0">
        <w:t xml:space="preserve"> et </w:t>
      </w:r>
      <w:r w:rsidRPr="00EF5273">
        <w:rPr>
          <w:smallCaps/>
        </w:rPr>
        <w:t>M. Verdussen</w:t>
      </w:r>
      <w:r w:rsidRPr="003304E0">
        <w:t xml:space="preserve">, </w:t>
      </w:r>
      <w:r>
        <w:t>« </w:t>
      </w:r>
      <w:r w:rsidRPr="003304E0">
        <w:t xml:space="preserve">L’absence d’état d’urgence en droit constitutionnel belge », </w:t>
      </w:r>
      <w:r>
        <w:rPr>
          <w:i/>
        </w:rPr>
        <w:t>op. cit.</w:t>
      </w:r>
      <w:r>
        <w:t xml:space="preserve">. </w:t>
      </w:r>
    </w:p>
  </w:footnote>
  <w:footnote w:id="76">
    <w:p w14:paraId="75BFFB86" w14:textId="2ED43226" w:rsidR="00AE7729" w:rsidRPr="000D61C3" w:rsidRDefault="00AE7729" w:rsidP="00256733">
      <w:pPr>
        <w:pStyle w:val="Notedebasdepage"/>
        <w:jc w:val="both"/>
      </w:pPr>
      <w:r>
        <w:rPr>
          <w:rStyle w:val="Appelnotedebasdep"/>
        </w:rPr>
        <w:footnoteRef/>
      </w:r>
      <w:r>
        <w:t xml:space="preserve"> </w:t>
      </w:r>
      <w:r w:rsidRPr="00EF5273">
        <w:rPr>
          <w:smallCaps/>
        </w:rPr>
        <w:t>G. Gonzalez</w:t>
      </w:r>
      <w:r w:rsidRPr="003D31CC">
        <w:t>, « L’article 15 de la Convention européenne</w:t>
      </w:r>
      <w:r>
        <w:t xml:space="preserve">… », </w:t>
      </w:r>
      <w:r w:rsidRPr="000D61C3">
        <w:rPr>
          <w:i/>
          <w:iCs/>
        </w:rPr>
        <w:t>op. cit</w:t>
      </w:r>
      <w:r>
        <w:t>.</w:t>
      </w:r>
      <w:r w:rsidRPr="003D31CC">
        <w:t xml:space="preserve"> </w:t>
      </w:r>
    </w:p>
  </w:footnote>
  <w:footnote w:id="77">
    <w:p w14:paraId="4C571034" w14:textId="28DC48AC" w:rsidR="00AE7729" w:rsidRPr="00D82776" w:rsidRDefault="00AE7729" w:rsidP="00D82776">
      <w:pPr>
        <w:pStyle w:val="Notedebasdepage"/>
        <w:jc w:val="both"/>
        <w:rPr>
          <w:color w:val="FF0000"/>
          <w:lang w:val="en-US"/>
        </w:rPr>
      </w:pPr>
      <w:r w:rsidRPr="00884674">
        <w:rPr>
          <w:rStyle w:val="Appelnotedebasdep"/>
          <w:color w:val="000000" w:themeColor="text1"/>
        </w:rPr>
        <w:footnoteRef/>
      </w:r>
      <w:r w:rsidRPr="00884674">
        <w:rPr>
          <w:color w:val="000000" w:themeColor="text1"/>
          <w:lang w:val="en-US"/>
        </w:rPr>
        <w:t xml:space="preserve"> </w:t>
      </w:r>
      <w:r w:rsidRPr="00EF5273">
        <w:rPr>
          <w:smallCaps/>
          <w:color w:val="000000" w:themeColor="text1"/>
          <w:lang w:val="en-US"/>
        </w:rPr>
        <w:t>A. Greene</w:t>
      </w:r>
      <w:r>
        <w:rPr>
          <w:color w:val="000000" w:themeColor="text1"/>
          <w:lang w:val="en-US"/>
        </w:rPr>
        <w:t xml:space="preserve">, </w:t>
      </w:r>
      <w:r w:rsidRPr="00884674">
        <w:rPr>
          <w:color w:val="000000" w:themeColor="text1"/>
          <w:lang w:val="en-US"/>
        </w:rPr>
        <w:t xml:space="preserve">« States should declare a state of emergency using article 15 ECHR to confront the coronavirus pandemic”, </w:t>
      </w:r>
      <w:hyperlink r:id="rId10" w:history="1">
        <w:r w:rsidRPr="00112BB0">
          <w:rPr>
            <w:rFonts w:eastAsiaTheme="minorEastAsia"/>
            <w:color w:val="000000" w:themeColor="text1"/>
            <w:lang w:val="en-US"/>
          </w:rPr>
          <w:t>https://strasbourgobservers.com</w:t>
        </w:r>
      </w:hyperlink>
      <w:r>
        <w:rPr>
          <w:rFonts w:eastAsiaTheme="minorEastAsia"/>
          <w:color w:val="000000" w:themeColor="text1"/>
          <w:lang w:val="en-US"/>
        </w:rPr>
        <w:t xml:space="preserve">, 1er avril </w:t>
      </w:r>
      <w:r w:rsidRPr="004D07FD">
        <w:rPr>
          <w:rFonts w:eastAsiaTheme="minorEastAsia"/>
          <w:lang w:val="en-US"/>
        </w:rPr>
        <w:t>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84A07"/>
    <w:multiLevelType w:val="hybridMultilevel"/>
    <w:tmpl w:val="52AE46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F009ED"/>
    <w:multiLevelType w:val="hybridMultilevel"/>
    <w:tmpl w:val="2B1C4B6A"/>
    <w:lvl w:ilvl="0" w:tplc="77509EB6">
      <w:start w:val="1"/>
      <w:numFmt w:val="decimal"/>
      <w:lvlText w:val="%1."/>
      <w:lvlJc w:val="left"/>
      <w:pPr>
        <w:ind w:left="720" w:hanging="360"/>
      </w:pPr>
      <w:rPr>
        <w:rFonts w:eastAsiaTheme="minorHAns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36905AA"/>
    <w:multiLevelType w:val="hybridMultilevel"/>
    <w:tmpl w:val="8F0E868A"/>
    <w:lvl w:ilvl="0" w:tplc="EBBE76F0">
      <w:start w:val="2020"/>
      <w:numFmt w:val="bullet"/>
      <w:lvlText w:val="-"/>
      <w:lvlJc w:val="left"/>
      <w:pPr>
        <w:ind w:left="720" w:hanging="360"/>
      </w:pPr>
      <w:rPr>
        <w:rFonts w:ascii="Calibri" w:eastAsia="Times New Roman" w:hAnsi="Calibri"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F12A8B"/>
    <w:multiLevelType w:val="multilevel"/>
    <w:tmpl w:val="BA3A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26FB1"/>
    <w:multiLevelType w:val="multilevel"/>
    <w:tmpl w:val="56F8E7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7F738B"/>
    <w:multiLevelType w:val="multilevel"/>
    <w:tmpl w:val="CFF0CD1E"/>
    <w:lvl w:ilvl="0">
      <w:start w:val="1"/>
      <w:numFmt w:val="decimal"/>
      <w:lvlText w:val="%1."/>
      <w:lvlJc w:val="left"/>
      <w:pPr>
        <w:ind w:left="360" w:hanging="360"/>
      </w:pPr>
      <w:rPr>
        <w:rFonts w:hint="default"/>
      </w:rPr>
    </w:lvl>
    <w:lvl w:ilvl="1">
      <w:start w:val="1"/>
      <w:numFmt w:val="decimal"/>
      <w:pStyle w:val="Titre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F713FDE"/>
    <w:multiLevelType w:val="multilevel"/>
    <w:tmpl w:val="E248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A2F"/>
    <w:rsid w:val="00015213"/>
    <w:rsid w:val="0002099C"/>
    <w:rsid w:val="00030B7B"/>
    <w:rsid w:val="00047F69"/>
    <w:rsid w:val="000567FA"/>
    <w:rsid w:val="00087480"/>
    <w:rsid w:val="000A681E"/>
    <w:rsid w:val="000C6AEF"/>
    <w:rsid w:val="000D61C3"/>
    <w:rsid w:val="000E20D6"/>
    <w:rsid w:val="000E5DE3"/>
    <w:rsid w:val="000F7E53"/>
    <w:rsid w:val="0010012D"/>
    <w:rsid w:val="0010190F"/>
    <w:rsid w:val="00110836"/>
    <w:rsid w:val="00121CD4"/>
    <w:rsid w:val="001358BC"/>
    <w:rsid w:val="00141744"/>
    <w:rsid w:val="00154A63"/>
    <w:rsid w:val="00186DD3"/>
    <w:rsid w:val="001B47ED"/>
    <w:rsid w:val="001D5FAD"/>
    <w:rsid w:val="0021585E"/>
    <w:rsid w:val="002216C6"/>
    <w:rsid w:val="002352F6"/>
    <w:rsid w:val="00250F16"/>
    <w:rsid w:val="00256733"/>
    <w:rsid w:val="002A6375"/>
    <w:rsid w:val="002C7740"/>
    <w:rsid w:val="002D1F12"/>
    <w:rsid w:val="003304E0"/>
    <w:rsid w:val="003323A6"/>
    <w:rsid w:val="00345F73"/>
    <w:rsid w:val="00382D7D"/>
    <w:rsid w:val="003A0AAC"/>
    <w:rsid w:val="003B45B5"/>
    <w:rsid w:val="003D63FD"/>
    <w:rsid w:val="003F2643"/>
    <w:rsid w:val="004263C9"/>
    <w:rsid w:val="00457E5B"/>
    <w:rsid w:val="00461F68"/>
    <w:rsid w:val="00463873"/>
    <w:rsid w:val="00472B91"/>
    <w:rsid w:val="0047789D"/>
    <w:rsid w:val="00482936"/>
    <w:rsid w:val="004B3A62"/>
    <w:rsid w:val="004C0802"/>
    <w:rsid w:val="004D07FD"/>
    <w:rsid w:val="004D1A79"/>
    <w:rsid w:val="00501F4B"/>
    <w:rsid w:val="0050318B"/>
    <w:rsid w:val="00540D99"/>
    <w:rsid w:val="00544589"/>
    <w:rsid w:val="005854F9"/>
    <w:rsid w:val="005C5EB9"/>
    <w:rsid w:val="005E3844"/>
    <w:rsid w:val="005F4DBD"/>
    <w:rsid w:val="005F6E81"/>
    <w:rsid w:val="006402FA"/>
    <w:rsid w:val="00663AEB"/>
    <w:rsid w:val="00674D53"/>
    <w:rsid w:val="00677848"/>
    <w:rsid w:val="006819D7"/>
    <w:rsid w:val="00686F10"/>
    <w:rsid w:val="006B0B21"/>
    <w:rsid w:val="006E55A1"/>
    <w:rsid w:val="006F763F"/>
    <w:rsid w:val="00713DE8"/>
    <w:rsid w:val="007235A9"/>
    <w:rsid w:val="00734EB3"/>
    <w:rsid w:val="007417DA"/>
    <w:rsid w:val="00772F66"/>
    <w:rsid w:val="007A18A7"/>
    <w:rsid w:val="007C446F"/>
    <w:rsid w:val="007E0550"/>
    <w:rsid w:val="007F3468"/>
    <w:rsid w:val="00820731"/>
    <w:rsid w:val="0082577A"/>
    <w:rsid w:val="00834249"/>
    <w:rsid w:val="00884674"/>
    <w:rsid w:val="008961F4"/>
    <w:rsid w:val="008B0F82"/>
    <w:rsid w:val="008D0874"/>
    <w:rsid w:val="008D09AB"/>
    <w:rsid w:val="008D417A"/>
    <w:rsid w:val="008D4BD5"/>
    <w:rsid w:val="008E2B93"/>
    <w:rsid w:val="008F3667"/>
    <w:rsid w:val="00944CFB"/>
    <w:rsid w:val="009733AF"/>
    <w:rsid w:val="009937BC"/>
    <w:rsid w:val="009D0A15"/>
    <w:rsid w:val="009E2982"/>
    <w:rsid w:val="009E7332"/>
    <w:rsid w:val="009F67AD"/>
    <w:rsid w:val="00A0328B"/>
    <w:rsid w:val="00A10239"/>
    <w:rsid w:val="00A404B7"/>
    <w:rsid w:val="00A40FBE"/>
    <w:rsid w:val="00A56DA4"/>
    <w:rsid w:val="00A8516F"/>
    <w:rsid w:val="00AA7FEB"/>
    <w:rsid w:val="00AB6476"/>
    <w:rsid w:val="00AD1E5C"/>
    <w:rsid w:val="00AE7729"/>
    <w:rsid w:val="00B16FE0"/>
    <w:rsid w:val="00B31BC1"/>
    <w:rsid w:val="00B57963"/>
    <w:rsid w:val="00B71D51"/>
    <w:rsid w:val="00B80C74"/>
    <w:rsid w:val="00B818CF"/>
    <w:rsid w:val="00BA3D94"/>
    <w:rsid w:val="00BC1EF5"/>
    <w:rsid w:val="00BF2630"/>
    <w:rsid w:val="00C10D88"/>
    <w:rsid w:val="00C22DD5"/>
    <w:rsid w:val="00C277AF"/>
    <w:rsid w:val="00C33B4D"/>
    <w:rsid w:val="00C73A0B"/>
    <w:rsid w:val="00C75001"/>
    <w:rsid w:val="00C80C79"/>
    <w:rsid w:val="00C83CFC"/>
    <w:rsid w:val="00C910FC"/>
    <w:rsid w:val="00C911D3"/>
    <w:rsid w:val="00CC1871"/>
    <w:rsid w:val="00CD04BF"/>
    <w:rsid w:val="00CF56F3"/>
    <w:rsid w:val="00D369D5"/>
    <w:rsid w:val="00D53885"/>
    <w:rsid w:val="00D54B94"/>
    <w:rsid w:val="00D56A14"/>
    <w:rsid w:val="00D6580D"/>
    <w:rsid w:val="00D82776"/>
    <w:rsid w:val="00DC1568"/>
    <w:rsid w:val="00DC5CDC"/>
    <w:rsid w:val="00E10B31"/>
    <w:rsid w:val="00E16862"/>
    <w:rsid w:val="00E27A88"/>
    <w:rsid w:val="00E7144C"/>
    <w:rsid w:val="00EA4857"/>
    <w:rsid w:val="00EA6025"/>
    <w:rsid w:val="00EB1B4C"/>
    <w:rsid w:val="00EB5D3E"/>
    <w:rsid w:val="00EE5B8D"/>
    <w:rsid w:val="00EE77A8"/>
    <w:rsid w:val="00EF2E79"/>
    <w:rsid w:val="00EF5273"/>
    <w:rsid w:val="00F04152"/>
    <w:rsid w:val="00F068DF"/>
    <w:rsid w:val="00F12DB3"/>
    <w:rsid w:val="00F3240D"/>
    <w:rsid w:val="00F35F1E"/>
    <w:rsid w:val="00F42994"/>
    <w:rsid w:val="00F718B2"/>
    <w:rsid w:val="00FB6D53"/>
    <w:rsid w:val="00FC5D9A"/>
    <w:rsid w:val="00FD4A2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3281B14E"/>
  <w15:chartTrackingRefBased/>
  <w15:docId w15:val="{8EA7F3C3-979E-3345-B62A-F4A7AC4D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936"/>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734E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aliases w:val="Titre 2 - §123"/>
    <w:basedOn w:val="Paragraphedeliste"/>
    <w:next w:val="Normal"/>
    <w:link w:val="Titre2Car"/>
    <w:uiPriority w:val="9"/>
    <w:unhideWhenUsed/>
    <w:qFormat/>
    <w:rsid w:val="008D4BD5"/>
    <w:pPr>
      <w:numPr>
        <w:ilvl w:val="1"/>
        <w:numId w:val="1"/>
      </w:numPr>
      <w:autoSpaceDE w:val="0"/>
      <w:autoSpaceDN w:val="0"/>
      <w:adjustRightInd w:val="0"/>
      <w:spacing w:after="200" w:line="276" w:lineRule="auto"/>
      <w:ind w:right="-108"/>
      <w:jc w:val="both"/>
      <w:outlineLvl w:val="1"/>
    </w:pPr>
    <w:rPr>
      <w:rFonts w:asciiTheme="majorBidi" w:hAnsiTheme="majorBidi" w:cstheme="majorBidi"/>
      <w:b/>
    </w:rPr>
  </w:style>
  <w:style w:type="paragraph" w:styleId="Titre3">
    <w:name w:val="heading 3"/>
    <w:basedOn w:val="Normal"/>
    <w:next w:val="Normal"/>
    <w:link w:val="Titre3Car"/>
    <w:uiPriority w:val="9"/>
    <w:semiHidden/>
    <w:unhideWhenUsed/>
    <w:qFormat/>
    <w:rsid w:val="00FC5D9A"/>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Titre 2 - §123 Car"/>
    <w:basedOn w:val="Policepardfaut"/>
    <w:link w:val="Titre2"/>
    <w:uiPriority w:val="9"/>
    <w:rsid w:val="008D4BD5"/>
    <w:rPr>
      <w:rFonts w:asciiTheme="majorBidi" w:hAnsiTheme="majorBidi" w:cstheme="majorBidi"/>
      <w:b/>
    </w:rPr>
  </w:style>
  <w:style w:type="paragraph" w:styleId="Paragraphedeliste">
    <w:name w:val="List Paragraph"/>
    <w:basedOn w:val="Normal"/>
    <w:uiPriority w:val="34"/>
    <w:qFormat/>
    <w:rsid w:val="008D4BD5"/>
    <w:pPr>
      <w:ind w:left="720"/>
      <w:contextualSpacing/>
    </w:pPr>
  </w:style>
  <w:style w:type="paragraph" w:styleId="Notedebasdepage">
    <w:name w:val="footnote text"/>
    <w:aliases w:val="Car,Note de bas de page2,Footnotes,fn,Note de bas de page Car Car Car,Note de bas de page Car1 Car15,Note de bas de page Car Car Car15,Note de bas de page Car1 Car15 Car Car,FuÛnotentext RAXEN,footnot,Fu€notentext,Fu§notentext,foo,ft"/>
    <w:basedOn w:val="Normal"/>
    <w:link w:val="NotedebasdepageCar"/>
    <w:unhideWhenUsed/>
    <w:qFormat/>
    <w:rsid w:val="001358BC"/>
    <w:rPr>
      <w:sz w:val="20"/>
      <w:szCs w:val="20"/>
    </w:rPr>
  </w:style>
  <w:style w:type="character" w:customStyle="1" w:styleId="NotedebasdepageCar">
    <w:name w:val="Note de bas de page Car"/>
    <w:aliases w:val="Car Car,Note de bas de page2 Car,Footnotes Car,fn Car,Note de bas de page Car Car Car Car,Note de bas de page Car1 Car15 Car,Note de bas de page Car Car Car15 Car,Note de bas de page Car1 Car15 Car Car Car,FuÛnotentext RAXEN Car"/>
    <w:basedOn w:val="Policepardfaut"/>
    <w:link w:val="Notedebasdepage"/>
    <w:uiPriority w:val="99"/>
    <w:qFormat/>
    <w:rsid w:val="001358BC"/>
    <w:rPr>
      <w:sz w:val="20"/>
      <w:szCs w:val="20"/>
    </w:rPr>
  </w:style>
  <w:style w:type="character" w:styleId="Appelnotedebasdep">
    <w:name w:val="footnote reference"/>
    <w:aliases w:val="Appel note de bas de page,callout,Footnote Refernece,Footnotes refss,Footnote Reference Superscript,BVI fnr,Footnote Reference Number,Footnote R,Footnote Refere, BVI fnr,PUL-appel de note,Footnote Reference N,4_G,Ref"/>
    <w:basedOn w:val="Policepardfaut"/>
    <w:link w:val="FootnoteRef"/>
    <w:unhideWhenUsed/>
    <w:qFormat/>
    <w:rsid w:val="001358BC"/>
    <w:rPr>
      <w:vertAlign w:val="superscript"/>
    </w:rPr>
  </w:style>
  <w:style w:type="character" w:styleId="Lienhypertexte">
    <w:name w:val="Hyperlink"/>
    <w:basedOn w:val="Policepardfaut"/>
    <w:uiPriority w:val="99"/>
    <w:unhideWhenUsed/>
    <w:rsid w:val="005854F9"/>
    <w:rPr>
      <w:color w:val="0563C1" w:themeColor="hyperlink"/>
      <w:u w:val="single"/>
    </w:rPr>
  </w:style>
  <w:style w:type="character" w:styleId="Mentionnonrsolue">
    <w:name w:val="Unresolved Mention"/>
    <w:basedOn w:val="Policepardfaut"/>
    <w:uiPriority w:val="99"/>
    <w:semiHidden/>
    <w:unhideWhenUsed/>
    <w:rsid w:val="005854F9"/>
    <w:rPr>
      <w:color w:val="605E5C"/>
      <w:shd w:val="clear" w:color="auto" w:fill="E1DFDD"/>
    </w:rPr>
  </w:style>
  <w:style w:type="character" w:styleId="Marquedecommentaire">
    <w:name w:val="annotation reference"/>
    <w:basedOn w:val="Policepardfaut"/>
    <w:uiPriority w:val="99"/>
    <w:semiHidden/>
    <w:unhideWhenUsed/>
    <w:rsid w:val="00121CD4"/>
    <w:rPr>
      <w:sz w:val="16"/>
      <w:szCs w:val="16"/>
    </w:rPr>
  </w:style>
  <w:style w:type="paragraph" w:styleId="Commentaire">
    <w:name w:val="annotation text"/>
    <w:basedOn w:val="Normal"/>
    <w:link w:val="CommentaireCar"/>
    <w:uiPriority w:val="99"/>
    <w:unhideWhenUsed/>
    <w:rsid w:val="00121CD4"/>
    <w:rPr>
      <w:sz w:val="20"/>
      <w:szCs w:val="20"/>
    </w:rPr>
  </w:style>
  <w:style w:type="character" w:customStyle="1" w:styleId="CommentaireCar">
    <w:name w:val="Commentaire Car"/>
    <w:basedOn w:val="Policepardfaut"/>
    <w:link w:val="Commentaire"/>
    <w:uiPriority w:val="99"/>
    <w:rsid w:val="00121CD4"/>
    <w:rPr>
      <w:sz w:val="20"/>
      <w:szCs w:val="20"/>
    </w:rPr>
  </w:style>
  <w:style w:type="paragraph" w:styleId="Objetducommentaire">
    <w:name w:val="annotation subject"/>
    <w:basedOn w:val="Commentaire"/>
    <w:next w:val="Commentaire"/>
    <w:link w:val="ObjetducommentaireCar"/>
    <w:uiPriority w:val="99"/>
    <w:semiHidden/>
    <w:unhideWhenUsed/>
    <w:rsid w:val="00121CD4"/>
    <w:rPr>
      <w:b/>
      <w:bCs/>
    </w:rPr>
  </w:style>
  <w:style w:type="character" w:customStyle="1" w:styleId="ObjetducommentaireCar">
    <w:name w:val="Objet du commentaire Car"/>
    <w:basedOn w:val="CommentaireCar"/>
    <w:link w:val="Objetducommentaire"/>
    <w:uiPriority w:val="99"/>
    <w:semiHidden/>
    <w:rsid w:val="00121CD4"/>
    <w:rPr>
      <w:b/>
      <w:bCs/>
      <w:sz w:val="20"/>
      <w:szCs w:val="20"/>
    </w:rPr>
  </w:style>
  <w:style w:type="paragraph" w:customStyle="1" w:styleId="FootnoteRef">
    <w:name w:val="Footnote Ref"/>
    <w:aliases w:val="Footnote text,BVI fnr Знак Char,BVI fnr Car Car Знак Char,BVI fnr Car Знак Char,BVI fnr Car Car Car Car Знак Char,callout Char,Footnotes refss Car,Footnote Ref Car"/>
    <w:basedOn w:val="Normal"/>
    <w:link w:val="Appelnotedebasdep"/>
    <w:rsid w:val="00674D53"/>
    <w:pPr>
      <w:spacing w:after="160" w:line="240" w:lineRule="exact"/>
    </w:pPr>
    <w:rPr>
      <w:vertAlign w:val="superscript"/>
    </w:rPr>
  </w:style>
  <w:style w:type="paragraph" w:styleId="NormalWeb">
    <w:name w:val="Normal (Web)"/>
    <w:basedOn w:val="Normal"/>
    <w:uiPriority w:val="99"/>
    <w:unhideWhenUsed/>
    <w:rsid w:val="00674D53"/>
    <w:pPr>
      <w:spacing w:before="100" w:beforeAutospacing="1" w:after="100" w:afterAutospacing="1"/>
    </w:pPr>
  </w:style>
  <w:style w:type="character" w:customStyle="1" w:styleId="apple-converted-space">
    <w:name w:val="apple-converted-space"/>
    <w:basedOn w:val="Policepardfaut"/>
    <w:rsid w:val="000A681E"/>
  </w:style>
  <w:style w:type="character" w:styleId="Accentuation">
    <w:name w:val="Emphasis"/>
    <w:basedOn w:val="Policepardfaut"/>
    <w:uiPriority w:val="20"/>
    <w:qFormat/>
    <w:rsid w:val="000A681E"/>
    <w:rPr>
      <w:i/>
      <w:iCs/>
    </w:rPr>
  </w:style>
  <w:style w:type="character" w:customStyle="1" w:styleId="Titre3Car">
    <w:name w:val="Titre 3 Car"/>
    <w:basedOn w:val="Policepardfaut"/>
    <w:link w:val="Titre3"/>
    <w:uiPriority w:val="9"/>
    <w:semiHidden/>
    <w:rsid w:val="00FC5D9A"/>
    <w:rPr>
      <w:rFonts w:asciiTheme="majorHAnsi" w:eastAsiaTheme="majorEastAsia" w:hAnsiTheme="majorHAnsi" w:cstheme="majorBidi"/>
      <w:color w:val="1F3763" w:themeColor="accent1" w:themeShade="7F"/>
      <w:lang w:eastAsia="fr-FR"/>
    </w:rPr>
  </w:style>
  <w:style w:type="character" w:customStyle="1" w:styleId="sb8d990e2">
    <w:name w:val="sb8d990e2"/>
    <w:basedOn w:val="Policepardfaut"/>
    <w:rsid w:val="002D1F12"/>
  </w:style>
  <w:style w:type="paragraph" w:customStyle="1" w:styleId="s30eec3f8">
    <w:name w:val="s30eec3f8"/>
    <w:basedOn w:val="Normal"/>
    <w:rsid w:val="000F7E53"/>
    <w:pPr>
      <w:spacing w:before="100" w:beforeAutospacing="1" w:after="100" w:afterAutospacing="1"/>
    </w:pPr>
  </w:style>
  <w:style w:type="character" w:customStyle="1" w:styleId="sea881cdf">
    <w:name w:val="sea881cdf"/>
    <w:basedOn w:val="Policepardfaut"/>
    <w:rsid w:val="000F7E53"/>
  </w:style>
  <w:style w:type="character" w:customStyle="1" w:styleId="s6b621b36">
    <w:name w:val="s6b621b36"/>
    <w:basedOn w:val="Policepardfaut"/>
    <w:rsid w:val="00482936"/>
  </w:style>
  <w:style w:type="character" w:customStyle="1" w:styleId="Titre1Car">
    <w:name w:val="Titre 1 Car"/>
    <w:basedOn w:val="Policepardfaut"/>
    <w:link w:val="Titre1"/>
    <w:uiPriority w:val="9"/>
    <w:rsid w:val="00734EB3"/>
    <w:rPr>
      <w:rFonts w:asciiTheme="majorHAnsi" w:eastAsiaTheme="majorEastAsia" w:hAnsiTheme="majorHAnsi" w:cstheme="majorBidi"/>
      <w:color w:val="2F5496" w:themeColor="accent1" w:themeShade="BF"/>
      <w:sz w:val="32"/>
      <w:szCs w:val="32"/>
      <w:lang w:eastAsia="fr-FR"/>
    </w:rPr>
  </w:style>
  <w:style w:type="character" w:customStyle="1" w:styleId="column">
    <w:name w:val="column"/>
    <w:basedOn w:val="Policepardfaut"/>
    <w:rsid w:val="00734EB3"/>
  </w:style>
  <w:style w:type="character" w:customStyle="1" w:styleId="Sous-titre1">
    <w:name w:val="Sous-titre1"/>
    <w:basedOn w:val="Policepardfaut"/>
    <w:rsid w:val="006E55A1"/>
  </w:style>
  <w:style w:type="table" w:styleId="Grilledutableau">
    <w:name w:val="Table Grid"/>
    <w:basedOn w:val="TableauNormal"/>
    <w:uiPriority w:val="39"/>
    <w:rsid w:val="00AA7FEB"/>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4D07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2432">
      <w:bodyDiv w:val="1"/>
      <w:marLeft w:val="0"/>
      <w:marRight w:val="0"/>
      <w:marTop w:val="0"/>
      <w:marBottom w:val="0"/>
      <w:divBdr>
        <w:top w:val="none" w:sz="0" w:space="0" w:color="auto"/>
        <w:left w:val="none" w:sz="0" w:space="0" w:color="auto"/>
        <w:bottom w:val="none" w:sz="0" w:space="0" w:color="auto"/>
        <w:right w:val="none" w:sz="0" w:space="0" w:color="auto"/>
      </w:divBdr>
    </w:div>
    <w:div w:id="87166026">
      <w:bodyDiv w:val="1"/>
      <w:marLeft w:val="0"/>
      <w:marRight w:val="0"/>
      <w:marTop w:val="0"/>
      <w:marBottom w:val="0"/>
      <w:divBdr>
        <w:top w:val="none" w:sz="0" w:space="0" w:color="auto"/>
        <w:left w:val="none" w:sz="0" w:space="0" w:color="auto"/>
        <w:bottom w:val="none" w:sz="0" w:space="0" w:color="auto"/>
        <w:right w:val="none" w:sz="0" w:space="0" w:color="auto"/>
      </w:divBdr>
    </w:div>
    <w:div w:id="140658946">
      <w:bodyDiv w:val="1"/>
      <w:marLeft w:val="0"/>
      <w:marRight w:val="0"/>
      <w:marTop w:val="0"/>
      <w:marBottom w:val="0"/>
      <w:divBdr>
        <w:top w:val="none" w:sz="0" w:space="0" w:color="auto"/>
        <w:left w:val="none" w:sz="0" w:space="0" w:color="auto"/>
        <w:bottom w:val="none" w:sz="0" w:space="0" w:color="auto"/>
        <w:right w:val="none" w:sz="0" w:space="0" w:color="auto"/>
      </w:divBdr>
    </w:div>
    <w:div w:id="239877602">
      <w:bodyDiv w:val="1"/>
      <w:marLeft w:val="0"/>
      <w:marRight w:val="0"/>
      <w:marTop w:val="0"/>
      <w:marBottom w:val="0"/>
      <w:divBdr>
        <w:top w:val="none" w:sz="0" w:space="0" w:color="auto"/>
        <w:left w:val="none" w:sz="0" w:space="0" w:color="auto"/>
        <w:bottom w:val="none" w:sz="0" w:space="0" w:color="auto"/>
        <w:right w:val="none" w:sz="0" w:space="0" w:color="auto"/>
      </w:divBdr>
      <w:divsChild>
        <w:div w:id="979000710">
          <w:marLeft w:val="0"/>
          <w:marRight w:val="0"/>
          <w:marTop w:val="0"/>
          <w:marBottom w:val="0"/>
          <w:divBdr>
            <w:top w:val="none" w:sz="0" w:space="0" w:color="auto"/>
            <w:left w:val="none" w:sz="0" w:space="0" w:color="auto"/>
            <w:bottom w:val="none" w:sz="0" w:space="0" w:color="auto"/>
            <w:right w:val="none" w:sz="0" w:space="0" w:color="auto"/>
          </w:divBdr>
          <w:divsChild>
            <w:div w:id="1533181388">
              <w:marLeft w:val="0"/>
              <w:marRight w:val="0"/>
              <w:marTop w:val="0"/>
              <w:marBottom w:val="0"/>
              <w:divBdr>
                <w:top w:val="none" w:sz="0" w:space="0" w:color="auto"/>
                <w:left w:val="none" w:sz="0" w:space="0" w:color="auto"/>
                <w:bottom w:val="none" w:sz="0" w:space="0" w:color="auto"/>
                <w:right w:val="none" w:sz="0" w:space="0" w:color="auto"/>
              </w:divBdr>
              <w:divsChild>
                <w:div w:id="1531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369791">
      <w:bodyDiv w:val="1"/>
      <w:marLeft w:val="0"/>
      <w:marRight w:val="0"/>
      <w:marTop w:val="0"/>
      <w:marBottom w:val="0"/>
      <w:divBdr>
        <w:top w:val="none" w:sz="0" w:space="0" w:color="auto"/>
        <w:left w:val="none" w:sz="0" w:space="0" w:color="auto"/>
        <w:bottom w:val="none" w:sz="0" w:space="0" w:color="auto"/>
        <w:right w:val="none" w:sz="0" w:space="0" w:color="auto"/>
      </w:divBdr>
      <w:divsChild>
        <w:div w:id="1118719809">
          <w:marLeft w:val="0"/>
          <w:marRight w:val="0"/>
          <w:marTop w:val="0"/>
          <w:marBottom w:val="0"/>
          <w:divBdr>
            <w:top w:val="none" w:sz="0" w:space="0" w:color="auto"/>
            <w:left w:val="none" w:sz="0" w:space="0" w:color="auto"/>
            <w:bottom w:val="none" w:sz="0" w:space="0" w:color="auto"/>
            <w:right w:val="none" w:sz="0" w:space="0" w:color="auto"/>
          </w:divBdr>
          <w:divsChild>
            <w:div w:id="1322735454">
              <w:marLeft w:val="0"/>
              <w:marRight w:val="0"/>
              <w:marTop w:val="0"/>
              <w:marBottom w:val="0"/>
              <w:divBdr>
                <w:top w:val="none" w:sz="0" w:space="0" w:color="auto"/>
                <w:left w:val="none" w:sz="0" w:space="0" w:color="auto"/>
                <w:bottom w:val="none" w:sz="0" w:space="0" w:color="auto"/>
                <w:right w:val="none" w:sz="0" w:space="0" w:color="auto"/>
              </w:divBdr>
              <w:divsChild>
                <w:div w:id="14146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8408">
      <w:bodyDiv w:val="1"/>
      <w:marLeft w:val="0"/>
      <w:marRight w:val="0"/>
      <w:marTop w:val="0"/>
      <w:marBottom w:val="0"/>
      <w:divBdr>
        <w:top w:val="none" w:sz="0" w:space="0" w:color="auto"/>
        <w:left w:val="none" w:sz="0" w:space="0" w:color="auto"/>
        <w:bottom w:val="none" w:sz="0" w:space="0" w:color="auto"/>
        <w:right w:val="none" w:sz="0" w:space="0" w:color="auto"/>
      </w:divBdr>
    </w:div>
    <w:div w:id="476413370">
      <w:bodyDiv w:val="1"/>
      <w:marLeft w:val="0"/>
      <w:marRight w:val="0"/>
      <w:marTop w:val="0"/>
      <w:marBottom w:val="0"/>
      <w:divBdr>
        <w:top w:val="none" w:sz="0" w:space="0" w:color="auto"/>
        <w:left w:val="none" w:sz="0" w:space="0" w:color="auto"/>
        <w:bottom w:val="none" w:sz="0" w:space="0" w:color="auto"/>
        <w:right w:val="none" w:sz="0" w:space="0" w:color="auto"/>
      </w:divBdr>
      <w:divsChild>
        <w:div w:id="1209416502">
          <w:marLeft w:val="0"/>
          <w:marRight w:val="0"/>
          <w:marTop w:val="0"/>
          <w:marBottom w:val="0"/>
          <w:divBdr>
            <w:top w:val="none" w:sz="0" w:space="0" w:color="auto"/>
            <w:left w:val="none" w:sz="0" w:space="0" w:color="auto"/>
            <w:bottom w:val="none" w:sz="0" w:space="0" w:color="auto"/>
            <w:right w:val="none" w:sz="0" w:space="0" w:color="auto"/>
          </w:divBdr>
          <w:divsChild>
            <w:div w:id="1288664331">
              <w:marLeft w:val="0"/>
              <w:marRight w:val="0"/>
              <w:marTop w:val="0"/>
              <w:marBottom w:val="0"/>
              <w:divBdr>
                <w:top w:val="none" w:sz="0" w:space="0" w:color="auto"/>
                <w:left w:val="none" w:sz="0" w:space="0" w:color="auto"/>
                <w:bottom w:val="none" w:sz="0" w:space="0" w:color="auto"/>
                <w:right w:val="none" w:sz="0" w:space="0" w:color="auto"/>
              </w:divBdr>
              <w:divsChild>
                <w:div w:id="45711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42820">
      <w:bodyDiv w:val="1"/>
      <w:marLeft w:val="0"/>
      <w:marRight w:val="0"/>
      <w:marTop w:val="0"/>
      <w:marBottom w:val="0"/>
      <w:divBdr>
        <w:top w:val="none" w:sz="0" w:space="0" w:color="auto"/>
        <w:left w:val="none" w:sz="0" w:space="0" w:color="auto"/>
        <w:bottom w:val="none" w:sz="0" w:space="0" w:color="auto"/>
        <w:right w:val="none" w:sz="0" w:space="0" w:color="auto"/>
      </w:divBdr>
    </w:div>
    <w:div w:id="503514526">
      <w:bodyDiv w:val="1"/>
      <w:marLeft w:val="0"/>
      <w:marRight w:val="0"/>
      <w:marTop w:val="0"/>
      <w:marBottom w:val="0"/>
      <w:divBdr>
        <w:top w:val="none" w:sz="0" w:space="0" w:color="auto"/>
        <w:left w:val="none" w:sz="0" w:space="0" w:color="auto"/>
        <w:bottom w:val="none" w:sz="0" w:space="0" w:color="auto"/>
        <w:right w:val="none" w:sz="0" w:space="0" w:color="auto"/>
      </w:divBdr>
    </w:div>
    <w:div w:id="566115831">
      <w:bodyDiv w:val="1"/>
      <w:marLeft w:val="0"/>
      <w:marRight w:val="0"/>
      <w:marTop w:val="0"/>
      <w:marBottom w:val="0"/>
      <w:divBdr>
        <w:top w:val="none" w:sz="0" w:space="0" w:color="auto"/>
        <w:left w:val="none" w:sz="0" w:space="0" w:color="auto"/>
        <w:bottom w:val="none" w:sz="0" w:space="0" w:color="auto"/>
        <w:right w:val="none" w:sz="0" w:space="0" w:color="auto"/>
      </w:divBdr>
      <w:divsChild>
        <w:div w:id="78257929">
          <w:marLeft w:val="0"/>
          <w:marRight w:val="0"/>
          <w:marTop w:val="0"/>
          <w:marBottom w:val="0"/>
          <w:divBdr>
            <w:top w:val="none" w:sz="0" w:space="0" w:color="auto"/>
            <w:left w:val="none" w:sz="0" w:space="0" w:color="auto"/>
            <w:bottom w:val="none" w:sz="0" w:space="0" w:color="auto"/>
            <w:right w:val="none" w:sz="0" w:space="0" w:color="auto"/>
          </w:divBdr>
          <w:divsChild>
            <w:div w:id="1483963928">
              <w:marLeft w:val="0"/>
              <w:marRight w:val="0"/>
              <w:marTop w:val="0"/>
              <w:marBottom w:val="0"/>
              <w:divBdr>
                <w:top w:val="none" w:sz="0" w:space="0" w:color="auto"/>
                <w:left w:val="none" w:sz="0" w:space="0" w:color="auto"/>
                <w:bottom w:val="none" w:sz="0" w:space="0" w:color="auto"/>
                <w:right w:val="none" w:sz="0" w:space="0" w:color="auto"/>
              </w:divBdr>
              <w:divsChild>
                <w:div w:id="15825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7851">
      <w:bodyDiv w:val="1"/>
      <w:marLeft w:val="0"/>
      <w:marRight w:val="0"/>
      <w:marTop w:val="0"/>
      <w:marBottom w:val="0"/>
      <w:divBdr>
        <w:top w:val="none" w:sz="0" w:space="0" w:color="auto"/>
        <w:left w:val="none" w:sz="0" w:space="0" w:color="auto"/>
        <w:bottom w:val="none" w:sz="0" w:space="0" w:color="auto"/>
        <w:right w:val="none" w:sz="0" w:space="0" w:color="auto"/>
      </w:divBdr>
    </w:div>
    <w:div w:id="594755103">
      <w:bodyDiv w:val="1"/>
      <w:marLeft w:val="0"/>
      <w:marRight w:val="0"/>
      <w:marTop w:val="0"/>
      <w:marBottom w:val="0"/>
      <w:divBdr>
        <w:top w:val="none" w:sz="0" w:space="0" w:color="auto"/>
        <w:left w:val="none" w:sz="0" w:space="0" w:color="auto"/>
        <w:bottom w:val="none" w:sz="0" w:space="0" w:color="auto"/>
        <w:right w:val="none" w:sz="0" w:space="0" w:color="auto"/>
      </w:divBdr>
    </w:div>
    <w:div w:id="599026134">
      <w:bodyDiv w:val="1"/>
      <w:marLeft w:val="0"/>
      <w:marRight w:val="0"/>
      <w:marTop w:val="0"/>
      <w:marBottom w:val="0"/>
      <w:divBdr>
        <w:top w:val="none" w:sz="0" w:space="0" w:color="auto"/>
        <w:left w:val="none" w:sz="0" w:space="0" w:color="auto"/>
        <w:bottom w:val="none" w:sz="0" w:space="0" w:color="auto"/>
        <w:right w:val="none" w:sz="0" w:space="0" w:color="auto"/>
      </w:divBdr>
    </w:div>
    <w:div w:id="648946701">
      <w:bodyDiv w:val="1"/>
      <w:marLeft w:val="0"/>
      <w:marRight w:val="0"/>
      <w:marTop w:val="0"/>
      <w:marBottom w:val="0"/>
      <w:divBdr>
        <w:top w:val="none" w:sz="0" w:space="0" w:color="auto"/>
        <w:left w:val="none" w:sz="0" w:space="0" w:color="auto"/>
        <w:bottom w:val="none" w:sz="0" w:space="0" w:color="auto"/>
        <w:right w:val="none" w:sz="0" w:space="0" w:color="auto"/>
      </w:divBdr>
    </w:div>
    <w:div w:id="736636768">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
    <w:div w:id="783770072">
      <w:bodyDiv w:val="1"/>
      <w:marLeft w:val="0"/>
      <w:marRight w:val="0"/>
      <w:marTop w:val="0"/>
      <w:marBottom w:val="0"/>
      <w:divBdr>
        <w:top w:val="none" w:sz="0" w:space="0" w:color="auto"/>
        <w:left w:val="none" w:sz="0" w:space="0" w:color="auto"/>
        <w:bottom w:val="none" w:sz="0" w:space="0" w:color="auto"/>
        <w:right w:val="none" w:sz="0" w:space="0" w:color="auto"/>
      </w:divBdr>
      <w:divsChild>
        <w:div w:id="1787583085">
          <w:marLeft w:val="0"/>
          <w:marRight w:val="0"/>
          <w:marTop w:val="0"/>
          <w:marBottom w:val="0"/>
          <w:divBdr>
            <w:top w:val="none" w:sz="0" w:space="0" w:color="auto"/>
            <w:left w:val="none" w:sz="0" w:space="0" w:color="auto"/>
            <w:bottom w:val="none" w:sz="0" w:space="0" w:color="auto"/>
            <w:right w:val="none" w:sz="0" w:space="0" w:color="auto"/>
          </w:divBdr>
          <w:divsChild>
            <w:div w:id="2091003676">
              <w:marLeft w:val="0"/>
              <w:marRight w:val="0"/>
              <w:marTop w:val="0"/>
              <w:marBottom w:val="0"/>
              <w:divBdr>
                <w:top w:val="none" w:sz="0" w:space="0" w:color="auto"/>
                <w:left w:val="none" w:sz="0" w:space="0" w:color="auto"/>
                <w:bottom w:val="none" w:sz="0" w:space="0" w:color="auto"/>
                <w:right w:val="none" w:sz="0" w:space="0" w:color="auto"/>
              </w:divBdr>
              <w:divsChild>
                <w:div w:id="191504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869767">
      <w:bodyDiv w:val="1"/>
      <w:marLeft w:val="0"/>
      <w:marRight w:val="0"/>
      <w:marTop w:val="0"/>
      <w:marBottom w:val="0"/>
      <w:divBdr>
        <w:top w:val="none" w:sz="0" w:space="0" w:color="auto"/>
        <w:left w:val="none" w:sz="0" w:space="0" w:color="auto"/>
        <w:bottom w:val="none" w:sz="0" w:space="0" w:color="auto"/>
        <w:right w:val="none" w:sz="0" w:space="0" w:color="auto"/>
      </w:divBdr>
    </w:div>
    <w:div w:id="854929696">
      <w:bodyDiv w:val="1"/>
      <w:marLeft w:val="0"/>
      <w:marRight w:val="0"/>
      <w:marTop w:val="0"/>
      <w:marBottom w:val="0"/>
      <w:divBdr>
        <w:top w:val="none" w:sz="0" w:space="0" w:color="auto"/>
        <w:left w:val="none" w:sz="0" w:space="0" w:color="auto"/>
        <w:bottom w:val="none" w:sz="0" w:space="0" w:color="auto"/>
        <w:right w:val="none" w:sz="0" w:space="0" w:color="auto"/>
      </w:divBdr>
    </w:div>
    <w:div w:id="864054136">
      <w:bodyDiv w:val="1"/>
      <w:marLeft w:val="0"/>
      <w:marRight w:val="0"/>
      <w:marTop w:val="0"/>
      <w:marBottom w:val="0"/>
      <w:divBdr>
        <w:top w:val="none" w:sz="0" w:space="0" w:color="auto"/>
        <w:left w:val="none" w:sz="0" w:space="0" w:color="auto"/>
        <w:bottom w:val="none" w:sz="0" w:space="0" w:color="auto"/>
        <w:right w:val="none" w:sz="0" w:space="0" w:color="auto"/>
      </w:divBdr>
    </w:div>
    <w:div w:id="926813567">
      <w:bodyDiv w:val="1"/>
      <w:marLeft w:val="0"/>
      <w:marRight w:val="0"/>
      <w:marTop w:val="0"/>
      <w:marBottom w:val="0"/>
      <w:divBdr>
        <w:top w:val="none" w:sz="0" w:space="0" w:color="auto"/>
        <w:left w:val="none" w:sz="0" w:space="0" w:color="auto"/>
        <w:bottom w:val="none" w:sz="0" w:space="0" w:color="auto"/>
        <w:right w:val="none" w:sz="0" w:space="0" w:color="auto"/>
      </w:divBdr>
    </w:div>
    <w:div w:id="970205307">
      <w:bodyDiv w:val="1"/>
      <w:marLeft w:val="0"/>
      <w:marRight w:val="0"/>
      <w:marTop w:val="0"/>
      <w:marBottom w:val="0"/>
      <w:divBdr>
        <w:top w:val="none" w:sz="0" w:space="0" w:color="auto"/>
        <w:left w:val="none" w:sz="0" w:space="0" w:color="auto"/>
        <w:bottom w:val="none" w:sz="0" w:space="0" w:color="auto"/>
        <w:right w:val="none" w:sz="0" w:space="0" w:color="auto"/>
      </w:divBdr>
      <w:divsChild>
        <w:div w:id="1823812302">
          <w:marLeft w:val="0"/>
          <w:marRight w:val="0"/>
          <w:marTop w:val="0"/>
          <w:marBottom w:val="0"/>
          <w:divBdr>
            <w:top w:val="none" w:sz="0" w:space="0" w:color="auto"/>
            <w:left w:val="none" w:sz="0" w:space="0" w:color="auto"/>
            <w:bottom w:val="none" w:sz="0" w:space="0" w:color="auto"/>
            <w:right w:val="none" w:sz="0" w:space="0" w:color="auto"/>
          </w:divBdr>
          <w:divsChild>
            <w:div w:id="256250691">
              <w:marLeft w:val="0"/>
              <w:marRight w:val="0"/>
              <w:marTop w:val="0"/>
              <w:marBottom w:val="0"/>
              <w:divBdr>
                <w:top w:val="none" w:sz="0" w:space="0" w:color="auto"/>
                <w:left w:val="none" w:sz="0" w:space="0" w:color="auto"/>
                <w:bottom w:val="none" w:sz="0" w:space="0" w:color="auto"/>
                <w:right w:val="none" w:sz="0" w:space="0" w:color="auto"/>
              </w:divBdr>
              <w:divsChild>
                <w:div w:id="17225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3955">
      <w:bodyDiv w:val="1"/>
      <w:marLeft w:val="0"/>
      <w:marRight w:val="0"/>
      <w:marTop w:val="0"/>
      <w:marBottom w:val="0"/>
      <w:divBdr>
        <w:top w:val="none" w:sz="0" w:space="0" w:color="auto"/>
        <w:left w:val="none" w:sz="0" w:space="0" w:color="auto"/>
        <w:bottom w:val="none" w:sz="0" w:space="0" w:color="auto"/>
        <w:right w:val="none" w:sz="0" w:space="0" w:color="auto"/>
      </w:divBdr>
    </w:div>
    <w:div w:id="976376224">
      <w:bodyDiv w:val="1"/>
      <w:marLeft w:val="0"/>
      <w:marRight w:val="0"/>
      <w:marTop w:val="0"/>
      <w:marBottom w:val="0"/>
      <w:divBdr>
        <w:top w:val="none" w:sz="0" w:space="0" w:color="auto"/>
        <w:left w:val="none" w:sz="0" w:space="0" w:color="auto"/>
        <w:bottom w:val="none" w:sz="0" w:space="0" w:color="auto"/>
        <w:right w:val="none" w:sz="0" w:space="0" w:color="auto"/>
      </w:divBdr>
    </w:div>
    <w:div w:id="1016733346">
      <w:bodyDiv w:val="1"/>
      <w:marLeft w:val="0"/>
      <w:marRight w:val="0"/>
      <w:marTop w:val="0"/>
      <w:marBottom w:val="0"/>
      <w:divBdr>
        <w:top w:val="none" w:sz="0" w:space="0" w:color="auto"/>
        <w:left w:val="none" w:sz="0" w:space="0" w:color="auto"/>
        <w:bottom w:val="none" w:sz="0" w:space="0" w:color="auto"/>
        <w:right w:val="none" w:sz="0" w:space="0" w:color="auto"/>
      </w:divBdr>
      <w:divsChild>
        <w:div w:id="533688106">
          <w:marLeft w:val="0"/>
          <w:marRight w:val="0"/>
          <w:marTop w:val="0"/>
          <w:marBottom w:val="0"/>
          <w:divBdr>
            <w:top w:val="none" w:sz="0" w:space="0" w:color="auto"/>
            <w:left w:val="none" w:sz="0" w:space="0" w:color="auto"/>
            <w:bottom w:val="none" w:sz="0" w:space="0" w:color="auto"/>
            <w:right w:val="none" w:sz="0" w:space="0" w:color="auto"/>
          </w:divBdr>
          <w:divsChild>
            <w:div w:id="1670795087">
              <w:marLeft w:val="0"/>
              <w:marRight w:val="0"/>
              <w:marTop w:val="0"/>
              <w:marBottom w:val="0"/>
              <w:divBdr>
                <w:top w:val="none" w:sz="0" w:space="0" w:color="auto"/>
                <w:left w:val="none" w:sz="0" w:space="0" w:color="auto"/>
                <w:bottom w:val="none" w:sz="0" w:space="0" w:color="auto"/>
                <w:right w:val="none" w:sz="0" w:space="0" w:color="auto"/>
              </w:divBdr>
              <w:divsChild>
                <w:div w:id="1226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04070">
      <w:bodyDiv w:val="1"/>
      <w:marLeft w:val="0"/>
      <w:marRight w:val="0"/>
      <w:marTop w:val="0"/>
      <w:marBottom w:val="0"/>
      <w:divBdr>
        <w:top w:val="none" w:sz="0" w:space="0" w:color="auto"/>
        <w:left w:val="none" w:sz="0" w:space="0" w:color="auto"/>
        <w:bottom w:val="none" w:sz="0" w:space="0" w:color="auto"/>
        <w:right w:val="none" w:sz="0" w:space="0" w:color="auto"/>
      </w:divBdr>
      <w:divsChild>
        <w:div w:id="1787848369">
          <w:marLeft w:val="0"/>
          <w:marRight w:val="0"/>
          <w:marTop w:val="0"/>
          <w:marBottom w:val="0"/>
          <w:divBdr>
            <w:top w:val="none" w:sz="0" w:space="0" w:color="auto"/>
            <w:left w:val="none" w:sz="0" w:space="0" w:color="auto"/>
            <w:bottom w:val="none" w:sz="0" w:space="0" w:color="auto"/>
            <w:right w:val="none" w:sz="0" w:space="0" w:color="auto"/>
          </w:divBdr>
          <w:divsChild>
            <w:div w:id="1824271186">
              <w:marLeft w:val="0"/>
              <w:marRight w:val="0"/>
              <w:marTop w:val="0"/>
              <w:marBottom w:val="0"/>
              <w:divBdr>
                <w:top w:val="none" w:sz="0" w:space="0" w:color="auto"/>
                <w:left w:val="none" w:sz="0" w:space="0" w:color="auto"/>
                <w:bottom w:val="none" w:sz="0" w:space="0" w:color="auto"/>
                <w:right w:val="none" w:sz="0" w:space="0" w:color="auto"/>
              </w:divBdr>
              <w:divsChild>
                <w:div w:id="893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40793">
      <w:bodyDiv w:val="1"/>
      <w:marLeft w:val="0"/>
      <w:marRight w:val="0"/>
      <w:marTop w:val="0"/>
      <w:marBottom w:val="0"/>
      <w:divBdr>
        <w:top w:val="none" w:sz="0" w:space="0" w:color="auto"/>
        <w:left w:val="none" w:sz="0" w:space="0" w:color="auto"/>
        <w:bottom w:val="none" w:sz="0" w:space="0" w:color="auto"/>
        <w:right w:val="none" w:sz="0" w:space="0" w:color="auto"/>
      </w:divBdr>
    </w:div>
    <w:div w:id="1061444780">
      <w:bodyDiv w:val="1"/>
      <w:marLeft w:val="0"/>
      <w:marRight w:val="0"/>
      <w:marTop w:val="0"/>
      <w:marBottom w:val="0"/>
      <w:divBdr>
        <w:top w:val="none" w:sz="0" w:space="0" w:color="auto"/>
        <w:left w:val="none" w:sz="0" w:space="0" w:color="auto"/>
        <w:bottom w:val="none" w:sz="0" w:space="0" w:color="auto"/>
        <w:right w:val="none" w:sz="0" w:space="0" w:color="auto"/>
      </w:divBdr>
      <w:divsChild>
        <w:div w:id="21639223">
          <w:marLeft w:val="0"/>
          <w:marRight w:val="0"/>
          <w:marTop w:val="0"/>
          <w:marBottom w:val="0"/>
          <w:divBdr>
            <w:top w:val="none" w:sz="0" w:space="0" w:color="auto"/>
            <w:left w:val="none" w:sz="0" w:space="0" w:color="auto"/>
            <w:bottom w:val="none" w:sz="0" w:space="0" w:color="auto"/>
            <w:right w:val="none" w:sz="0" w:space="0" w:color="auto"/>
          </w:divBdr>
          <w:divsChild>
            <w:div w:id="2098938087">
              <w:marLeft w:val="0"/>
              <w:marRight w:val="0"/>
              <w:marTop w:val="0"/>
              <w:marBottom w:val="0"/>
              <w:divBdr>
                <w:top w:val="none" w:sz="0" w:space="0" w:color="auto"/>
                <w:left w:val="none" w:sz="0" w:space="0" w:color="auto"/>
                <w:bottom w:val="none" w:sz="0" w:space="0" w:color="auto"/>
                <w:right w:val="none" w:sz="0" w:space="0" w:color="auto"/>
              </w:divBdr>
              <w:divsChild>
                <w:div w:id="10035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7960">
      <w:bodyDiv w:val="1"/>
      <w:marLeft w:val="0"/>
      <w:marRight w:val="0"/>
      <w:marTop w:val="0"/>
      <w:marBottom w:val="0"/>
      <w:divBdr>
        <w:top w:val="none" w:sz="0" w:space="0" w:color="auto"/>
        <w:left w:val="none" w:sz="0" w:space="0" w:color="auto"/>
        <w:bottom w:val="none" w:sz="0" w:space="0" w:color="auto"/>
        <w:right w:val="none" w:sz="0" w:space="0" w:color="auto"/>
      </w:divBdr>
    </w:div>
    <w:div w:id="1139566084">
      <w:bodyDiv w:val="1"/>
      <w:marLeft w:val="0"/>
      <w:marRight w:val="0"/>
      <w:marTop w:val="0"/>
      <w:marBottom w:val="0"/>
      <w:divBdr>
        <w:top w:val="none" w:sz="0" w:space="0" w:color="auto"/>
        <w:left w:val="none" w:sz="0" w:space="0" w:color="auto"/>
        <w:bottom w:val="none" w:sz="0" w:space="0" w:color="auto"/>
        <w:right w:val="none" w:sz="0" w:space="0" w:color="auto"/>
      </w:divBdr>
      <w:divsChild>
        <w:div w:id="1678075346">
          <w:marLeft w:val="0"/>
          <w:marRight w:val="0"/>
          <w:marTop w:val="0"/>
          <w:marBottom w:val="0"/>
          <w:divBdr>
            <w:top w:val="none" w:sz="0" w:space="0" w:color="auto"/>
            <w:left w:val="none" w:sz="0" w:space="0" w:color="auto"/>
            <w:bottom w:val="none" w:sz="0" w:space="0" w:color="auto"/>
            <w:right w:val="none" w:sz="0" w:space="0" w:color="auto"/>
          </w:divBdr>
          <w:divsChild>
            <w:div w:id="923759360">
              <w:marLeft w:val="0"/>
              <w:marRight w:val="0"/>
              <w:marTop w:val="0"/>
              <w:marBottom w:val="0"/>
              <w:divBdr>
                <w:top w:val="none" w:sz="0" w:space="0" w:color="auto"/>
                <w:left w:val="none" w:sz="0" w:space="0" w:color="auto"/>
                <w:bottom w:val="none" w:sz="0" w:space="0" w:color="auto"/>
                <w:right w:val="none" w:sz="0" w:space="0" w:color="auto"/>
              </w:divBdr>
              <w:divsChild>
                <w:div w:id="1391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772285">
      <w:bodyDiv w:val="1"/>
      <w:marLeft w:val="0"/>
      <w:marRight w:val="0"/>
      <w:marTop w:val="0"/>
      <w:marBottom w:val="0"/>
      <w:divBdr>
        <w:top w:val="none" w:sz="0" w:space="0" w:color="auto"/>
        <w:left w:val="none" w:sz="0" w:space="0" w:color="auto"/>
        <w:bottom w:val="none" w:sz="0" w:space="0" w:color="auto"/>
        <w:right w:val="none" w:sz="0" w:space="0" w:color="auto"/>
      </w:divBdr>
    </w:div>
    <w:div w:id="1215242544">
      <w:bodyDiv w:val="1"/>
      <w:marLeft w:val="0"/>
      <w:marRight w:val="0"/>
      <w:marTop w:val="0"/>
      <w:marBottom w:val="0"/>
      <w:divBdr>
        <w:top w:val="none" w:sz="0" w:space="0" w:color="auto"/>
        <w:left w:val="none" w:sz="0" w:space="0" w:color="auto"/>
        <w:bottom w:val="none" w:sz="0" w:space="0" w:color="auto"/>
        <w:right w:val="none" w:sz="0" w:space="0" w:color="auto"/>
      </w:divBdr>
    </w:div>
    <w:div w:id="1282804509">
      <w:bodyDiv w:val="1"/>
      <w:marLeft w:val="0"/>
      <w:marRight w:val="0"/>
      <w:marTop w:val="0"/>
      <w:marBottom w:val="0"/>
      <w:divBdr>
        <w:top w:val="none" w:sz="0" w:space="0" w:color="auto"/>
        <w:left w:val="none" w:sz="0" w:space="0" w:color="auto"/>
        <w:bottom w:val="none" w:sz="0" w:space="0" w:color="auto"/>
        <w:right w:val="none" w:sz="0" w:space="0" w:color="auto"/>
      </w:divBdr>
      <w:divsChild>
        <w:div w:id="678894979">
          <w:marLeft w:val="0"/>
          <w:marRight w:val="0"/>
          <w:marTop w:val="0"/>
          <w:marBottom w:val="0"/>
          <w:divBdr>
            <w:top w:val="none" w:sz="0" w:space="0" w:color="auto"/>
            <w:left w:val="none" w:sz="0" w:space="0" w:color="auto"/>
            <w:bottom w:val="none" w:sz="0" w:space="0" w:color="auto"/>
            <w:right w:val="none" w:sz="0" w:space="0" w:color="auto"/>
          </w:divBdr>
          <w:divsChild>
            <w:div w:id="339354047">
              <w:marLeft w:val="0"/>
              <w:marRight w:val="0"/>
              <w:marTop w:val="0"/>
              <w:marBottom w:val="0"/>
              <w:divBdr>
                <w:top w:val="none" w:sz="0" w:space="0" w:color="auto"/>
                <w:left w:val="none" w:sz="0" w:space="0" w:color="auto"/>
                <w:bottom w:val="none" w:sz="0" w:space="0" w:color="auto"/>
                <w:right w:val="none" w:sz="0" w:space="0" w:color="auto"/>
              </w:divBdr>
              <w:divsChild>
                <w:div w:id="28770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40077">
      <w:bodyDiv w:val="1"/>
      <w:marLeft w:val="0"/>
      <w:marRight w:val="0"/>
      <w:marTop w:val="0"/>
      <w:marBottom w:val="0"/>
      <w:divBdr>
        <w:top w:val="none" w:sz="0" w:space="0" w:color="auto"/>
        <w:left w:val="none" w:sz="0" w:space="0" w:color="auto"/>
        <w:bottom w:val="none" w:sz="0" w:space="0" w:color="auto"/>
        <w:right w:val="none" w:sz="0" w:space="0" w:color="auto"/>
      </w:divBdr>
    </w:div>
    <w:div w:id="1578514915">
      <w:bodyDiv w:val="1"/>
      <w:marLeft w:val="0"/>
      <w:marRight w:val="0"/>
      <w:marTop w:val="0"/>
      <w:marBottom w:val="0"/>
      <w:divBdr>
        <w:top w:val="none" w:sz="0" w:space="0" w:color="auto"/>
        <w:left w:val="none" w:sz="0" w:space="0" w:color="auto"/>
        <w:bottom w:val="none" w:sz="0" w:space="0" w:color="auto"/>
        <w:right w:val="none" w:sz="0" w:space="0" w:color="auto"/>
      </w:divBdr>
      <w:divsChild>
        <w:div w:id="1153521295">
          <w:marLeft w:val="0"/>
          <w:marRight w:val="0"/>
          <w:marTop w:val="0"/>
          <w:marBottom w:val="0"/>
          <w:divBdr>
            <w:top w:val="none" w:sz="0" w:space="0" w:color="auto"/>
            <w:left w:val="none" w:sz="0" w:space="0" w:color="auto"/>
            <w:bottom w:val="none" w:sz="0" w:space="0" w:color="auto"/>
            <w:right w:val="none" w:sz="0" w:space="0" w:color="auto"/>
          </w:divBdr>
          <w:divsChild>
            <w:div w:id="258149138">
              <w:marLeft w:val="0"/>
              <w:marRight w:val="0"/>
              <w:marTop w:val="0"/>
              <w:marBottom w:val="0"/>
              <w:divBdr>
                <w:top w:val="none" w:sz="0" w:space="0" w:color="auto"/>
                <w:left w:val="none" w:sz="0" w:space="0" w:color="auto"/>
                <w:bottom w:val="none" w:sz="0" w:space="0" w:color="auto"/>
                <w:right w:val="none" w:sz="0" w:space="0" w:color="auto"/>
              </w:divBdr>
              <w:divsChild>
                <w:div w:id="3998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82492">
      <w:bodyDiv w:val="1"/>
      <w:marLeft w:val="0"/>
      <w:marRight w:val="0"/>
      <w:marTop w:val="0"/>
      <w:marBottom w:val="0"/>
      <w:divBdr>
        <w:top w:val="none" w:sz="0" w:space="0" w:color="auto"/>
        <w:left w:val="none" w:sz="0" w:space="0" w:color="auto"/>
        <w:bottom w:val="none" w:sz="0" w:space="0" w:color="auto"/>
        <w:right w:val="none" w:sz="0" w:space="0" w:color="auto"/>
      </w:divBdr>
      <w:divsChild>
        <w:div w:id="769475751">
          <w:marLeft w:val="0"/>
          <w:marRight w:val="0"/>
          <w:marTop w:val="0"/>
          <w:marBottom w:val="0"/>
          <w:divBdr>
            <w:top w:val="none" w:sz="0" w:space="0" w:color="auto"/>
            <w:left w:val="none" w:sz="0" w:space="0" w:color="auto"/>
            <w:bottom w:val="none" w:sz="0" w:space="0" w:color="auto"/>
            <w:right w:val="none" w:sz="0" w:space="0" w:color="auto"/>
          </w:divBdr>
          <w:divsChild>
            <w:div w:id="1608200497">
              <w:marLeft w:val="0"/>
              <w:marRight w:val="0"/>
              <w:marTop w:val="0"/>
              <w:marBottom w:val="0"/>
              <w:divBdr>
                <w:top w:val="none" w:sz="0" w:space="0" w:color="auto"/>
                <w:left w:val="none" w:sz="0" w:space="0" w:color="auto"/>
                <w:bottom w:val="none" w:sz="0" w:space="0" w:color="auto"/>
                <w:right w:val="none" w:sz="0" w:space="0" w:color="auto"/>
              </w:divBdr>
              <w:divsChild>
                <w:div w:id="18776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84988">
      <w:bodyDiv w:val="1"/>
      <w:marLeft w:val="0"/>
      <w:marRight w:val="0"/>
      <w:marTop w:val="0"/>
      <w:marBottom w:val="0"/>
      <w:divBdr>
        <w:top w:val="none" w:sz="0" w:space="0" w:color="auto"/>
        <w:left w:val="none" w:sz="0" w:space="0" w:color="auto"/>
        <w:bottom w:val="none" w:sz="0" w:space="0" w:color="auto"/>
        <w:right w:val="none" w:sz="0" w:space="0" w:color="auto"/>
      </w:divBdr>
    </w:div>
    <w:div w:id="1788238178">
      <w:bodyDiv w:val="1"/>
      <w:marLeft w:val="0"/>
      <w:marRight w:val="0"/>
      <w:marTop w:val="0"/>
      <w:marBottom w:val="0"/>
      <w:divBdr>
        <w:top w:val="none" w:sz="0" w:space="0" w:color="auto"/>
        <w:left w:val="none" w:sz="0" w:space="0" w:color="auto"/>
        <w:bottom w:val="none" w:sz="0" w:space="0" w:color="auto"/>
        <w:right w:val="none" w:sz="0" w:space="0" w:color="auto"/>
      </w:divBdr>
    </w:div>
    <w:div w:id="1863981222">
      <w:bodyDiv w:val="1"/>
      <w:marLeft w:val="0"/>
      <w:marRight w:val="0"/>
      <w:marTop w:val="0"/>
      <w:marBottom w:val="0"/>
      <w:divBdr>
        <w:top w:val="none" w:sz="0" w:space="0" w:color="auto"/>
        <w:left w:val="none" w:sz="0" w:space="0" w:color="auto"/>
        <w:bottom w:val="none" w:sz="0" w:space="0" w:color="auto"/>
        <w:right w:val="none" w:sz="0" w:space="0" w:color="auto"/>
      </w:divBdr>
    </w:div>
    <w:div w:id="2077165842">
      <w:bodyDiv w:val="1"/>
      <w:marLeft w:val="0"/>
      <w:marRight w:val="0"/>
      <w:marTop w:val="0"/>
      <w:marBottom w:val="0"/>
      <w:divBdr>
        <w:top w:val="none" w:sz="0" w:space="0" w:color="auto"/>
        <w:left w:val="none" w:sz="0" w:space="0" w:color="auto"/>
        <w:bottom w:val="none" w:sz="0" w:space="0" w:color="auto"/>
        <w:right w:val="none" w:sz="0" w:space="0" w:color="auto"/>
      </w:divBdr>
    </w:div>
    <w:div w:id="2102099517">
      <w:bodyDiv w:val="1"/>
      <w:marLeft w:val="0"/>
      <w:marRight w:val="0"/>
      <w:marTop w:val="0"/>
      <w:marBottom w:val="0"/>
      <w:divBdr>
        <w:top w:val="none" w:sz="0" w:space="0" w:color="auto"/>
        <w:left w:val="none" w:sz="0" w:space="0" w:color="auto"/>
        <w:bottom w:val="none" w:sz="0" w:space="0" w:color="auto"/>
        <w:right w:val="none" w:sz="0" w:space="0" w:color="auto"/>
      </w:divBdr>
      <w:divsChild>
        <w:div w:id="1073626450">
          <w:marLeft w:val="0"/>
          <w:marRight w:val="0"/>
          <w:marTop w:val="0"/>
          <w:marBottom w:val="0"/>
          <w:divBdr>
            <w:top w:val="none" w:sz="0" w:space="0" w:color="auto"/>
            <w:left w:val="none" w:sz="0" w:space="0" w:color="auto"/>
            <w:bottom w:val="none" w:sz="0" w:space="0" w:color="auto"/>
            <w:right w:val="none" w:sz="0" w:space="0" w:color="auto"/>
          </w:divBdr>
          <w:divsChild>
            <w:div w:id="1985544284">
              <w:marLeft w:val="0"/>
              <w:marRight w:val="0"/>
              <w:marTop w:val="0"/>
              <w:marBottom w:val="0"/>
              <w:divBdr>
                <w:top w:val="none" w:sz="0" w:space="0" w:color="auto"/>
                <w:left w:val="none" w:sz="0" w:space="0" w:color="auto"/>
                <w:bottom w:val="none" w:sz="0" w:space="0" w:color="auto"/>
                <w:right w:val="none" w:sz="0" w:space="0" w:color="auto"/>
              </w:divBdr>
              <w:divsChild>
                <w:div w:id="6665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supremecourt/text/323/2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loomsburyprofessional.com/uk/permanent-states-of-emergency-and-the-rule-of-law-978150994025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e.int/fr/web/conventions/full-list/-/conventions/webContent/62111354" TargetMode="External"/><Relationship Id="rId3" Type="http://schemas.openxmlformats.org/officeDocument/2006/relationships/hyperlink" Target="https://www.leclubdesjuristes.com/blog-du-coronavirus/" TargetMode="External"/><Relationship Id="rId7" Type="http://schemas.openxmlformats.org/officeDocument/2006/relationships/hyperlink" Target="https://strasbourgobservers.com" TargetMode="External"/><Relationship Id="rId2" Type="http://schemas.openxmlformats.org/officeDocument/2006/relationships/hyperlink" Target="https://www.leclubdesjuristes.com/blog-du-coronavirus/" TargetMode="External"/><Relationship Id="rId1" Type="http://schemas.openxmlformats.org/officeDocument/2006/relationships/hyperlink" Target="https://www.leuvenpubliclaw.com/belgie-kan-de-noodtoestand-niet-uitroepen/" TargetMode="External"/><Relationship Id="rId6" Type="http://schemas.openxmlformats.org/officeDocument/2006/relationships/hyperlink" Target="https://opiniojuris.org/2020/04/06/covid-19-symposium-to-derogate-or-not-to-derogate/" TargetMode="External"/><Relationship Id="rId5" Type="http://schemas.openxmlformats.org/officeDocument/2006/relationships/hyperlink" Target="https://strasbourgobservers.com" TargetMode="External"/><Relationship Id="rId10" Type="http://schemas.openxmlformats.org/officeDocument/2006/relationships/hyperlink" Target="https://strasbourgobservers.com" TargetMode="External"/><Relationship Id="rId4" Type="http://schemas.openxmlformats.org/officeDocument/2006/relationships/hyperlink" Target="https://www.leclubdesjuristes.com/blog-du-coronavirus/" TargetMode="External"/><Relationship Id="rId9" Type="http://schemas.openxmlformats.org/officeDocument/2006/relationships/hyperlink" Target="https://www.echr.coe.int/Documents/FS_Covid_FRA.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CDC98-8FC1-344D-8DD4-E93CD3FE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8662</Words>
  <Characters>47644</Characters>
  <Application>Microsoft Office Word</Application>
  <DocSecurity>0</DocSecurity>
  <Lines>397</Lines>
  <Paragraphs>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Van Drooghenbroeck</dc:creator>
  <cp:keywords/>
  <dc:description/>
  <cp:lastModifiedBy>Sébastien Van Drooghenbroeck</cp:lastModifiedBy>
  <cp:revision>3</cp:revision>
  <dcterms:created xsi:type="dcterms:W3CDTF">2021-12-06T18:01:00Z</dcterms:created>
  <dcterms:modified xsi:type="dcterms:W3CDTF">2022-03-02T07:25:00Z</dcterms:modified>
</cp:coreProperties>
</file>