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432045" w14:textId="77777777" w:rsidR="00333394" w:rsidRPr="00333394" w:rsidRDefault="00333394" w:rsidP="00333394">
      <w:pPr>
        <w:spacing w:line="360" w:lineRule="auto"/>
        <w:rPr>
          <w:rFonts w:ascii="Times New Roman" w:eastAsia="Times New Roman" w:hAnsi="Times New Roman" w:cs="Times New Roman"/>
          <w:b/>
          <w:bCs/>
          <w:color w:val="222222"/>
          <w:kern w:val="0"/>
          <w:shd w:val="clear" w:color="auto" w:fill="FFFFFF"/>
          <w:lang w:eastAsia="fr-FR"/>
          <w14:ligatures w14:val="none"/>
        </w:rPr>
      </w:pPr>
      <w:r w:rsidRPr="00333394">
        <w:rPr>
          <w:rFonts w:ascii="Times New Roman" w:eastAsia="Times New Roman" w:hAnsi="Times New Roman" w:cs="Times New Roman"/>
          <w:b/>
          <w:bCs/>
          <w:color w:val="222222"/>
          <w:kern w:val="0"/>
          <w:shd w:val="clear" w:color="auto" w:fill="FFFFFF"/>
          <w:lang w:eastAsia="fr-FR"/>
          <w14:ligatures w14:val="none"/>
        </w:rPr>
        <w:t xml:space="preserve">Plagiat par anticipation et convergence du·de la lecteur·ice. </w:t>
      </w:r>
    </w:p>
    <w:p w14:paraId="4B39A1ED" w14:textId="77777777" w:rsidR="00333394" w:rsidRDefault="00333394" w:rsidP="00333394">
      <w:pPr>
        <w:spacing w:line="360" w:lineRule="auto"/>
        <w:rPr>
          <w:rFonts w:ascii="Times New Roman" w:eastAsia="Times New Roman" w:hAnsi="Times New Roman" w:cs="Times New Roman"/>
          <w:b/>
          <w:bCs/>
          <w:color w:val="222222"/>
          <w:kern w:val="0"/>
          <w:shd w:val="clear" w:color="auto" w:fill="FFFFFF"/>
          <w:lang w:eastAsia="fr-FR"/>
          <w14:ligatures w14:val="none"/>
        </w:rPr>
      </w:pPr>
      <w:r w:rsidRPr="00333394">
        <w:rPr>
          <w:rFonts w:ascii="Times New Roman" w:eastAsia="Times New Roman" w:hAnsi="Times New Roman" w:cs="Times New Roman"/>
          <w:b/>
          <w:bCs/>
          <w:color w:val="222222"/>
          <w:kern w:val="0"/>
          <w:shd w:val="clear" w:color="auto" w:fill="FFFFFF"/>
          <w:lang w:eastAsia="fr-FR"/>
          <w14:ligatures w14:val="none"/>
        </w:rPr>
        <w:t xml:space="preserve">Pierre Bayard dans l’Antiquité tardive </w:t>
      </w:r>
    </w:p>
    <w:p w14:paraId="7D05D709" w14:textId="77777777" w:rsidR="00333394" w:rsidRDefault="00333394" w:rsidP="00333394">
      <w:pPr>
        <w:spacing w:line="360" w:lineRule="auto"/>
        <w:rPr>
          <w:rFonts w:ascii="Times New Roman" w:eastAsia="Times New Roman" w:hAnsi="Times New Roman" w:cs="Times New Roman"/>
          <w:b/>
          <w:bCs/>
          <w:color w:val="222222"/>
          <w:kern w:val="0"/>
          <w:shd w:val="clear" w:color="auto" w:fill="FFFFFF"/>
          <w:lang w:eastAsia="fr-FR"/>
          <w14:ligatures w14:val="none"/>
        </w:rPr>
      </w:pPr>
    </w:p>
    <w:p w14:paraId="64178195"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 L</w:t>
      </w:r>
      <w:r>
        <w:rPr>
          <w:rFonts w:ascii="Times New Roman" w:eastAsia="Times New Roman" w:hAnsi="Times New Roman" w:cs="Times New Roman"/>
          <w:color w:val="222222"/>
          <w:kern w:val="0"/>
          <w:shd w:val="clear" w:color="auto" w:fill="FFFFFF"/>
          <w:lang w:eastAsia="fr-FR"/>
          <w14:ligatures w14:val="none"/>
        </w:rPr>
        <w:t>’</w:t>
      </w:r>
      <w:r w:rsidRPr="00333394">
        <w:rPr>
          <w:rFonts w:ascii="Times New Roman" w:eastAsia="Times New Roman" w:hAnsi="Times New Roman" w:cs="Times New Roman"/>
          <w:color w:val="222222"/>
          <w:kern w:val="0"/>
          <w:shd w:val="clear" w:color="auto" w:fill="FFFFFF"/>
          <w:lang w:eastAsia="fr-FR"/>
          <w14:ligatures w14:val="none"/>
        </w:rPr>
        <w:t xml:space="preserve">étude des différentes manières de ne pas lire un livre </w:t>
      </w:r>
    </w:p>
    <w:p w14:paraId="74D320FE"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w:t>
      </w:r>
    </w:p>
    <w:p w14:paraId="62A5B7BE"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pour se sortir d</w:t>
      </w:r>
      <w:r>
        <w:rPr>
          <w:rFonts w:ascii="Times New Roman" w:eastAsia="Times New Roman" w:hAnsi="Times New Roman" w:cs="Times New Roman"/>
          <w:color w:val="222222"/>
          <w:kern w:val="0"/>
          <w:shd w:val="clear" w:color="auto" w:fill="FFFFFF"/>
          <w:lang w:eastAsia="fr-FR"/>
          <w14:ligatures w14:val="none"/>
        </w:rPr>
        <w:t>’</w:t>
      </w:r>
      <w:r w:rsidRPr="00333394">
        <w:rPr>
          <w:rFonts w:ascii="Times New Roman" w:eastAsia="Times New Roman" w:hAnsi="Times New Roman" w:cs="Times New Roman"/>
          <w:color w:val="222222"/>
          <w:kern w:val="0"/>
          <w:shd w:val="clear" w:color="auto" w:fill="FFFFFF"/>
          <w:lang w:eastAsia="fr-FR"/>
          <w14:ligatures w14:val="none"/>
        </w:rPr>
        <w:t>affaire [………………………………….]</w:t>
      </w:r>
    </w:p>
    <w:p w14:paraId="0A86DD73"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un échange passionnant [………………………………….]</w:t>
      </w:r>
    </w:p>
    <w:p w14:paraId="72EA4E0E"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qui ne l</w:t>
      </w:r>
      <w:r>
        <w:rPr>
          <w:rFonts w:ascii="Times New Roman" w:eastAsia="Times New Roman" w:hAnsi="Times New Roman" w:cs="Times New Roman"/>
          <w:color w:val="222222"/>
          <w:kern w:val="0"/>
          <w:shd w:val="clear" w:color="auto" w:fill="FFFFFF"/>
          <w:lang w:eastAsia="fr-FR"/>
          <w14:ligatures w14:val="none"/>
        </w:rPr>
        <w:t>’</w:t>
      </w:r>
      <w:r w:rsidRPr="00333394">
        <w:rPr>
          <w:rFonts w:ascii="Times New Roman" w:eastAsia="Times New Roman" w:hAnsi="Times New Roman" w:cs="Times New Roman"/>
          <w:color w:val="222222"/>
          <w:kern w:val="0"/>
          <w:shd w:val="clear" w:color="auto" w:fill="FFFFFF"/>
          <w:lang w:eastAsia="fr-FR"/>
          <w14:ligatures w14:val="none"/>
        </w:rPr>
        <w:t>a pas lu non plus</w:t>
      </w:r>
      <w:r>
        <w:rPr>
          <w:rStyle w:val="Appelnotedebasdep"/>
          <w:rFonts w:ascii="Times New Roman" w:eastAsia="Times New Roman" w:hAnsi="Times New Roman" w:cs="Times New Roman"/>
          <w:color w:val="222222"/>
          <w:kern w:val="0"/>
          <w:shd w:val="clear" w:color="auto" w:fill="FFFFFF"/>
          <w:lang w:eastAsia="fr-FR"/>
          <w14:ligatures w14:val="none"/>
        </w:rPr>
        <w:footnoteReference w:id="1"/>
      </w:r>
      <w:r w:rsidRPr="00333394">
        <w:rPr>
          <w:rFonts w:ascii="Times New Roman" w:eastAsia="Times New Roman" w:hAnsi="Times New Roman" w:cs="Times New Roman"/>
          <w:color w:val="222222"/>
          <w:kern w:val="0"/>
          <w:shd w:val="clear" w:color="auto" w:fill="FFFFFF"/>
          <w:lang w:eastAsia="fr-FR"/>
          <w14:ligatures w14:val="none"/>
        </w:rPr>
        <w:t>. »</w:t>
      </w:r>
    </w:p>
    <w:p w14:paraId="21C161A7" w14:textId="77777777" w:rsidR="00333394" w:rsidRDefault="00333394" w:rsidP="00333394">
      <w:pPr>
        <w:spacing w:line="360" w:lineRule="auto"/>
        <w:rPr>
          <w:rFonts w:ascii="Times New Roman" w:eastAsia="Times New Roman" w:hAnsi="Times New Roman" w:cs="Times New Roman"/>
          <w:b/>
          <w:bCs/>
          <w:color w:val="222222"/>
          <w:kern w:val="0"/>
          <w:shd w:val="clear" w:color="auto" w:fill="FFFFFF"/>
          <w:lang w:eastAsia="fr-FR"/>
          <w14:ligatures w14:val="none"/>
        </w:rPr>
      </w:pPr>
    </w:p>
    <w:p w14:paraId="12CC132C" w14:textId="77777777" w:rsidR="00F62711" w:rsidRDefault="008151C6"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À mesure que je découvrais les thèses de Pierre Bayard – </w:t>
      </w:r>
      <w:r w:rsidR="00486174">
        <w:rPr>
          <w:rFonts w:ascii="Times New Roman" w:eastAsia="Times New Roman" w:hAnsi="Times New Roman" w:cs="Times New Roman"/>
          <w:color w:val="222222"/>
          <w:kern w:val="0"/>
          <w:shd w:val="clear" w:color="auto" w:fill="FFFFFF"/>
          <w:lang w:eastAsia="fr-FR"/>
          <w14:ligatures w14:val="none"/>
        </w:rPr>
        <w:t>à partir de</w:t>
      </w:r>
      <w:r>
        <w:rPr>
          <w:rFonts w:ascii="Times New Roman" w:eastAsia="Times New Roman" w:hAnsi="Times New Roman" w:cs="Times New Roman"/>
          <w:color w:val="222222"/>
          <w:kern w:val="0"/>
          <w:shd w:val="clear" w:color="auto" w:fill="FFFFFF"/>
          <w:lang w:eastAsia="fr-FR"/>
          <w14:ligatures w14:val="none"/>
        </w:rPr>
        <w:t xml:space="preserve"> </w:t>
      </w:r>
      <w:r w:rsidR="0068236C">
        <w:rPr>
          <w:rFonts w:ascii="Times New Roman" w:eastAsia="Times New Roman" w:hAnsi="Times New Roman" w:cs="Times New Roman"/>
          <w:i/>
          <w:iCs/>
          <w:color w:val="222222"/>
          <w:kern w:val="0"/>
          <w:shd w:val="clear" w:color="auto" w:fill="FFFFFF"/>
          <w:lang w:eastAsia="fr-FR"/>
          <w14:ligatures w14:val="none"/>
        </w:rPr>
        <w:t>Comment parler des livres que l’on n’a pas lus ?</w:t>
      </w:r>
      <w:r w:rsidR="0068236C" w:rsidRPr="0068236C">
        <w:rPr>
          <w:rStyle w:val="Appelnotedebasdep"/>
          <w:rFonts w:ascii="Times New Roman" w:eastAsia="Times New Roman" w:hAnsi="Times New Roman" w:cs="Times New Roman"/>
          <w:color w:val="222222"/>
          <w:kern w:val="0"/>
          <w:shd w:val="clear" w:color="auto" w:fill="FFFFFF"/>
          <w:lang w:eastAsia="fr-FR"/>
          <w14:ligatures w14:val="none"/>
        </w:rPr>
        <w:footnoteReference w:id="2"/>
      </w:r>
      <w:r w:rsidR="0068236C">
        <w:rPr>
          <w:rFonts w:ascii="Times New Roman" w:eastAsia="Times New Roman" w:hAnsi="Times New Roman" w:cs="Times New Roman"/>
          <w:color w:val="222222"/>
          <w:kern w:val="0"/>
          <w:shd w:val="clear" w:color="auto" w:fill="FFFFFF"/>
          <w:lang w:eastAsia="fr-FR"/>
          <w14:ligatures w14:val="none"/>
        </w:rPr>
        <w:t xml:space="preserve">, opportunément offert par mon père alors que j’étais en classes préparatoires littéraires, à </w:t>
      </w:r>
      <w:r w:rsidR="0068236C" w:rsidRPr="0068236C">
        <w:rPr>
          <w:rFonts w:ascii="Times New Roman" w:eastAsia="Times New Roman" w:hAnsi="Times New Roman" w:cs="Times New Roman"/>
          <w:i/>
          <w:iCs/>
          <w:color w:val="222222"/>
          <w:kern w:val="0"/>
          <w:shd w:val="clear" w:color="auto" w:fill="FFFFFF"/>
          <w:lang w:eastAsia="fr-FR"/>
          <w14:ligatures w14:val="none"/>
        </w:rPr>
        <w:t>Comment parler des faits qui ne se sont pas produits ?</w:t>
      </w:r>
      <w:r w:rsidR="0068236C" w:rsidRPr="0068236C">
        <w:rPr>
          <w:rStyle w:val="Appelnotedebasdep"/>
          <w:rFonts w:ascii="Times New Roman" w:eastAsia="Times New Roman" w:hAnsi="Times New Roman" w:cs="Times New Roman"/>
          <w:color w:val="222222"/>
          <w:kern w:val="0"/>
          <w:shd w:val="clear" w:color="auto" w:fill="FFFFFF"/>
          <w:lang w:eastAsia="fr-FR"/>
          <w14:ligatures w14:val="none"/>
        </w:rPr>
        <w:footnoteReference w:id="3"/>
      </w:r>
      <w:r w:rsidR="0068236C">
        <w:rPr>
          <w:rFonts w:ascii="Times New Roman" w:eastAsia="Times New Roman" w:hAnsi="Times New Roman" w:cs="Times New Roman"/>
          <w:color w:val="222222"/>
          <w:kern w:val="0"/>
          <w:shd w:val="clear" w:color="auto" w:fill="FFFFFF"/>
          <w:lang w:eastAsia="fr-FR"/>
          <w14:ligatures w14:val="none"/>
        </w:rPr>
        <w:t xml:space="preserve">, que j’ai </w:t>
      </w:r>
      <w:r w:rsidR="00C701C2">
        <w:rPr>
          <w:rFonts w:ascii="Times New Roman" w:eastAsia="Times New Roman" w:hAnsi="Times New Roman" w:cs="Times New Roman"/>
          <w:color w:val="222222"/>
          <w:kern w:val="0"/>
          <w:shd w:val="clear" w:color="auto" w:fill="FFFFFF"/>
          <w:lang w:eastAsia="fr-FR"/>
          <w14:ligatures w14:val="none"/>
        </w:rPr>
        <w:t>lu</w:t>
      </w:r>
      <w:r w:rsidR="0068236C">
        <w:rPr>
          <w:rFonts w:ascii="Times New Roman" w:eastAsia="Times New Roman" w:hAnsi="Times New Roman" w:cs="Times New Roman"/>
          <w:color w:val="222222"/>
          <w:kern w:val="0"/>
          <w:shd w:val="clear" w:color="auto" w:fill="FFFFFF"/>
          <w:lang w:eastAsia="fr-FR"/>
          <w14:ligatures w14:val="none"/>
        </w:rPr>
        <w:t xml:space="preserve"> juste avant </w:t>
      </w:r>
      <w:r w:rsidR="00C701C2">
        <w:rPr>
          <w:rFonts w:ascii="Times New Roman" w:eastAsia="Times New Roman" w:hAnsi="Times New Roman" w:cs="Times New Roman"/>
          <w:color w:val="222222"/>
          <w:kern w:val="0"/>
          <w:shd w:val="clear" w:color="auto" w:fill="FFFFFF"/>
          <w:lang w:eastAsia="fr-FR"/>
          <w14:ligatures w14:val="none"/>
        </w:rPr>
        <w:t>le</w:t>
      </w:r>
      <w:r w:rsidR="0068236C">
        <w:rPr>
          <w:rFonts w:ascii="Times New Roman" w:eastAsia="Times New Roman" w:hAnsi="Times New Roman" w:cs="Times New Roman"/>
          <w:color w:val="222222"/>
          <w:kern w:val="0"/>
          <w:shd w:val="clear" w:color="auto" w:fill="FFFFFF"/>
          <w:lang w:eastAsia="fr-FR"/>
          <w14:ligatures w14:val="none"/>
        </w:rPr>
        <w:t xml:space="preserve"> colloque</w:t>
      </w:r>
      <w:r w:rsidR="00C701C2">
        <w:rPr>
          <w:rFonts w:ascii="Times New Roman" w:eastAsia="Times New Roman" w:hAnsi="Times New Roman" w:cs="Times New Roman"/>
          <w:color w:val="222222"/>
          <w:kern w:val="0"/>
          <w:shd w:val="clear" w:color="auto" w:fill="FFFFFF"/>
          <w:lang w:eastAsia="fr-FR"/>
          <w14:ligatures w14:val="none"/>
        </w:rPr>
        <w:t xml:space="preserve"> à l’origine de cet ouvrage</w:t>
      </w:r>
      <w:r w:rsidR="0068236C">
        <w:rPr>
          <w:rFonts w:ascii="Times New Roman" w:eastAsia="Times New Roman" w:hAnsi="Times New Roman" w:cs="Times New Roman"/>
          <w:color w:val="222222"/>
          <w:kern w:val="0"/>
          <w:shd w:val="clear" w:color="auto" w:fill="FFFFFF"/>
          <w:lang w:eastAsia="fr-FR"/>
          <w14:ligatures w14:val="none"/>
        </w:rPr>
        <w:t xml:space="preserve"> – </w:t>
      </w:r>
      <w:r w:rsidR="00C701C2">
        <w:rPr>
          <w:rFonts w:ascii="Times New Roman" w:eastAsia="Times New Roman" w:hAnsi="Times New Roman" w:cs="Times New Roman"/>
          <w:color w:val="222222"/>
          <w:kern w:val="0"/>
          <w:shd w:val="clear" w:color="auto" w:fill="FFFFFF"/>
          <w:lang w:eastAsia="fr-FR"/>
          <w14:ligatures w14:val="none"/>
        </w:rPr>
        <w:t>et que je menais des études de lettres classiques, en licence, master, puis thèse, en me spécialisant progressivement dans les textes de l’Antiquité tardive</w:t>
      </w:r>
      <w:r w:rsidR="00C701C2">
        <w:rPr>
          <w:rStyle w:val="Appelnotedebasdep"/>
          <w:rFonts w:ascii="Times New Roman" w:eastAsia="Times New Roman" w:hAnsi="Times New Roman" w:cs="Times New Roman"/>
          <w:color w:val="222222"/>
          <w:kern w:val="0"/>
          <w:shd w:val="clear" w:color="auto" w:fill="FFFFFF"/>
          <w:lang w:eastAsia="fr-FR"/>
          <w14:ligatures w14:val="none"/>
        </w:rPr>
        <w:footnoteReference w:id="4"/>
      </w:r>
      <w:r w:rsidR="00C701C2">
        <w:rPr>
          <w:rFonts w:ascii="Times New Roman" w:eastAsia="Times New Roman" w:hAnsi="Times New Roman" w:cs="Times New Roman"/>
          <w:color w:val="222222"/>
          <w:kern w:val="0"/>
          <w:shd w:val="clear" w:color="auto" w:fill="FFFFFF"/>
          <w:lang w:eastAsia="fr-FR"/>
          <w14:ligatures w14:val="none"/>
        </w:rPr>
        <w:t xml:space="preserve"> et notamment, parmi eux, dans des textes caractérisés comme « chrétiens</w:t>
      </w:r>
      <w:r w:rsidR="00C701C2">
        <w:rPr>
          <w:rStyle w:val="Appelnotedebasdep"/>
          <w:rFonts w:ascii="Times New Roman" w:eastAsia="Times New Roman" w:hAnsi="Times New Roman" w:cs="Times New Roman"/>
          <w:color w:val="222222"/>
          <w:kern w:val="0"/>
          <w:shd w:val="clear" w:color="auto" w:fill="FFFFFF"/>
          <w:lang w:eastAsia="fr-FR"/>
          <w14:ligatures w14:val="none"/>
        </w:rPr>
        <w:footnoteReference w:id="5"/>
      </w:r>
      <w:r w:rsidR="00C701C2">
        <w:rPr>
          <w:rFonts w:ascii="Times New Roman" w:eastAsia="Times New Roman" w:hAnsi="Times New Roman" w:cs="Times New Roman"/>
          <w:color w:val="222222"/>
          <w:kern w:val="0"/>
          <w:shd w:val="clear" w:color="auto" w:fill="FFFFFF"/>
          <w:lang w:eastAsia="fr-FR"/>
          <w14:ligatures w14:val="none"/>
        </w:rPr>
        <w:t> »,</w:t>
      </w:r>
      <w:r w:rsidR="002959D7">
        <w:rPr>
          <w:rFonts w:ascii="Times New Roman" w:eastAsia="Times New Roman" w:hAnsi="Times New Roman" w:cs="Times New Roman"/>
          <w:color w:val="222222"/>
          <w:kern w:val="0"/>
          <w:shd w:val="clear" w:color="auto" w:fill="FFFFFF"/>
          <w:lang w:eastAsia="fr-FR"/>
          <w14:ligatures w14:val="none"/>
        </w:rPr>
        <w:t xml:space="preserve"> je constatais des points communs entre ces œuvres et certaines des propositions </w:t>
      </w:r>
      <w:r w:rsidR="002959D7">
        <w:rPr>
          <w:rFonts w:ascii="Times New Roman" w:eastAsia="Times New Roman" w:hAnsi="Times New Roman" w:cs="Times New Roman"/>
          <w:color w:val="222222"/>
          <w:kern w:val="0"/>
          <w:shd w:val="clear" w:color="auto" w:fill="FFFFFF"/>
          <w:lang w:eastAsia="fr-FR"/>
          <w14:ligatures w14:val="none"/>
        </w:rPr>
        <w:lastRenderedPageBreak/>
        <w:t xml:space="preserve">de Pierre Bayard, alors même que </w:t>
      </w:r>
      <w:r w:rsidR="003A2FA2">
        <w:rPr>
          <w:rFonts w:ascii="Times New Roman" w:eastAsia="Times New Roman" w:hAnsi="Times New Roman" w:cs="Times New Roman"/>
          <w:color w:val="222222"/>
          <w:kern w:val="0"/>
          <w:shd w:val="clear" w:color="auto" w:fill="FFFFFF"/>
          <w:lang w:eastAsia="fr-FR"/>
          <w14:ligatures w14:val="none"/>
        </w:rPr>
        <w:t>ces dernières</w:t>
      </w:r>
      <w:r w:rsidR="002959D7">
        <w:rPr>
          <w:rFonts w:ascii="Times New Roman" w:eastAsia="Times New Roman" w:hAnsi="Times New Roman" w:cs="Times New Roman"/>
          <w:color w:val="222222"/>
          <w:kern w:val="0"/>
          <w:shd w:val="clear" w:color="auto" w:fill="FFFFFF"/>
          <w:lang w:eastAsia="fr-FR"/>
          <w14:ligatures w14:val="none"/>
        </w:rPr>
        <w:t xml:space="preserve"> étaient souvent fondées sur des textes beaucoup plus contemporains</w:t>
      </w:r>
      <w:r w:rsidR="002959D7">
        <w:rPr>
          <w:rStyle w:val="Appelnotedebasdep"/>
          <w:rFonts w:ascii="Times New Roman" w:eastAsia="Times New Roman" w:hAnsi="Times New Roman" w:cs="Times New Roman"/>
          <w:color w:val="222222"/>
          <w:kern w:val="0"/>
          <w:shd w:val="clear" w:color="auto" w:fill="FFFFFF"/>
          <w:lang w:eastAsia="fr-FR"/>
          <w14:ligatures w14:val="none"/>
        </w:rPr>
        <w:footnoteReference w:id="6"/>
      </w:r>
      <w:r w:rsidR="002959D7">
        <w:rPr>
          <w:rFonts w:ascii="Times New Roman" w:eastAsia="Times New Roman" w:hAnsi="Times New Roman" w:cs="Times New Roman"/>
          <w:color w:val="222222"/>
          <w:kern w:val="0"/>
          <w:shd w:val="clear" w:color="auto" w:fill="FFFFFF"/>
          <w:lang w:eastAsia="fr-FR"/>
          <w14:ligatures w14:val="none"/>
        </w:rPr>
        <w:t>.</w:t>
      </w:r>
      <w:r w:rsidR="003A2FA2">
        <w:rPr>
          <w:rFonts w:ascii="Times New Roman" w:eastAsia="Times New Roman" w:hAnsi="Times New Roman" w:cs="Times New Roman"/>
          <w:color w:val="222222"/>
          <w:kern w:val="0"/>
          <w:shd w:val="clear" w:color="auto" w:fill="FFFFFF"/>
          <w:lang w:eastAsia="fr-FR"/>
          <w14:ligatures w14:val="none"/>
        </w:rPr>
        <w:t xml:space="preserve"> L’identification de ces points communs était peut-être due, de ma part, à la volonté que des thèses aussi stimulantes </w:t>
      </w:r>
      <w:r w:rsidR="00FE25B4">
        <w:rPr>
          <w:rFonts w:ascii="Times New Roman" w:eastAsia="Times New Roman" w:hAnsi="Times New Roman" w:cs="Times New Roman"/>
          <w:color w:val="222222"/>
          <w:kern w:val="0"/>
          <w:shd w:val="clear" w:color="auto" w:fill="FFFFFF"/>
          <w:lang w:eastAsia="fr-FR"/>
          <w14:ligatures w14:val="none"/>
        </w:rPr>
        <w:t>et audacieuses puissent s’appliquer aussi aux textes que, par hasards de vie autant que par passion, je me retrouvais à étudier. Ils se sont néanmoins avérés trop nombreux et trop précis pour être seulement le fait d’une complexion personnelle. Étant admis que le plagiat peut, on le sait désormais, s’exercer par anticipation</w:t>
      </w:r>
      <w:r w:rsidR="00FE25B4">
        <w:rPr>
          <w:rStyle w:val="Appelnotedebasdep"/>
          <w:rFonts w:ascii="Times New Roman" w:eastAsia="Times New Roman" w:hAnsi="Times New Roman" w:cs="Times New Roman"/>
          <w:color w:val="222222"/>
          <w:kern w:val="0"/>
          <w:shd w:val="clear" w:color="auto" w:fill="FFFFFF"/>
          <w:lang w:eastAsia="fr-FR"/>
          <w14:ligatures w14:val="none"/>
        </w:rPr>
        <w:footnoteReference w:id="7"/>
      </w:r>
      <w:r w:rsidR="00FE25B4">
        <w:rPr>
          <w:rFonts w:ascii="Times New Roman" w:eastAsia="Times New Roman" w:hAnsi="Times New Roman" w:cs="Times New Roman"/>
          <w:color w:val="222222"/>
          <w:kern w:val="0"/>
          <w:shd w:val="clear" w:color="auto" w:fill="FFFFFF"/>
          <w:lang w:eastAsia="fr-FR"/>
          <w14:ligatures w14:val="none"/>
        </w:rPr>
        <w:t xml:space="preserve">, </w:t>
      </w:r>
      <w:r w:rsidR="003A2FA2">
        <w:rPr>
          <w:rFonts w:ascii="Times New Roman" w:eastAsia="Times New Roman" w:hAnsi="Times New Roman" w:cs="Times New Roman"/>
          <w:color w:val="222222"/>
          <w:kern w:val="0"/>
          <w:shd w:val="clear" w:color="auto" w:fill="FFFFFF"/>
          <w:lang w:eastAsia="fr-FR"/>
          <w14:ligatures w14:val="none"/>
        </w:rPr>
        <w:t xml:space="preserve">j’ai fini par faire l’hypothèse, </w:t>
      </w:r>
      <w:r w:rsidR="00F62711">
        <w:rPr>
          <w:rFonts w:ascii="Times New Roman" w:eastAsia="Times New Roman" w:hAnsi="Times New Roman" w:cs="Times New Roman"/>
          <w:color w:val="222222"/>
          <w:kern w:val="0"/>
          <w:shd w:val="clear" w:color="auto" w:fill="FFFFFF"/>
          <w:lang w:eastAsia="fr-FR"/>
          <w14:ligatures w14:val="none"/>
        </w:rPr>
        <w:t xml:space="preserve">que les auteurs et autrices de l’Antiquité tardive </w:t>
      </w:r>
      <w:r w:rsidR="00FD2D5F">
        <w:rPr>
          <w:rFonts w:ascii="Times New Roman" w:eastAsia="Times New Roman" w:hAnsi="Times New Roman" w:cs="Times New Roman"/>
          <w:color w:val="222222"/>
          <w:kern w:val="0"/>
          <w:shd w:val="clear" w:color="auto" w:fill="FFFFFF"/>
          <w:lang w:eastAsia="fr-FR"/>
          <w14:ligatures w14:val="none"/>
        </w:rPr>
        <w:t>ont connu les écrits de Pierre Bayard et les ont plagiés par avance en mettant en œuvre</w:t>
      </w:r>
      <w:r w:rsidR="00FE25B4">
        <w:rPr>
          <w:rFonts w:ascii="Times New Roman" w:eastAsia="Times New Roman" w:hAnsi="Times New Roman" w:cs="Times New Roman"/>
          <w:color w:val="222222"/>
          <w:kern w:val="0"/>
          <w:shd w:val="clear" w:color="auto" w:fill="FFFFFF"/>
          <w:lang w:eastAsia="fr-FR"/>
          <w14:ligatures w14:val="none"/>
        </w:rPr>
        <w:t>, dans leurs textes,</w:t>
      </w:r>
      <w:r w:rsidR="00FD2D5F">
        <w:rPr>
          <w:rFonts w:ascii="Times New Roman" w:eastAsia="Times New Roman" w:hAnsi="Times New Roman" w:cs="Times New Roman"/>
          <w:color w:val="222222"/>
          <w:kern w:val="0"/>
          <w:shd w:val="clear" w:color="auto" w:fill="FFFFFF"/>
          <w:lang w:eastAsia="fr-FR"/>
          <w14:ligatures w14:val="none"/>
        </w:rPr>
        <w:t xml:space="preserve"> plusieurs ses propositions</w:t>
      </w:r>
      <w:r w:rsidR="00FE25B4">
        <w:rPr>
          <w:rFonts w:ascii="Times New Roman" w:eastAsia="Times New Roman" w:hAnsi="Times New Roman" w:cs="Times New Roman"/>
          <w:color w:val="222222"/>
          <w:kern w:val="0"/>
          <w:shd w:val="clear" w:color="auto" w:fill="FFFFFF"/>
          <w:lang w:eastAsia="fr-FR"/>
          <w14:ligatures w14:val="none"/>
        </w:rPr>
        <w:t>. C’est cette hypothèse que je m’efforcerai de présenter dans cet article, en procédant en trois temps.</w:t>
      </w:r>
    </w:p>
    <w:p w14:paraId="3A0827BF" w14:textId="77777777" w:rsidR="00451E47" w:rsidRDefault="00451E47"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Après avoir montré la validité de plusieurs </w:t>
      </w:r>
      <w:r w:rsidR="00FE25B4">
        <w:rPr>
          <w:rFonts w:ascii="Times New Roman" w:eastAsia="Times New Roman" w:hAnsi="Times New Roman" w:cs="Times New Roman"/>
          <w:color w:val="222222"/>
          <w:kern w:val="0"/>
          <w:shd w:val="clear" w:color="auto" w:fill="FFFFFF"/>
          <w:lang w:eastAsia="fr-FR"/>
          <w14:ligatures w14:val="none"/>
        </w:rPr>
        <w:t xml:space="preserve">propositions isolées </w:t>
      </w:r>
      <w:r>
        <w:rPr>
          <w:rFonts w:ascii="Times New Roman" w:eastAsia="Times New Roman" w:hAnsi="Times New Roman" w:cs="Times New Roman"/>
          <w:color w:val="222222"/>
          <w:kern w:val="0"/>
          <w:shd w:val="clear" w:color="auto" w:fill="FFFFFF"/>
          <w:lang w:eastAsia="fr-FR"/>
          <w14:ligatures w14:val="none"/>
        </w:rPr>
        <w:t xml:space="preserve">de Pierre Bayard pour l’étude des textes de l’Antiquité tardive, je proposerai deux autres approches, inspirées des méthodes et théories du chercheur et qui pourraient être mises en œuvre pour </w:t>
      </w:r>
      <w:r w:rsidR="00FE25B4">
        <w:rPr>
          <w:rFonts w:ascii="Times New Roman" w:eastAsia="Times New Roman" w:hAnsi="Times New Roman" w:cs="Times New Roman"/>
          <w:color w:val="222222"/>
          <w:kern w:val="0"/>
          <w:shd w:val="clear" w:color="auto" w:fill="FFFFFF"/>
          <w:lang w:eastAsia="fr-FR"/>
          <w14:ligatures w14:val="none"/>
        </w:rPr>
        <w:t>le corpus tardo-antique</w:t>
      </w:r>
      <w:r>
        <w:rPr>
          <w:rFonts w:ascii="Times New Roman" w:eastAsia="Times New Roman" w:hAnsi="Times New Roman" w:cs="Times New Roman"/>
          <w:color w:val="222222"/>
          <w:kern w:val="0"/>
          <w:shd w:val="clear" w:color="auto" w:fill="FFFFFF"/>
          <w:lang w:eastAsia="fr-FR"/>
          <w14:ligatures w14:val="none"/>
        </w:rPr>
        <w:t xml:space="preserve"> mais aussi pour des textes écrits ultérieurement</w:t>
      </w:r>
      <w:r w:rsidR="00FE25B4">
        <w:rPr>
          <w:rFonts w:ascii="Times New Roman" w:eastAsia="Times New Roman" w:hAnsi="Times New Roman" w:cs="Times New Roman"/>
          <w:color w:val="222222"/>
          <w:kern w:val="0"/>
          <w:shd w:val="clear" w:color="auto" w:fill="FFFFFF"/>
          <w:lang w:eastAsia="fr-FR"/>
          <w14:ligatures w14:val="none"/>
        </w:rPr>
        <w:t xml:space="preserve"> – c’est ainsi la méthode générale de Pierre Bayard, y compris dans ses prolongements possibles, qui apparaîtra comme valable y compris dans l’Antiquité tardive</w:t>
      </w:r>
      <w:r>
        <w:rPr>
          <w:rFonts w:ascii="Times New Roman" w:eastAsia="Times New Roman" w:hAnsi="Times New Roman" w:cs="Times New Roman"/>
          <w:color w:val="222222"/>
          <w:kern w:val="0"/>
          <w:shd w:val="clear" w:color="auto" w:fill="FFFFFF"/>
          <w:lang w:eastAsia="fr-FR"/>
          <w14:ligatures w14:val="none"/>
        </w:rPr>
        <w:t>. Enfin, je montrerai que le choix d’utiliser les approches de Pierre Bayard pour étudier les textes de l’Antiquité tardive s’appuie sur un présupposé</w:t>
      </w:r>
      <w:r w:rsidR="00A95153">
        <w:rPr>
          <w:rFonts w:ascii="Times New Roman" w:eastAsia="Times New Roman" w:hAnsi="Times New Roman" w:cs="Times New Roman"/>
          <w:color w:val="222222"/>
          <w:kern w:val="0"/>
          <w:shd w:val="clear" w:color="auto" w:fill="FFFFFF"/>
          <w:lang w:eastAsia="fr-FR"/>
          <w14:ligatures w14:val="none"/>
        </w:rPr>
        <w:t xml:space="preserve">, qui est sans doute </w:t>
      </w:r>
      <w:r w:rsidR="00A95153">
        <w:rPr>
          <w:rFonts w:ascii="Times New Roman" w:eastAsia="Times New Roman" w:hAnsi="Times New Roman" w:cs="Times New Roman"/>
          <w:color w:val="222222"/>
          <w:kern w:val="0"/>
          <w:shd w:val="clear" w:color="auto" w:fill="FFFFFF"/>
          <w:lang w:eastAsia="fr-FR"/>
          <w14:ligatures w14:val="none"/>
        </w:rPr>
        <w:lastRenderedPageBreak/>
        <w:t xml:space="preserve">sous-jacent aussi </w:t>
      </w:r>
      <w:r w:rsidR="00FE25B4">
        <w:rPr>
          <w:rFonts w:ascii="Times New Roman" w:eastAsia="Times New Roman" w:hAnsi="Times New Roman" w:cs="Times New Roman"/>
          <w:color w:val="222222"/>
          <w:kern w:val="0"/>
          <w:shd w:val="clear" w:color="auto" w:fill="FFFFFF"/>
          <w:lang w:eastAsia="fr-FR"/>
          <w14:ligatures w14:val="none"/>
        </w:rPr>
        <w:t>à l’ensemble des</w:t>
      </w:r>
      <w:r w:rsidR="00A95153">
        <w:rPr>
          <w:rFonts w:ascii="Times New Roman" w:eastAsia="Times New Roman" w:hAnsi="Times New Roman" w:cs="Times New Roman"/>
          <w:color w:val="222222"/>
          <w:kern w:val="0"/>
          <w:shd w:val="clear" w:color="auto" w:fill="FFFFFF"/>
          <w:lang w:eastAsia="fr-FR"/>
          <w14:ligatures w14:val="none"/>
        </w:rPr>
        <w:t xml:space="preserve"> thèses de Pierre Bayard</w:t>
      </w:r>
      <w:r w:rsidR="00FE25B4">
        <w:rPr>
          <w:rFonts w:ascii="Times New Roman" w:eastAsia="Times New Roman" w:hAnsi="Times New Roman" w:cs="Times New Roman"/>
          <w:color w:val="222222"/>
          <w:kern w:val="0"/>
          <w:shd w:val="clear" w:color="auto" w:fill="FFFFFF"/>
          <w:lang w:eastAsia="fr-FR"/>
          <w14:ligatures w14:val="none"/>
        </w:rPr>
        <w:t xml:space="preserve"> </w:t>
      </w:r>
      <w:r w:rsidR="00A95153">
        <w:rPr>
          <w:rFonts w:ascii="Times New Roman" w:eastAsia="Times New Roman" w:hAnsi="Times New Roman" w:cs="Times New Roman"/>
          <w:color w:val="222222"/>
          <w:kern w:val="0"/>
          <w:shd w:val="clear" w:color="auto" w:fill="FFFFFF"/>
          <w:lang w:eastAsia="fr-FR"/>
          <w14:ligatures w14:val="none"/>
        </w:rPr>
        <w:t xml:space="preserve">: celui que tout texte est universel ; </w:t>
      </w:r>
      <w:r w:rsidR="00FE25B4">
        <w:rPr>
          <w:rFonts w:ascii="Times New Roman" w:eastAsia="Times New Roman" w:hAnsi="Times New Roman" w:cs="Times New Roman"/>
          <w:color w:val="222222"/>
          <w:kern w:val="0"/>
          <w:shd w:val="clear" w:color="auto" w:fill="FFFFFF"/>
          <w:lang w:eastAsia="fr-FR"/>
          <w14:ligatures w14:val="none"/>
        </w:rPr>
        <w:t>que tout texte</w:t>
      </w:r>
      <w:r w:rsidR="00A95153">
        <w:rPr>
          <w:rFonts w:ascii="Times New Roman" w:eastAsia="Times New Roman" w:hAnsi="Times New Roman" w:cs="Times New Roman"/>
          <w:color w:val="222222"/>
          <w:kern w:val="0"/>
          <w:shd w:val="clear" w:color="auto" w:fill="FFFFFF"/>
          <w:lang w:eastAsia="fr-FR"/>
          <w14:ligatures w14:val="none"/>
        </w:rPr>
        <w:t xml:space="preserve"> peut être reçu à toute époque et par-delà les limites entre nations ou cultures</w:t>
      </w:r>
      <w:r w:rsidR="00FE25B4">
        <w:rPr>
          <w:rFonts w:ascii="Times New Roman" w:eastAsia="Times New Roman" w:hAnsi="Times New Roman" w:cs="Times New Roman"/>
          <w:color w:val="222222"/>
          <w:kern w:val="0"/>
          <w:shd w:val="clear" w:color="auto" w:fill="FFFFFF"/>
          <w:lang w:eastAsia="fr-FR"/>
          <w14:ligatures w14:val="none"/>
        </w:rPr>
        <w:t>.</w:t>
      </w:r>
    </w:p>
    <w:p w14:paraId="65E99D08" w14:textId="77777777" w:rsidR="00A95153" w:rsidRDefault="00A9515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4E3A2328" w14:textId="77777777" w:rsidR="00A95153" w:rsidRDefault="00A9515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1. </w:t>
      </w:r>
      <w:r w:rsidRPr="00A95153">
        <w:rPr>
          <w:rFonts w:ascii="Times New Roman" w:eastAsia="Times New Roman" w:hAnsi="Times New Roman" w:cs="Times New Roman"/>
          <w:color w:val="222222"/>
          <w:kern w:val="0"/>
          <w:shd w:val="clear" w:color="auto" w:fill="FFFFFF"/>
          <w:lang w:eastAsia="fr-FR"/>
          <w14:ligatures w14:val="none"/>
        </w:rPr>
        <w:t>De la validité de quelques approches de Pierre Bayard pour l’étude des textes de l’Antiquité tardive</w:t>
      </w:r>
    </w:p>
    <w:p w14:paraId="27639AE9" w14:textId="77777777" w:rsidR="00A95153" w:rsidRDefault="00A9515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333AAD45" w14:textId="77777777" w:rsidR="00A95153" w:rsidRPr="00A95153"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A95153">
        <w:rPr>
          <w:rFonts w:ascii="Times New Roman" w:eastAsia="Times New Roman" w:hAnsi="Times New Roman" w:cs="Times New Roman"/>
          <w:i/>
          <w:iCs/>
          <w:color w:val="222222"/>
          <w:kern w:val="0"/>
          <w:shd w:val="clear" w:color="auto" w:fill="FFFFFF"/>
          <w:lang w:eastAsia="fr-FR"/>
          <w14:ligatures w14:val="none"/>
        </w:rPr>
        <w:t>Où certains apocryphes sont canonisés, où certains textes sont démembrés et où on rencontre la secte des Noréanistes</w:t>
      </w:r>
    </w:p>
    <w:p w14:paraId="6D15F4A0" w14:textId="77777777" w:rsidR="00A95153" w:rsidRDefault="00A9515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7E567FAE" w14:textId="77777777" w:rsidR="00A95153" w:rsidRPr="00A95153"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A95153">
        <w:rPr>
          <w:rFonts w:ascii="Times New Roman" w:eastAsia="Times New Roman" w:hAnsi="Times New Roman" w:cs="Times New Roman"/>
          <w:color w:val="222222"/>
          <w:kern w:val="0"/>
          <w:shd w:val="clear" w:color="auto" w:fill="FFFFFF"/>
          <w:lang w:eastAsia="fr-FR"/>
          <w14:ligatures w14:val="none"/>
        </w:rPr>
        <w:t>« Je déchirai ma quatrième lettre pour mieux me déchirer moi-même, en sacrifice de componction</w:t>
      </w:r>
      <w:r>
        <w:rPr>
          <w:rStyle w:val="Appelnotedebasdep"/>
          <w:rFonts w:ascii="Times New Roman" w:eastAsia="Times New Roman" w:hAnsi="Times New Roman" w:cs="Times New Roman"/>
          <w:color w:val="222222"/>
          <w:kern w:val="0"/>
          <w:shd w:val="clear" w:color="auto" w:fill="FFFFFF"/>
          <w:lang w:eastAsia="fr-FR"/>
          <w14:ligatures w14:val="none"/>
        </w:rPr>
        <w:footnoteReference w:id="8"/>
      </w:r>
      <w:r w:rsidRPr="00A95153">
        <w:rPr>
          <w:rFonts w:ascii="Times New Roman" w:eastAsia="Times New Roman" w:hAnsi="Times New Roman" w:cs="Times New Roman"/>
          <w:color w:val="222222"/>
          <w:kern w:val="0"/>
          <w:shd w:val="clear" w:color="auto" w:fill="FFFFFF"/>
          <w:lang w:eastAsia="fr-FR"/>
          <w14:ligatures w14:val="none"/>
        </w:rPr>
        <w:t>. »</w:t>
      </w:r>
    </w:p>
    <w:p w14:paraId="576D2315" w14:textId="77777777" w:rsidR="00A95153" w:rsidRDefault="00A95153" w:rsidP="00FE25B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A95153">
        <w:rPr>
          <w:rFonts w:ascii="Times New Roman" w:eastAsia="Times New Roman" w:hAnsi="Times New Roman" w:cs="Times New Roman"/>
          <w:color w:val="222222"/>
          <w:kern w:val="0"/>
          <w:shd w:val="clear" w:color="auto" w:fill="FFFFFF"/>
          <w:lang w:eastAsia="fr-FR"/>
          <w14:ligatures w14:val="none"/>
        </w:rPr>
        <w:t>(</w:t>
      </w:r>
      <w:r w:rsidRPr="00A95153">
        <w:rPr>
          <w:rFonts w:ascii="Times New Roman" w:eastAsia="Times New Roman" w:hAnsi="Times New Roman" w:cs="Times New Roman"/>
          <w:i/>
          <w:iCs/>
          <w:color w:val="222222"/>
          <w:kern w:val="0"/>
          <w:shd w:val="clear" w:color="auto" w:fill="FFFFFF"/>
          <w:lang w:eastAsia="fr-FR"/>
          <w14:ligatures w14:val="none"/>
        </w:rPr>
        <w:t>Cinquième lettre de Saint Paul apôtre aux Thessaloniciens</w:t>
      </w:r>
      <w:r w:rsidRPr="00A95153">
        <w:rPr>
          <w:rFonts w:ascii="Times New Roman" w:eastAsia="Times New Roman" w:hAnsi="Times New Roman" w:cs="Times New Roman"/>
          <w:color w:val="222222"/>
          <w:kern w:val="0"/>
          <w:shd w:val="clear" w:color="auto" w:fill="FFFFFF"/>
          <w:lang w:eastAsia="fr-FR"/>
          <w14:ligatures w14:val="none"/>
        </w:rPr>
        <w:t>)</w:t>
      </w:r>
    </w:p>
    <w:p w14:paraId="10E7B3A0" w14:textId="77777777" w:rsidR="00A95153"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23E2B02F" w14:textId="77777777" w:rsidR="00A95153"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a. Les livres comme entités mobiles</w:t>
      </w:r>
      <w:r w:rsidR="000150FC">
        <w:rPr>
          <w:rFonts w:ascii="Times New Roman" w:eastAsia="Times New Roman" w:hAnsi="Times New Roman" w:cs="Times New Roman"/>
          <w:color w:val="222222"/>
          <w:kern w:val="0"/>
          <w:shd w:val="clear" w:color="auto" w:fill="FFFFFF"/>
          <w:lang w:eastAsia="fr-FR"/>
          <w14:ligatures w14:val="none"/>
        </w:rPr>
        <w:t xml:space="preserve"> pour des lecteur·rice·s mobiles</w:t>
      </w:r>
    </w:p>
    <w:p w14:paraId="4A8DB13F" w14:textId="77777777" w:rsidR="00A95153"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38D5A43D" w14:textId="77777777" w:rsidR="00CE3E51" w:rsidRDefault="00A95153"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Dans </w:t>
      </w:r>
      <w:r>
        <w:rPr>
          <w:rFonts w:ascii="Times New Roman" w:eastAsia="Times New Roman" w:hAnsi="Times New Roman" w:cs="Times New Roman"/>
          <w:i/>
          <w:iCs/>
          <w:color w:val="222222"/>
          <w:kern w:val="0"/>
          <w:shd w:val="clear" w:color="auto" w:fill="FFFFFF"/>
          <w:lang w:eastAsia="fr-FR"/>
          <w14:ligatures w14:val="none"/>
        </w:rPr>
        <w:t>Comment parler des livres que l’on n’a pas lus ?</w:t>
      </w:r>
      <w:r>
        <w:rPr>
          <w:rFonts w:ascii="Times New Roman" w:eastAsia="Times New Roman" w:hAnsi="Times New Roman" w:cs="Times New Roman"/>
          <w:color w:val="222222"/>
          <w:kern w:val="0"/>
          <w:shd w:val="clear" w:color="auto" w:fill="FFFFFF"/>
          <w:lang w:eastAsia="fr-FR"/>
          <w14:ligatures w14:val="none"/>
        </w:rPr>
        <w:t xml:space="preserve"> notamment, Pierre Bayard défend une conception des livres comme des objets non pas fixes mais susceptibles de transformations</w:t>
      </w:r>
      <w:r>
        <w:rPr>
          <w:rStyle w:val="Appelnotedebasdep"/>
          <w:rFonts w:ascii="Times New Roman" w:eastAsia="Times New Roman" w:hAnsi="Times New Roman" w:cs="Times New Roman"/>
          <w:color w:val="222222"/>
          <w:kern w:val="0"/>
          <w:shd w:val="clear" w:color="auto" w:fill="FFFFFF"/>
          <w:lang w:eastAsia="fr-FR"/>
          <w14:ligatures w14:val="none"/>
        </w:rPr>
        <w:footnoteReference w:id="9"/>
      </w:r>
      <w:r>
        <w:rPr>
          <w:rFonts w:ascii="Times New Roman" w:eastAsia="Times New Roman" w:hAnsi="Times New Roman" w:cs="Times New Roman"/>
          <w:color w:val="222222"/>
          <w:kern w:val="0"/>
          <w:shd w:val="clear" w:color="auto" w:fill="FFFFFF"/>
          <w:lang w:eastAsia="fr-FR"/>
          <w14:ligatures w14:val="none"/>
        </w:rPr>
        <w:t>.</w:t>
      </w:r>
      <w:r w:rsidR="00C44668">
        <w:rPr>
          <w:rFonts w:ascii="Times New Roman" w:eastAsia="Times New Roman" w:hAnsi="Times New Roman" w:cs="Times New Roman"/>
          <w:color w:val="222222"/>
          <w:kern w:val="0"/>
          <w:shd w:val="clear" w:color="auto" w:fill="FFFFFF"/>
          <w:lang w:eastAsia="fr-FR"/>
          <w14:ligatures w14:val="none"/>
        </w:rPr>
        <w:t xml:space="preserve"> Or, </w:t>
      </w:r>
      <w:r w:rsidR="00AE67EF">
        <w:rPr>
          <w:rFonts w:ascii="Times New Roman" w:eastAsia="Times New Roman" w:hAnsi="Times New Roman" w:cs="Times New Roman"/>
          <w:color w:val="222222"/>
          <w:kern w:val="0"/>
          <w:shd w:val="clear" w:color="auto" w:fill="FFFFFF"/>
          <w:lang w:eastAsia="fr-FR"/>
          <w14:ligatures w14:val="none"/>
        </w:rPr>
        <w:t>la plupart des textes de l’Antiquité en général et de l’Antiquité tardive en particulier existent comme des entités mobiles dans la mesure où ils nous sont connus par des témoins manuscrits qui ne transmettent jamais exactement le même texte. Même quand une œuvre donnée est connue par seulement deux témoins, il peut exister entre eux de légères divergences</w:t>
      </w:r>
      <w:r w:rsidR="00AE67EF">
        <w:rPr>
          <w:rStyle w:val="Appelnotedebasdep"/>
          <w:rFonts w:ascii="Times New Roman" w:eastAsia="Times New Roman" w:hAnsi="Times New Roman" w:cs="Times New Roman"/>
          <w:color w:val="222222"/>
          <w:kern w:val="0"/>
          <w:shd w:val="clear" w:color="auto" w:fill="FFFFFF"/>
          <w:lang w:eastAsia="fr-FR"/>
          <w14:ligatures w14:val="none"/>
        </w:rPr>
        <w:footnoteReference w:id="10"/>
      </w:r>
      <w:r w:rsidR="00AE67EF">
        <w:rPr>
          <w:rFonts w:ascii="Times New Roman" w:eastAsia="Times New Roman" w:hAnsi="Times New Roman" w:cs="Times New Roman"/>
          <w:color w:val="222222"/>
          <w:kern w:val="0"/>
          <w:shd w:val="clear" w:color="auto" w:fill="FFFFFF"/>
          <w:lang w:eastAsia="fr-FR"/>
          <w14:ligatures w14:val="none"/>
        </w:rPr>
        <w:t>.</w:t>
      </w:r>
      <w:r w:rsidR="00A01CB7">
        <w:rPr>
          <w:rFonts w:ascii="Times New Roman" w:eastAsia="Times New Roman" w:hAnsi="Times New Roman" w:cs="Times New Roman"/>
          <w:color w:val="222222"/>
          <w:kern w:val="0"/>
          <w:shd w:val="clear" w:color="auto" w:fill="FFFFFF"/>
          <w:lang w:eastAsia="fr-FR"/>
          <w14:ligatures w14:val="none"/>
        </w:rPr>
        <w:t xml:space="preserve"> Un exemple particulièrement complexe est constitué par l’</w:t>
      </w:r>
      <w:r w:rsidR="00A01CB7">
        <w:rPr>
          <w:rFonts w:ascii="Times New Roman" w:eastAsia="Times New Roman" w:hAnsi="Times New Roman" w:cs="Times New Roman"/>
          <w:i/>
          <w:iCs/>
          <w:color w:val="222222"/>
          <w:kern w:val="0"/>
          <w:shd w:val="clear" w:color="auto" w:fill="FFFFFF"/>
          <w:lang w:eastAsia="fr-FR"/>
          <w14:ligatures w14:val="none"/>
        </w:rPr>
        <w:t>Évangile selon Marc</w:t>
      </w:r>
      <w:r w:rsidR="00A01CB7">
        <w:rPr>
          <w:rFonts w:ascii="Times New Roman" w:eastAsia="Times New Roman" w:hAnsi="Times New Roman" w:cs="Times New Roman"/>
          <w:color w:val="222222"/>
          <w:kern w:val="0"/>
          <w:shd w:val="clear" w:color="auto" w:fill="FFFFFF"/>
          <w:lang w:eastAsia="fr-FR"/>
          <w14:ligatures w14:val="none"/>
        </w:rPr>
        <w:t xml:space="preserve">, qui, selon les manuscrits considérés, </w:t>
      </w:r>
      <w:r w:rsidR="00FE1635">
        <w:rPr>
          <w:rFonts w:ascii="Times New Roman" w:eastAsia="Times New Roman" w:hAnsi="Times New Roman" w:cs="Times New Roman"/>
          <w:color w:val="222222"/>
          <w:kern w:val="0"/>
          <w:shd w:val="clear" w:color="auto" w:fill="FFFFFF"/>
          <w:lang w:eastAsia="fr-FR"/>
          <w14:ligatures w14:val="none"/>
        </w:rPr>
        <w:t xml:space="preserve">ne </w:t>
      </w:r>
      <w:r w:rsidR="00A01CB7">
        <w:rPr>
          <w:rFonts w:ascii="Times New Roman" w:eastAsia="Times New Roman" w:hAnsi="Times New Roman" w:cs="Times New Roman"/>
          <w:color w:val="222222"/>
          <w:kern w:val="0"/>
          <w:shd w:val="clear" w:color="auto" w:fill="FFFFFF"/>
          <w:lang w:eastAsia="fr-FR"/>
          <w14:ligatures w14:val="none"/>
        </w:rPr>
        <w:t>présente pas moins de six fins différentes</w:t>
      </w:r>
      <w:r w:rsidR="00FE1635">
        <w:rPr>
          <w:rFonts w:ascii="Times New Roman" w:eastAsia="Times New Roman" w:hAnsi="Times New Roman" w:cs="Times New Roman"/>
          <w:color w:val="222222"/>
          <w:kern w:val="0"/>
          <w:shd w:val="clear" w:color="auto" w:fill="FFFFFF"/>
          <w:lang w:eastAsia="fr-FR"/>
          <w14:ligatures w14:val="none"/>
        </w:rPr>
        <w:t xml:space="preserve"> – ces différences étant majeures puisque certaines de ces versions comportent une apparition de Jésus ressuscité alors que d’autres s’achèvent avec une visite au tombeau vide, sans que </w:t>
      </w:r>
      <w:r w:rsidR="00CB5470">
        <w:rPr>
          <w:rFonts w:ascii="Times New Roman" w:eastAsia="Times New Roman" w:hAnsi="Times New Roman" w:cs="Times New Roman"/>
          <w:color w:val="222222"/>
          <w:kern w:val="0"/>
          <w:shd w:val="clear" w:color="auto" w:fill="FFFFFF"/>
          <w:lang w:eastAsia="fr-FR"/>
          <w14:ligatures w14:val="none"/>
        </w:rPr>
        <w:t xml:space="preserve">Jésus n’apparaisse après sa </w:t>
      </w:r>
      <w:r w:rsidR="00CB5470">
        <w:rPr>
          <w:rFonts w:ascii="Times New Roman" w:eastAsia="Times New Roman" w:hAnsi="Times New Roman" w:cs="Times New Roman"/>
          <w:color w:val="222222"/>
          <w:kern w:val="0"/>
          <w:shd w:val="clear" w:color="auto" w:fill="FFFFFF"/>
          <w:lang w:eastAsia="fr-FR"/>
          <w14:ligatures w14:val="none"/>
        </w:rPr>
        <w:lastRenderedPageBreak/>
        <w:t>mort sur la croix</w:t>
      </w:r>
      <w:r w:rsidR="00CE3E51">
        <w:rPr>
          <w:rStyle w:val="Appelnotedebasdep"/>
          <w:rFonts w:ascii="Times New Roman" w:eastAsia="Times New Roman" w:hAnsi="Times New Roman" w:cs="Times New Roman"/>
          <w:color w:val="222222"/>
          <w:kern w:val="0"/>
          <w:shd w:val="clear" w:color="auto" w:fill="FFFFFF"/>
          <w:lang w:eastAsia="fr-FR"/>
          <w14:ligatures w14:val="none"/>
        </w:rPr>
        <w:footnoteReference w:id="11"/>
      </w:r>
      <w:r w:rsidR="00CB5470">
        <w:rPr>
          <w:rFonts w:ascii="Times New Roman" w:eastAsia="Times New Roman" w:hAnsi="Times New Roman" w:cs="Times New Roman"/>
          <w:color w:val="222222"/>
          <w:kern w:val="0"/>
          <w:shd w:val="clear" w:color="auto" w:fill="FFFFFF"/>
          <w:lang w:eastAsia="fr-FR"/>
          <w14:ligatures w14:val="none"/>
        </w:rPr>
        <w:t>.</w:t>
      </w:r>
      <w:r w:rsidR="00FE1635">
        <w:rPr>
          <w:rFonts w:ascii="Times New Roman" w:eastAsia="Times New Roman" w:hAnsi="Times New Roman" w:cs="Times New Roman"/>
          <w:color w:val="222222"/>
          <w:kern w:val="0"/>
          <w:shd w:val="clear" w:color="auto" w:fill="FFFFFF"/>
          <w:lang w:eastAsia="fr-FR"/>
          <w14:ligatures w14:val="none"/>
        </w:rPr>
        <w:t xml:space="preserve"> </w:t>
      </w:r>
      <w:r w:rsidR="00CE3E51">
        <w:rPr>
          <w:rFonts w:ascii="Times New Roman" w:eastAsia="Times New Roman" w:hAnsi="Times New Roman" w:cs="Times New Roman"/>
          <w:color w:val="222222"/>
          <w:kern w:val="0"/>
          <w:shd w:val="clear" w:color="auto" w:fill="FFFFFF"/>
          <w:lang w:eastAsia="fr-FR"/>
          <w14:ligatures w14:val="none"/>
        </w:rPr>
        <w:t>L’</w:t>
      </w:r>
      <w:r w:rsidR="00CE3E51">
        <w:rPr>
          <w:rFonts w:ascii="Times New Roman" w:eastAsia="Times New Roman" w:hAnsi="Times New Roman" w:cs="Times New Roman"/>
          <w:i/>
          <w:iCs/>
          <w:color w:val="222222"/>
          <w:kern w:val="0"/>
          <w:shd w:val="clear" w:color="auto" w:fill="FFFFFF"/>
          <w:lang w:eastAsia="fr-FR"/>
          <w14:ligatures w14:val="none"/>
        </w:rPr>
        <w:t>Évangile selon Marc</w:t>
      </w:r>
      <w:r w:rsidR="00CE3E51">
        <w:rPr>
          <w:rFonts w:ascii="Times New Roman" w:eastAsia="Times New Roman" w:hAnsi="Times New Roman" w:cs="Times New Roman"/>
          <w:color w:val="222222"/>
          <w:kern w:val="0"/>
          <w:shd w:val="clear" w:color="auto" w:fill="FFFFFF"/>
          <w:lang w:eastAsia="fr-FR"/>
          <w14:ligatures w14:val="none"/>
        </w:rPr>
        <w:t xml:space="preserve"> n’existe pas ainsi comme un objet fixe mais comme une entité dynamique, oscillant entre six formes distinctes. </w:t>
      </w:r>
    </w:p>
    <w:p w14:paraId="770A96A4" w14:textId="77777777" w:rsidR="00A95153" w:rsidRDefault="00CE3E51"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Mobiles de fait, les textes de l’Antiquité tardive peuvent aussi être mobiles dans leur expérience de lecture telle que celle-ci a été mise en place par l’auteur ou l’autrice. La présentation du </w:t>
      </w:r>
      <w:r>
        <w:rPr>
          <w:rFonts w:ascii="Times New Roman" w:eastAsia="Times New Roman" w:hAnsi="Times New Roman" w:cs="Times New Roman"/>
          <w:i/>
          <w:iCs/>
          <w:color w:val="222222"/>
          <w:kern w:val="0"/>
          <w:shd w:val="clear" w:color="auto" w:fill="FFFFFF"/>
          <w:lang w:eastAsia="fr-FR"/>
          <w14:ligatures w14:val="none"/>
        </w:rPr>
        <w:t>logos</w:t>
      </w:r>
      <w:r>
        <w:rPr>
          <w:rFonts w:ascii="Times New Roman" w:eastAsia="Times New Roman" w:hAnsi="Times New Roman" w:cs="Times New Roman"/>
          <w:color w:val="222222"/>
          <w:kern w:val="0"/>
          <w:shd w:val="clear" w:color="auto" w:fill="FFFFFF"/>
          <w:lang w:eastAsia="fr-FR"/>
          <w14:ligatures w14:val="none"/>
        </w:rPr>
        <w:t xml:space="preserve"> par Clément d’Alexandrie comme un </w:t>
      </w:r>
      <w:r>
        <w:rPr>
          <w:rFonts w:ascii="Times New Roman" w:eastAsia="Times New Roman" w:hAnsi="Times New Roman" w:cs="Times New Roman"/>
          <w:i/>
          <w:iCs/>
          <w:color w:val="222222"/>
          <w:kern w:val="0"/>
          <w:shd w:val="clear" w:color="auto" w:fill="FFFFFF"/>
          <w:lang w:eastAsia="fr-FR"/>
          <w14:ligatures w14:val="none"/>
        </w:rPr>
        <w:t xml:space="preserve">logos </w:t>
      </w:r>
      <w:r>
        <w:rPr>
          <w:rFonts w:ascii="Times New Roman" w:eastAsia="Times New Roman" w:hAnsi="Times New Roman" w:cs="Times New Roman"/>
          <w:color w:val="222222"/>
          <w:kern w:val="0"/>
          <w:shd w:val="clear" w:color="auto" w:fill="FFFFFF"/>
          <w:lang w:eastAsia="fr-FR"/>
          <w14:ligatures w14:val="none"/>
        </w:rPr>
        <w:t>dispersé pouvant être réunifié</w:t>
      </w:r>
      <w:r w:rsidR="00672E09">
        <w:rPr>
          <w:rStyle w:val="Appelnotedebasdep"/>
          <w:rFonts w:ascii="Times New Roman" w:eastAsia="Times New Roman" w:hAnsi="Times New Roman" w:cs="Times New Roman"/>
          <w:color w:val="222222"/>
          <w:kern w:val="0"/>
          <w:shd w:val="clear" w:color="auto" w:fill="FFFFFF"/>
          <w:lang w:eastAsia="fr-FR"/>
          <w14:ligatures w14:val="none"/>
        </w:rPr>
        <w:footnoteReference w:id="12"/>
      </w:r>
      <w:r>
        <w:rPr>
          <w:rFonts w:ascii="Times New Roman" w:eastAsia="Times New Roman" w:hAnsi="Times New Roman" w:cs="Times New Roman"/>
          <w:color w:val="222222"/>
          <w:kern w:val="0"/>
          <w:shd w:val="clear" w:color="auto" w:fill="FFFFFF"/>
          <w:lang w:eastAsia="fr-FR"/>
          <w14:ligatures w14:val="none"/>
        </w:rPr>
        <w:t xml:space="preserve"> me semble ainsi pouvoir être lue comme un passage métalittéraire décrivant son propre texte</w:t>
      </w:r>
      <w:r w:rsidR="00672E09">
        <w:rPr>
          <w:rStyle w:val="Appelnotedebasdep"/>
          <w:rFonts w:ascii="Times New Roman" w:eastAsia="Times New Roman" w:hAnsi="Times New Roman" w:cs="Times New Roman"/>
          <w:color w:val="222222"/>
          <w:kern w:val="0"/>
          <w:shd w:val="clear" w:color="auto" w:fill="FFFFFF"/>
          <w:lang w:eastAsia="fr-FR"/>
          <w14:ligatures w14:val="none"/>
        </w:rPr>
        <w:footnoteReference w:id="13"/>
      </w:r>
      <w:r>
        <w:rPr>
          <w:rFonts w:ascii="Times New Roman" w:eastAsia="Times New Roman" w:hAnsi="Times New Roman" w:cs="Times New Roman"/>
          <w:color w:val="222222"/>
          <w:kern w:val="0"/>
          <w:shd w:val="clear" w:color="auto" w:fill="FFFFFF"/>
          <w:lang w:eastAsia="fr-FR"/>
          <w14:ligatures w14:val="none"/>
        </w:rPr>
        <w:t xml:space="preserve"> – ses </w:t>
      </w:r>
      <w:r>
        <w:rPr>
          <w:rFonts w:ascii="Times New Roman" w:eastAsia="Times New Roman" w:hAnsi="Times New Roman" w:cs="Times New Roman"/>
          <w:i/>
          <w:iCs/>
          <w:color w:val="222222"/>
          <w:kern w:val="0"/>
          <w:shd w:val="clear" w:color="auto" w:fill="FFFFFF"/>
          <w:lang w:eastAsia="fr-FR"/>
          <w14:ligatures w14:val="none"/>
        </w:rPr>
        <w:t>Stromates</w:t>
      </w:r>
      <w:r>
        <w:rPr>
          <w:rFonts w:ascii="Times New Roman" w:eastAsia="Times New Roman" w:hAnsi="Times New Roman" w:cs="Times New Roman"/>
          <w:color w:val="222222"/>
          <w:kern w:val="0"/>
          <w:shd w:val="clear" w:color="auto" w:fill="FFFFFF"/>
          <w:lang w:eastAsia="fr-FR"/>
          <w14:ligatures w14:val="none"/>
        </w:rPr>
        <w:t xml:space="preserve"> – comment pouvant être constitués par ses lecteurs et lectrices en une unité nouvelle</w:t>
      </w:r>
      <w:r w:rsidR="00672E09">
        <w:rPr>
          <w:rFonts w:ascii="Times New Roman" w:eastAsia="Times New Roman" w:hAnsi="Times New Roman" w:cs="Times New Roman"/>
          <w:color w:val="222222"/>
          <w:kern w:val="0"/>
          <w:shd w:val="clear" w:color="auto" w:fill="FFFFFF"/>
          <w:lang w:eastAsia="fr-FR"/>
          <w14:ligatures w14:val="none"/>
        </w:rPr>
        <w:t xml:space="preserve"> : </w:t>
      </w:r>
      <w:r w:rsidR="00672E09" w:rsidRPr="00672E09">
        <w:rPr>
          <w:rFonts w:ascii="Times New Roman" w:eastAsia="Times New Roman" w:hAnsi="Times New Roman" w:cs="Times New Roman"/>
          <w:color w:val="222222"/>
          <w:kern w:val="0"/>
          <w:shd w:val="clear" w:color="auto" w:fill="FFFFFF"/>
          <w:lang w:eastAsia="fr-FR"/>
          <w14:ligatures w14:val="none"/>
        </w:rPr>
        <w:t>« Mais celui qui rassemblera de nouveau les parties dispersées et qui les constituera en une unité, à coup sûr, sachez bien que c’est le discours</w:t>
      </w:r>
      <w:r w:rsidR="00672E09">
        <w:rPr>
          <w:rFonts w:ascii="Times New Roman" w:eastAsia="Times New Roman" w:hAnsi="Times New Roman" w:cs="Times New Roman"/>
          <w:color w:val="222222"/>
          <w:kern w:val="0"/>
          <w:shd w:val="clear" w:color="auto" w:fill="FFFFFF"/>
          <w:lang w:eastAsia="fr-FR"/>
          <w14:ligatures w14:val="none"/>
        </w:rPr>
        <w:t xml:space="preserve"> [</w:t>
      </w:r>
      <w:r w:rsidR="00672E09">
        <w:rPr>
          <w:rFonts w:ascii="Times New Roman" w:eastAsia="Times New Roman" w:hAnsi="Times New Roman" w:cs="Times New Roman"/>
          <w:i/>
          <w:iCs/>
          <w:color w:val="222222"/>
          <w:kern w:val="0"/>
          <w:shd w:val="clear" w:color="auto" w:fill="FFFFFF"/>
          <w:lang w:eastAsia="fr-FR"/>
          <w14:ligatures w14:val="none"/>
        </w:rPr>
        <w:t>logos</w:t>
      </w:r>
      <w:r w:rsidR="00672E09">
        <w:rPr>
          <w:rFonts w:ascii="Times New Roman" w:eastAsia="Times New Roman" w:hAnsi="Times New Roman" w:cs="Times New Roman"/>
          <w:color w:val="222222"/>
          <w:kern w:val="0"/>
          <w:shd w:val="clear" w:color="auto" w:fill="FFFFFF"/>
          <w:lang w:eastAsia="fr-FR"/>
          <w14:ligatures w14:val="none"/>
        </w:rPr>
        <w:t>]</w:t>
      </w:r>
      <w:r w:rsidR="00672E09" w:rsidRPr="00672E09">
        <w:rPr>
          <w:rFonts w:ascii="Times New Roman" w:eastAsia="Times New Roman" w:hAnsi="Times New Roman" w:cs="Times New Roman"/>
          <w:color w:val="222222"/>
          <w:kern w:val="0"/>
          <w:shd w:val="clear" w:color="auto" w:fill="FFFFFF"/>
          <w:lang w:eastAsia="fr-FR"/>
          <w14:ligatures w14:val="none"/>
        </w:rPr>
        <w:t xml:space="preserve"> parfait qu’il contemplera, la vérité</w:t>
      </w:r>
      <w:r w:rsidR="00672E09">
        <w:rPr>
          <w:rStyle w:val="Appelnotedebasdep"/>
          <w:rFonts w:ascii="Times New Roman" w:eastAsia="Times New Roman" w:hAnsi="Times New Roman" w:cs="Times New Roman"/>
          <w:color w:val="222222"/>
          <w:kern w:val="0"/>
          <w:shd w:val="clear" w:color="auto" w:fill="FFFFFF"/>
          <w:lang w:eastAsia="fr-FR"/>
          <w14:ligatures w14:val="none"/>
        </w:rPr>
        <w:footnoteReference w:id="14"/>
      </w:r>
      <w:r w:rsidR="00672E09" w:rsidRPr="00672E09">
        <w:rPr>
          <w:rFonts w:ascii="Times New Roman" w:eastAsia="Times New Roman" w:hAnsi="Times New Roman" w:cs="Times New Roman"/>
          <w:color w:val="222222"/>
          <w:kern w:val="0"/>
          <w:shd w:val="clear" w:color="auto" w:fill="FFFFFF"/>
          <w:lang w:eastAsia="fr-FR"/>
          <w14:ligatures w14:val="none"/>
        </w:rPr>
        <w:t>. »</w:t>
      </w:r>
      <w:r>
        <w:rPr>
          <w:rFonts w:ascii="Times New Roman" w:eastAsia="Times New Roman" w:hAnsi="Times New Roman" w:cs="Times New Roman"/>
          <w:color w:val="222222"/>
          <w:kern w:val="0"/>
          <w:shd w:val="clear" w:color="auto" w:fill="FFFFFF"/>
          <w:lang w:eastAsia="fr-FR"/>
          <w14:ligatures w14:val="none"/>
        </w:rPr>
        <w:t xml:space="preserve"> Si je suis ce passage, il </w:t>
      </w:r>
      <w:r w:rsidR="00C17715">
        <w:rPr>
          <w:rFonts w:ascii="Times New Roman" w:eastAsia="Times New Roman" w:hAnsi="Times New Roman" w:cs="Times New Roman"/>
          <w:color w:val="222222"/>
          <w:kern w:val="0"/>
          <w:shd w:val="clear" w:color="auto" w:fill="FFFFFF"/>
          <w:lang w:eastAsia="fr-FR"/>
          <w14:ligatures w14:val="none"/>
        </w:rPr>
        <w:t xml:space="preserve">existe </w:t>
      </w:r>
      <w:r>
        <w:rPr>
          <w:rFonts w:ascii="Times New Roman" w:eastAsia="Times New Roman" w:hAnsi="Times New Roman" w:cs="Times New Roman"/>
          <w:color w:val="222222"/>
          <w:kern w:val="0"/>
          <w:shd w:val="clear" w:color="auto" w:fill="FFFFFF"/>
          <w:lang w:eastAsia="fr-FR"/>
          <w14:ligatures w14:val="none"/>
        </w:rPr>
        <w:t xml:space="preserve">autant de textes des </w:t>
      </w:r>
      <w:r>
        <w:rPr>
          <w:rFonts w:ascii="Times New Roman" w:eastAsia="Times New Roman" w:hAnsi="Times New Roman" w:cs="Times New Roman"/>
          <w:i/>
          <w:iCs/>
          <w:color w:val="222222"/>
          <w:kern w:val="0"/>
          <w:shd w:val="clear" w:color="auto" w:fill="FFFFFF"/>
          <w:lang w:eastAsia="fr-FR"/>
          <w14:ligatures w14:val="none"/>
        </w:rPr>
        <w:t>Stromates</w:t>
      </w:r>
      <w:r>
        <w:rPr>
          <w:rFonts w:ascii="Times New Roman" w:eastAsia="Times New Roman" w:hAnsi="Times New Roman" w:cs="Times New Roman"/>
          <w:color w:val="222222"/>
          <w:kern w:val="0"/>
          <w:shd w:val="clear" w:color="auto" w:fill="FFFFFF"/>
          <w:lang w:eastAsia="fr-FR"/>
          <w14:ligatures w14:val="none"/>
        </w:rPr>
        <w:t xml:space="preserve"> qu’il y a de lecteurs ou lectrices, voire qu’il </w:t>
      </w:r>
      <w:r w:rsidR="00C17715">
        <w:rPr>
          <w:rFonts w:ascii="Times New Roman" w:eastAsia="Times New Roman" w:hAnsi="Times New Roman" w:cs="Times New Roman"/>
          <w:color w:val="222222"/>
          <w:kern w:val="0"/>
          <w:shd w:val="clear" w:color="auto" w:fill="FFFFFF"/>
          <w:lang w:eastAsia="fr-FR"/>
          <w14:ligatures w14:val="none"/>
        </w:rPr>
        <w:t>existe</w:t>
      </w:r>
      <w:r>
        <w:rPr>
          <w:rFonts w:ascii="Times New Roman" w:eastAsia="Times New Roman" w:hAnsi="Times New Roman" w:cs="Times New Roman"/>
          <w:color w:val="222222"/>
          <w:kern w:val="0"/>
          <w:shd w:val="clear" w:color="auto" w:fill="FFFFFF"/>
          <w:lang w:eastAsia="fr-FR"/>
          <w14:ligatures w14:val="none"/>
        </w:rPr>
        <w:t xml:space="preserve"> moments de lectures – un même lecteur ou une même lectrice pouvant </w:t>
      </w:r>
      <w:r w:rsidR="00672E09">
        <w:rPr>
          <w:rFonts w:ascii="Times New Roman" w:eastAsia="Times New Roman" w:hAnsi="Times New Roman" w:cs="Times New Roman"/>
          <w:color w:val="222222"/>
          <w:kern w:val="0"/>
          <w:shd w:val="clear" w:color="auto" w:fill="FFFFFF"/>
          <w:lang w:eastAsia="fr-FR"/>
          <w14:ligatures w14:val="none"/>
        </w:rPr>
        <w:t xml:space="preserve">constituer un texte </w:t>
      </w:r>
      <w:r w:rsidR="00C17715">
        <w:rPr>
          <w:rFonts w:ascii="Times New Roman" w:eastAsia="Times New Roman" w:hAnsi="Times New Roman" w:cs="Times New Roman"/>
          <w:color w:val="222222"/>
          <w:kern w:val="0"/>
          <w:shd w:val="clear" w:color="auto" w:fill="FFFFFF"/>
          <w:lang w:eastAsia="fr-FR"/>
          <w14:ligatures w14:val="none"/>
        </w:rPr>
        <w:t>inédit</w:t>
      </w:r>
      <w:r w:rsidR="00672E09">
        <w:rPr>
          <w:rFonts w:ascii="Times New Roman" w:eastAsia="Times New Roman" w:hAnsi="Times New Roman" w:cs="Times New Roman"/>
          <w:color w:val="222222"/>
          <w:kern w:val="0"/>
          <w:shd w:val="clear" w:color="auto" w:fill="FFFFFF"/>
          <w:lang w:eastAsia="fr-FR"/>
          <w14:ligatures w14:val="none"/>
        </w:rPr>
        <w:t xml:space="preserve"> dans chacun des moments</w:t>
      </w:r>
      <w:r w:rsidR="00C17715">
        <w:rPr>
          <w:rFonts w:ascii="Times New Roman" w:eastAsia="Times New Roman" w:hAnsi="Times New Roman" w:cs="Times New Roman"/>
          <w:color w:val="222222"/>
          <w:kern w:val="0"/>
          <w:shd w:val="clear" w:color="auto" w:fill="FFFFFF"/>
          <w:lang w:eastAsia="fr-FR"/>
          <w14:ligatures w14:val="none"/>
        </w:rPr>
        <w:t xml:space="preserve"> nouveaux</w:t>
      </w:r>
      <w:r w:rsidR="00672E09">
        <w:rPr>
          <w:rFonts w:ascii="Times New Roman" w:eastAsia="Times New Roman" w:hAnsi="Times New Roman" w:cs="Times New Roman"/>
          <w:color w:val="222222"/>
          <w:kern w:val="0"/>
          <w:shd w:val="clear" w:color="auto" w:fill="FFFFFF"/>
          <w:lang w:eastAsia="fr-FR"/>
          <w14:ligatures w14:val="none"/>
        </w:rPr>
        <w:t xml:space="preserve"> où il lit. </w:t>
      </w:r>
    </w:p>
    <w:p w14:paraId="6C4213A7" w14:textId="77777777" w:rsidR="001A7CC3" w:rsidRDefault="005D0164"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Une telle expérience de lecture n’est pas sans conséquence pour le lecteur ou la lectrice. </w:t>
      </w:r>
      <w:r w:rsidR="006C7133">
        <w:rPr>
          <w:rFonts w:ascii="Times New Roman" w:eastAsia="Times New Roman" w:hAnsi="Times New Roman" w:cs="Times New Roman"/>
          <w:color w:val="222222"/>
          <w:kern w:val="0"/>
          <w:shd w:val="clear" w:color="auto" w:fill="FFFFFF"/>
          <w:lang w:eastAsia="fr-FR"/>
          <w14:ligatures w14:val="none"/>
        </w:rPr>
        <w:t xml:space="preserve">À partir de l’objet physique sur lequel se fonde la lecture – livre, tablette, écran ou, pour l’Antiquité, </w:t>
      </w:r>
      <w:r w:rsidR="006C7133">
        <w:rPr>
          <w:rFonts w:ascii="Times New Roman" w:eastAsia="Times New Roman" w:hAnsi="Times New Roman" w:cs="Times New Roman"/>
          <w:i/>
          <w:iCs/>
          <w:color w:val="222222"/>
          <w:kern w:val="0"/>
          <w:shd w:val="clear" w:color="auto" w:fill="FFFFFF"/>
          <w:lang w:eastAsia="fr-FR"/>
          <w14:ligatures w14:val="none"/>
        </w:rPr>
        <w:t>codex</w:t>
      </w:r>
      <w:r w:rsidR="006C7133">
        <w:rPr>
          <w:rFonts w:ascii="Times New Roman" w:eastAsia="Times New Roman" w:hAnsi="Times New Roman" w:cs="Times New Roman"/>
          <w:color w:val="222222"/>
          <w:kern w:val="0"/>
          <w:shd w:val="clear" w:color="auto" w:fill="FFFFFF"/>
          <w:lang w:eastAsia="fr-FR"/>
          <w14:ligatures w14:val="none"/>
        </w:rPr>
        <w:t xml:space="preserve"> ou </w:t>
      </w:r>
      <w:r w:rsidR="006C7133">
        <w:rPr>
          <w:rFonts w:ascii="Times New Roman" w:eastAsia="Times New Roman" w:hAnsi="Times New Roman" w:cs="Times New Roman"/>
          <w:i/>
          <w:iCs/>
          <w:color w:val="222222"/>
          <w:kern w:val="0"/>
          <w:shd w:val="clear" w:color="auto" w:fill="FFFFFF"/>
          <w:lang w:eastAsia="fr-FR"/>
          <w14:ligatures w14:val="none"/>
        </w:rPr>
        <w:t>papyrus</w:t>
      </w:r>
      <w:r w:rsidR="006C7133">
        <w:rPr>
          <w:rFonts w:ascii="Times New Roman" w:eastAsia="Times New Roman" w:hAnsi="Times New Roman" w:cs="Times New Roman"/>
          <w:color w:val="222222"/>
          <w:kern w:val="0"/>
          <w:shd w:val="clear" w:color="auto" w:fill="FFFFFF"/>
          <w:lang w:eastAsia="fr-FR"/>
          <w14:ligatures w14:val="none"/>
        </w:rPr>
        <w:t xml:space="preserve"> – l</w:t>
      </w:r>
      <w:r>
        <w:rPr>
          <w:rFonts w:ascii="Times New Roman" w:eastAsia="Times New Roman" w:hAnsi="Times New Roman" w:cs="Times New Roman"/>
          <w:color w:val="222222"/>
          <w:kern w:val="0"/>
          <w:shd w:val="clear" w:color="auto" w:fill="FFFFFF"/>
          <w:lang w:eastAsia="fr-FR"/>
          <w14:ligatures w14:val="none"/>
        </w:rPr>
        <w:t xml:space="preserve">e texte se déploie dans un espace </w:t>
      </w:r>
      <w:r w:rsidR="006C7133">
        <w:rPr>
          <w:rFonts w:ascii="Times New Roman" w:eastAsia="Times New Roman" w:hAnsi="Times New Roman" w:cs="Times New Roman"/>
          <w:color w:val="222222"/>
          <w:kern w:val="0"/>
          <w:shd w:val="clear" w:color="auto" w:fill="FFFFFF"/>
          <w:lang w:eastAsia="fr-FR"/>
          <w14:ligatures w14:val="none"/>
        </w:rPr>
        <w:t xml:space="preserve">de la conscience de celui ou celle qui lit, </w:t>
      </w:r>
      <w:r w:rsidR="00396F22">
        <w:rPr>
          <w:rFonts w:ascii="Times New Roman" w:eastAsia="Times New Roman" w:hAnsi="Times New Roman" w:cs="Times New Roman"/>
          <w:color w:val="222222"/>
          <w:kern w:val="0"/>
          <w:shd w:val="clear" w:color="auto" w:fill="FFFFFF"/>
          <w:lang w:eastAsia="fr-FR"/>
          <w14:ligatures w14:val="none"/>
        </w:rPr>
        <w:t>un espace où</w:t>
      </w:r>
      <w:r w:rsidR="006C7133">
        <w:rPr>
          <w:rFonts w:ascii="Times New Roman" w:eastAsia="Times New Roman" w:hAnsi="Times New Roman" w:cs="Times New Roman"/>
          <w:color w:val="222222"/>
          <w:kern w:val="0"/>
          <w:shd w:val="clear" w:color="auto" w:fill="FFFFFF"/>
          <w:lang w:eastAsia="fr-FR"/>
          <w14:ligatures w14:val="none"/>
        </w:rPr>
        <w:t>, pendant le temps que dure la lecture,</w:t>
      </w:r>
      <w:r w:rsidR="00396F22">
        <w:rPr>
          <w:rFonts w:ascii="Times New Roman" w:eastAsia="Times New Roman" w:hAnsi="Times New Roman" w:cs="Times New Roman"/>
          <w:color w:val="222222"/>
          <w:kern w:val="0"/>
          <w:shd w:val="clear" w:color="auto" w:fill="FFFFFF"/>
          <w:lang w:eastAsia="fr-FR"/>
          <w14:ligatures w14:val="none"/>
        </w:rPr>
        <w:t xml:space="preserve"> résonne une voix </w:t>
      </w:r>
      <w:r w:rsidR="00064E3D">
        <w:rPr>
          <w:rFonts w:ascii="Times New Roman" w:eastAsia="Times New Roman" w:hAnsi="Times New Roman" w:cs="Times New Roman"/>
          <w:color w:val="222222"/>
          <w:kern w:val="0"/>
          <w:shd w:val="clear" w:color="auto" w:fill="FFFFFF"/>
          <w:lang w:eastAsia="fr-FR"/>
          <w14:ligatures w14:val="none"/>
        </w:rPr>
        <w:t>inédite, identifiable à une voix du texte</w:t>
      </w:r>
      <w:r w:rsidR="00064E3D">
        <w:rPr>
          <w:rStyle w:val="Appelnotedebasdep"/>
          <w:rFonts w:ascii="Times New Roman" w:eastAsia="Times New Roman" w:hAnsi="Times New Roman" w:cs="Times New Roman"/>
          <w:color w:val="222222"/>
          <w:kern w:val="0"/>
          <w:shd w:val="clear" w:color="auto" w:fill="FFFFFF"/>
          <w:lang w:eastAsia="fr-FR"/>
          <w14:ligatures w14:val="none"/>
        </w:rPr>
        <w:footnoteReference w:id="15"/>
      </w:r>
      <w:r w:rsidR="00064E3D">
        <w:rPr>
          <w:rFonts w:ascii="Times New Roman" w:eastAsia="Times New Roman" w:hAnsi="Times New Roman" w:cs="Times New Roman"/>
          <w:color w:val="222222"/>
          <w:kern w:val="0"/>
          <w:shd w:val="clear" w:color="auto" w:fill="FFFFFF"/>
          <w:lang w:eastAsia="fr-FR"/>
          <w14:ligatures w14:val="none"/>
        </w:rPr>
        <w:t>,</w:t>
      </w:r>
      <w:r w:rsidR="00396F22">
        <w:rPr>
          <w:rFonts w:ascii="Times New Roman" w:eastAsia="Times New Roman" w:hAnsi="Times New Roman" w:cs="Times New Roman"/>
          <w:color w:val="222222"/>
          <w:kern w:val="0"/>
          <w:shd w:val="clear" w:color="auto" w:fill="FFFFFF"/>
          <w:lang w:eastAsia="fr-FR"/>
          <w14:ligatures w14:val="none"/>
        </w:rPr>
        <w:t xml:space="preserve"> et </w:t>
      </w:r>
      <w:r w:rsidR="00064E3D">
        <w:rPr>
          <w:rFonts w:ascii="Times New Roman" w:eastAsia="Times New Roman" w:hAnsi="Times New Roman" w:cs="Times New Roman"/>
          <w:color w:val="222222"/>
          <w:kern w:val="0"/>
          <w:shd w:val="clear" w:color="auto" w:fill="FFFFFF"/>
          <w:lang w:eastAsia="fr-FR"/>
          <w14:ligatures w14:val="none"/>
        </w:rPr>
        <w:t xml:space="preserve">où </w:t>
      </w:r>
      <w:r w:rsidR="00396F22">
        <w:rPr>
          <w:rFonts w:ascii="Times New Roman" w:eastAsia="Times New Roman" w:hAnsi="Times New Roman" w:cs="Times New Roman"/>
          <w:color w:val="222222"/>
          <w:kern w:val="0"/>
          <w:shd w:val="clear" w:color="auto" w:fill="FFFFFF"/>
          <w:lang w:eastAsia="fr-FR"/>
          <w14:ligatures w14:val="none"/>
        </w:rPr>
        <w:t>se déploient des images issues de ce dernier</w:t>
      </w:r>
      <w:r w:rsidR="00064E3D">
        <w:rPr>
          <w:rStyle w:val="Appelnotedebasdep"/>
          <w:rFonts w:ascii="Times New Roman" w:eastAsia="Times New Roman" w:hAnsi="Times New Roman" w:cs="Times New Roman"/>
          <w:color w:val="222222"/>
          <w:kern w:val="0"/>
          <w:shd w:val="clear" w:color="auto" w:fill="FFFFFF"/>
          <w:lang w:eastAsia="fr-FR"/>
          <w14:ligatures w14:val="none"/>
        </w:rPr>
        <w:footnoteReference w:id="16"/>
      </w:r>
      <w:r w:rsidR="006C7133">
        <w:rPr>
          <w:rFonts w:ascii="Times New Roman" w:eastAsia="Times New Roman" w:hAnsi="Times New Roman" w:cs="Times New Roman"/>
          <w:color w:val="222222"/>
          <w:kern w:val="0"/>
          <w:shd w:val="clear" w:color="auto" w:fill="FFFFFF"/>
          <w:lang w:eastAsia="fr-FR"/>
          <w14:ligatures w14:val="none"/>
        </w:rPr>
        <w:t>. Envisagée ainsi, l’expérience de lecture est forcément transformatrice pour l’identité de la lecture – au point que Georges Poulet a pu la décrire comme une expérience « schizoïde</w:t>
      </w:r>
      <w:r w:rsidR="000A1043">
        <w:rPr>
          <w:rStyle w:val="Appelnotedebasdep"/>
          <w:rFonts w:ascii="Times New Roman" w:eastAsia="Times New Roman" w:hAnsi="Times New Roman" w:cs="Times New Roman"/>
          <w:color w:val="222222"/>
          <w:kern w:val="0"/>
          <w:shd w:val="clear" w:color="auto" w:fill="FFFFFF"/>
          <w:lang w:eastAsia="fr-FR"/>
          <w14:ligatures w14:val="none"/>
        </w:rPr>
        <w:footnoteReference w:id="17"/>
      </w:r>
      <w:r w:rsidR="006C7133">
        <w:rPr>
          <w:rFonts w:ascii="Times New Roman" w:eastAsia="Times New Roman" w:hAnsi="Times New Roman" w:cs="Times New Roman"/>
          <w:color w:val="222222"/>
          <w:kern w:val="0"/>
          <w:shd w:val="clear" w:color="auto" w:fill="FFFFFF"/>
          <w:lang w:eastAsia="fr-FR"/>
          <w14:ligatures w14:val="none"/>
        </w:rPr>
        <w:t xml:space="preserve"> » : elle reconfigure, </w:t>
      </w:r>
      <w:r w:rsidR="006C7133">
        <w:rPr>
          <w:rFonts w:ascii="Times New Roman" w:eastAsia="Times New Roman" w:hAnsi="Times New Roman" w:cs="Times New Roman"/>
          <w:color w:val="222222"/>
          <w:kern w:val="0"/>
          <w:shd w:val="clear" w:color="auto" w:fill="FFFFFF"/>
          <w:lang w:eastAsia="fr-FR"/>
          <w14:ligatures w14:val="none"/>
        </w:rPr>
        <w:lastRenderedPageBreak/>
        <w:t>légèrement ou profondément</w:t>
      </w:r>
      <w:r w:rsidR="000A1043">
        <w:rPr>
          <w:rStyle w:val="Appelnotedebasdep"/>
          <w:rFonts w:ascii="Times New Roman" w:eastAsia="Times New Roman" w:hAnsi="Times New Roman" w:cs="Times New Roman"/>
          <w:color w:val="222222"/>
          <w:kern w:val="0"/>
          <w:shd w:val="clear" w:color="auto" w:fill="FFFFFF"/>
          <w:lang w:eastAsia="fr-FR"/>
          <w14:ligatures w14:val="none"/>
        </w:rPr>
        <w:footnoteReference w:id="18"/>
      </w:r>
      <w:r w:rsidR="006C7133">
        <w:rPr>
          <w:rFonts w:ascii="Times New Roman" w:eastAsia="Times New Roman" w:hAnsi="Times New Roman" w:cs="Times New Roman"/>
          <w:color w:val="222222"/>
          <w:kern w:val="0"/>
          <w:shd w:val="clear" w:color="auto" w:fill="FFFFFF"/>
          <w:lang w:eastAsia="fr-FR"/>
          <w14:ligatures w14:val="none"/>
        </w:rPr>
        <w:t xml:space="preserve">, la conscience que le lecteur ou la lectrice a de lui-même. </w:t>
      </w:r>
      <w:r w:rsidR="000A1043">
        <w:rPr>
          <w:rFonts w:ascii="Times New Roman" w:eastAsia="Times New Roman" w:hAnsi="Times New Roman" w:cs="Times New Roman"/>
          <w:color w:val="222222"/>
          <w:kern w:val="0"/>
          <w:shd w:val="clear" w:color="auto" w:fill="FFFFFF"/>
          <w:lang w:eastAsia="fr-FR"/>
          <w14:ligatures w14:val="none"/>
        </w:rPr>
        <w:t>La lecture peut ainsi être conçue comme</w:t>
      </w:r>
      <w:r w:rsidR="006C7133">
        <w:rPr>
          <w:rFonts w:ascii="Times New Roman" w:eastAsia="Times New Roman" w:hAnsi="Times New Roman" w:cs="Times New Roman"/>
          <w:color w:val="222222"/>
          <w:kern w:val="0"/>
          <w:shd w:val="clear" w:color="auto" w:fill="FFFFFF"/>
          <w:lang w:eastAsia="fr-FR"/>
          <w14:ligatures w14:val="none"/>
        </w:rPr>
        <w:t xml:space="preserve"> une expérience de déconstruction et de reconstruction partielles</w:t>
      </w:r>
      <w:r w:rsidR="000A1043">
        <w:rPr>
          <w:rFonts w:ascii="Times New Roman" w:eastAsia="Times New Roman" w:hAnsi="Times New Roman" w:cs="Times New Roman"/>
          <w:color w:val="222222"/>
          <w:kern w:val="0"/>
          <w:shd w:val="clear" w:color="auto" w:fill="FFFFFF"/>
          <w:lang w:eastAsia="fr-FR"/>
          <w14:ligatures w14:val="none"/>
        </w:rPr>
        <w:t xml:space="preserve"> </w:t>
      </w:r>
      <w:r w:rsidR="006C7133">
        <w:rPr>
          <w:rFonts w:ascii="Times New Roman" w:eastAsia="Times New Roman" w:hAnsi="Times New Roman" w:cs="Times New Roman"/>
          <w:color w:val="222222"/>
          <w:kern w:val="0"/>
          <w:shd w:val="clear" w:color="auto" w:fill="FFFFFF"/>
          <w:lang w:eastAsia="fr-FR"/>
          <w14:ligatures w14:val="none"/>
        </w:rPr>
        <w:t>: pendant le temps de la lecture, le lecteur ou la lectrice voit son identité remise en jeu par le texte et la reconstitue d’une façon nouvelle, qui intègre ce contact avec le texte.</w:t>
      </w:r>
      <w:r w:rsidR="004667EE">
        <w:rPr>
          <w:rFonts w:ascii="Times New Roman" w:eastAsia="Times New Roman" w:hAnsi="Times New Roman" w:cs="Times New Roman"/>
          <w:color w:val="222222"/>
          <w:kern w:val="0"/>
          <w:shd w:val="clear" w:color="auto" w:fill="FFFFFF"/>
          <w:lang w:eastAsia="fr-FR"/>
          <w14:ligatures w14:val="none"/>
        </w:rPr>
        <w:t xml:space="preserve"> Cette puissance de « vacillement identitaire</w:t>
      </w:r>
      <w:r w:rsidR="004667EE">
        <w:rPr>
          <w:rStyle w:val="Appelnotedebasdep"/>
          <w:rFonts w:ascii="Times New Roman" w:eastAsia="Times New Roman" w:hAnsi="Times New Roman" w:cs="Times New Roman"/>
          <w:color w:val="222222"/>
          <w:kern w:val="0"/>
          <w:shd w:val="clear" w:color="auto" w:fill="FFFFFF"/>
          <w:lang w:eastAsia="fr-FR"/>
          <w14:ligatures w14:val="none"/>
        </w:rPr>
        <w:footnoteReference w:id="19"/>
      </w:r>
      <w:r w:rsidR="004667EE">
        <w:rPr>
          <w:rFonts w:ascii="Times New Roman" w:eastAsia="Times New Roman" w:hAnsi="Times New Roman" w:cs="Times New Roman"/>
          <w:color w:val="222222"/>
          <w:kern w:val="0"/>
          <w:shd w:val="clear" w:color="auto" w:fill="FFFFFF"/>
          <w:lang w:eastAsia="fr-FR"/>
          <w14:ligatures w14:val="none"/>
        </w:rPr>
        <w:t xml:space="preserve"> » est particulièrement </w:t>
      </w:r>
      <w:r w:rsidR="00FD75E4">
        <w:rPr>
          <w:rFonts w:ascii="Times New Roman" w:eastAsia="Times New Roman" w:hAnsi="Times New Roman" w:cs="Times New Roman"/>
          <w:color w:val="222222"/>
          <w:kern w:val="0"/>
          <w:shd w:val="clear" w:color="auto" w:fill="FFFFFF"/>
          <w:lang w:eastAsia="fr-FR"/>
          <w14:ligatures w14:val="none"/>
        </w:rPr>
        <w:t xml:space="preserve">présente dans certains textes de l’Antiquité tardive, où l’expérience de lecture </w:t>
      </w:r>
      <w:r w:rsidR="001A7CC3">
        <w:rPr>
          <w:rFonts w:ascii="Times New Roman" w:eastAsia="Times New Roman" w:hAnsi="Times New Roman" w:cs="Times New Roman"/>
          <w:color w:val="222222"/>
          <w:kern w:val="0"/>
          <w:shd w:val="clear" w:color="auto" w:fill="FFFFFF"/>
          <w:lang w:eastAsia="fr-FR"/>
          <w14:ligatures w14:val="none"/>
        </w:rPr>
        <w:t>doit</w:t>
      </w:r>
      <w:r w:rsidR="00FD75E4">
        <w:rPr>
          <w:rFonts w:ascii="Times New Roman" w:eastAsia="Times New Roman" w:hAnsi="Times New Roman" w:cs="Times New Roman"/>
          <w:color w:val="222222"/>
          <w:kern w:val="0"/>
          <w:shd w:val="clear" w:color="auto" w:fill="FFFFFF"/>
          <w:lang w:eastAsia="fr-FR"/>
          <w14:ligatures w14:val="none"/>
        </w:rPr>
        <w:t xml:space="preserve"> conduire à une expérience de conversion</w:t>
      </w:r>
      <w:r w:rsidR="00FD75E4">
        <w:rPr>
          <w:rStyle w:val="Appelnotedebasdep"/>
          <w:rFonts w:ascii="Times New Roman" w:eastAsia="Times New Roman" w:hAnsi="Times New Roman" w:cs="Times New Roman"/>
          <w:color w:val="222222"/>
          <w:kern w:val="0"/>
          <w:shd w:val="clear" w:color="auto" w:fill="FFFFFF"/>
          <w:lang w:eastAsia="fr-FR"/>
          <w14:ligatures w14:val="none"/>
        </w:rPr>
        <w:footnoteReference w:id="20"/>
      </w:r>
      <w:r w:rsidR="00FD75E4">
        <w:rPr>
          <w:rFonts w:ascii="Times New Roman" w:eastAsia="Times New Roman" w:hAnsi="Times New Roman" w:cs="Times New Roman"/>
          <w:color w:val="222222"/>
          <w:kern w:val="0"/>
          <w:shd w:val="clear" w:color="auto" w:fill="FFFFFF"/>
          <w:lang w:eastAsia="fr-FR"/>
          <w14:ligatures w14:val="none"/>
        </w:rPr>
        <w:t xml:space="preserve">. </w:t>
      </w:r>
      <w:r w:rsidR="001A7CC3">
        <w:rPr>
          <w:rFonts w:ascii="Times New Roman" w:eastAsia="Times New Roman" w:hAnsi="Times New Roman" w:cs="Times New Roman"/>
          <w:color w:val="222222"/>
          <w:kern w:val="0"/>
          <w:shd w:val="clear" w:color="auto" w:fill="FFFFFF"/>
          <w:lang w:eastAsia="fr-FR"/>
          <w14:ligatures w14:val="none"/>
        </w:rPr>
        <w:t xml:space="preserve">Elle apparaît également </w:t>
      </w:r>
      <w:r w:rsidR="00FD75E4">
        <w:rPr>
          <w:rFonts w:ascii="Times New Roman" w:eastAsia="Times New Roman" w:hAnsi="Times New Roman" w:cs="Times New Roman"/>
          <w:color w:val="222222"/>
          <w:kern w:val="0"/>
          <w:shd w:val="clear" w:color="auto" w:fill="FFFFFF"/>
          <w:lang w:eastAsia="fr-FR"/>
          <w14:ligatures w14:val="none"/>
        </w:rPr>
        <w:t>dans</w:t>
      </w:r>
      <w:r w:rsidR="001A7CC3">
        <w:rPr>
          <w:rFonts w:ascii="Times New Roman" w:eastAsia="Times New Roman" w:hAnsi="Times New Roman" w:cs="Times New Roman"/>
          <w:color w:val="222222"/>
          <w:kern w:val="0"/>
          <w:shd w:val="clear" w:color="auto" w:fill="FFFFFF"/>
          <w:lang w:eastAsia="fr-FR"/>
          <w14:ligatures w14:val="none"/>
        </w:rPr>
        <w:t xml:space="preserve"> un des textes retrouvés à Nag Hammadi en Égypte,</w:t>
      </w:r>
      <w:r w:rsidR="00FD75E4">
        <w:rPr>
          <w:rFonts w:ascii="Times New Roman" w:eastAsia="Times New Roman" w:hAnsi="Times New Roman" w:cs="Times New Roman"/>
          <w:color w:val="222222"/>
          <w:kern w:val="0"/>
          <w:shd w:val="clear" w:color="auto" w:fill="FFFFFF"/>
          <w:lang w:eastAsia="fr-FR"/>
          <w14:ligatures w14:val="none"/>
        </w:rPr>
        <w:t xml:space="preserve"> l’</w:t>
      </w:r>
      <w:r w:rsidR="00FD75E4">
        <w:rPr>
          <w:rFonts w:ascii="Times New Roman" w:eastAsia="Times New Roman" w:hAnsi="Times New Roman" w:cs="Times New Roman"/>
          <w:i/>
          <w:iCs/>
          <w:color w:val="222222"/>
          <w:kern w:val="0"/>
          <w:shd w:val="clear" w:color="auto" w:fill="FFFFFF"/>
          <w:lang w:eastAsia="fr-FR"/>
          <w14:ligatures w14:val="none"/>
        </w:rPr>
        <w:t>Hypostase des archontes</w:t>
      </w:r>
      <w:r w:rsidR="00D011BC" w:rsidRPr="00D011BC">
        <w:rPr>
          <w:rStyle w:val="Appelnotedebasdep"/>
          <w:rFonts w:ascii="Times New Roman" w:eastAsia="Times New Roman" w:hAnsi="Times New Roman" w:cs="Times New Roman"/>
          <w:color w:val="222222"/>
          <w:kern w:val="0"/>
          <w:shd w:val="clear" w:color="auto" w:fill="FFFFFF"/>
          <w:lang w:eastAsia="fr-FR"/>
          <w14:ligatures w14:val="none"/>
        </w:rPr>
        <w:footnoteReference w:id="21"/>
      </w:r>
      <w:r w:rsidR="001A7CC3">
        <w:rPr>
          <w:rFonts w:ascii="Times New Roman" w:eastAsia="Times New Roman" w:hAnsi="Times New Roman" w:cs="Times New Roman"/>
          <w:color w:val="222222"/>
          <w:kern w:val="0"/>
          <w:shd w:val="clear" w:color="auto" w:fill="FFFFFF"/>
          <w:lang w:eastAsia="fr-FR"/>
          <w14:ligatures w14:val="none"/>
        </w:rPr>
        <w:t xml:space="preserve">. En effet, </w:t>
      </w:r>
      <w:r w:rsidR="004E38EC">
        <w:rPr>
          <w:rFonts w:ascii="Times New Roman" w:eastAsia="Times New Roman" w:hAnsi="Times New Roman" w:cs="Times New Roman"/>
          <w:color w:val="222222"/>
          <w:kern w:val="0"/>
          <w:shd w:val="clear" w:color="auto" w:fill="FFFFFF"/>
          <w:lang w:eastAsia="fr-FR"/>
          <w14:ligatures w14:val="none"/>
        </w:rPr>
        <w:t>ce texte se présente comme adressé à un destinataire masculin (</w:t>
      </w:r>
      <w:r w:rsidR="004E38EC" w:rsidRPr="004E38EC">
        <w:rPr>
          <w:rFonts w:ascii="Times New Roman" w:eastAsia="Times New Roman" w:hAnsi="Times New Roman" w:cs="Times New Roman"/>
          <w:color w:val="222222"/>
          <w:kern w:val="0"/>
          <w:shd w:val="clear" w:color="auto" w:fill="FFFFFF"/>
          <w:lang w:eastAsia="fr-FR"/>
          <w14:ligatures w14:val="none"/>
        </w:rPr>
        <w:t xml:space="preserve">« Je </w:t>
      </w:r>
      <w:r w:rsidR="004E38EC" w:rsidRPr="004E38EC">
        <w:rPr>
          <w:rFonts w:ascii="Times New Roman" w:eastAsia="Times New Roman" w:hAnsi="Times New Roman" w:cs="Times New Roman"/>
          <w:i/>
          <w:iCs/>
          <w:color w:val="222222"/>
          <w:kern w:val="0"/>
          <w:shd w:val="clear" w:color="auto" w:fill="FFFFFF"/>
          <w:lang w:eastAsia="fr-FR"/>
          <w14:ligatures w14:val="none"/>
        </w:rPr>
        <w:t>t’</w:t>
      </w:r>
      <w:r w:rsidR="004E38EC" w:rsidRPr="004E38EC">
        <w:rPr>
          <w:rFonts w:ascii="Times New Roman" w:eastAsia="Times New Roman" w:hAnsi="Times New Roman" w:cs="Times New Roman"/>
          <w:color w:val="222222"/>
          <w:kern w:val="0"/>
          <w:shd w:val="clear" w:color="auto" w:fill="FFFFFF"/>
          <w:lang w:eastAsia="fr-FR"/>
          <w14:ligatures w14:val="none"/>
        </w:rPr>
        <w:t>ai envoyé ceci parce que tu t’interroges sur l’hypostase des archontes</w:t>
      </w:r>
      <w:r w:rsidR="00D011BC">
        <w:rPr>
          <w:rStyle w:val="Appelnotedebasdep"/>
          <w:rFonts w:ascii="Times New Roman" w:eastAsia="Times New Roman" w:hAnsi="Times New Roman" w:cs="Times New Roman"/>
          <w:color w:val="222222"/>
          <w:kern w:val="0"/>
          <w:shd w:val="clear" w:color="auto" w:fill="FFFFFF"/>
          <w:lang w:eastAsia="fr-FR"/>
          <w14:ligatures w14:val="none"/>
        </w:rPr>
        <w:footnoteReference w:id="22"/>
      </w:r>
      <w:r w:rsidR="004E38EC">
        <w:rPr>
          <w:rFonts w:ascii="Times New Roman" w:eastAsia="Times New Roman" w:hAnsi="Times New Roman" w:cs="Times New Roman"/>
          <w:color w:val="222222"/>
          <w:kern w:val="0"/>
          <w:shd w:val="clear" w:color="auto" w:fill="FFFFFF"/>
          <w:lang w:eastAsia="fr-FR"/>
          <w14:ligatures w14:val="none"/>
        </w:rPr>
        <w:t> »), mais met ensuite en scène une narratrice qui s’exprime à la première personne du singulier (</w:t>
      </w:r>
      <w:r w:rsidR="004E38EC" w:rsidRPr="004E38EC">
        <w:rPr>
          <w:rFonts w:ascii="Times New Roman" w:eastAsia="Times New Roman" w:hAnsi="Times New Roman" w:cs="Times New Roman"/>
          <w:color w:val="222222"/>
          <w:kern w:val="0"/>
          <w:shd w:val="clear" w:color="auto" w:fill="FFFFFF"/>
          <w:lang w:eastAsia="fr-FR"/>
          <w14:ligatures w14:val="none"/>
        </w:rPr>
        <w:t xml:space="preserve">« Il </w:t>
      </w:r>
      <w:r w:rsidR="004E38EC" w:rsidRPr="004E38EC">
        <w:rPr>
          <w:rFonts w:ascii="Times New Roman" w:eastAsia="Times New Roman" w:hAnsi="Times New Roman" w:cs="Times New Roman"/>
          <w:i/>
          <w:iCs/>
          <w:color w:val="222222"/>
          <w:kern w:val="0"/>
          <w:shd w:val="clear" w:color="auto" w:fill="FFFFFF"/>
          <w:lang w:eastAsia="fr-FR"/>
          <w14:ligatures w14:val="none"/>
        </w:rPr>
        <w:t>me</w:t>
      </w:r>
      <w:r w:rsidR="004E38EC" w:rsidRPr="004E38EC">
        <w:rPr>
          <w:rFonts w:ascii="Times New Roman" w:eastAsia="Times New Roman" w:hAnsi="Times New Roman" w:cs="Times New Roman"/>
          <w:color w:val="222222"/>
          <w:kern w:val="0"/>
          <w:shd w:val="clear" w:color="auto" w:fill="FFFFFF"/>
          <w:lang w:eastAsia="fr-FR"/>
          <w14:ligatures w14:val="none"/>
        </w:rPr>
        <w:t xml:space="preserve"> dit le grand ange Élélèth</w:t>
      </w:r>
      <w:r w:rsidR="00D011BC">
        <w:rPr>
          <w:rStyle w:val="Appelnotedebasdep"/>
          <w:rFonts w:ascii="Times New Roman" w:eastAsia="Times New Roman" w:hAnsi="Times New Roman" w:cs="Times New Roman"/>
          <w:color w:val="222222"/>
          <w:kern w:val="0"/>
          <w:shd w:val="clear" w:color="auto" w:fill="FFFFFF"/>
          <w:lang w:eastAsia="fr-FR"/>
          <w14:ligatures w14:val="none"/>
        </w:rPr>
        <w:footnoteReference w:id="23"/>
      </w:r>
      <w:r w:rsidR="004E38EC" w:rsidRPr="004E38EC">
        <w:rPr>
          <w:rFonts w:ascii="Times New Roman" w:eastAsia="Times New Roman" w:hAnsi="Times New Roman" w:cs="Times New Roman"/>
          <w:color w:val="222222"/>
          <w:kern w:val="0"/>
          <w:shd w:val="clear" w:color="auto" w:fill="FFFFFF"/>
          <w:lang w:eastAsia="fr-FR"/>
          <w14:ligatures w14:val="none"/>
        </w:rPr>
        <w:t xml:space="preserve"> »</w:t>
      </w:r>
      <w:r w:rsidR="004E38EC">
        <w:rPr>
          <w:rFonts w:ascii="Times New Roman" w:eastAsia="Times New Roman" w:hAnsi="Times New Roman" w:cs="Times New Roman"/>
          <w:color w:val="222222"/>
          <w:kern w:val="0"/>
          <w:shd w:val="clear" w:color="auto" w:fill="FFFFFF"/>
          <w:lang w:eastAsia="fr-FR"/>
          <w14:ligatures w14:val="none"/>
        </w:rPr>
        <w:t xml:space="preserve">) – </w:t>
      </w:r>
      <w:r w:rsidR="00D011BC">
        <w:rPr>
          <w:rFonts w:ascii="Times New Roman" w:eastAsia="Times New Roman" w:hAnsi="Times New Roman" w:cs="Times New Roman"/>
          <w:color w:val="222222"/>
          <w:kern w:val="0"/>
          <w:shd w:val="clear" w:color="auto" w:fill="FFFFFF"/>
          <w:lang w:eastAsia="fr-FR"/>
          <w14:ligatures w14:val="none"/>
        </w:rPr>
        <w:t xml:space="preserve">le copte, </w:t>
      </w:r>
      <w:r w:rsidR="009A6353">
        <w:rPr>
          <w:rFonts w:ascii="Times New Roman" w:eastAsia="Times New Roman" w:hAnsi="Times New Roman" w:cs="Times New Roman"/>
          <w:color w:val="222222"/>
          <w:kern w:val="0"/>
          <w:shd w:val="clear" w:color="auto" w:fill="FFFFFF"/>
          <w:lang w:eastAsia="fr-FR"/>
          <w14:ligatures w14:val="none"/>
        </w:rPr>
        <w:t>la langue dans</w:t>
      </w:r>
      <w:r w:rsidR="00D011BC">
        <w:rPr>
          <w:rFonts w:ascii="Times New Roman" w:eastAsia="Times New Roman" w:hAnsi="Times New Roman" w:cs="Times New Roman"/>
          <w:color w:val="222222"/>
          <w:kern w:val="0"/>
          <w:shd w:val="clear" w:color="auto" w:fill="FFFFFF"/>
          <w:lang w:eastAsia="fr-FR"/>
          <w14:ligatures w14:val="none"/>
        </w:rPr>
        <w:t xml:space="preserve"> l</w:t>
      </w:r>
      <w:r w:rsidR="009A6353">
        <w:rPr>
          <w:rFonts w:ascii="Times New Roman" w:eastAsia="Times New Roman" w:hAnsi="Times New Roman" w:cs="Times New Roman"/>
          <w:color w:val="222222"/>
          <w:kern w:val="0"/>
          <w:shd w:val="clear" w:color="auto" w:fill="FFFFFF"/>
          <w:lang w:eastAsia="fr-FR"/>
          <w14:ligatures w14:val="none"/>
        </w:rPr>
        <w:t>a</w:t>
      </w:r>
      <w:r w:rsidR="00D011BC">
        <w:rPr>
          <w:rFonts w:ascii="Times New Roman" w:eastAsia="Times New Roman" w:hAnsi="Times New Roman" w:cs="Times New Roman"/>
          <w:color w:val="222222"/>
          <w:kern w:val="0"/>
          <w:shd w:val="clear" w:color="auto" w:fill="FFFFFF"/>
          <w:lang w:eastAsia="fr-FR"/>
          <w14:ligatures w14:val="none"/>
        </w:rPr>
        <w:t>quel</w:t>
      </w:r>
      <w:r w:rsidR="009A6353">
        <w:rPr>
          <w:rFonts w:ascii="Times New Roman" w:eastAsia="Times New Roman" w:hAnsi="Times New Roman" w:cs="Times New Roman"/>
          <w:color w:val="222222"/>
          <w:kern w:val="0"/>
          <w:shd w:val="clear" w:color="auto" w:fill="FFFFFF"/>
          <w:lang w:eastAsia="fr-FR"/>
          <w14:ligatures w14:val="none"/>
        </w:rPr>
        <w:t xml:space="preserve">le </w:t>
      </w:r>
      <w:r w:rsidR="00D011BC">
        <w:rPr>
          <w:rFonts w:ascii="Times New Roman" w:eastAsia="Times New Roman" w:hAnsi="Times New Roman" w:cs="Times New Roman"/>
          <w:color w:val="222222"/>
          <w:kern w:val="0"/>
          <w:shd w:val="clear" w:color="auto" w:fill="FFFFFF"/>
          <w:lang w:eastAsia="fr-FR"/>
          <w14:ligatures w14:val="none"/>
        </w:rPr>
        <w:t xml:space="preserve">est écrit l’ensemble des textes de Nag Hammadi, marque la différence de genre dans les deux cas. </w:t>
      </w:r>
      <w:r w:rsidR="002F1BAF">
        <w:rPr>
          <w:rFonts w:ascii="Times New Roman" w:eastAsia="Times New Roman" w:hAnsi="Times New Roman" w:cs="Times New Roman"/>
          <w:color w:val="222222"/>
          <w:kern w:val="0"/>
          <w:shd w:val="clear" w:color="auto" w:fill="FFFFFF"/>
          <w:lang w:eastAsia="fr-FR"/>
          <w14:ligatures w14:val="none"/>
        </w:rPr>
        <w:t>Par conséquent, le lecteur ou la lectrice est d’abord identifié·e au destinataire masculin du texte, puis au « je » féminin qui s’y exprime. Il vit ainsi une expérience identitaire de flottement entre les genres, pendant le temps de la lecture mais, possiblement également aussi au-delà</w:t>
      </w:r>
      <w:r w:rsidR="002A173B">
        <w:rPr>
          <w:rStyle w:val="Appelnotedebasdep"/>
          <w:rFonts w:ascii="Times New Roman" w:eastAsia="Times New Roman" w:hAnsi="Times New Roman" w:cs="Times New Roman"/>
          <w:color w:val="222222"/>
          <w:kern w:val="0"/>
          <w:shd w:val="clear" w:color="auto" w:fill="FFFFFF"/>
          <w:lang w:eastAsia="fr-FR"/>
          <w14:ligatures w14:val="none"/>
        </w:rPr>
        <w:footnoteReference w:id="24"/>
      </w:r>
      <w:r w:rsidR="002F1BAF">
        <w:rPr>
          <w:rFonts w:ascii="Times New Roman" w:eastAsia="Times New Roman" w:hAnsi="Times New Roman" w:cs="Times New Roman"/>
          <w:color w:val="222222"/>
          <w:kern w:val="0"/>
          <w:shd w:val="clear" w:color="auto" w:fill="FFFFFF"/>
          <w:lang w:eastAsia="fr-FR"/>
          <w14:ligatures w14:val="none"/>
        </w:rPr>
        <w:t>.</w:t>
      </w:r>
      <w:r w:rsidR="001E5DD4">
        <w:rPr>
          <w:rFonts w:ascii="Times New Roman" w:eastAsia="Times New Roman" w:hAnsi="Times New Roman" w:cs="Times New Roman"/>
          <w:color w:val="222222"/>
          <w:kern w:val="0"/>
          <w:shd w:val="clear" w:color="auto" w:fill="FFFFFF"/>
          <w:lang w:eastAsia="fr-FR"/>
          <w14:ligatures w14:val="none"/>
        </w:rPr>
        <w:t xml:space="preserve"> Un tel rapport entre le texte et la construction identitaire me semble </w:t>
      </w:r>
      <w:r w:rsidR="00E06DA1">
        <w:rPr>
          <w:rFonts w:ascii="Times New Roman" w:eastAsia="Times New Roman" w:hAnsi="Times New Roman" w:cs="Times New Roman"/>
          <w:color w:val="222222"/>
          <w:kern w:val="0"/>
          <w:shd w:val="clear" w:color="auto" w:fill="FFFFFF"/>
          <w:lang w:eastAsia="fr-FR"/>
          <w14:ligatures w14:val="none"/>
        </w:rPr>
        <w:t xml:space="preserve">lui aussi </w:t>
      </w:r>
      <w:r w:rsidR="001E5DD4">
        <w:rPr>
          <w:rFonts w:ascii="Times New Roman" w:eastAsia="Times New Roman" w:hAnsi="Times New Roman" w:cs="Times New Roman"/>
          <w:color w:val="222222"/>
          <w:kern w:val="0"/>
          <w:shd w:val="clear" w:color="auto" w:fill="FFFFFF"/>
          <w:lang w:eastAsia="fr-FR"/>
          <w14:ligatures w14:val="none"/>
        </w:rPr>
        <w:t>pouvoir être rapproché d</w:t>
      </w:r>
      <w:r w:rsidR="00E06DA1">
        <w:rPr>
          <w:rFonts w:ascii="Times New Roman" w:eastAsia="Times New Roman" w:hAnsi="Times New Roman" w:cs="Times New Roman"/>
          <w:color w:val="222222"/>
          <w:kern w:val="0"/>
          <w:shd w:val="clear" w:color="auto" w:fill="FFFFFF"/>
          <w:lang w:eastAsia="fr-FR"/>
          <w14:ligatures w14:val="none"/>
        </w:rPr>
        <w:t>’une idée de Pierre Bayard,</w:t>
      </w:r>
      <w:r w:rsidR="001E5DD4">
        <w:rPr>
          <w:rFonts w:ascii="Times New Roman" w:eastAsia="Times New Roman" w:hAnsi="Times New Roman" w:cs="Times New Roman"/>
          <w:color w:val="222222"/>
          <w:kern w:val="0"/>
          <w:shd w:val="clear" w:color="auto" w:fill="FFFFFF"/>
          <w:lang w:eastAsia="fr-FR"/>
          <w14:ligatures w14:val="none"/>
        </w:rPr>
        <w:t xml:space="preserve"> </w:t>
      </w:r>
      <w:r w:rsidR="00E06DA1">
        <w:rPr>
          <w:rFonts w:ascii="Times New Roman" w:eastAsia="Times New Roman" w:hAnsi="Times New Roman" w:cs="Times New Roman"/>
          <w:color w:val="222222"/>
          <w:kern w:val="0"/>
          <w:shd w:val="clear" w:color="auto" w:fill="FFFFFF"/>
          <w:lang w:eastAsia="fr-FR"/>
          <w14:ligatures w14:val="none"/>
        </w:rPr>
        <w:lastRenderedPageBreak/>
        <w:t>s</w:t>
      </w:r>
      <w:r w:rsidR="001E5DD4">
        <w:rPr>
          <w:rFonts w:ascii="Times New Roman" w:eastAsia="Times New Roman" w:hAnsi="Times New Roman" w:cs="Times New Roman"/>
          <w:color w:val="222222"/>
          <w:kern w:val="0"/>
          <w:shd w:val="clear" w:color="auto" w:fill="FFFFFF"/>
          <w:lang w:eastAsia="fr-FR"/>
          <w14:ligatures w14:val="none"/>
        </w:rPr>
        <w:t>a présentation</w:t>
      </w:r>
      <w:r w:rsidR="00E06DA1">
        <w:rPr>
          <w:rFonts w:ascii="Times New Roman" w:eastAsia="Times New Roman" w:hAnsi="Times New Roman" w:cs="Times New Roman"/>
          <w:color w:val="222222"/>
          <w:kern w:val="0"/>
          <w:shd w:val="clear" w:color="auto" w:fill="FFFFFF"/>
          <w:lang w:eastAsia="fr-FR"/>
          <w14:ligatures w14:val="none"/>
        </w:rPr>
        <w:t xml:space="preserve"> </w:t>
      </w:r>
      <w:r w:rsidR="001E5DD4">
        <w:rPr>
          <w:rFonts w:ascii="Times New Roman" w:eastAsia="Times New Roman" w:hAnsi="Times New Roman" w:cs="Times New Roman"/>
          <w:color w:val="222222"/>
          <w:kern w:val="0"/>
          <w:shd w:val="clear" w:color="auto" w:fill="FFFFFF"/>
          <w:lang w:eastAsia="fr-FR"/>
          <w14:ligatures w14:val="none"/>
        </w:rPr>
        <w:t>de la « </w:t>
      </w:r>
      <w:r w:rsidR="001E5DD4">
        <w:rPr>
          <w:rFonts w:ascii="Times New Roman" w:eastAsia="Times New Roman" w:hAnsi="Times New Roman" w:cs="Times New Roman"/>
          <w:i/>
          <w:iCs/>
          <w:color w:val="222222"/>
          <w:kern w:val="0"/>
          <w:shd w:val="clear" w:color="auto" w:fill="FFFFFF"/>
          <w:lang w:eastAsia="fr-FR"/>
          <w14:ligatures w14:val="none"/>
        </w:rPr>
        <w:t>pulsion narrative</w:t>
      </w:r>
      <w:r w:rsidR="00286C35">
        <w:rPr>
          <w:rStyle w:val="Appelnotedebasdep"/>
          <w:rFonts w:ascii="Times New Roman" w:eastAsia="Times New Roman" w:hAnsi="Times New Roman" w:cs="Times New Roman"/>
          <w:color w:val="222222"/>
          <w:kern w:val="0"/>
          <w:shd w:val="clear" w:color="auto" w:fill="FFFFFF"/>
          <w:lang w:eastAsia="fr-FR"/>
          <w14:ligatures w14:val="none"/>
        </w:rPr>
        <w:footnoteReference w:id="25"/>
      </w:r>
      <w:r w:rsidR="001E5DD4">
        <w:rPr>
          <w:rFonts w:ascii="Times New Roman" w:eastAsia="Times New Roman" w:hAnsi="Times New Roman" w:cs="Times New Roman"/>
          <w:color w:val="222222"/>
          <w:kern w:val="0"/>
          <w:shd w:val="clear" w:color="auto" w:fill="FFFFFF"/>
          <w:lang w:eastAsia="fr-FR"/>
          <w14:ligatures w14:val="none"/>
        </w:rPr>
        <w:t> » comme un « </w:t>
      </w:r>
      <w:r w:rsidR="001E5DD4" w:rsidRPr="001E5DD4">
        <w:rPr>
          <w:rFonts w:ascii="Times New Roman" w:eastAsia="Times New Roman" w:hAnsi="Times New Roman" w:cs="Times New Roman"/>
          <w:color w:val="222222"/>
          <w:kern w:val="0"/>
          <w:shd w:val="clear" w:color="auto" w:fill="FFFFFF"/>
          <w:lang w:eastAsia="fr-FR"/>
          <w14:ligatures w14:val="none"/>
        </w:rPr>
        <w:t>ressort majeur de notre fonctionnement psychique, qui a le mérite de nous protéger de l’éparpillement</w:t>
      </w:r>
      <w:r w:rsidR="001E5DD4">
        <w:rPr>
          <w:rStyle w:val="Appelnotedebasdep"/>
          <w:rFonts w:ascii="Times New Roman" w:eastAsia="Times New Roman" w:hAnsi="Times New Roman" w:cs="Times New Roman"/>
          <w:color w:val="222222"/>
          <w:kern w:val="0"/>
          <w:shd w:val="clear" w:color="auto" w:fill="FFFFFF"/>
          <w:lang w:eastAsia="fr-FR"/>
          <w14:ligatures w14:val="none"/>
        </w:rPr>
        <w:footnoteReference w:id="26"/>
      </w:r>
      <w:r w:rsidR="001E5DD4" w:rsidRPr="001E5DD4">
        <w:rPr>
          <w:rFonts w:ascii="Times New Roman" w:eastAsia="Times New Roman" w:hAnsi="Times New Roman" w:cs="Times New Roman"/>
          <w:color w:val="222222"/>
          <w:kern w:val="0"/>
          <w:shd w:val="clear" w:color="auto" w:fill="FFFFFF"/>
          <w:lang w:eastAsia="fr-FR"/>
          <w14:ligatures w14:val="none"/>
        </w:rPr>
        <w:t>. »</w:t>
      </w:r>
    </w:p>
    <w:p w14:paraId="3DF8D418" w14:textId="77777777" w:rsidR="000150FC" w:rsidRDefault="000150FC" w:rsidP="00A95153">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0DED8240" w14:textId="77777777" w:rsidR="000150FC" w:rsidRDefault="00A254A8" w:rsidP="000150FC">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b</w:t>
      </w:r>
      <w:r w:rsidR="000150FC">
        <w:rPr>
          <w:rFonts w:ascii="Times New Roman" w:eastAsia="Times New Roman" w:hAnsi="Times New Roman" w:cs="Times New Roman"/>
          <w:color w:val="222222"/>
          <w:kern w:val="0"/>
          <w:shd w:val="clear" w:color="auto" w:fill="FFFFFF"/>
          <w:lang w:eastAsia="fr-FR"/>
          <w14:ligatures w14:val="none"/>
        </w:rPr>
        <w:t xml:space="preserve">. </w:t>
      </w:r>
      <w:r>
        <w:rPr>
          <w:rFonts w:ascii="Times New Roman" w:eastAsia="Times New Roman" w:hAnsi="Times New Roman" w:cs="Times New Roman"/>
          <w:color w:val="222222"/>
          <w:kern w:val="0"/>
          <w:shd w:val="clear" w:color="auto" w:fill="FFFFFF"/>
          <w:lang w:eastAsia="fr-FR"/>
          <w14:ligatures w14:val="none"/>
        </w:rPr>
        <w:t>Des auteur·rice·s imaginaires et imaginé·e·s interchangeables</w:t>
      </w:r>
    </w:p>
    <w:p w14:paraId="6BAA8972" w14:textId="77777777" w:rsidR="00A254A8" w:rsidRDefault="00A254A8" w:rsidP="000150FC">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0867BD19" w14:textId="77777777" w:rsidR="00FD2D5F" w:rsidRDefault="00A254A8"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Une autre idée de Pierre Bayard qui me semble particulièrement plagiée par les auteur·rice·s de l’Antiquité tardive est celle d’auteur·rice·s imaginaires, </w:t>
      </w:r>
      <w:r w:rsidR="007E1A60">
        <w:rPr>
          <w:rFonts w:ascii="Times New Roman" w:eastAsia="Times New Roman" w:hAnsi="Times New Roman" w:cs="Times New Roman"/>
          <w:color w:val="222222"/>
          <w:kern w:val="0"/>
          <w:shd w:val="clear" w:color="auto" w:fill="FFFFFF"/>
          <w:lang w:eastAsia="fr-FR"/>
          <w14:ligatures w14:val="none"/>
        </w:rPr>
        <w:t xml:space="preserve">une idée </w:t>
      </w:r>
      <w:r>
        <w:rPr>
          <w:rFonts w:ascii="Times New Roman" w:eastAsia="Times New Roman" w:hAnsi="Times New Roman" w:cs="Times New Roman"/>
          <w:color w:val="222222"/>
          <w:kern w:val="0"/>
          <w:shd w:val="clear" w:color="auto" w:fill="FFFFFF"/>
          <w:lang w:eastAsia="fr-FR"/>
          <w14:ligatures w14:val="none"/>
        </w:rPr>
        <w:t xml:space="preserve">que Pierre Bayard lui-même </w:t>
      </w:r>
      <w:r w:rsidR="00E4575F">
        <w:rPr>
          <w:rFonts w:ascii="Times New Roman" w:eastAsia="Times New Roman" w:hAnsi="Times New Roman" w:cs="Times New Roman"/>
          <w:color w:val="222222"/>
          <w:kern w:val="0"/>
          <w:shd w:val="clear" w:color="auto" w:fill="FFFFFF"/>
          <w:lang w:eastAsia="fr-FR"/>
          <w14:ligatures w14:val="none"/>
        </w:rPr>
        <w:t>envisage à propos d’un texte antique, l’</w:t>
      </w:r>
      <w:r w:rsidR="00E4575F">
        <w:rPr>
          <w:rFonts w:ascii="Times New Roman" w:eastAsia="Times New Roman" w:hAnsi="Times New Roman" w:cs="Times New Roman"/>
          <w:i/>
          <w:iCs/>
          <w:color w:val="222222"/>
          <w:kern w:val="0"/>
          <w:shd w:val="clear" w:color="auto" w:fill="FFFFFF"/>
          <w:lang w:eastAsia="fr-FR"/>
          <w14:ligatures w14:val="none"/>
        </w:rPr>
        <w:t>Odyssée</w:t>
      </w:r>
      <w:r w:rsidR="00E4575F">
        <w:rPr>
          <w:rStyle w:val="Appelnotedebasdep"/>
          <w:rFonts w:ascii="Times New Roman" w:eastAsia="Times New Roman" w:hAnsi="Times New Roman" w:cs="Times New Roman"/>
          <w:color w:val="222222"/>
          <w:kern w:val="0"/>
          <w:shd w:val="clear" w:color="auto" w:fill="FFFFFF"/>
          <w:lang w:eastAsia="fr-FR"/>
          <w14:ligatures w14:val="none"/>
        </w:rPr>
        <w:footnoteReference w:id="27"/>
      </w:r>
      <w:r w:rsidR="00E4575F">
        <w:rPr>
          <w:rFonts w:ascii="Times New Roman" w:eastAsia="Times New Roman" w:hAnsi="Times New Roman" w:cs="Times New Roman"/>
          <w:color w:val="222222"/>
          <w:kern w:val="0"/>
          <w:shd w:val="clear" w:color="auto" w:fill="FFFFFF"/>
          <w:lang w:eastAsia="fr-FR"/>
          <w14:ligatures w14:val="none"/>
        </w:rPr>
        <w:t xml:space="preserve">. </w:t>
      </w:r>
      <w:r w:rsidR="005607F2">
        <w:rPr>
          <w:rFonts w:ascii="Times New Roman" w:eastAsia="Times New Roman" w:hAnsi="Times New Roman" w:cs="Times New Roman"/>
          <w:color w:val="222222"/>
          <w:kern w:val="0"/>
          <w:shd w:val="clear" w:color="auto" w:fill="FFFFFF"/>
          <w:lang w:eastAsia="fr-FR"/>
          <w14:ligatures w14:val="none"/>
        </w:rPr>
        <w:t>De telles attributions flottantes</w:t>
      </w:r>
      <w:r w:rsidR="000968DE">
        <w:rPr>
          <w:rFonts w:ascii="Times New Roman" w:eastAsia="Times New Roman" w:hAnsi="Times New Roman" w:cs="Times New Roman"/>
          <w:color w:val="222222"/>
          <w:kern w:val="0"/>
          <w:shd w:val="clear" w:color="auto" w:fill="FFFFFF"/>
          <w:lang w:eastAsia="fr-FR"/>
          <w14:ligatures w14:val="none"/>
        </w:rPr>
        <w:t xml:space="preserve"> </w:t>
      </w:r>
      <w:r w:rsidR="005607F2">
        <w:rPr>
          <w:rFonts w:ascii="Times New Roman" w:eastAsia="Times New Roman" w:hAnsi="Times New Roman" w:cs="Times New Roman"/>
          <w:color w:val="222222"/>
          <w:kern w:val="0"/>
          <w:shd w:val="clear" w:color="auto" w:fill="FFFFFF"/>
          <w:lang w:eastAsia="fr-FR"/>
          <w14:ligatures w14:val="none"/>
        </w:rPr>
        <w:t>sont fréquentes pour des textes antiques en général</w:t>
      </w:r>
      <w:r w:rsidR="005607F2">
        <w:rPr>
          <w:rStyle w:val="Appelnotedebasdep"/>
          <w:rFonts w:ascii="Times New Roman" w:eastAsia="Times New Roman" w:hAnsi="Times New Roman" w:cs="Times New Roman"/>
          <w:color w:val="222222"/>
          <w:kern w:val="0"/>
          <w:shd w:val="clear" w:color="auto" w:fill="FFFFFF"/>
          <w:lang w:eastAsia="fr-FR"/>
          <w14:ligatures w14:val="none"/>
        </w:rPr>
        <w:footnoteReference w:id="28"/>
      </w:r>
      <w:r w:rsidR="005607F2">
        <w:rPr>
          <w:rFonts w:ascii="Times New Roman" w:eastAsia="Times New Roman" w:hAnsi="Times New Roman" w:cs="Times New Roman"/>
          <w:color w:val="222222"/>
          <w:kern w:val="0"/>
          <w:shd w:val="clear" w:color="auto" w:fill="FFFFFF"/>
          <w:lang w:eastAsia="fr-FR"/>
          <w14:ligatures w14:val="none"/>
        </w:rPr>
        <w:t xml:space="preserve"> et de l’Antiquité tardive en particulier</w:t>
      </w:r>
      <w:r w:rsidR="007E1A60">
        <w:rPr>
          <w:rStyle w:val="Appelnotedebasdep"/>
          <w:rFonts w:ascii="Times New Roman" w:eastAsia="Times New Roman" w:hAnsi="Times New Roman" w:cs="Times New Roman"/>
          <w:color w:val="222222"/>
          <w:kern w:val="0"/>
          <w:shd w:val="clear" w:color="auto" w:fill="FFFFFF"/>
          <w:lang w:eastAsia="fr-FR"/>
          <w14:ligatures w14:val="none"/>
        </w:rPr>
        <w:footnoteReference w:id="29"/>
      </w:r>
      <w:r w:rsidR="0019334C">
        <w:rPr>
          <w:rFonts w:ascii="Times New Roman" w:eastAsia="Times New Roman" w:hAnsi="Times New Roman" w:cs="Times New Roman"/>
          <w:color w:val="222222"/>
          <w:kern w:val="0"/>
          <w:shd w:val="clear" w:color="auto" w:fill="FFFFFF"/>
          <w:lang w:eastAsia="fr-FR"/>
          <w14:ligatures w14:val="none"/>
        </w:rPr>
        <w:t>. Elles peuvent s’expliquer par</w:t>
      </w:r>
      <w:r w:rsidR="000968DE">
        <w:rPr>
          <w:rFonts w:ascii="Times New Roman" w:eastAsia="Times New Roman" w:hAnsi="Times New Roman" w:cs="Times New Roman"/>
          <w:color w:val="222222"/>
          <w:kern w:val="0"/>
          <w:shd w:val="clear" w:color="auto" w:fill="FFFFFF"/>
          <w:lang w:eastAsia="fr-FR"/>
          <w14:ligatures w14:val="none"/>
        </w:rPr>
        <w:t xml:space="preserve"> des raisons accidentelles</w:t>
      </w:r>
      <w:r w:rsidR="0019334C">
        <w:rPr>
          <w:rFonts w:ascii="Times New Roman" w:eastAsia="Times New Roman" w:hAnsi="Times New Roman" w:cs="Times New Roman"/>
          <w:color w:val="222222"/>
          <w:kern w:val="0"/>
          <w:shd w:val="clear" w:color="auto" w:fill="FFFFFF"/>
          <w:lang w:eastAsia="fr-FR"/>
          <w14:ligatures w14:val="none"/>
        </w:rPr>
        <w:t xml:space="preserve"> – des erreurs dans la transmission manuscrite – mais aussi programmatiques. Certains textes peuvent en effet être composés comme s’ils avaient été écrits par un autre auteur que leur auteur ou leur autrice réelle, ce qui est une manière de les placer sous le patronage d’un personnage reconnue comme une figure d’autorité – Paul par exemple pour l’</w:t>
      </w:r>
      <w:r w:rsidR="0019334C">
        <w:rPr>
          <w:rFonts w:ascii="Times New Roman" w:eastAsia="Times New Roman" w:hAnsi="Times New Roman" w:cs="Times New Roman"/>
          <w:i/>
          <w:iCs/>
          <w:color w:val="222222"/>
          <w:kern w:val="0"/>
          <w:shd w:val="clear" w:color="auto" w:fill="FFFFFF"/>
          <w:lang w:eastAsia="fr-FR"/>
          <w14:ligatures w14:val="none"/>
        </w:rPr>
        <w:t>Épître aux Éphésiens</w:t>
      </w:r>
      <w:r w:rsidR="0019334C">
        <w:rPr>
          <w:rFonts w:ascii="Times New Roman" w:eastAsia="Times New Roman" w:hAnsi="Times New Roman" w:cs="Times New Roman"/>
          <w:color w:val="222222"/>
          <w:kern w:val="0"/>
          <w:shd w:val="clear" w:color="auto" w:fill="FFFFFF"/>
          <w:lang w:eastAsia="fr-FR"/>
          <w14:ligatures w14:val="none"/>
        </w:rPr>
        <w:t>, l’</w:t>
      </w:r>
      <w:r w:rsidR="0019334C">
        <w:rPr>
          <w:rFonts w:ascii="Times New Roman" w:eastAsia="Times New Roman" w:hAnsi="Times New Roman" w:cs="Times New Roman"/>
          <w:i/>
          <w:iCs/>
          <w:color w:val="222222"/>
          <w:kern w:val="0"/>
          <w:shd w:val="clear" w:color="auto" w:fill="FFFFFF"/>
          <w:lang w:eastAsia="fr-FR"/>
          <w14:ligatures w14:val="none"/>
        </w:rPr>
        <w:t>Épître aux Colossiens</w:t>
      </w:r>
      <w:r w:rsidR="0019334C">
        <w:rPr>
          <w:rFonts w:ascii="Times New Roman" w:eastAsia="Times New Roman" w:hAnsi="Times New Roman" w:cs="Times New Roman"/>
          <w:color w:val="222222"/>
          <w:kern w:val="0"/>
          <w:shd w:val="clear" w:color="auto" w:fill="FFFFFF"/>
          <w:lang w:eastAsia="fr-FR"/>
          <w14:ligatures w14:val="none"/>
        </w:rPr>
        <w:t xml:space="preserve"> et la </w:t>
      </w:r>
      <w:r w:rsidR="0019334C">
        <w:rPr>
          <w:rFonts w:ascii="Times New Roman" w:eastAsia="Times New Roman" w:hAnsi="Times New Roman" w:cs="Times New Roman"/>
          <w:i/>
          <w:iCs/>
          <w:color w:val="222222"/>
          <w:kern w:val="0"/>
          <w:shd w:val="clear" w:color="auto" w:fill="FFFFFF"/>
          <w:lang w:eastAsia="fr-FR"/>
          <w14:ligatures w14:val="none"/>
        </w:rPr>
        <w:t>Deuxième épître aux Thessaloniciens</w:t>
      </w:r>
      <w:r w:rsidR="0019334C" w:rsidRPr="00E03247">
        <w:rPr>
          <w:rStyle w:val="Appelnotedebasdep"/>
          <w:rFonts w:ascii="Times New Roman" w:eastAsia="Times New Roman" w:hAnsi="Times New Roman" w:cs="Times New Roman"/>
          <w:color w:val="222222"/>
          <w:kern w:val="0"/>
          <w:shd w:val="clear" w:color="auto" w:fill="FFFFFF"/>
          <w:lang w:eastAsia="fr-FR"/>
          <w14:ligatures w14:val="none"/>
        </w:rPr>
        <w:footnoteReference w:id="30"/>
      </w:r>
      <w:r w:rsidR="00E03247">
        <w:rPr>
          <w:rFonts w:ascii="Times New Roman" w:eastAsia="Times New Roman" w:hAnsi="Times New Roman" w:cs="Times New Roman"/>
          <w:color w:val="222222"/>
          <w:kern w:val="0"/>
          <w:shd w:val="clear" w:color="auto" w:fill="FFFFFF"/>
          <w:lang w:eastAsia="fr-FR"/>
          <w14:ligatures w14:val="none"/>
        </w:rPr>
        <w:t xml:space="preserve"> – appelées traditionnellement les épîtres « deutéro-pauliniennes » – et les deux épîtres à Timothée ainsi que l’</w:t>
      </w:r>
      <w:r w:rsidR="00E03247">
        <w:rPr>
          <w:rFonts w:ascii="Times New Roman" w:eastAsia="Times New Roman" w:hAnsi="Times New Roman" w:cs="Times New Roman"/>
          <w:i/>
          <w:iCs/>
          <w:color w:val="222222"/>
          <w:kern w:val="0"/>
          <w:shd w:val="clear" w:color="auto" w:fill="FFFFFF"/>
          <w:lang w:eastAsia="fr-FR"/>
          <w14:ligatures w14:val="none"/>
        </w:rPr>
        <w:t>Épître à Tite</w:t>
      </w:r>
      <w:r w:rsidR="00E03247">
        <w:rPr>
          <w:rFonts w:ascii="Times New Roman" w:eastAsia="Times New Roman" w:hAnsi="Times New Roman" w:cs="Times New Roman"/>
          <w:color w:val="222222"/>
          <w:kern w:val="0"/>
          <w:shd w:val="clear" w:color="auto" w:fill="FFFFFF"/>
          <w:lang w:eastAsia="fr-FR"/>
          <w14:ligatures w14:val="none"/>
        </w:rPr>
        <w:t xml:space="preserve"> – appelées les épîtres « trito-pauliniennes » ou « pastorales »</w:t>
      </w:r>
      <w:r w:rsidR="00E03247">
        <w:rPr>
          <w:rStyle w:val="Appelnotedebasdep"/>
          <w:rFonts w:ascii="Times New Roman" w:eastAsia="Times New Roman" w:hAnsi="Times New Roman" w:cs="Times New Roman"/>
          <w:color w:val="222222"/>
          <w:kern w:val="0"/>
          <w:shd w:val="clear" w:color="auto" w:fill="FFFFFF"/>
          <w:lang w:eastAsia="fr-FR"/>
          <w14:ligatures w14:val="none"/>
        </w:rPr>
        <w:footnoteReference w:id="31"/>
      </w:r>
      <w:r w:rsidR="00E03247">
        <w:rPr>
          <w:rFonts w:ascii="Times New Roman" w:eastAsia="Times New Roman" w:hAnsi="Times New Roman" w:cs="Times New Roman"/>
          <w:color w:val="222222"/>
          <w:kern w:val="0"/>
          <w:shd w:val="clear" w:color="auto" w:fill="FFFFFF"/>
          <w:lang w:eastAsia="fr-FR"/>
          <w14:ligatures w14:val="none"/>
        </w:rPr>
        <w:t xml:space="preserve">. </w:t>
      </w:r>
    </w:p>
    <w:p w14:paraId="0ECE241A" w14:textId="77777777" w:rsidR="00E442F7" w:rsidRDefault="00E442F7"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lastRenderedPageBreak/>
        <w:t>À ces auteurs imaginaires individuels, comme Paul, on pourrait aussi ajouter des communautés d’auteur·rice·s imaginaires, créées par exemple par les hérésiologues. Ceux-ci présentent en effet des taxinomies de groupes chrétiens aux idées distinctes de celles de l’Église majoritaire en leur donnant des noms empruntés à leurs fondateurs supposés</w:t>
      </w:r>
      <w:r w:rsidR="00DF369C">
        <w:rPr>
          <w:rFonts w:ascii="Times New Roman" w:eastAsia="Times New Roman" w:hAnsi="Times New Roman" w:cs="Times New Roman"/>
          <w:color w:val="222222"/>
          <w:kern w:val="0"/>
          <w:shd w:val="clear" w:color="auto" w:fill="FFFFFF"/>
          <w:lang w:eastAsia="fr-FR"/>
          <w14:ligatures w14:val="none"/>
        </w:rPr>
        <w:t xml:space="preserve"> – les « Valentiniens » par exemple</w:t>
      </w:r>
      <w:r w:rsidR="00BA5AA3">
        <w:rPr>
          <w:rStyle w:val="Appelnotedebasdep"/>
          <w:rFonts w:ascii="Times New Roman" w:eastAsia="Times New Roman" w:hAnsi="Times New Roman" w:cs="Times New Roman"/>
          <w:color w:val="222222"/>
          <w:kern w:val="0"/>
          <w:shd w:val="clear" w:color="auto" w:fill="FFFFFF"/>
          <w:lang w:eastAsia="fr-FR"/>
          <w14:ligatures w14:val="none"/>
        </w:rPr>
        <w:footnoteReference w:id="32"/>
      </w:r>
      <w:r w:rsidR="00DF369C">
        <w:rPr>
          <w:rFonts w:ascii="Times New Roman" w:eastAsia="Times New Roman" w:hAnsi="Times New Roman" w:cs="Times New Roman"/>
          <w:color w:val="222222"/>
          <w:kern w:val="0"/>
          <w:shd w:val="clear" w:color="auto" w:fill="FFFFFF"/>
          <w:lang w:eastAsia="fr-FR"/>
          <w14:ligatures w14:val="none"/>
        </w:rPr>
        <w:t xml:space="preserve"> – </w:t>
      </w:r>
      <w:r w:rsidR="00BA5AA3">
        <w:rPr>
          <w:rFonts w:ascii="Times New Roman" w:eastAsia="Times New Roman" w:hAnsi="Times New Roman" w:cs="Times New Roman"/>
          <w:color w:val="222222"/>
          <w:kern w:val="0"/>
          <w:shd w:val="clear" w:color="auto" w:fill="FFFFFF"/>
          <w:lang w:eastAsia="fr-FR"/>
          <w14:ligatures w14:val="none"/>
        </w:rPr>
        <w:t>ou à leurs idées</w:t>
      </w:r>
      <w:r w:rsidR="00DF369C">
        <w:rPr>
          <w:rFonts w:ascii="Times New Roman" w:eastAsia="Times New Roman" w:hAnsi="Times New Roman" w:cs="Times New Roman"/>
          <w:color w:val="222222"/>
          <w:kern w:val="0"/>
          <w:shd w:val="clear" w:color="auto" w:fill="FFFFFF"/>
          <w:lang w:eastAsia="fr-FR"/>
          <w14:ligatures w14:val="none"/>
        </w:rPr>
        <w:t xml:space="preserve"> – les « gnostiques » notamment, pour un groupe revendiquant une « gnose », c’est-à-dire une « connaissance » apportant le salut</w:t>
      </w:r>
      <w:r w:rsidR="00DF369C">
        <w:rPr>
          <w:rStyle w:val="Appelnotedebasdep"/>
          <w:rFonts w:ascii="Times New Roman" w:eastAsia="Times New Roman" w:hAnsi="Times New Roman" w:cs="Times New Roman"/>
          <w:color w:val="222222"/>
          <w:kern w:val="0"/>
          <w:shd w:val="clear" w:color="auto" w:fill="FFFFFF"/>
          <w:lang w:eastAsia="fr-FR"/>
          <w14:ligatures w14:val="none"/>
        </w:rPr>
        <w:footnoteReference w:id="33"/>
      </w:r>
      <w:r w:rsidR="00DF369C">
        <w:rPr>
          <w:rFonts w:ascii="Times New Roman" w:eastAsia="Times New Roman" w:hAnsi="Times New Roman" w:cs="Times New Roman"/>
          <w:color w:val="222222"/>
          <w:kern w:val="0"/>
          <w:shd w:val="clear" w:color="auto" w:fill="FFFFFF"/>
          <w:lang w:eastAsia="fr-FR"/>
          <w14:ligatures w14:val="none"/>
        </w:rPr>
        <w:t xml:space="preserve"> – </w:t>
      </w:r>
      <w:r w:rsidR="00BA5AA3">
        <w:rPr>
          <w:rFonts w:ascii="Times New Roman" w:eastAsia="Times New Roman" w:hAnsi="Times New Roman" w:cs="Times New Roman"/>
          <w:color w:val="222222"/>
          <w:kern w:val="0"/>
          <w:shd w:val="clear" w:color="auto" w:fill="FFFFFF"/>
          <w:lang w:eastAsia="fr-FR"/>
          <w14:ligatures w14:val="none"/>
        </w:rPr>
        <w:t>et en attribuant certains livres, collectivement, à ces groupes</w:t>
      </w:r>
      <w:r w:rsidR="00520BB5">
        <w:rPr>
          <w:rStyle w:val="Appelnotedebasdep"/>
          <w:rFonts w:ascii="Times New Roman" w:eastAsia="Times New Roman" w:hAnsi="Times New Roman" w:cs="Times New Roman"/>
          <w:color w:val="222222"/>
          <w:kern w:val="0"/>
          <w:shd w:val="clear" w:color="auto" w:fill="FFFFFF"/>
          <w:lang w:eastAsia="fr-FR"/>
          <w14:ligatures w14:val="none"/>
        </w:rPr>
        <w:footnoteReference w:id="34"/>
      </w:r>
      <w:r w:rsidR="00BA5AA3">
        <w:rPr>
          <w:rFonts w:ascii="Times New Roman" w:eastAsia="Times New Roman" w:hAnsi="Times New Roman" w:cs="Times New Roman"/>
          <w:color w:val="222222"/>
          <w:kern w:val="0"/>
          <w:shd w:val="clear" w:color="auto" w:fill="FFFFFF"/>
          <w:lang w:eastAsia="fr-FR"/>
          <w14:ligatures w14:val="none"/>
        </w:rPr>
        <w:t>.</w:t>
      </w:r>
      <w:r w:rsidR="00895C36">
        <w:rPr>
          <w:rFonts w:ascii="Times New Roman" w:eastAsia="Times New Roman" w:hAnsi="Times New Roman" w:cs="Times New Roman"/>
          <w:color w:val="222222"/>
          <w:kern w:val="0"/>
          <w:shd w:val="clear" w:color="auto" w:fill="FFFFFF"/>
          <w:lang w:eastAsia="fr-FR"/>
          <w14:ligatures w14:val="none"/>
        </w:rPr>
        <w:t xml:space="preserve"> Les appellations d’ « hérétiques » pour désigner l’ensemble des </w:t>
      </w:r>
      <w:r w:rsidR="00895C36">
        <w:rPr>
          <w:rFonts w:ascii="Times New Roman" w:eastAsia="Times New Roman" w:hAnsi="Times New Roman" w:cs="Times New Roman"/>
          <w:color w:val="222222"/>
          <w:kern w:val="0"/>
          <w:shd w:val="clear" w:color="auto" w:fill="FFFFFF"/>
          <w:lang w:eastAsia="fr-FR"/>
          <w14:ligatures w14:val="none"/>
        </w:rPr>
        <w:lastRenderedPageBreak/>
        <w:t>groupes opposés à la Grande Église</w:t>
      </w:r>
      <w:r w:rsidR="00895C36">
        <w:rPr>
          <w:rStyle w:val="Appelnotedebasdep"/>
          <w:rFonts w:ascii="Times New Roman" w:eastAsia="Times New Roman" w:hAnsi="Times New Roman" w:cs="Times New Roman"/>
          <w:color w:val="222222"/>
          <w:kern w:val="0"/>
          <w:shd w:val="clear" w:color="auto" w:fill="FFFFFF"/>
          <w:lang w:eastAsia="fr-FR"/>
          <w14:ligatures w14:val="none"/>
        </w:rPr>
        <w:footnoteReference w:id="35"/>
      </w:r>
      <w:r w:rsidR="00895C36">
        <w:rPr>
          <w:rFonts w:ascii="Times New Roman" w:eastAsia="Times New Roman" w:hAnsi="Times New Roman" w:cs="Times New Roman"/>
          <w:color w:val="222222"/>
          <w:kern w:val="0"/>
          <w:shd w:val="clear" w:color="auto" w:fill="FFFFFF"/>
          <w:lang w:eastAsia="fr-FR"/>
          <w14:ligatures w14:val="none"/>
        </w:rPr>
        <w:t xml:space="preserve"> et d’ « apocryphes » pour caractériser leurs textes créent, de la même façon, des communautés d’auteur·rice·s imaginaires</w:t>
      </w:r>
      <w:r w:rsidR="00895C36">
        <w:rPr>
          <w:rStyle w:val="Appelnotedebasdep"/>
          <w:rFonts w:ascii="Times New Roman" w:eastAsia="Times New Roman" w:hAnsi="Times New Roman" w:cs="Times New Roman"/>
          <w:color w:val="222222"/>
          <w:kern w:val="0"/>
          <w:shd w:val="clear" w:color="auto" w:fill="FFFFFF"/>
          <w:lang w:eastAsia="fr-FR"/>
          <w14:ligatures w14:val="none"/>
        </w:rPr>
        <w:footnoteReference w:id="36"/>
      </w:r>
      <w:r w:rsidR="00895C36">
        <w:rPr>
          <w:rFonts w:ascii="Times New Roman" w:eastAsia="Times New Roman" w:hAnsi="Times New Roman" w:cs="Times New Roman"/>
          <w:color w:val="222222"/>
          <w:kern w:val="0"/>
          <w:shd w:val="clear" w:color="auto" w:fill="FFFFFF"/>
          <w:lang w:eastAsia="fr-FR"/>
          <w14:ligatures w14:val="none"/>
        </w:rPr>
        <w:t xml:space="preserve">. On pourrait considérer que les adjectifs « juifs », « chrétiens » et « païens » fonctionnent de la même façon. </w:t>
      </w:r>
    </w:p>
    <w:p w14:paraId="154BBFE1" w14:textId="77777777" w:rsidR="00261785" w:rsidRDefault="00261785"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À partir du moment où on admet que ces attributions, que ce soit à des auteur·rice·s individuel·le·s soit à des communautés d’auteur·rice·s, sont imaginaires, rien n’empêche d’y appliquer, à titre expérimental, la proposition de Pierre Bayard selon laquelle il est possible de « </w:t>
      </w:r>
      <w:r>
        <w:rPr>
          <w:rFonts w:ascii="Times New Roman" w:eastAsia="Times New Roman" w:hAnsi="Times New Roman" w:cs="Times New Roman"/>
          <w:i/>
          <w:iCs/>
          <w:color w:val="222222"/>
          <w:kern w:val="0"/>
          <w:shd w:val="clear" w:color="auto" w:fill="FFFFFF"/>
          <w:lang w:eastAsia="fr-FR"/>
          <w14:ligatures w14:val="none"/>
        </w:rPr>
        <w:t>remplacer un auteur imaginaire par un autre auteur imaginaire</w:t>
      </w:r>
      <w:r w:rsidRPr="00261785">
        <w:rPr>
          <w:rStyle w:val="Appelnotedebasdep"/>
          <w:rFonts w:ascii="Times New Roman" w:eastAsia="Times New Roman" w:hAnsi="Times New Roman" w:cs="Times New Roman"/>
          <w:color w:val="222222"/>
          <w:kern w:val="0"/>
          <w:shd w:val="clear" w:color="auto" w:fill="FFFFFF"/>
          <w:lang w:eastAsia="fr-FR"/>
          <w14:ligatures w14:val="none"/>
        </w:rPr>
        <w:footnoteReference w:id="37"/>
      </w:r>
      <w:r>
        <w:rPr>
          <w:rFonts w:ascii="Times New Roman" w:eastAsia="Times New Roman" w:hAnsi="Times New Roman" w:cs="Times New Roman"/>
          <w:color w:val="222222"/>
          <w:kern w:val="0"/>
          <w:shd w:val="clear" w:color="auto" w:fill="FFFFFF"/>
          <w:lang w:eastAsia="fr-FR"/>
          <w14:ligatures w14:val="none"/>
        </w:rPr>
        <w:t xml:space="preserve"> ». On pourrait par exemple lire un texte « hérétique » – ou « valentinien » ou « gnostique », </w:t>
      </w:r>
      <w:r>
        <w:rPr>
          <w:rFonts w:ascii="Times New Roman" w:eastAsia="Times New Roman" w:hAnsi="Times New Roman" w:cs="Times New Roman"/>
          <w:i/>
          <w:iCs/>
          <w:color w:val="222222"/>
          <w:kern w:val="0"/>
          <w:shd w:val="clear" w:color="auto" w:fill="FFFFFF"/>
          <w:lang w:eastAsia="fr-FR"/>
          <w14:ligatures w14:val="none"/>
        </w:rPr>
        <w:t>etc.</w:t>
      </w:r>
      <w:r>
        <w:rPr>
          <w:rFonts w:ascii="Times New Roman" w:eastAsia="Times New Roman" w:hAnsi="Times New Roman" w:cs="Times New Roman"/>
          <w:color w:val="222222"/>
          <w:kern w:val="0"/>
          <w:shd w:val="clear" w:color="auto" w:fill="FFFFFF"/>
          <w:lang w:eastAsia="fr-FR"/>
          <w14:ligatures w14:val="none"/>
        </w:rPr>
        <w:t xml:space="preserve"> – comme un texte canonique de la Grande Église, et vice-versa</w:t>
      </w:r>
      <w:r>
        <w:rPr>
          <w:rStyle w:val="Appelnotedebasdep"/>
          <w:rFonts w:ascii="Times New Roman" w:eastAsia="Times New Roman" w:hAnsi="Times New Roman" w:cs="Times New Roman"/>
          <w:color w:val="222222"/>
          <w:kern w:val="0"/>
          <w:shd w:val="clear" w:color="auto" w:fill="FFFFFF"/>
          <w:lang w:eastAsia="fr-FR"/>
          <w14:ligatures w14:val="none"/>
        </w:rPr>
        <w:footnoteReference w:id="38"/>
      </w:r>
      <w:r>
        <w:rPr>
          <w:rFonts w:ascii="Times New Roman" w:eastAsia="Times New Roman" w:hAnsi="Times New Roman" w:cs="Times New Roman"/>
          <w:color w:val="222222"/>
          <w:kern w:val="0"/>
          <w:shd w:val="clear" w:color="auto" w:fill="FFFFFF"/>
          <w:lang w:eastAsia="fr-FR"/>
          <w14:ligatures w14:val="none"/>
        </w:rPr>
        <w:t xml:space="preserve">. </w:t>
      </w:r>
      <w:r w:rsidR="005D30A8">
        <w:rPr>
          <w:rFonts w:ascii="Times New Roman" w:eastAsia="Times New Roman" w:hAnsi="Times New Roman" w:cs="Times New Roman"/>
          <w:color w:val="222222"/>
          <w:kern w:val="0"/>
          <w:shd w:val="clear" w:color="auto" w:fill="FFFFFF"/>
          <w:lang w:eastAsia="fr-FR"/>
          <w14:ligatures w14:val="none"/>
        </w:rPr>
        <w:t xml:space="preserve">On pourrait même imaginer de nouveaux auteurs, de nouvelles autrices ou de nouvelles communautés d’auteur·rice·s imaginaires, en les formant selon les mêmes modalités – à partir du nom d’une figure fondatrice. </w:t>
      </w:r>
      <w:r w:rsidR="006C40DC">
        <w:rPr>
          <w:rFonts w:ascii="Times New Roman" w:eastAsia="Times New Roman" w:hAnsi="Times New Roman" w:cs="Times New Roman"/>
          <w:color w:val="222222"/>
          <w:kern w:val="0"/>
          <w:shd w:val="clear" w:color="auto" w:fill="FFFFFF"/>
          <w:lang w:eastAsia="fr-FR"/>
          <w14:ligatures w14:val="none"/>
        </w:rPr>
        <w:t>Ainsi, l’</w:t>
      </w:r>
      <w:r w:rsidR="006C40DC">
        <w:rPr>
          <w:rFonts w:ascii="Times New Roman" w:eastAsia="Times New Roman" w:hAnsi="Times New Roman" w:cs="Times New Roman"/>
          <w:i/>
          <w:iCs/>
          <w:color w:val="222222"/>
          <w:kern w:val="0"/>
          <w:shd w:val="clear" w:color="auto" w:fill="FFFFFF"/>
          <w:lang w:eastAsia="fr-FR"/>
          <w14:ligatures w14:val="none"/>
        </w:rPr>
        <w:t>Hypostase des archontes</w:t>
      </w:r>
      <w:r w:rsidR="006C40DC">
        <w:rPr>
          <w:rFonts w:ascii="Times New Roman" w:eastAsia="Times New Roman" w:hAnsi="Times New Roman" w:cs="Times New Roman"/>
          <w:color w:val="222222"/>
          <w:kern w:val="0"/>
          <w:shd w:val="clear" w:color="auto" w:fill="FFFFFF"/>
          <w:lang w:eastAsia="fr-FR"/>
          <w14:ligatures w14:val="none"/>
        </w:rPr>
        <w:t xml:space="preserve"> met en scène une femme héroïque, Noréa, capable de défier les puissances mauvaises que sont les archontes</w:t>
      </w:r>
      <w:r w:rsidR="00B33A13">
        <w:rPr>
          <w:rStyle w:val="Appelnotedebasdep"/>
          <w:rFonts w:ascii="Times New Roman" w:eastAsia="Times New Roman" w:hAnsi="Times New Roman" w:cs="Times New Roman"/>
          <w:color w:val="222222"/>
          <w:kern w:val="0"/>
          <w:shd w:val="clear" w:color="auto" w:fill="FFFFFF"/>
          <w:lang w:eastAsia="fr-FR"/>
          <w14:ligatures w14:val="none"/>
        </w:rPr>
        <w:footnoteReference w:id="39"/>
      </w:r>
      <w:r w:rsidR="00B33A13">
        <w:rPr>
          <w:rFonts w:ascii="Times New Roman" w:eastAsia="Times New Roman" w:hAnsi="Times New Roman" w:cs="Times New Roman"/>
          <w:color w:val="222222"/>
          <w:kern w:val="0"/>
          <w:shd w:val="clear" w:color="auto" w:fill="FFFFFF"/>
          <w:lang w:eastAsia="fr-FR"/>
          <w14:ligatures w14:val="none"/>
        </w:rPr>
        <w:t>,</w:t>
      </w:r>
      <w:r w:rsidR="006C40DC">
        <w:rPr>
          <w:rFonts w:ascii="Times New Roman" w:eastAsia="Times New Roman" w:hAnsi="Times New Roman" w:cs="Times New Roman"/>
          <w:color w:val="222222"/>
          <w:kern w:val="0"/>
          <w:shd w:val="clear" w:color="auto" w:fill="FFFFFF"/>
          <w:lang w:eastAsia="fr-FR"/>
          <w14:ligatures w14:val="none"/>
        </w:rPr>
        <w:t xml:space="preserve"> </w:t>
      </w:r>
      <w:r w:rsidR="00B33A13">
        <w:rPr>
          <w:rFonts w:ascii="Times New Roman" w:eastAsia="Times New Roman" w:hAnsi="Times New Roman" w:cs="Times New Roman"/>
          <w:color w:val="222222"/>
          <w:kern w:val="0"/>
          <w:shd w:val="clear" w:color="auto" w:fill="FFFFFF"/>
          <w:lang w:eastAsia="fr-FR"/>
          <w14:ligatures w14:val="none"/>
        </w:rPr>
        <w:t>et recevant une révélation par l’intermédiaire d’un ange</w:t>
      </w:r>
      <w:r w:rsidR="00B33A13">
        <w:rPr>
          <w:rStyle w:val="Appelnotedebasdep"/>
          <w:rFonts w:ascii="Times New Roman" w:eastAsia="Times New Roman" w:hAnsi="Times New Roman" w:cs="Times New Roman"/>
          <w:color w:val="222222"/>
          <w:kern w:val="0"/>
          <w:shd w:val="clear" w:color="auto" w:fill="FFFFFF"/>
          <w:lang w:eastAsia="fr-FR"/>
          <w14:ligatures w14:val="none"/>
        </w:rPr>
        <w:footnoteReference w:id="40"/>
      </w:r>
      <w:r w:rsidR="00B33A13">
        <w:rPr>
          <w:rFonts w:ascii="Times New Roman" w:eastAsia="Times New Roman" w:hAnsi="Times New Roman" w:cs="Times New Roman"/>
          <w:color w:val="222222"/>
          <w:kern w:val="0"/>
          <w:shd w:val="clear" w:color="auto" w:fill="FFFFFF"/>
          <w:lang w:eastAsia="fr-FR"/>
          <w14:ligatures w14:val="none"/>
        </w:rPr>
        <w:t>, deux aspects qui pourraient en faire la figure d’autorité d’une communauté que l’on pourrait décider d’appeler les Noréanistes.</w:t>
      </w:r>
    </w:p>
    <w:p w14:paraId="160CEAB1" w14:textId="77777777" w:rsidR="007A2295" w:rsidRDefault="00B33A1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 xml:space="preserve">Certaines propositions de Pierre Bayard s’avèrent ainsi non seulement valides, mais aussi fécondes, pour les textes de l’Antiquité tardive, ce qui me conduit à une autre étape de ma </w:t>
      </w:r>
      <w:r>
        <w:rPr>
          <w:rFonts w:ascii="Times New Roman" w:eastAsia="Times New Roman" w:hAnsi="Times New Roman" w:cs="Times New Roman"/>
          <w:color w:val="222222"/>
          <w:kern w:val="0"/>
          <w:shd w:val="clear" w:color="auto" w:fill="FFFFFF"/>
          <w:lang w:eastAsia="fr-FR"/>
          <w14:ligatures w14:val="none"/>
        </w:rPr>
        <w:lastRenderedPageBreak/>
        <w:t>réflexion : faire d’autres propositions théoriques, à partir de ce même corpus, et qui seraient valables également pour des œuvres d’autres époques.</w:t>
      </w:r>
    </w:p>
    <w:p w14:paraId="08943483" w14:textId="77777777" w:rsidR="00B33A13" w:rsidRDefault="00B33A1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38AF3F83" w14:textId="77777777" w:rsidR="00B33A13" w:rsidRDefault="00B33A1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B33A13">
        <w:rPr>
          <w:rFonts w:ascii="Times New Roman" w:eastAsia="Times New Roman" w:hAnsi="Times New Roman" w:cs="Times New Roman"/>
          <w:color w:val="222222"/>
          <w:kern w:val="0"/>
          <w:shd w:val="clear" w:color="auto" w:fill="FFFFFF"/>
          <w:lang w:eastAsia="fr-FR"/>
          <w14:ligatures w14:val="none"/>
        </w:rPr>
        <w:t>2. De deux propositions inspirées de Pierre Bayard pour l’étude des textes de l’Antiquité tardive (et au-delà ?)</w:t>
      </w:r>
    </w:p>
    <w:p w14:paraId="362447BA" w14:textId="77777777" w:rsidR="00B33A13" w:rsidRDefault="00B33A1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28E07AD2" w14:textId="77777777" w:rsidR="00B33A13" w:rsidRDefault="00B33A13"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B33A13">
        <w:rPr>
          <w:rFonts w:ascii="Times New Roman" w:eastAsia="Times New Roman" w:hAnsi="Times New Roman" w:cs="Times New Roman"/>
          <w:i/>
          <w:iCs/>
          <w:color w:val="222222"/>
          <w:kern w:val="0"/>
          <w:shd w:val="clear" w:color="auto" w:fill="FFFFFF"/>
          <w:lang w:eastAsia="fr-FR"/>
          <w14:ligatures w14:val="none"/>
        </w:rPr>
        <w:t>Où on célèbre les mauvais</w:t>
      </w:r>
      <w:r w:rsidRPr="00B33A13">
        <w:rPr>
          <w:rFonts w:ascii="Times New Roman" w:eastAsia="Times New Roman" w:hAnsi="Times New Roman" w:cs="Times New Roman"/>
          <w:color w:val="222222"/>
          <w:kern w:val="0"/>
          <w:shd w:val="clear" w:color="auto" w:fill="FFFFFF"/>
          <w:lang w:eastAsia="fr-FR"/>
          <w14:ligatures w14:val="none"/>
        </w:rPr>
        <w:t>·</w:t>
      </w:r>
      <w:r w:rsidRPr="00B33A13">
        <w:rPr>
          <w:rFonts w:ascii="Times New Roman" w:eastAsia="Times New Roman" w:hAnsi="Times New Roman" w:cs="Times New Roman"/>
          <w:i/>
          <w:iCs/>
          <w:color w:val="222222"/>
          <w:kern w:val="0"/>
          <w:shd w:val="clear" w:color="auto" w:fill="FFFFFF"/>
          <w:lang w:eastAsia="fr-FR"/>
          <w14:ligatures w14:val="none"/>
        </w:rPr>
        <w:t>es traducteur·rice·s et les faussaires</w:t>
      </w:r>
      <w:r w:rsidRPr="00B33A13">
        <w:rPr>
          <w:rFonts w:ascii="Times New Roman" w:eastAsia="Times New Roman" w:hAnsi="Times New Roman" w:cs="Times New Roman"/>
          <w:color w:val="222222"/>
          <w:kern w:val="0"/>
          <w:shd w:val="clear" w:color="auto" w:fill="FFFFFF"/>
          <w:lang w:eastAsia="fr-FR"/>
          <w14:ligatures w14:val="none"/>
        </w:rPr>
        <w:t>.</w:t>
      </w:r>
    </w:p>
    <w:p w14:paraId="46D4925F" w14:textId="77777777" w:rsidR="00FC235C" w:rsidRDefault="00FC235C"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6400164F" w14:textId="77777777" w:rsidR="00FC235C" w:rsidRPr="00B33A13" w:rsidRDefault="00FC235C"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a. Créer de nouvelles traductions.</w:t>
      </w:r>
    </w:p>
    <w:p w14:paraId="7264BFB2" w14:textId="77777777" w:rsidR="00B33A13" w:rsidRDefault="00B33A13" w:rsidP="00FD2D5F">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1E1AF831" w14:textId="77777777" w:rsidR="00B33A13" w:rsidRDefault="00B33A13"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B33A13">
        <w:rPr>
          <w:rFonts w:ascii="Times New Roman" w:eastAsia="Times New Roman" w:hAnsi="Times New Roman" w:cs="Times New Roman"/>
          <w:color w:val="222222"/>
          <w:kern w:val="0"/>
          <w:shd w:val="clear" w:color="auto" w:fill="FFFFFF"/>
          <w:lang w:eastAsia="fr-FR"/>
          <w14:ligatures w14:val="none"/>
        </w:rPr>
        <w:t>« Dans ma tête, il y avait l’histoire. Et l’histoire était près de Dieu. Et l’histoire était un Dieu. Celle-ci était dans ma tête, proche de Dieu</w:t>
      </w:r>
      <w:r w:rsidR="00CD5BBD">
        <w:rPr>
          <w:rStyle w:val="Appelnotedebasdep"/>
          <w:rFonts w:ascii="Times New Roman" w:eastAsia="Times New Roman" w:hAnsi="Times New Roman" w:cs="Times New Roman"/>
          <w:color w:val="222222"/>
          <w:kern w:val="0"/>
          <w:shd w:val="clear" w:color="auto" w:fill="FFFFFF"/>
          <w:lang w:eastAsia="fr-FR"/>
          <w14:ligatures w14:val="none"/>
        </w:rPr>
        <w:footnoteReference w:id="41"/>
      </w:r>
      <w:r w:rsidRPr="00B33A13">
        <w:rPr>
          <w:rFonts w:ascii="Times New Roman" w:eastAsia="Times New Roman" w:hAnsi="Times New Roman" w:cs="Times New Roman"/>
          <w:color w:val="222222"/>
          <w:kern w:val="0"/>
          <w:shd w:val="clear" w:color="auto" w:fill="FFFFFF"/>
          <w:lang w:eastAsia="fr-FR"/>
          <w14:ligatures w14:val="none"/>
        </w:rPr>
        <w:t>. »</w:t>
      </w:r>
    </w:p>
    <w:p w14:paraId="0BB03244" w14:textId="77777777" w:rsidR="00CD5BBD" w:rsidRDefault="00CD5BBD"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p>
    <w:p w14:paraId="0185129B" w14:textId="77777777" w:rsidR="00CD5BBD" w:rsidRPr="00FC62B5" w:rsidRDefault="00CD5BBD" w:rsidP="00B33A13">
      <w:pPr>
        <w:spacing w:line="360" w:lineRule="auto"/>
        <w:jc w:val="both"/>
        <w:rPr>
          <w:rFonts w:ascii="Times New Roman" w:hAnsi="Times New Roman" w:cs="Times New Roman"/>
        </w:rPr>
      </w:pPr>
      <w:r w:rsidRPr="00814258">
        <w:rPr>
          <w:rFonts w:ascii="Times New Roman" w:eastAsia="Times New Roman" w:hAnsi="Times New Roman" w:cs="Times New Roman"/>
          <w:color w:val="222222"/>
          <w:kern w:val="0"/>
          <w:shd w:val="clear" w:color="auto" w:fill="FFFFFF"/>
          <w:lang w:eastAsia="fr-FR"/>
          <w14:ligatures w14:val="none"/>
        </w:rPr>
        <w:t xml:space="preserve">Le </w:t>
      </w:r>
      <w:r w:rsidRPr="00814258">
        <w:rPr>
          <w:rFonts w:ascii="Times New Roman" w:eastAsia="Times New Roman" w:hAnsi="Times New Roman" w:cs="Times New Roman"/>
          <w:i/>
          <w:iCs/>
          <w:color w:val="222222"/>
          <w:kern w:val="0"/>
          <w:shd w:val="clear" w:color="auto" w:fill="FFFFFF"/>
          <w:lang w:eastAsia="fr-FR"/>
          <w14:ligatures w14:val="none"/>
        </w:rPr>
        <w:t xml:space="preserve">codex </w:t>
      </w:r>
      <w:r w:rsidRPr="00814258">
        <w:rPr>
          <w:rFonts w:ascii="Times New Roman" w:hAnsi="Times New Roman" w:cs="Times New Roman"/>
          <w:smallCaps/>
        </w:rPr>
        <w:t>vi</w:t>
      </w:r>
      <w:r w:rsidRPr="00814258">
        <w:rPr>
          <w:rFonts w:ascii="Times New Roman" w:hAnsi="Times New Roman" w:cs="Times New Roman"/>
        </w:rPr>
        <w:t xml:space="preserve"> de Nag Hammadi comporte, dans ses pages 48 à 51, un texte qui a été successivement </w:t>
      </w:r>
      <w:r w:rsidR="00814258" w:rsidRPr="00814258">
        <w:rPr>
          <w:rFonts w:ascii="Times New Roman" w:hAnsi="Times New Roman" w:cs="Times New Roman"/>
        </w:rPr>
        <w:t>vu</w:t>
      </w:r>
      <w:r w:rsidRPr="00814258">
        <w:rPr>
          <w:rFonts w:ascii="Times New Roman" w:hAnsi="Times New Roman" w:cs="Times New Roman"/>
        </w:rPr>
        <w:t xml:space="preserve"> comme un appendice à celui qui le précède dans le </w:t>
      </w:r>
      <w:r w:rsidRPr="00814258">
        <w:rPr>
          <w:rFonts w:ascii="Times New Roman" w:hAnsi="Times New Roman" w:cs="Times New Roman"/>
          <w:i/>
          <w:iCs/>
        </w:rPr>
        <w:t>codex</w:t>
      </w:r>
      <w:r w:rsidRPr="00814258">
        <w:rPr>
          <w:rStyle w:val="Appelnotedebasdep"/>
          <w:rFonts w:ascii="Times New Roman" w:hAnsi="Times New Roman" w:cs="Times New Roman"/>
        </w:rPr>
        <w:footnoteReference w:id="42"/>
      </w:r>
      <w:r w:rsidR="00814258" w:rsidRPr="00814258">
        <w:rPr>
          <w:rFonts w:ascii="Times New Roman" w:hAnsi="Times New Roman" w:cs="Times New Roman"/>
        </w:rPr>
        <w:t>, puis comme un texte à part</w:t>
      </w:r>
      <w:r w:rsidRPr="00814258">
        <w:rPr>
          <w:rStyle w:val="Appelnotedebasdep"/>
          <w:rFonts w:ascii="Times New Roman" w:hAnsi="Times New Roman" w:cs="Times New Roman"/>
        </w:rPr>
        <w:footnoteReference w:id="43"/>
      </w:r>
      <w:r w:rsidR="00814258" w:rsidRPr="00814258">
        <w:rPr>
          <w:rFonts w:ascii="Times New Roman" w:hAnsi="Times New Roman" w:cs="Times New Roman"/>
        </w:rPr>
        <w:t>, avant d’être reconnu comme une traduction</w:t>
      </w:r>
      <w:r w:rsidR="00814258">
        <w:rPr>
          <w:rFonts w:ascii="Times New Roman" w:hAnsi="Times New Roman" w:cs="Times New Roman"/>
        </w:rPr>
        <w:t xml:space="preserve"> </w:t>
      </w:r>
      <w:r w:rsidR="00814258" w:rsidRPr="00814258">
        <w:rPr>
          <w:rFonts w:ascii="Times New Roman" w:hAnsi="Times New Roman" w:cs="Times New Roman"/>
        </w:rPr>
        <w:t>d’un passage de Platon (</w:t>
      </w:r>
      <w:r w:rsidR="00814258" w:rsidRPr="00814258">
        <w:rPr>
          <w:rFonts w:ascii="Times New Roman" w:hAnsi="Times New Roman" w:cs="Times New Roman"/>
          <w:i/>
          <w:iCs/>
        </w:rPr>
        <w:t>République</w:t>
      </w:r>
      <w:r w:rsidR="00814258" w:rsidRPr="00814258">
        <w:rPr>
          <w:rFonts w:ascii="Times New Roman" w:hAnsi="Times New Roman" w:cs="Times New Roman"/>
        </w:rPr>
        <w:t xml:space="preserve"> 9, 588b-589b)</w:t>
      </w:r>
      <w:r w:rsidR="00814258" w:rsidRPr="00814258">
        <w:rPr>
          <w:rStyle w:val="Appelnotedebasdep"/>
          <w:rFonts w:ascii="Times New Roman" w:hAnsi="Times New Roman" w:cs="Times New Roman"/>
        </w:rPr>
        <w:footnoteReference w:id="44"/>
      </w:r>
      <w:r w:rsidR="00814258" w:rsidRPr="00814258">
        <w:rPr>
          <w:rFonts w:ascii="Times New Roman" w:hAnsi="Times New Roman" w:cs="Times New Roman"/>
        </w:rPr>
        <w:t xml:space="preserve">. </w:t>
      </w:r>
      <w:r w:rsidR="00BD6602">
        <w:rPr>
          <w:rFonts w:ascii="Times New Roman" w:hAnsi="Times New Roman" w:cs="Times New Roman"/>
        </w:rPr>
        <w:t xml:space="preserve">De fait, si on compare le texte copte présent dans le </w:t>
      </w:r>
      <w:r w:rsidR="00BD6602">
        <w:rPr>
          <w:rFonts w:ascii="Times New Roman" w:hAnsi="Times New Roman" w:cs="Times New Roman"/>
          <w:i/>
          <w:iCs/>
        </w:rPr>
        <w:t>codex</w:t>
      </w:r>
      <w:r w:rsidR="00BD6602">
        <w:rPr>
          <w:rFonts w:ascii="Times New Roman" w:hAnsi="Times New Roman" w:cs="Times New Roman"/>
        </w:rPr>
        <w:t xml:space="preserve"> au texte grec de la </w:t>
      </w:r>
      <w:r w:rsidR="00BD6602">
        <w:rPr>
          <w:rFonts w:ascii="Times New Roman" w:hAnsi="Times New Roman" w:cs="Times New Roman"/>
          <w:i/>
          <w:iCs/>
        </w:rPr>
        <w:t>République</w:t>
      </w:r>
      <w:r w:rsidR="00BD6602">
        <w:rPr>
          <w:rFonts w:ascii="Times New Roman" w:hAnsi="Times New Roman" w:cs="Times New Roman"/>
        </w:rPr>
        <w:t>, on constate que certains mots sont repris à l’identique, parfois en étant simplement translittérés d’une langue à l’autre, que certaines phrases sont superposables au mot près et que la structure d’ensemble des deux textes est globalement la même. Le texte de Platon prend pourtant, dans cette traduction</w:t>
      </w:r>
      <w:r w:rsidR="00E30C13">
        <w:rPr>
          <w:rFonts w:ascii="Times New Roman" w:hAnsi="Times New Roman" w:cs="Times New Roman"/>
        </w:rPr>
        <w:t xml:space="preserve"> copte</w:t>
      </w:r>
      <w:r w:rsidR="00BD6602">
        <w:rPr>
          <w:rFonts w:ascii="Times New Roman" w:hAnsi="Times New Roman" w:cs="Times New Roman"/>
        </w:rPr>
        <w:t xml:space="preserve">, un </w:t>
      </w:r>
      <w:r w:rsidR="00E30C13">
        <w:rPr>
          <w:rFonts w:ascii="Times New Roman" w:hAnsi="Times New Roman" w:cs="Times New Roman"/>
        </w:rPr>
        <w:t xml:space="preserve">sens nouveau, d’inspiration chrétienne : il ne met plus seulement en perspective l’être injuste et l’être juste mais décrit la glorification du juste soumis </w:t>
      </w:r>
      <w:r w:rsidR="00E30C13">
        <w:rPr>
          <w:rFonts w:ascii="Times New Roman" w:hAnsi="Times New Roman" w:cs="Times New Roman"/>
        </w:rPr>
        <w:lastRenderedPageBreak/>
        <w:t>à des persécutions</w:t>
      </w:r>
      <w:r w:rsidR="00E30C13">
        <w:rPr>
          <w:rStyle w:val="Appelnotedebasdep"/>
          <w:rFonts w:ascii="Times New Roman" w:hAnsi="Times New Roman" w:cs="Times New Roman"/>
        </w:rPr>
        <w:footnoteReference w:id="45"/>
      </w:r>
      <w:r w:rsidR="00E30C13">
        <w:rPr>
          <w:rFonts w:ascii="Times New Roman" w:hAnsi="Times New Roman" w:cs="Times New Roman"/>
        </w:rPr>
        <w:t>, en l’assimilant aussi à un cultivateur</w:t>
      </w:r>
      <w:r w:rsidR="00E30C13">
        <w:rPr>
          <w:rStyle w:val="Appelnotedebasdep"/>
          <w:rFonts w:ascii="Times New Roman" w:hAnsi="Times New Roman" w:cs="Times New Roman"/>
        </w:rPr>
        <w:footnoteReference w:id="46"/>
      </w:r>
      <w:r w:rsidR="00E30C13">
        <w:rPr>
          <w:rFonts w:ascii="Times New Roman" w:hAnsi="Times New Roman" w:cs="Times New Roman"/>
        </w:rPr>
        <w:t>, autrement dit, l’identifie implicitement au Christ</w:t>
      </w:r>
      <w:r w:rsidR="00F6780D">
        <w:rPr>
          <w:rFonts w:ascii="Times New Roman" w:hAnsi="Times New Roman" w:cs="Times New Roman"/>
        </w:rPr>
        <w:t>, juste souffrant puis glorifié</w:t>
      </w:r>
      <w:r w:rsidR="00B73003">
        <w:rPr>
          <w:rFonts w:ascii="Times New Roman" w:hAnsi="Times New Roman" w:cs="Times New Roman"/>
        </w:rPr>
        <w:t>, notamment dans plusieurs reprises d’</w:t>
      </w:r>
      <w:r w:rsidR="00B73003">
        <w:rPr>
          <w:rFonts w:ascii="Times New Roman" w:hAnsi="Times New Roman" w:cs="Times New Roman"/>
          <w:i/>
          <w:iCs/>
        </w:rPr>
        <w:t>Isaïe</w:t>
      </w:r>
      <w:r w:rsidR="00F6780D">
        <w:rPr>
          <w:rStyle w:val="Appelnotedebasdep"/>
          <w:rFonts w:ascii="Times New Roman" w:hAnsi="Times New Roman" w:cs="Times New Roman"/>
        </w:rPr>
        <w:footnoteReference w:id="47"/>
      </w:r>
      <w:r w:rsidR="00B73003">
        <w:rPr>
          <w:rFonts w:ascii="Times New Roman" w:hAnsi="Times New Roman" w:cs="Times New Roman"/>
        </w:rPr>
        <w:t xml:space="preserve"> et assimilé à un cultivateur, notamment en </w:t>
      </w:r>
      <w:r w:rsidR="00B73003">
        <w:rPr>
          <w:rFonts w:ascii="Times New Roman" w:hAnsi="Times New Roman" w:cs="Times New Roman"/>
          <w:i/>
          <w:iCs/>
        </w:rPr>
        <w:t>Matthieu</w:t>
      </w:r>
      <w:r w:rsidR="00B73003">
        <w:rPr>
          <w:rFonts w:ascii="Times New Roman" w:hAnsi="Times New Roman" w:cs="Times New Roman"/>
        </w:rPr>
        <w:t xml:space="preserve"> 13, 37</w:t>
      </w:r>
      <w:r w:rsidR="00B73003">
        <w:rPr>
          <w:rStyle w:val="Appelnotedebasdep"/>
          <w:rFonts w:ascii="Times New Roman" w:hAnsi="Times New Roman" w:cs="Times New Roman"/>
        </w:rPr>
        <w:footnoteReference w:id="48"/>
      </w:r>
      <w:r w:rsidR="00E30C13">
        <w:rPr>
          <w:rFonts w:ascii="Times New Roman" w:hAnsi="Times New Roman" w:cs="Times New Roman"/>
        </w:rPr>
        <w:t>.</w:t>
      </w:r>
      <w:r w:rsidR="001D1904">
        <w:rPr>
          <w:rFonts w:ascii="Times New Roman" w:hAnsi="Times New Roman" w:cs="Times New Roman"/>
        </w:rPr>
        <w:t xml:space="preserve"> Cette transformation passe par ce que j’ai proposé d’appeler une « création contresensique</w:t>
      </w:r>
      <w:r w:rsidR="001D1904">
        <w:rPr>
          <w:rStyle w:val="Appelnotedebasdep"/>
          <w:rFonts w:ascii="Times New Roman" w:hAnsi="Times New Roman" w:cs="Times New Roman"/>
        </w:rPr>
        <w:footnoteReference w:id="49"/>
      </w:r>
      <w:r w:rsidR="001D1904">
        <w:rPr>
          <w:rFonts w:ascii="Times New Roman" w:hAnsi="Times New Roman" w:cs="Times New Roman"/>
        </w:rPr>
        <w:t xml:space="preserve"> », autrement dit </w:t>
      </w:r>
      <w:r w:rsidR="003F43C2">
        <w:rPr>
          <w:rFonts w:ascii="Times New Roman" w:hAnsi="Times New Roman" w:cs="Times New Roman"/>
        </w:rPr>
        <w:t>ce qui semblerait, par rapport aux normes</w:t>
      </w:r>
      <w:r w:rsidR="00B73003">
        <w:rPr>
          <w:rFonts w:ascii="Times New Roman" w:hAnsi="Times New Roman" w:cs="Times New Roman"/>
        </w:rPr>
        <w:t xml:space="preserve"> actuelles de la traduction</w:t>
      </w:r>
      <w:r w:rsidR="00BC3EC2">
        <w:rPr>
          <w:rFonts w:ascii="Times New Roman" w:hAnsi="Times New Roman" w:cs="Times New Roman"/>
        </w:rPr>
        <w:t xml:space="preserve">, des faux-sens ou des contresens, mais permet une création nouvelle à partir du texte source. </w:t>
      </w:r>
      <w:r w:rsidR="00C864ED">
        <w:rPr>
          <w:rFonts w:ascii="Times New Roman" w:hAnsi="Times New Roman" w:cs="Times New Roman"/>
        </w:rPr>
        <w:t xml:space="preserve">Ainsi, l’assimilation du « juste » </w:t>
      </w:r>
      <w:r w:rsidR="00181B30">
        <w:rPr>
          <w:rFonts w:ascii="Times New Roman" w:hAnsi="Times New Roman" w:cs="Times New Roman"/>
        </w:rPr>
        <w:t>évoqué par Platon à Jésus juste souffrant et glorifié passe par un faux-sens</w:t>
      </w:r>
      <w:r w:rsidR="005F04B3">
        <w:rPr>
          <w:rFonts w:ascii="Times New Roman" w:hAnsi="Times New Roman" w:cs="Times New Roman"/>
        </w:rPr>
        <w:t>,</w:t>
      </w:r>
      <w:r w:rsidR="00181B30">
        <w:rPr>
          <w:rFonts w:ascii="Times New Roman" w:hAnsi="Times New Roman" w:cs="Times New Roman"/>
        </w:rPr>
        <w:t xml:space="preserve"> volontaire</w:t>
      </w:r>
      <w:r w:rsidR="005F04B3">
        <w:rPr>
          <w:rFonts w:ascii="Times New Roman" w:hAnsi="Times New Roman" w:cs="Times New Roman"/>
        </w:rPr>
        <w:t xml:space="preserve"> selon moi,</w:t>
      </w:r>
      <w:r w:rsidR="00181B30">
        <w:rPr>
          <w:rFonts w:ascii="Times New Roman" w:hAnsi="Times New Roman" w:cs="Times New Roman"/>
        </w:rPr>
        <w:t xml:space="preserve"> sur </w:t>
      </w:r>
      <w:r w:rsidR="00181B30" w:rsidRPr="00181B30">
        <w:rPr>
          <w:rFonts w:ascii="Times New Roman" w:hAnsi="Times New Roman" w:cs="Times New Roman"/>
        </w:rPr>
        <w:t>δοξάζω</w:t>
      </w:r>
      <w:r w:rsidR="00181B30">
        <w:rPr>
          <w:rFonts w:ascii="Times New Roman" w:hAnsi="Times New Roman" w:cs="Times New Roman"/>
        </w:rPr>
        <w:t xml:space="preserve">. </w:t>
      </w:r>
      <w:r w:rsidR="005F04B3">
        <w:rPr>
          <w:rFonts w:ascii="Times New Roman" w:hAnsi="Times New Roman" w:cs="Times New Roman"/>
        </w:rPr>
        <w:t>Ce</w:t>
      </w:r>
      <w:r w:rsidR="00181B30">
        <w:rPr>
          <w:rFonts w:ascii="Times New Roman" w:hAnsi="Times New Roman" w:cs="Times New Roman"/>
        </w:rPr>
        <w:t xml:space="preserve"> verbe grec a</w:t>
      </w:r>
      <w:r w:rsidR="005F04B3">
        <w:rPr>
          <w:rFonts w:ascii="Times New Roman" w:hAnsi="Times New Roman" w:cs="Times New Roman"/>
        </w:rPr>
        <w:t>,</w:t>
      </w:r>
      <w:r w:rsidR="00181B30">
        <w:rPr>
          <w:rFonts w:ascii="Times New Roman" w:hAnsi="Times New Roman" w:cs="Times New Roman"/>
        </w:rPr>
        <w:t xml:space="preserve"> dans le passage de </w:t>
      </w:r>
      <w:r w:rsidR="00181B30">
        <w:rPr>
          <w:rFonts w:ascii="Times New Roman" w:hAnsi="Times New Roman" w:cs="Times New Roman"/>
          <w:i/>
          <w:iCs/>
        </w:rPr>
        <w:t>République</w:t>
      </w:r>
      <w:r w:rsidR="00181B30">
        <w:rPr>
          <w:rFonts w:ascii="Times New Roman" w:hAnsi="Times New Roman" w:cs="Times New Roman"/>
        </w:rPr>
        <w:t>, le sens d’ « avoir la réputation » (</w:t>
      </w:r>
      <w:r w:rsidR="00181B30" w:rsidRPr="00181B30">
        <w:rPr>
          <w:rFonts w:ascii="Times New Roman" w:hAnsi="Times New Roman" w:cs="Times New Roman"/>
        </w:rPr>
        <w:t xml:space="preserve">« Or, il était dit, je crois, qu’un agir injuste </w:t>
      </w:r>
      <w:r w:rsidR="00181B30" w:rsidRPr="00F36F48">
        <w:rPr>
          <w:rFonts w:ascii="Times New Roman" w:hAnsi="Times New Roman" w:cs="Times New Roman"/>
        </w:rPr>
        <w:t xml:space="preserve">bénéficiait à celui qui est parfaitement injuste tout </w:t>
      </w:r>
      <w:r w:rsidR="00181B30" w:rsidRPr="00F36F48">
        <w:rPr>
          <w:rFonts w:ascii="Times New Roman" w:hAnsi="Times New Roman" w:cs="Times New Roman"/>
          <w:i/>
          <w:iCs/>
        </w:rPr>
        <w:t>en</w:t>
      </w:r>
      <w:r w:rsidR="00181B30" w:rsidRPr="00F36F48">
        <w:rPr>
          <w:rFonts w:ascii="Times New Roman" w:hAnsi="Times New Roman" w:cs="Times New Roman"/>
        </w:rPr>
        <w:t xml:space="preserve"> </w:t>
      </w:r>
      <w:r w:rsidR="00181B30" w:rsidRPr="00F36F48">
        <w:rPr>
          <w:rFonts w:ascii="Times New Roman" w:hAnsi="Times New Roman" w:cs="Times New Roman"/>
          <w:i/>
          <w:iCs/>
        </w:rPr>
        <w:t>ayant la réputation</w:t>
      </w:r>
      <w:r w:rsidR="00181B30" w:rsidRPr="00F36F48">
        <w:rPr>
          <w:rFonts w:ascii="Times New Roman" w:hAnsi="Times New Roman" w:cs="Times New Roman"/>
        </w:rPr>
        <w:t xml:space="preserve"> d’être juste</w:t>
      </w:r>
      <w:r w:rsidR="00181B30" w:rsidRPr="00F36F48">
        <w:rPr>
          <w:rStyle w:val="Appelnotedebasdep"/>
          <w:rFonts w:ascii="Times New Roman" w:hAnsi="Times New Roman" w:cs="Times New Roman"/>
        </w:rPr>
        <w:footnoteReference w:id="50"/>
      </w:r>
      <w:r w:rsidR="00181B30" w:rsidRPr="00F36F48">
        <w:rPr>
          <w:rFonts w:ascii="Times New Roman" w:hAnsi="Times New Roman" w:cs="Times New Roman"/>
        </w:rPr>
        <w:t xml:space="preserve"> »), mais il peut aussi avoir celui de « glorifier », sens que retient le ou la traductrice-adaptatrice du texte en copte</w:t>
      </w:r>
      <w:r w:rsidR="00EA0D5A" w:rsidRPr="00F36F48">
        <w:rPr>
          <w:rFonts w:ascii="Times New Roman" w:hAnsi="Times New Roman" w:cs="Times New Roman"/>
        </w:rPr>
        <w:t xml:space="preserve"> (« </w:t>
      </w:r>
      <w:r w:rsidR="00EA0D5A" w:rsidRPr="00F36F48">
        <w:rPr>
          <w:rFonts w:ascii="Times New Roman" w:eastAsiaTheme="minorEastAsia" w:hAnsi="Times New Roman" w:cs="Times New Roman"/>
        </w:rPr>
        <w:t xml:space="preserve">et nous trouverons qu’il dit : </w:t>
      </w:r>
      <w:r w:rsidR="00EA0D5A" w:rsidRPr="00F36F48">
        <w:rPr>
          <w:rFonts w:ascii="Times New Roman" w:hAnsi="Times New Roman" w:cs="Times New Roman"/>
        </w:rPr>
        <w:t>“</w:t>
      </w:r>
      <w:r w:rsidR="00EA0D5A" w:rsidRPr="00F36F48">
        <w:rPr>
          <w:rFonts w:ascii="Times New Roman" w:eastAsiaTheme="minorEastAsia" w:hAnsi="Times New Roman" w:cs="Times New Roman"/>
        </w:rPr>
        <w:t xml:space="preserve">Il est bon, celui à qui on a fait injustice parfaitement. </w:t>
      </w:r>
      <w:r w:rsidR="00EA0D5A" w:rsidRPr="00F36F48">
        <w:rPr>
          <w:rFonts w:ascii="Times New Roman" w:eastAsiaTheme="minorEastAsia" w:hAnsi="Times New Roman" w:cs="Times New Roman"/>
          <w:i/>
          <w:iCs/>
        </w:rPr>
        <w:t>Il est glorifié</w:t>
      </w:r>
      <w:r w:rsidR="00EA0D5A" w:rsidRPr="00F36F48">
        <w:rPr>
          <w:rFonts w:ascii="Times New Roman" w:eastAsiaTheme="minorEastAsia" w:hAnsi="Times New Roman" w:cs="Times New Roman"/>
        </w:rPr>
        <w:t xml:space="preserve"> justement.</w:t>
      </w:r>
      <w:r w:rsidR="00EA0D5A" w:rsidRPr="00F36F48">
        <w:rPr>
          <w:rFonts w:ascii="Times New Roman" w:hAnsi="Times New Roman" w:cs="Times New Roman"/>
        </w:rPr>
        <w:t>”</w:t>
      </w:r>
      <w:r w:rsidR="00EA0D5A" w:rsidRPr="00F36F48">
        <w:rPr>
          <w:rStyle w:val="Appelnotedebasdep"/>
          <w:rFonts w:ascii="Times New Roman" w:hAnsi="Times New Roman" w:cs="Times New Roman"/>
        </w:rPr>
        <w:footnoteReference w:id="51"/>
      </w:r>
      <w:r w:rsidR="00EA0D5A" w:rsidRPr="00F36F48">
        <w:rPr>
          <w:rFonts w:ascii="Times New Roman" w:hAnsi="Times New Roman" w:cs="Times New Roman"/>
        </w:rPr>
        <w:t> »).</w:t>
      </w:r>
      <w:r w:rsidR="005F04B3">
        <w:rPr>
          <w:rFonts w:ascii="Times New Roman" w:hAnsi="Times New Roman" w:cs="Times New Roman"/>
        </w:rPr>
        <w:t xml:space="preserve"> De la même manière, Platon présente une comparaison entre la façon dont celui ou celle qui cherche la justice s’occupe de son âme et la manière dont un cultivateur</w:t>
      </w:r>
      <w:r w:rsidR="00EB4C0F">
        <w:rPr>
          <w:rFonts w:ascii="Times New Roman" w:hAnsi="Times New Roman" w:cs="Times New Roman"/>
        </w:rPr>
        <w:t xml:space="preserve"> (</w:t>
      </w:r>
      <w:r w:rsidR="00EB4C0F" w:rsidRPr="00B72424">
        <w:rPr>
          <w:rFonts w:ascii="IFAO-Grec Unicode" w:hAnsi="IFAO-Grec Unicode"/>
        </w:rPr>
        <w:t>γεωργός</w:t>
      </w:r>
      <w:r w:rsidR="00EB4C0F">
        <w:rPr>
          <w:rFonts w:ascii="Times New Roman" w:hAnsi="Times New Roman" w:cs="Times New Roman"/>
        </w:rPr>
        <w:t>)</w:t>
      </w:r>
      <w:r w:rsidR="005F04B3">
        <w:rPr>
          <w:rFonts w:ascii="Times New Roman" w:hAnsi="Times New Roman" w:cs="Times New Roman"/>
        </w:rPr>
        <w:t xml:space="preserve"> prend soin des bêtes domestiques</w:t>
      </w:r>
      <w:r w:rsidR="00EB4C0F">
        <w:rPr>
          <w:rFonts w:ascii="Times New Roman" w:hAnsi="Times New Roman" w:cs="Times New Roman"/>
        </w:rPr>
        <w:t>, autrement dit elle parle du « cultivateur » comme un éleveur</w:t>
      </w:r>
      <w:r w:rsidR="00EB4C0F">
        <w:rPr>
          <w:rStyle w:val="Appelnotedebasdep"/>
        </w:rPr>
        <w:footnoteReference w:id="52"/>
      </w:r>
      <w:r w:rsidR="005F04B3">
        <w:rPr>
          <w:rFonts w:ascii="Times New Roman" w:hAnsi="Times New Roman" w:cs="Times New Roman"/>
        </w:rPr>
        <w:t xml:space="preserve">. Dans l’adaptation </w:t>
      </w:r>
      <w:r w:rsidR="005F04B3">
        <w:rPr>
          <w:rFonts w:ascii="Times New Roman" w:hAnsi="Times New Roman" w:cs="Times New Roman"/>
        </w:rPr>
        <w:lastRenderedPageBreak/>
        <w:t xml:space="preserve">de Nag Hammadi, </w:t>
      </w:r>
      <w:r w:rsidR="00EB4C0F">
        <w:rPr>
          <w:rFonts w:ascii="Times New Roman" w:hAnsi="Times New Roman" w:cs="Times New Roman"/>
        </w:rPr>
        <w:t xml:space="preserve">au contraire, le mot </w:t>
      </w:r>
      <w:r w:rsidR="00EB4C0F" w:rsidRPr="00B72424">
        <w:rPr>
          <w:rFonts w:ascii="IFAO-Grec Unicode" w:hAnsi="IFAO-Grec Unicode"/>
        </w:rPr>
        <w:t>γεωργός</w:t>
      </w:r>
      <w:r w:rsidR="00EB4C0F">
        <w:rPr>
          <w:rFonts w:ascii="IFAO-Grec Unicode" w:hAnsi="IFAO-Grec Unicode"/>
        </w:rPr>
        <w:t>, repris en translittération copte, a son sens étymologique de « celui qui cultive (</w:t>
      </w:r>
      <w:r w:rsidR="00EB4C0F" w:rsidRPr="00EB4C0F">
        <w:rPr>
          <w:rFonts w:ascii="IFAO-Grec Unicode" w:hAnsi="IFAO-Grec Unicode"/>
        </w:rPr>
        <w:t>ἐργάζομαι</w:t>
      </w:r>
      <w:r w:rsidR="00EB4C0F">
        <w:rPr>
          <w:rFonts w:ascii="IFAO-Grec Unicode" w:hAnsi="IFAO-Grec Unicode"/>
        </w:rPr>
        <w:t>) la terre (</w:t>
      </w:r>
      <w:r w:rsidR="00EB4C0F" w:rsidRPr="00EB4C0F">
        <w:rPr>
          <w:rFonts w:ascii="IFAO-Grec Unicode" w:hAnsi="IFAO-Grec Unicode"/>
        </w:rPr>
        <w:t>γῆ</w:t>
      </w:r>
      <w:r w:rsidR="00EB4C0F">
        <w:rPr>
          <w:rFonts w:ascii="IFAO-Grec Unicode" w:hAnsi="IFAO-Grec Unicode"/>
        </w:rPr>
        <w:t>) » et est à l’origine d’une « production » (</w:t>
      </w:r>
      <w:r w:rsidR="00EB4C0F" w:rsidRPr="00EB4C0F">
        <w:rPr>
          <w:rFonts w:ascii="IFAO-Grec Unicode" w:hAnsi="IFAO-Grec Unicode"/>
        </w:rPr>
        <w:t>γέννημα</w:t>
      </w:r>
      <w:r w:rsidR="00EB4C0F">
        <w:rPr>
          <w:rFonts w:ascii="IFAO-Grec Unicode" w:hAnsi="IFAO-Grec Unicode"/>
        </w:rPr>
        <w:t>)</w:t>
      </w:r>
      <w:r w:rsidR="00EB4C0F">
        <w:rPr>
          <w:rFonts w:ascii="Times New Roman" w:hAnsi="Times New Roman" w:cs="Times New Roman"/>
        </w:rPr>
        <w:t xml:space="preserve"> : autrement dit, le mot </w:t>
      </w:r>
      <w:r w:rsidR="00EB4C0F" w:rsidRPr="00B72424">
        <w:rPr>
          <w:rFonts w:ascii="IFAO-Grec Unicode" w:hAnsi="IFAO-Grec Unicode"/>
        </w:rPr>
        <w:t>γεωργός</w:t>
      </w:r>
      <w:r w:rsidR="00EB4C0F">
        <w:rPr>
          <w:rFonts w:ascii="IFAO-Grec Unicode" w:hAnsi="IFAO-Grec Unicode"/>
        </w:rPr>
        <w:t xml:space="preserve"> y désigne non plus un éleveur mais un agriculteur</w:t>
      </w:r>
      <w:r w:rsidR="00EB4C0F">
        <w:rPr>
          <w:rStyle w:val="Appelnotedebasdep"/>
          <w:rFonts w:ascii="IFAO-Grec Unicode" w:hAnsi="IFAO-Grec Unicode"/>
        </w:rPr>
        <w:footnoteReference w:id="53"/>
      </w:r>
      <w:r w:rsidR="00EB4C0F">
        <w:rPr>
          <w:rFonts w:ascii="IFAO-Grec Unicode" w:hAnsi="IFAO-Grec Unicode"/>
        </w:rPr>
        <w:t>.</w:t>
      </w:r>
      <w:r w:rsidR="00DA435F">
        <w:rPr>
          <w:rFonts w:ascii="IFAO-Grec Unicode" w:hAnsi="IFAO-Grec Unicode"/>
        </w:rPr>
        <w:t xml:space="preserve"> </w:t>
      </w:r>
      <w:r w:rsidR="00DA435F" w:rsidRPr="00FC62B5">
        <w:rPr>
          <w:rFonts w:ascii="Times New Roman" w:hAnsi="Times New Roman" w:cs="Times New Roman"/>
        </w:rPr>
        <w:t>De tels décalages dans la traduisant, qui sont des moyens de création – le fragment de Nag Hammadi est un texte nouveau par rapport à celui de Platon, qui apparaît plus comme une inspiration que comme un texte-source – existent, selon moi, comme ce que Pierre Bayard nomme des « erreur[s] créatrice[s]</w:t>
      </w:r>
      <w:r w:rsidR="00DA435F" w:rsidRPr="00FC62B5">
        <w:rPr>
          <w:rStyle w:val="Appelnotedebasdep"/>
          <w:rFonts w:ascii="Times New Roman" w:hAnsi="Times New Roman" w:cs="Times New Roman"/>
        </w:rPr>
        <w:footnoteReference w:id="54"/>
      </w:r>
      <w:r w:rsidR="00DA435F" w:rsidRPr="00FC62B5">
        <w:rPr>
          <w:rFonts w:ascii="Times New Roman" w:hAnsi="Times New Roman" w:cs="Times New Roman"/>
        </w:rPr>
        <w:t> ».</w:t>
      </w:r>
    </w:p>
    <w:p w14:paraId="692764C0" w14:textId="77777777" w:rsidR="00FC62B5" w:rsidRDefault="00FC62B5"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sidRPr="00FC62B5">
        <w:rPr>
          <w:rFonts w:ascii="Times New Roman" w:hAnsi="Times New Roman" w:cs="Times New Roman"/>
        </w:rPr>
        <w:t xml:space="preserve">Dès lors, il me paraît possible et fécond d’utiliser le principe de la création contresensique non seulement pour analyser des traductions antiques existantes mais aussi pour en créer des nouvelles, qui auraient pu exister. C’est en suivant des mouvements similaires à ceux qui font passer de la </w:t>
      </w:r>
      <w:r w:rsidRPr="00FC62B5">
        <w:rPr>
          <w:rFonts w:ascii="Times New Roman" w:hAnsi="Times New Roman" w:cs="Times New Roman"/>
          <w:i/>
          <w:iCs/>
        </w:rPr>
        <w:t>République</w:t>
      </w:r>
      <w:r w:rsidRPr="00FC62B5">
        <w:rPr>
          <w:rFonts w:ascii="Times New Roman" w:hAnsi="Times New Roman" w:cs="Times New Roman"/>
        </w:rPr>
        <w:t xml:space="preserve"> de Platon au fragment de Nag Hammadi que j’ai ainsi proposé la citation que j’ai placée en tête de cette partie et qui pourrait être – </w:t>
      </w:r>
      <w:r w:rsidR="00177C25">
        <w:rPr>
          <w:rFonts w:ascii="Times New Roman" w:hAnsi="Times New Roman" w:cs="Times New Roman"/>
        </w:rPr>
        <w:t xml:space="preserve">ou </w:t>
      </w:r>
      <w:r w:rsidRPr="00FC62B5">
        <w:rPr>
          <w:rFonts w:ascii="Times New Roman" w:hAnsi="Times New Roman" w:cs="Times New Roman"/>
        </w:rPr>
        <w:t>avoir été – une traduction créatrice du début de l’</w:t>
      </w:r>
      <w:r w:rsidRPr="00FC62B5">
        <w:rPr>
          <w:rFonts w:ascii="Times New Roman" w:hAnsi="Times New Roman" w:cs="Times New Roman"/>
          <w:i/>
          <w:iCs/>
        </w:rPr>
        <w:t>Évangile selon Jean</w:t>
      </w:r>
      <w:r w:rsidR="00177C25">
        <w:rPr>
          <w:rFonts w:ascii="Times New Roman" w:hAnsi="Times New Roman" w:cs="Times New Roman"/>
        </w:rPr>
        <w:t xml:space="preserve"> : </w:t>
      </w:r>
      <w:r w:rsidR="00177C25" w:rsidRPr="00CD5BBD">
        <w:rPr>
          <w:rFonts w:ascii="Times New Roman" w:eastAsia="Times New Roman" w:hAnsi="Times New Roman" w:cs="Times New Roman"/>
          <w:color w:val="222222"/>
          <w:kern w:val="0"/>
          <w:shd w:val="clear" w:color="auto" w:fill="FFFFFF"/>
          <w:lang w:eastAsia="fr-FR"/>
          <w14:ligatures w14:val="none"/>
        </w:rPr>
        <w:t>Ἐν ἀρχῇ ἦν ὁ λόγος, καὶ ὁ λόγος ἦν πρὸς τὸν θεόν, καὶ θεὸς ἦν ὁ λόγος. Οὗτος ἦν ἐν ἀρχῇ πρὸς τὸν θεόν.</w:t>
      </w:r>
      <w:r>
        <w:rPr>
          <w:rFonts w:ascii="Times New Roman" w:hAnsi="Times New Roman" w:cs="Times New Roman"/>
        </w:rPr>
        <w:t xml:space="preserve"> </w:t>
      </w:r>
      <w:r w:rsidR="00177C25" w:rsidRPr="00B33A13">
        <w:rPr>
          <w:rFonts w:ascii="Times New Roman" w:eastAsia="Times New Roman" w:hAnsi="Times New Roman" w:cs="Times New Roman"/>
          <w:color w:val="222222"/>
          <w:kern w:val="0"/>
          <w:shd w:val="clear" w:color="auto" w:fill="FFFFFF"/>
          <w:lang w:eastAsia="fr-FR"/>
          <w14:ligatures w14:val="none"/>
        </w:rPr>
        <w:t>« Dans ma tête, il y avait l’histoire. Et l’histoire était près de Dieu. Et l’histoire était un Dieu. Celle-ci était dans ma tête, proche de Dieu</w:t>
      </w:r>
      <w:r w:rsidR="00177C25">
        <w:rPr>
          <w:rStyle w:val="Appelnotedebasdep"/>
          <w:rFonts w:ascii="Times New Roman" w:eastAsia="Times New Roman" w:hAnsi="Times New Roman" w:cs="Times New Roman"/>
          <w:color w:val="222222"/>
          <w:kern w:val="0"/>
          <w:shd w:val="clear" w:color="auto" w:fill="FFFFFF"/>
          <w:lang w:eastAsia="fr-FR"/>
          <w14:ligatures w14:val="none"/>
        </w:rPr>
        <w:footnoteReference w:id="55"/>
      </w:r>
      <w:r w:rsidR="00177C25" w:rsidRPr="00B33A13">
        <w:rPr>
          <w:rFonts w:ascii="Times New Roman" w:eastAsia="Times New Roman" w:hAnsi="Times New Roman" w:cs="Times New Roman"/>
          <w:color w:val="222222"/>
          <w:kern w:val="0"/>
          <w:shd w:val="clear" w:color="auto" w:fill="FFFFFF"/>
          <w:lang w:eastAsia="fr-FR"/>
          <w14:ligatures w14:val="none"/>
        </w:rPr>
        <w:t>. »</w:t>
      </w:r>
      <w:r w:rsidR="00177C25">
        <w:rPr>
          <w:rFonts w:ascii="Times New Roman" w:eastAsia="Times New Roman" w:hAnsi="Times New Roman" w:cs="Times New Roman"/>
          <w:color w:val="222222"/>
          <w:kern w:val="0"/>
          <w:shd w:val="clear" w:color="auto" w:fill="FFFFFF"/>
          <w:lang w:eastAsia="fr-FR"/>
          <w14:ligatures w14:val="none"/>
        </w:rPr>
        <w:t xml:space="preserve"> </w:t>
      </w:r>
      <w:r w:rsidR="00E14A9A">
        <w:rPr>
          <w:rFonts w:ascii="Times New Roman" w:eastAsia="Times New Roman" w:hAnsi="Times New Roman" w:cs="Times New Roman"/>
          <w:color w:val="222222"/>
          <w:kern w:val="0"/>
          <w:shd w:val="clear" w:color="auto" w:fill="FFFFFF"/>
          <w:lang w:eastAsia="fr-FR"/>
          <w14:ligatures w14:val="none"/>
        </w:rPr>
        <w:t xml:space="preserve">Par exemple, </w:t>
      </w:r>
      <w:r>
        <w:rPr>
          <w:rFonts w:ascii="Times New Roman" w:hAnsi="Times New Roman" w:cs="Times New Roman"/>
        </w:rPr>
        <w:t>« </w:t>
      </w:r>
      <w:r w:rsidR="00E14A9A">
        <w:rPr>
          <w:rFonts w:ascii="Times New Roman" w:hAnsi="Times New Roman" w:cs="Times New Roman"/>
        </w:rPr>
        <w:t>d</w:t>
      </w:r>
      <w:r>
        <w:rPr>
          <w:rFonts w:ascii="Times New Roman" w:hAnsi="Times New Roman" w:cs="Times New Roman"/>
        </w:rPr>
        <w:t xml:space="preserve">ans ma tête » pour traduire </w:t>
      </w:r>
      <w:r w:rsidRPr="00FC62B5">
        <w:rPr>
          <w:rFonts w:ascii="Times New Roman" w:hAnsi="Times New Roman" w:cs="Times New Roman"/>
        </w:rPr>
        <w:t>Ἐν ἀρχῇ</w:t>
      </w:r>
      <w:r w:rsidR="00467A13">
        <w:rPr>
          <w:rFonts w:ascii="Times New Roman" w:hAnsi="Times New Roman" w:cs="Times New Roman"/>
        </w:rPr>
        <w:t xml:space="preserve"> (</w:t>
      </w:r>
      <w:r>
        <w:rPr>
          <w:rFonts w:ascii="Times New Roman" w:hAnsi="Times New Roman" w:cs="Times New Roman"/>
        </w:rPr>
        <w:t>« Au commencement »</w:t>
      </w:r>
      <w:r w:rsidR="00467A13">
        <w:rPr>
          <w:rFonts w:ascii="Times New Roman" w:hAnsi="Times New Roman" w:cs="Times New Roman"/>
        </w:rPr>
        <w:t xml:space="preserve"> dans la Traduction Œcuménique de la Bible</w:t>
      </w:r>
      <w:r w:rsidR="00951C59">
        <w:rPr>
          <w:rStyle w:val="Appelnotedebasdep"/>
          <w:rFonts w:ascii="Times New Roman" w:hAnsi="Times New Roman" w:cs="Times New Roman"/>
        </w:rPr>
        <w:footnoteReference w:id="56"/>
      </w:r>
      <w:r w:rsidR="00467A13">
        <w:rPr>
          <w:rFonts w:ascii="Times New Roman" w:hAnsi="Times New Roman" w:cs="Times New Roman"/>
        </w:rPr>
        <w:t>) se fonde</w:t>
      </w:r>
      <w:r w:rsidR="00E722F4">
        <w:rPr>
          <w:rFonts w:ascii="Times New Roman" w:hAnsi="Times New Roman" w:cs="Times New Roman"/>
        </w:rPr>
        <w:t>,</w:t>
      </w:r>
      <w:r w:rsidR="00467A13">
        <w:rPr>
          <w:rFonts w:ascii="Times New Roman" w:hAnsi="Times New Roman" w:cs="Times New Roman"/>
        </w:rPr>
        <w:t xml:space="preserve"> </w:t>
      </w:r>
      <w:r w:rsidR="00E722F4">
        <w:rPr>
          <w:rFonts w:ascii="Times New Roman" w:hAnsi="Times New Roman" w:cs="Times New Roman"/>
        </w:rPr>
        <w:t xml:space="preserve">d’une part, </w:t>
      </w:r>
      <w:r w:rsidR="00467A13">
        <w:rPr>
          <w:rFonts w:ascii="Times New Roman" w:hAnsi="Times New Roman" w:cs="Times New Roman"/>
        </w:rPr>
        <w:t xml:space="preserve">sur la reprise, par Jean, du premier chapitre de la </w:t>
      </w:r>
      <w:r w:rsidR="00467A13">
        <w:rPr>
          <w:rFonts w:ascii="Times New Roman" w:hAnsi="Times New Roman" w:cs="Times New Roman"/>
          <w:i/>
          <w:iCs/>
        </w:rPr>
        <w:t>Genèse</w:t>
      </w:r>
      <w:r w:rsidR="00951C59" w:rsidRPr="00951C59">
        <w:rPr>
          <w:rStyle w:val="Appelnotedebasdep"/>
          <w:rFonts w:ascii="Times New Roman" w:hAnsi="Times New Roman" w:cs="Times New Roman"/>
        </w:rPr>
        <w:footnoteReference w:id="57"/>
      </w:r>
      <w:r w:rsidR="00467A13" w:rsidRPr="00951C59">
        <w:rPr>
          <w:rFonts w:ascii="Times New Roman" w:hAnsi="Times New Roman" w:cs="Times New Roman"/>
        </w:rPr>
        <w:t>,</w:t>
      </w:r>
      <w:r w:rsidR="00467A13">
        <w:rPr>
          <w:rFonts w:ascii="Times New Roman" w:hAnsi="Times New Roman" w:cs="Times New Roman"/>
        </w:rPr>
        <w:t xml:space="preserve"> qui, en hébreu, commence par le mot </w:t>
      </w:r>
      <w:r w:rsidR="00467A13" w:rsidRPr="00467A13">
        <w:rPr>
          <w:rFonts w:ascii="Times New Roman" w:hAnsi="Times New Roman" w:cs="Times New Roman"/>
        </w:rPr>
        <w:t>בְּרֵאשִׁית</w:t>
      </w:r>
      <w:r w:rsidR="00467A13">
        <w:rPr>
          <w:rFonts w:ascii="Times New Roman" w:hAnsi="Times New Roman" w:cs="Times New Roman"/>
        </w:rPr>
        <w:t xml:space="preserve">, </w:t>
      </w:r>
      <w:r w:rsidR="00467A13">
        <w:rPr>
          <w:rFonts w:ascii="Times New Roman" w:hAnsi="Times New Roman" w:cs="Times New Roman"/>
          <w:i/>
          <w:iCs/>
        </w:rPr>
        <w:t xml:space="preserve">béréshit </w:t>
      </w:r>
      <w:r w:rsidR="00467A13">
        <w:rPr>
          <w:rFonts w:ascii="Times New Roman" w:hAnsi="Times New Roman" w:cs="Times New Roman"/>
        </w:rPr>
        <w:t xml:space="preserve">« au commencement », </w:t>
      </w:r>
      <w:r w:rsidR="00951C59">
        <w:rPr>
          <w:rFonts w:ascii="Times New Roman" w:hAnsi="Times New Roman" w:cs="Times New Roman"/>
        </w:rPr>
        <w:t>une expression</w:t>
      </w:r>
      <w:r w:rsidR="00467A13">
        <w:rPr>
          <w:rFonts w:ascii="Times New Roman" w:hAnsi="Times New Roman" w:cs="Times New Roman"/>
        </w:rPr>
        <w:t xml:space="preserve"> </w:t>
      </w:r>
      <w:r w:rsidR="00E722F4">
        <w:rPr>
          <w:rFonts w:ascii="Times New Roman" w:hAnsi="Times New Roman" w:cs="Times New Roman"/>
        </w:rPr>
        <w:t>qui peut aussi signifier</w:t>
      </w:r>
      <w:r w:rsidR="00467A13">
        <w:rPr>
          <w:rFonts w:ascii="Times New Roman" w:hAnsi="Times New Roman" w:cs="Times New Roman"/>
        </w:rPr>
        <w:t xml:space="preserve"> « dans la tête</w:t>
      </w:r>
      <w:r w:rsidR="00951C59">
        <w:rPr>
          <w:rStyle w:val="Appelnotedebasdep"/>
          <w:rFonts w:ascii="Times New Roman" w:hAnsi="Times New Roman" w:cs="Times New Roman"/>
        </w:rPr>
        <w:footnoteReference w:id="58"/>
      </w:r>
      <w:r w:rsidR="00467A13">
        <w:rPr>
          <w:rFonts w:ascii="Times New Roman" w:hAnsi="Times New Roman" w:cs="Times New Roman"/>
        </w:rPr>
        <w:t> », et</w:t>
      </w:r>
      <w:r w:rsidR="00E722F4">
        <w:rPr>
          <w:rFonts w:ascii="Times New Roman" w:hAnsi="Times New Roman" w:cs="Times New Roman"/>
        </w:rPr>
        <w:t>, d’autre part,</w:t>
      </w:r>
      <w:r w:rsidR="00467A13">
        <w:rPr>
          <w:rFonts w:ascii="Times New Roman" w:hAnsi="Times New Roman" w:cs="Times New Roman"/>
        </w:rPr>
        <w:t xml:space="preserve"> sur </w:t>
      </w:r>
      <w:r w:rsidR="00951C59">
        <w:rPr>
          <w:rFonts w:ascii="Times New Roman" w:hAnsi="Times New Roman" w:cs="Times New Roman"/>
        </w:rPr>
        <w:t>la</w:t>
      </w:r>
      <w:r w:rsidR="00467A13">
        <w:rPr>
          <w:rFonts w:ascii="Times New Roman" w:hAnsi="Times New Roman" w:cs="Times New Roman"/>
        </w:rPr>
        <w:t xml:space="preserve"> relative fluidité de la présence ou de l’absence des articles définis, pouvant avoir le sens de possessifs, dans le grec du Nouveau Testament</w:t>
      </w:r>
      <w:r w:rsidR="00951C59">
        <w:rPr>
          <w:rFonts w:ascii="Times New Roman" w:hAnsi="Times New Roman" w:cs="Times New Roman"/>
        </w:rPr>
        <w:t xml:space="preserve"> (« Au commencement » pourrait donc être « Dans le commencement » ou « Dans son commencement » et de même pour « En tête »)</w:t>
      </w:r>
      <w:r w:rsidR="00E7159A">
        <w:rPr>
          <w:rStyle w:val="Appelnotedebasdep"/>
          <w:rFonts w:ascii="Times New Roman" w:hAnsi="Times New Roman" w:cs="Times New Roman"/>
        </w:rPr>
        <w:footnoteReference w:id="59"/>
      </w:r>
      <w:r w:rsidR="00467A13">
        <w:rPr>
          <w:rFonts w:ascii="Times New Roman" w:hAnsi="Times New Roman" w:cs="Times New Roman"/>
        </w:rPr>
        <w:t xml:space="preserve">. </w:t>
      </w:r>
      <w:r w:rsidR="00E14A9A">
        <w:rPr>
          <w:rFonts w:ascii="Times New Roman" w:hAnsi="Times New Roman" w:cs="Times New Roman"/>
        </w:rPr>
        <w:lastRenderedPageBreak/>
        <w:t xml:space="preserve">Quant au choix de traduire </w:t>
      </w:r>
      <w:r w:rsidR="00E14A9A" w:rsidRPr="00CD5BBD">
        <w:rPr>
          <w:rFonts w:ascii="Times New Roman" w:eastAsia="Times New Roman" w:hAnsi="Times New Roman" w:cs="Times New Roman"/>
          <w:color w:val="222222"/>
          <w:kern w:val="0"/>
          <w:shd w:val="clear" w:color="auto" w:fill="FFFFFF"/>
          <w:lang w:eastAsia="fr-FR"/>
          <w14:ligatures w14:val="none"/>
        </w:rPr>
        <w:t>ὁ λόγος</w:t>
      </w:r>
      <w:r w:rsidR="00E14A9A">
        <w:rPr>
          <w:rFonts w:ascii="Times New Roman" w:eastAsia="Times New Roman" w:hAnsi="Times New Roman" w:cs="Times New Roman"/>
          <w:color w:val="222222"/>
          <w:kern w:val="0"/>
          <w:shd w:val="clear" w:color="auto" w:fill="FFFFFF"/>
          <w:lang w:eastAsia="fr-FR"/>
          <w14:ligatures w14:val="none"/>
        </w:rPr>
        <w:t xml:space="preserve"> par « l’histoire », il s’appuie sur l’emploi de ce mot pour désigner, par exemple une « fable</w:t>
      </w:r>
      <w:r w:rsidR="00E14A9A">
        <w:rPr>
          <w:rStyle w:val="Appelnotedebasdep"/>
          <w:rFonts w:ascii="Times New Roman" w:eastAsia="Times New Roman" w:hAnsi="Times New Roman" w:cs="Times New Roman"/>
          <w:color w:val="222222"/>
          <w:kern w:val="0"/>
          <w:shd w:val="clear" w:color="auto" w:fill="FFFFFF"/>
          <w:lang w:eastAsia="fr-FR"/>
          <w14:ligatures w14:val="none"/>
        </w:rPr>
        <w:footnoteReference w:id="60"/>
      </w:r>
      <w:r w:rsidR="00E14A9A">
        <w:rPr>
          <w:rFonts w:ascii="Times New Roman" w:eastAsia="Times New Roman" w:hAnsi="Times New Roman" w:cs="Times New Roman"/>
          <w:color w:val="222222"/>
          <w:kern w:val="0"/>
          <w:shd w:val="clear" w:color="auto" w:fill="FFFFFF"/>
          <w:lang w:eastAsia="fr-FR"/>
          <w14:ligatures w14:val="none"/>
        </w:rPr>
        <w:t> ».</w:t>
      </w:r>
    </w:p>
    <w:p w14:paraId="27510C8B" w14:textId="77777777" w:rsidR="008B1F7B" w:rsidRPr="003F2389" w:rsidRDefault="008B1F7B" w:rsidP="00B33A13">
      <w:pPr>
        <w:spacing w:line="360" w:lineRule="auto"/>
        <w:jc w:val="both"/>
        <w:rPr>
          <w:rFonts w:ascii="Times New Roman" w:eastAsia="Times New Roman" w:hAnsi="Times New Roman" w:cs="Times New Roman"/>
          <w:color w:val="222222"/>
          <w:kern w:val="0"/>
          <w:shd w:val="clear" w:color="auto" w:fill="FFFFFF"/>
          <w:lang w:eastAsia="fr-FR"/>
          <w14:ligatures w14:val="none"/>
        </w:rPr>
      </w:pPr>
      <w:r>
        <w:rPr>
          <w:rFonts w:ascii="Times New Roman" w:eastAsia="Times New Roman" w:hAnsi="Times New Roman" w:cs="Times New Roman"/>
          <w:color w:val="222222"/>
          <w:kern w:val="0"/>
          <w:shd w:val="clear" w:color="auto" w:fill="FFFFFF"/>
          <w:lang w:eastAsia="fr-FR"/>
          <w14:ligatures w14:val="none"/>
        </w:rPr>
        <w:t>Imaginer, créer d’autres traductions contresensiques, en imitant celles qui existent</w:t>
      </w:r>
      <w:r w:rsidR="004D4894">
        <w:rPr>
          <w:rFonts w:ascii="Times New Roman" w:eastAsia="Times New Roman" w:hAnsi="Times New Roman" w:cs="Times New Roman"/>
          <w:color w:val="222222"/>
          <w:kern w:val="0"/>
          <w:shd w:val="clear" w:color="auto" w:fill="FFFFFF"/>
          <w:lang w:eastAsia="fr-FR"/>
          <w14:ligatures w14:val="none"/>
        </w:rPr>
        <w:t xml:space="preserve"> dans l’Antiquité tardive</w:t>
      </w:r>
      <w:r>
        <w:rPr>
          <w:rFonts w:ascii="Times New Roman" w:eastAsia="Times New Roman" w:hAnsi="Times New Roman" w:cs="Times New Roman"/>
          <w:color w:val="222222"/>
          <w:kern w:val="0"/>
          <w:shd w:val="clear" w:color="auto" w:fill="FFFFFF"/>
          <w:lang w:eastAsia="fr-FR"/>
          <w14:ligatures w14:val="none"/>
        </w:rPr>
        <w:t xml:space="preserve"> et en en envisageant d’autres selon d’autres procédés</w:t>
      </w:r>
      <w:r w:rsidR="004D4894">
        <w:rPr>
          <w:rFonts w:ascii="Times New Roman" w:eastAsia="Times New Roman" w:hAnsi="Times New Roman" w:cs="Times New Roman"/>
          <w:color w:val="222222"/>
          <w:kern w:val="0"/>
          <w:shd w:val="clear" w:color="auto" w:fill="FFFFFF"/>
          <w:lang w:eastAsia="fr-FR"/>
          <w14:ligatures w14:val="none"/>
        </w:rPr>
        <w:t xml:space="preserve"> </w:t>
      </w:r>
      <w:r>
        <w:rPr>
          <w:rFonts w:ascii="Times New Roman" w:eastAsia="Times New Roman" w:hAnsi="Times New Roman" w:cs="Times New Roman"/>
          <w:color w:val="222222"/>
          <w:kern w:val="0"/>
          <w:shd w:val="clear" w:color="auto" w:fill="FFFFFF"/>
          <w:lang w:eastAsia="fr-FR"/>
          <w14:ligatures w14:val="none"/>
        </w:rPr>
        <w:t xml:space="preserve">peut-il avoir un intérêt autre que ludique ? Je suis convaincu que oui, pour deux raisons, parmi sans doute d’autres possibles. </w:t>
      </w:r>
      <w:r w:rsidR="004D4894">
        <w:rPr>
          <w:rFonts w:ascii="Times New Roman" w:eastAsia="Times New Roman" w:hAnsi="Times New Roman" w:cs="Times New Roman"/>
          <w:color w:val="222222"/>
          <w:kern w:val="0"/>
          <w:shd w:val="clear" w:color="auto" w:fill="FFFFFF"/>
          <w:lang w:eastAsia="fr-FR"/>
          <w14:ligatures w14:val="none"/>
        </w:rPr>
        <w:t xml:space="preserve">Premièrement, plus que celle des époques ultérieures, la littérature antique en général ne nous est parvenue que par bribes : des pans entiers ont disparu, parfois par les aléas des événements ; parfois aussi parce qu’ils ont été annihilés par des personnes ou groupes qui ont eu le pouvoir de les faire disparaître </w:t>
      </w:r>
      <w:r w:rsidR="009A1AAC">
        <w:rPr>
          <w:rFonts w:ascii="Times New Roman" w:eastAsia="Times New Roman" w:hAnsi="Times New Roman" w:cs="Times New Roman"/>
          <w:color w:val="222222"/>
          <w:kern w:val="0"/>
          <w:shd w:val="clear" w:color="auto" w:fill="FFFFFF"/>
          <w:lang w:eastAsia="fr-FR"/>
          <w14:ligatures w14:val="none"/>
        </w:rPr>
        <w:t>–</w:t>
      </w:r>
      <w:r w:rsidR="004D4894">
        <w:rPr>
          <w:rFonts w:ascii="Times New Roman" w:eastAsia="Times New Roman" w:hAnsi="Times New Roman" w:cs="Times New Roman"/>
          <w:color w:val="222222"/>
          <w:kern w:val="0"/>
          <w:shd w:val="clear" w:color="auto" w:fill="FFFFFF"/>
          <w:lang w:eastAsia="fr-FR"/>
          <w14:ligatures w14:val="none"/>
        </w:rPr>
        <w:t xml:space="preserve"> </w:t>
      </w:r>
      <w:r w:rsidR="009A1AAC">
        <w:rPr>
          <w:rFonts w:ascii="Times New Roman" w:eastAsia="Times New Roman" w:hAnsi="Times New Roman" w:cs="Times New Roman"/>
          <w:color w:val="222222"/>
          <w:kern w:val="0"/>
          <w:shd w:val="clear" w:color="auto" w:fill="FFFFFF"/>
          <w:lang w:eastAsia="fr-FR"/>
          <w14:ligatures w14:val="none"/>
        </w:rPr>
        <w:t xml:space="preserve">c’est ainsi que </w:t>
      </w:r>
      <w:r w:rsidR="003F2389">
        <w:rPr>
          <w:rFonts w:ascii="Times New Roman" w:eastAsia="Times New Roman" w:hAnsi="Times New Roman" w:cs="Times New Roman"/>
          <w:color w:val="222222"/>
          <w:kern w:val="0"/>
          <w:shd w:val="clear" w:color="auto" w:fill="FFFFFF"/>
          <w:lang w:eastAsia="fr-FR"/>
          <w14:ligatures w14:val="none"/>
        </w:rPr>
        <w:t xml:space="preserve">de nombreux textes issus de tendances minoritaires du christianisme ont disparu en partie ou en totalité. Imaginer quelles traductions auraient pu être réalisées dans l’Antiquité, c’est ainsi tenter de combler des lacunes dues aux événements – voire le faire dans un acte de résistance contre les abus de certains pouvoirs du passé. Deuxièmement, même si la littérature de l’Antiquité tardive n’était pas lacunaire pour nous, la prolonger par des créations imaginant ce qu’elle aurait pu être </w:t>
      </w:r>
      <w:r w:rsidR="003F2389">
        <w:rPr>
          <w:rFonts w:ascii="Times New Roman" w:eastAsia="Times New Roman" w:hAnsi="Times New Roman" w:cs="Times New Roman"/>
          <w:i/>
          <w:iCs/>
          <w:color w:val="222222"/>
          <w:kern w:val="0"/>
          <w:shd w:val="clear" w:color="auto" w:fill="FFFFFF"/>
          <w:lang w:eastAsia="fr-FR"/>
          <w14:ligatures w14:val="none"/>
        </w:rPr>
        <w:t>aussi</w:t>
      </w:r>
      <w:r w:rsidR="003F2389">
        <w:rPr>
          <w:rFonts w:ascii="Times New Roman" w:eastAsia="Times New Roman" w:hAnsi="Times New Roman" w:cs="Times New Roman"/>
          <w:color w:val="222222"/>
          <w:kern w:val="0"/>
          <w:shd w:val="clear" w:color="auto" w:fill="FFFFFF"/>
          <w:lang w:eastAsia="fr-FR"/>
          <w14:ligatures w14:val="none"/>
        </w:rPr>
        <w:t xml:space="preserve"> est cohérent avec ce qu’est un texte : une possibilité parmi d’autres, issue de choix, au sein d’une matière textuelle qui pourrait être incarnée, mais ne l’est que partiellement. Imaginer le peut-être de la littérature – le peut-être de la traduction d’une époque donnée par exemple – c’est ainsi retrouver l’état virtuel – originel et premier – de ce que sont tous les textes.  </w:t>
      </w:r>
    </w:p>
    <w:p w14:paraId="6B5AF9EC" w14:textId="77777777" w:rsidR="00467A13" w:rsidRDefault="00467A13" w:rsidP="00B33A13">
      <w:pPr>
        <w:spacing w:line="360" w:lineRule="auto"/>
        <w:jc w:val="both"/>
        <w:rPr>
          <w:rFonts w:ascii="Times New Roman" w:hAnsi="Times New Roman" w:cs="Times New Roman"/>
        </w:rPr>
      </w:pPr>
    </w:p>
    <w:p w14:paraId="1C32D33D" w14:textId="77777777" w:rsidR="00FC235C" w:rsidRDefault="00FC235C" w:rsidP="00B33A13">
      <w:pPr>
        <w:spacing w:line="360" w:lineRule="auto"/>
        <w:jc w:val="both"/>
        <w:rPr>
          <w:rFonts w:ascii="Times New Roman" w:hAnsi="Times New Roman" w:cs="Times New Roman"/>
        </w:rPr>
      </w:pPr>
      <w:r>
        <w:rPr>
          <w:rFonts w:ascii="Times New Roman" w:hAnsi="Times New Roman" w:cs="Times New Roman"/>
        </w:rPr>
        <w:t>b. Créer de nouveaux textes.</w:t>
      </w:r>
    </w:p>
    <w:p w14:paraId="64DE926A" w14:textId="77777777" w:rsidR="00FC235C" w:rsidRDefault="00FC235C" w:rsidP="00B33A13">
      <w:pPr>
        <w:spacing w:line="360" w:lineRule="auto"/>
        <w:jc w:val="both"/>
        <w:rPr>
          <w:rFonts w:ascii="Times New Roman" w:hAnsi="Times New Roman" w:cs="Times New Roman"/>
        </w:rPr>
      </w:pPr>
    </w:p>
    <w:p w14:paraId="49A3E2BF" w14:textId="77777777" w:rsidR="00FC235C" w:rsidRDefault="00FC235C" w:rsidP="00B33A13">
      <w:pPr>
        <w:spacing w:line="360" w:lineRule="auto"/>
        <w:jc w:val="both"/>
        <w:rPr>
          <w:rFonts w:ascii="Times New Roman" w:hAnsi="Times New Roman" w:cs="Times New Roman"/>
        </w:rPr>
      </w:pPr>
      <w:r>
        <w:rPr>
          <w:rFonts w:ascii="Times New Roman" w:hAnsi="Times New Roman" w:cs="Times New Roman"/>
        </w:rPr>
        <w:t xml:space="preserve">Notre seconde proposition se fonde sur le même présupposé : remonter en amont, là où les textes existent comme possibilités, parmi lesquelles les auteurs et autrices, et les circonstances, font un tri. </w:t>
      </w:r>
    </w:p>
    <w:p w14:paraId="2F3E84FE" w14:textId="77777777" w:rsidR="00205219" w:rsidRDefault="00FC235C" w:rsidP="004430E3">
      <w:pPr>
        <w:spacing w:line="360" w:lineRule="auto"/>
        <w:jc w:val="both"/>
        <w:rPr>
          <w:rFonts w:ascii="Times New Roman" w:hAnsi="Times New Roman" w:cs="Times New Roman"/>
        </w:rPr>
      </w:pPr>
      <w:r>
        <w:rPr>
          <w:rFonts w:ascii="Times New Roman" w:hAnsi="Times New Roman" w:cs="Times New Roman"/>
        </w:rPr>
        <w:t xml:space="preserve">Les chercheurs et chercheuses de l’Antiquité tardive ne cessent de postuler des textes qui auraient pu exister. Parfois, il s’agit </w:t>
      </w:r>
      <w:r w:rsidR="00E65D45">
        <w:rPr>
          <w:rFonts w:ascii="Times New Roman" w:hAnsi="Times New Roman" w:cs="Times New Roman"/>
        </w:rPr>
        <w:t>d’expliquer, par ce moyen, les</w:t>
      </w:r>
      <w:r>
        <w:rPr>
          <w:rFonts w:ascii="Times New Roman" w:hAnsi="Times New Roman" w:cs="Times New Roman"/>
        </w:rPr>
        <w:t xml:space="preserve"> textes qui nous sont parvenus. C’est ainsi </w:t>
      </w:r>
      <w:r w:rsidR="00161092">
        <w:rPr>
          <w:rFonts w:ascii="Times New Roman" w:hAnsi="Times New Roman" w:cs="Times New Roman"/>
        </w:rPr>
        <w:t>que certains points communs entre l’</w:t>
      </w:r>
      <w:r w:rsidR="00161092">
        <w:rPr>
          <w:rFonts w:ascii="Times New Roman" w:hAnsi="Times New Roman" w:cs="Times New Roman"/>
          <w:i/>
          <w:iCs/>
        </w:rPr>
        <w:t>Évangile selon Matthieu</w:t>
      </w:r>
      <w:r w:rsidR="00161092">
        <w:rPr>
          <w:rFonts w:ascii="Times New Roman" w:hAnsi="Times New Roman" w:cs="Times New Roman"/>
        </w:rPr>
        <w:t>, l’</w:t>
      </w:r>
      <w:r w:rsidR="00161092">
        <w:rPr>
          <w:rFonts w:ascii="Times New Roman" w:hAnsi="Times New Roman" w:cs="Times New Roman"/>
          <w:i/>
          <w:iCs/>
        </w:rPr>
        <w:t xml:space="preserve">Évangile selon Luc </w:t>
      </w:r>
      <w:r w:rsidR="00161092">
        <w:rPr>
          <w:rFonts w:ascii="Times New Roman" w:hAnsi="Times New Roman" w:cs="Times New Roman"/>
        </w:rPr>
        <w:t>et l’</w:t>
      </w:r>
      <w:r w:rsidR="00161092">
        <w:rPr>
          <w:rFonts w:ascii="Times New Roman" w:hAnsi="Times New Roman" w:cs="Times New Roman"/>
          <w:i/>
          <w:iCs/>
        </w:rPr>
        <w:t>Évangile selon Marc</w:t>
      </w:r>
      <w:r w:rsidR="00161092">
        <w:rPr>
          <w:rFonts w:ascii="Times New Roman" w:hAnsi="Times New Roman" w:cs="Times New Roman"/>
        </w:rPr>
        <w:t xml:space="preserve"> ont conduit à postuler que les deux premiers, beaucoup plus </w:t>
      </w:r>
      <w:r w:rsidR="00161092">
        <w:rPr>
          <w:rFonts w:ascii="Times New Roman" w:hAnsi="Times New Roman" w:cs="Times New Roman"/>
        </w:rPr>
        <w:lastRenderedPageBreak/>
        <w:t xml:space="preserve">longs que </w:t>
      </w:r>
      <w:r w:rsidR="00161092">
        <w:rPr>
          <w:rFonts w:ascii="Times New Roman" w:hAnsi="Times New Roman" w:cs="Times New Roman"/>
          <w:i/>
          <w:iCs/>
        </w:rPr>
        <w:t>Marc</w:t>
      </w:r>
      <w:r w:rsidR="00161092">
        <w:rPr>
          <w:rFonts w:ascii="Times New Roman" w:hAnsi="Times New Roman" w:cs="Times New Roman"/>
        </w:rPr>
        <w:t>, reprenaient ce dernier</w:t>
      </w:r>
      <w:r w:rsidR="00E65D45">
        <w:rPr>
          <w:rFonts w:ascii="Times New Roman" w:hAnsi="Times New Roman" w:cs="Times New Roman"/>
        </w:rPr>
        <w:t> ;</w:t>
      </w:r>
      <w:r w:rsidR="00161092">
        <w:rPr>
          <w:rFonts w:ascii="Times New Roman" w:hAnsi="Times New Roman" w:cs="Times New Roman"/>
        </w:rPr>
        <w:t xml:space="preserve"> et que d’autres points communs uniquement entre </w:t>
      </w:r>
      <w:r w:rsidR="00161092">
        <w:rPr>
          <w:rFonts w:ascii="Times New Roman" w:hAnsi="Times New Roman" w:cs="Times New Roman"/>
          <w:i/>
          <w:iCs/>
        </w:rPr>
        <w:t>Matthieu</w:t>
      </w:r>
      <w:r w:rsidR="00161092">
        <w:rPr>
          <w:rFonts w:ascii="Times New Roman" w:hAnsi="Times New Roman" w:cs="Times New Roman"/>
        </w:rPr>
        <w:t xml:space="preserve"> et </w:t>
      </w:r>
      <w:r w:rsidR="00161092">
        <w:rPr>
          <w:rFonts w:ascii="Times New Roman" w:hAnsi="Times New Roman" w:cs="Times New Roman"/>
          <w:i/>
          <w:iCs/>
        </w:rPr>
        <w:t>Luc</w:t>
      </w:r>
      <w:r w:rsidR="00161092">
        <w:rPr>
          <w:rFonts w:ascii="Times New Roman" w:hAnsi="Times New Roman" w:cs="Times New Roman"/>
        </w:rPr>
        <w:t xml:space="preserve"> ont amené à faire l’hypothèse d’une seconde source écrite, perdue, que tous les deux auraient </w:t>
      </w:r>
      <w:r w:rsidR="00E65D45">
        <w:rPr>
          <w:rFonts w:ascii="Times New Roman" w:hAnsi="Times New Roman" w:cs="Times New Roman"/>
        </w:rPr>
        <w:t xml:space="preserve">également </w:t>
      </w:r>
      <w:r w:rsidR="00161092">
        <w:rPr>
          <w:rFonts w:ascii="Times New Roman" w:hAnsi="Times New Roman" w:cs="Times New Roman"/>
        </w:rPr>
        <w:t>partagée</w:t>
      </w:r>
      <w:r w:rsidR="00076234">
        <w:rPr>
          <w:rStyle w:val="Appelnotedebasdep"/>
          <w:rFonts w:ascii="Times New Roman" w:hAnsi="Times New Roman" w:cs="Times New Roman"/>
        </w:rPr>
        <w:footnoteReference w:id="61"/>
      </w:r>
      <w:r w:rsidR="00161092">
        <w:rPr>
          <w:rFonts w:ascii="Times New Roman" w:hAnsi="Times New Roman" w:cs="Times New Roman"/>
        </w:rPr>
        <w:t xml:space="preserve">. </w:t>
      </w:r>
      <w:r w:rsidR="00E65D45">
        <w:rPr>
          <w:rFonts w:ascii="Times New Roman" w:hAnsi="Times New Roman" w:cs="Times New Roman"/>
        </w:rPr>
        <w:t>Celle-ci</w:t>
      </w:r>
      <w:r w:rsidR="00161092">
        <w:rPr>
          <w:rFonts w:ascii="Times New Roman" w:hAnsi="Times New Roman" w:cs="Times New Roman"/>
        </w:rPr>
        <w:t xml:space="preserve">, </w:t>
      </w:r>
      <w:r w:rsidR="00E65D45">
        <w:rPr>
          <w:rFonts w:ascii="Times New Roman" w:hAnsi="Times New Roman" w:cs="Times New Roman"/>
        </w:rPr>
        <w:t>désignée comme</w:t>
      </w:r>
      <w:r w:rsidR="00161092">
        <w:rPr>
          <w:rFonts w:ascii="Times New Roman" w:hAnsi="Times New Roman" w:cs="Times New Roman"/>
        </w:rPr>
        <w:t xml:space="preserve"> la source Q</w:t>
      </w:r>
      <w:r w:rsidR="00E65D45">
        <w:rPr>
          <w:rFonts w:ascii="Times New Roman" w:hAnsi="Times New Roman" w:cs="Times New Roman"/>
        </w:rPr>
        <w:t xml:space="preserve"> (de l’allemand « </w:t>
      </w:r>
      <w:r w:rsidR="00E65D45">
        <w:rPr>
          <w:rFonts w:ascii="Times New Roman" w:hAnsi="Times New Roman" w:cs="Times New Roman"/>
          <w:i/>
          <w:iCs/>
        </w:rPr>
        <w:t>Quelle</w:t>
      </w:r>
      <w:r w:rsidR="00E65D45">
        <w:rPr>
          <w:rFonts w:ascii="Times New Roman" w:hAnsi="Times New Roman" w:cs="Times New Roman"/>
        </w:rPr>
        <w:t> », « source »)</w:t>
      </w:r>
      <w:r w:rsidR="00161092">
        <w:rPr>
          <w:rFonts w:ascii="Times New Roman" w:hAnsi="Times New Roman" w:cs="Times New Roman"/>
        </w:rPr>
        <w:t xml:space="preserve">, </w:t>
      </w:r>
      <w:r w:rsidR="00E65D45">
        <w:rPr>
          <w:rFonts w:ascii="Times New Roman" w:hAnsi="Times New Roman" w:cs="Times New Roman"/>
        </w:rPr>
        <w:t>est ainsi un texte imaginé par les chercheurs et chercheuses</w:t>
      </w:r>
      <w:r w:rsidR="00076234">
        <w:rPr>
          <w:rStyle w:val="Appelnotedebasdep"/>
          <w:rFonts w:ascii="Times New Roman" w:hAnsi="Times New Roman" w:cs="Times New Roman"/>
        </w:rPr>
        <w:footnoteReference w:id="62"/>
      </w:r>
      <w:r w:rsidR="00E65D45">
        <w:rPr>
          <w:rFonts w:ascii="Times New Roman" w:hAnsi="Times New Roman" w:cs="Times New Roman"/>
        </w:rPr>
        <w:t>.</w:t>
      </w:r>
      <w:r w:rsidR="00161092">
        <w:rPr>
          <w:rFonts w:ascii="Times New Roman" w:hAnsi="Times New Roman" w:cs="Times New Roman"/>
        </w:rPr>
        <w:t xml:space="preserve"> </w:t>
      </w:r>
    </w:p>
    <w:p w14:paraId="0C80C251" w14:textId="77777777" w:rsidR="00FC235C" w:rsidRDefault="00076234" w:rsidP="004430E3">
      <w:pPr>
        <w:spacing w:line="360" w:lineRule="auto"/>
        <w:jc w:val="both"/>
        <w:rPr>
          <w:rFonts w:ascii="Times New Roman" w:hAnsi="Times New Roman" w:cs="Times New Roman"/>
        </w:rPr>
      </w:pPr>
      <w:r>
        <w:rPr>
          <w:rFonts w:ascii="Times New Roman" w:hAnsi="Times New Roman" w:cs="Times New Roman"/>
        </w:rPr>
        <w:t xml:space="preserve">La </w:t>
      </w:r>
      <w:r>
        <w:rPr>
          <w:rFonts w:ascii="Times New Roman" w:hAnsi="Times New Roman" w:cs="Times New Roman"/>
          <w:i/>
          <w:iCs/>
        </w:rPr>
        <w:t>Lettre à Théodore</w:t>
      </w:r>
      <w:r>
        <w:rPr>
          <w:rFonts w:ascii="Times New Roman" w:hAnsi="Times New Roman" w:cs="Times New Roman"/>
        </w:rPr>
        <w:t xml:space="preserve"> de Clément d’Alexandrie retrouvée par Morton Smith dans le monastère de Mar Saba</w:t>
      </w:r>
      <w:r w:rsidR="00205219">
        <w:rPr>
          <w:rStyle w:val="Appelnotedebasdep"/>
          <w:rFonts w:ascii="Times New Roman" w:hAnsi="Times New Roman" w:cs="Times New Roman"/>
        </w:rPr>
        <w:footnoteReference w:id="63"/>
      </w:r>
      <w:r>
        <w:rPr>
          <w:rFonts w:ascii="Times New Roman" w:hAnsi="Times New Roman" w:cs="Times New Roman"/>
        </w:rPr>
        <w:t xml:space="preserve"> constitue un cas plus complexe : celle-ci cite deux passages d’une version longue de l’</w:t>
      </w:r>
      <w:r>
        <w:rPr>
          <w:rFonts w:ascii="Times New Roman" w:hAnsi="Times New Roman" w:cs="Times New Roman"/>
          <w:i/>
          <w:iCs/>
        </w:rPr>
        <w:t>Évangile selon Marc</w:t>
      </w:r>
      <w:r w:rsidR="00205219">
        <w:rPr>
          <w:rStyle w:val="Appelnotedebasdep"/>
          <w:rFonts w:ascii="Times New Roman" w:hAnsi="Times New Roman" w:cs="Times New Roman"/>
        </w:rPr>
        <w:footnoteReference w:id="64"/>
      </w:r>
      <w:r>
        <w:rPr>
          <w:rFonts w:ascii="Times New Roman" w:hAnsi="Times New Roman" w:cs="Times New Roman"/>
        </w:rPr>
        <w:t xml:space="preserve">, </w:t>
      </w:r>
      <w:r w:rsidR="004430E3">
        <w:rPr>
          <w:rFonts w:ascii="Times New Roman" w:hAnsi="Times New Roman" w:cs="Times New Roman"/>
        </w:rPr>
        <w:t>désignée par l’auteur de la lettre comme une « évangile plus spirituel</w:t>
      </w:r>
      <w:r w:rsidR="004430E3">
        <w:rPr>
          <w:rStyle w:val="Appelnotedebasdep"/>
          <w:rFonts w:ascii="Times New Roman" w:hAnsi="Times New Roman" w:cs="Times New Roman"/>
        </w:rPr>
        <w:footnoteReference w:id="65"/>
      </w:r>
      <w:r w:rsidR="004430E3">
        <w:rPr>
          <w:rFonts w:ascii="Times New Roman" w:hAnsi="Times New Roman" w:cs="Times New Roman"/>
        </w:rPr>
        <w:t xml:space="preserve"> », </w:t>
      </w:r>
      <w:r>
        <w:rPr>
          <w:rFonts w:ascii="Times New Roman" w:hAnsi="Times New Roman" w:cs="Times New Roman"/>
        </w:rPr>
        <w:t>qui aurait, toujours selon la lettre, été réservée à des lecteurs et lectrices d’un niveau plus avancé</w:t>
      </w:r>
      <w:r w:rsidR="00205219">
        <w:rPr>
          <w:rStyle w:val="Appelnotedebasdep"/>
          <w:rFonts w:ascii="Times New Roman" w:hAnsi="Times New Roman" w:cs="Times New Roman"/>
        </w:rPr>
        <w:footnoteReference w:id="66"/>
      </w:r>
      <w:r>
        <w:rPr>
          <w:rFonts w:ascii="Times New Roman" w:hAnsi="Times New Roman" w:cs="Times New Roman"/>
        </w:rPr>
        <w:t xml:space="preserve">. Or la seconde de ces </w:t>
      </w:r>
      <w:r w:rsidR="004430E3">
        <w:rPr>
          <w:rFonts w:ascii="Times New Roman" w:hAnsi="Times New Roman" w:cs="Times New Roman"/>
        </w:rPr>
        <w:t xml:space="preserve">deux </w:t>
      </w:r>
      <w:r>
        <w:rPr>
          <w:rFonts w:ascii="Times New Roman" w:hAnsi="Times New Roman" w:cs="Times New Roman"/>
        </w:rPr>
        <w:t xml:space="preserve">citations permet de </w:t>
      </w:r>
      <w:r w:rsidR="004430E3">
        <w:rPr>
          <w:rFonts w:ascii="Times New Roman" w:hAnsi="Times New Roman" w:cs="Times New Roman"/>
        </w:rPr>
        <w:t>répondre à une question que présente</w:t>
      </w:r>
      <w:r>
        <w:rPr>
          <w:rFonts w:ascii="Times New Roman" w:hAnsi="Times New Roman" w:cs="Times New Roman"/>
        </w:rPr>
        <w:t xml:space="preserve"> l’</w:t>
      </w:r>
      <w:r>
        <w:rPr>
          <w:rFonts w:ascii="Times New Roman" w:hAnsi="Times New Roman" w:cs="Times New Roman"/>
          <w:i/>
          <w:iCs/>
        </w:rPr>
        <w:t>Évangile selon Marc</w:t>
      </w:r>
      <w:r>
        <w:rPr>
          <w:rFonts w:ascii="Times New Roman" w:hAnsi="Times New Roman" w:cs="Times New Roman"/>
        </w:rPr>
        <w:t xml:space="preserve">. Celui-ci comporte, en 10, 46, une ellipse étrange : </w:t>
      </w:r>
      <w:r w:rsidRPr="00076234">
        <w:rPr>
          <w:rFonts w:ascii="Times New Roman" w:hAnsi="Times New Roman" w:cs="Times New Roman"/>
        </w:rPr>
        <w:t>« Ils arrivèrent à Jéricho. Et, lorsque Jésus en sortit</w:t>
      </w:r>
      <w:r>
        <w:rPr>
          <w:rStyle w:val="Appelnotedebasdep"/>
          <w:rFonts w:ascii="Times New Roman" w:hAnsi="Times New Roman" w:cs="Times New Roman"/>
        </w:rPr>
        <w:footnoteReference w:id="67"/>
      </w:r>
      <w:r w:rsidRPr="00076234">
        <w:rPr>
          <w:rFonts w:ascii="Times New Roman" w:hAnsi="Times New Roman" w:cs="Times New Roman"/>
        </w:rPr>
        <w:t> »</w:t>
      </w:r>
      <w:r>
        <w:rPr>
          <w:rFonts w:ascii="Times New Roman" w:hAnsi="Times New Roman" w:cs="Times New Roman"/>
        </w:rPr>
        <w:t xml:space="preserve">. Pourquoi signaler ainsi que Jésus est entré puis sorti d’une ville sans rien raconter de ce qui s’y est passé ? La </w:t>
      </w:r>
      <w:r>
        <w:rPr>
          <w:rFonts w:ascii="Times New Roman" w:hAnsi="Times New Roman" w:cs="Times New Roman"/>
          <w:i/>
          <w:iCs/>
        </w:rPr>
        <w:t>Lettre à Théodore</w:t>
      </w:r>
      <w:r>
        <w:rPr>
          <w:rFonts w:ascii="Times New Roman" w:hAnsi="Times New Roman" w:cs="Times New Roman"/>
        </w:rPr>
        <w:t xml:space="preserve"> </w:t>
      </w:r>
      <w:r w:rsidR="00205219">
        <w:rPr>
          <w:rFonts w:ascii="Times New Roman" w:hAnsi="Times New Roman" w:cs="Times New Roman"/>
        </w:rPr>
        <w:t>résout</w:t>
      </w:r>
      <w:r w:rsidR="004430E3">
        <w:rPr>
          <w:rFonts w:ascii="Times New Roman" w:hAnsi="Times New Roman" w:cs="Times New Roman"/>
        </w:rPr>
        <w:t xml:space="preserve"> cette difficulté : ce qui s’est passé ne doit pas être connu des lecteurs et lectrices débutantes ; seul un lectorat plus avancé peut y avoir accès. C’est pourquoi cette ellipse est remplacée par un court récit dans l’</w:t>
      </w:r>
      <w:r w:rsidR="004430E3">
        <w:rPr>
          <w:rFonts w:ascii="Times New Roman" w:hAnsi="Times New Roman" w:cs="Times New Roman"/>
          <w:i/>
          <w:iCs/>
        </w:rPr>
        <w:t>Évangile plus spirituel selon Marc</w:t>
      </w:r>
      <w:r w:rsidR="004430E3">
        <w:rPr>
          <w:rFonts w:ascii="Times New Roman" w:hAnsi="Times New Roman" w:cs="Times New Roman"/>
        </w:rPr>
        <w:t xml:space="preserve"> : </w:t>
      </w:r>
      <w:r w:rsidR="004430E3" w:rsidRPr="004430E3">
        <w:rPr>
          <w:rFonts w:ascii="Times New Roman" w:hAnsi="Times New Roman" w:cs="Times New Roman"/>
        </w:rPr>
        <w:t xml:space="preserve">« et après "et il arrive à Jéricho" il </w:t>
      </w:r>
      <w:r w:rsidR="004430E3">
        <w:rPr>
          <w:rFonts w:ascii="Times New Roman" w:hAnsi="Times New Roman" w:cs="Times New Roman"/>
        </w:rPr>
        <w:t xml:space="preserve">[l’évangile plus spirituel] </w:t>
      </w:r>
      <w:r w:rsidR="004430E3" w:rsidRPr="004430E3">
        <w:rPr>
          <w:rFonts w:ascii="Times New Roman" w:hAnsi="Times New Roman" w:cs="Times New Roman"/>
        </w:rPr>
        <w:t>ajoute seulement :</w:t>
      </w:r>
      <w:r w:rsidR="004430E3">
        <w:rPr>
          <w:rFonts w:ascii="Times New Roman" w:hAnsi="Times New Roman" w:cs="Times New Roman"/>
        </w:rPr>
        <w:t xml:space="preserve"> </w:t>
      </w:r>
      <w:r w:rsidR="004430E3" w:rsidRPr="004430E3">
        <w:rPr>
          <w:rFonts w:ascii="Times New Roman" w:hAnsi="Times New Roman" w:cs="Times New Roman"/>
        </w:rPr>
        <w:t>"Et il y avait là la sœur du jeune homme que Jésus aimait, et Salomé, et Jésus ne les reçut pas."</w:t>
      </w:r>
      <w:r w:rsidR="004430E3">
        <w:rPr>
          <w:rStyle w:val="Appelnotedebasdep"/>
          <w:rFonts w:ascii="Times New Roman" w:hAnsi="Times New Roman" w:cs="Times New Roman"/>
        </w:rPr>
        <w:footnoteReference w:id="68"/>
      </w:r>
      <w:r w:rsidR="004430E3" w:rsidRPr="004430E3">
        <w:rPr>
          <w:rFonts w:ascii="Times New Roman" w:hAnsi="Times New Roman" w:cs="Times New Roman"/>
        </w:rPr>
        <w:t xml:space="preserve"> </w:t>
      </w:r>
      <w:r w:rsidR="004430E3" w:rsidRPr="009E67CF">
        <w:rPr>
          <w:rFonts w:ascii="Times New Roman" w:hAnsi="Times New Roman" w:cs="Times New Roman"/>
        </w:rPr>
        <w:t>»</w:t>
      </w:r>
      <w:r w:rsidR="009E67CF" w:rsidRPr="009E67CF">
        <w:rPr>
          <w:rFonts w:ascii="Times New Roman" w:hAnsi="Times New Roman" w:cs="Times New Roman"/>
        </w:rPr>
        <w:t xml:space="preserve"> Or, </w:t>
      </w:r>
      <w:r w:rsidR="009E67CF">
        <w:rPr>
          <w:rFonts w:ascii="Times New Roman" w:hAnsi="Times New Roman" w:cs="Times New Roman"/>
        </w:rPr>
        <w:t>très vite,</w:t>
      </w:r>
      <w:r w:rsidR="009E67CF" w:rsidRPr="009E67CF">
        <w:rPr>
          <w:rFonts w:ascii="Times New Roman" w:hAnsi="Times New Roman" w:cs="Times New Roman"/>
        </w:rPr>
        <w:t xml:space="preserve"> la </w:t>
      </w:r>
      <w:r w:rsidR="009E67CF" w:rsidRPr="009E67CF">
        <w:rPr>
          <w:rFonts w:ascii="Times New Roman" w:hAnsi="Times New Roman" w:cs="Times New Roman"/>
          <w:i/>
          <w:iCs/>
        </w:rPr>
        <w:t>Lettre à Thé</w:t>
      </w:r>
      <w:r w:rsidR="009E67CF">
        <w:rPr>
          <w:rFonts w:ascii="Times New Roman" w:hAnsi="Times New Roman" w:cs="Times New Roman"/>
          <w:i/>
          <w:iCs/>
        </w:rPr>
        <w:t>odore</w:t>
      </w:r>
      <w:r w:rsidR="009E67CF">
        <w:rPr>
          <w:rFonts w:ascii="Times New Roman" w:hAnsi="Times New Roman" w:cs="Times New Roman"/>
        </w:rPr>
        <w:t xml:space="preserve"> a été soupçonnée d’être un faux, dont son découvreur aurait été la dupe</w:t>
      </w:r>
      <w:r w:rsidR="009E67CF">
        <w:rPr>
          <w:rStyle w:val="Appelnotedebasdep"/>
          <w:rFonts w:ascii="Times New Roman" w:hAnsi="Times New Roman" w:cs="Times New Roman"/>
        </w:rPr>
        <w:footnoteReference w:id="69"/>
      </w:r>
      <w:r w:rsidR="009E67CF">
        <w:rPr>
          <w:rFonts w:ascii="Times New Roman" w:hAnsi="Times New Roman" w:cs="Times New Roman"/>
        </w:rPr>
        <w:t>, voire l’auteur réel</w:t>
      </w:r>
      <w:r w:rsidR="009E67CF">
        <w:rPr>
          <w:rStyle w:val="Appelnotedebasdep"/>
          <w:rFonts w:ascii="Times New Roman" w:hAnsi="Times New Roman" w:cs="Times New Roman"/>
        </w:rPr>
        <w:footnoteReference w:id="70"/>
      </w:r>
      <w:r w:rsidR="007C3D4B">
        <w:rPr>
          <w:rFonts w:ascii="Times New Roman" w:hAnsi="Times New Roman" w:cs="Times New Roman"/>
        </w:rPr>
        <w:t xml:space="preserve">, avec </w:t>
      </w:r>
      <w:r w:rsidR="007C3D4B">
        <w:rPr>
          <w:rFonts w:ascii="Times New Roman" w:hAnsi="Times New Roman" w:cs="Times New Roman"/>
        </w:rPr>
        <w:lastRenderedPageBreak/>
        <w:t>pour but de créer de toutes pièces un document prouvant son hypothèse d’un Jésus historique pratiquant un baptême fondé sur une union charnelle</w:t>
      </w:r>
      <w:r w:rsidR="007C3D4B">
        <w:rPr>
          <w:rStyle w:val="Appelnotedebasdep"/>
          <w:rFonts w:ascii="Times New Roman" w:hAnsi="Times New Roman" w:cs="Times New Roman"/>
        </w:rPr>
        <w:footnoteReference w:id="71"/>
      </w:r>
      <w:r w:rsidR="007C3D4B">
        <w:rPr>
          <w:rFonts w:ascii="Times New Roman" w:hAnsi="Times New Roman" w:cs="Times New Roman"/>
        </w:rPr>
        <w:t>.</w:t>
      </w:r>
    </w:p>
    <w:p w14:paraId="42AB6030" w14:textId="77777777" w:rsidR="007C3D4B" w:rsidRDefault="007C3D4B" w:rsidP="004430E3">
      <w:pPr>
        <w:spacing w:line="360" w:lineRule="auto"/>
        <w:jc w:val="both"/>
        <w:rPr>
          <w:rFonts w:ascii="Times New Roman" w:hAnsi="Times New Roman" w:cs="Times New Roman"/>
        </w:rPr>
      </w:pPr>
      <w:r>
        <w:rPr>
          <w:rFonts w:ascii="Times New Roman" w:hAnsi="Times New Roman" w:cs="Times New Roman"/>
        </w:rPr>
        <w:t xml:space="preserve">Mais que la </w:t>
      </w:r>
      <w:r>
        <w:rPr>
          <w:rFonts w:ascii="Times New Roman" w:hAnsi="Times New Roman" w:cs="Times New Roman"/>
          <w:i/>
          <w:iCs/>
        </w:rPr>
        <w:t>Lettre à Théodore</w:t>
      </w:r>
      <w:r>
        <w:rPr>
          <w:rFonts w:ascii="Times New Roman" w:hAnsi="Times New Roman" w:cs="Times New Roman"/>
        </w:rPr>
        <w:t xml:space="preserve"> soit authentique ou non est secondaire si on considère que Morton Smith présente – ou crée – un texte qui aurait pu exister. Et rien n’empêche d’imaginer des textes selon des modalités identiques – en partant d’ellipses difficiles à reconstituer – ou similaires – en partant par exemple d’une fin en suspens. Par exemple, le livre de </w:t>
      </w:r>
      <w:r>
        <w:rPr>
          <w:rFonts w:ascii="Times New Roman" w:hAnsi="Times New Roman" w:cs="Times New Roman"/>
          <w:i/>
          <w:iCs/>
        </w:rPr>
        <w:t>Jonas</w:t>
      </w:r>
      <w:r>
        <w:rPr>
          <w:rFonts w:ascii="Times New Roman" w:hAnsi="Times New Roman" w:cs="Times New Roman"/>
        </w:rPr>
        <w:t xml:space="preserve"> se termine sans qu’on sache si l’argumentation de Dieu a convaincu le prophète de se ranger à la décision divine d’épargner Ninive</w:t>
      </w:r>
      <w:r w:rsidR="0023760D">
        <w:rPr>
          <w:rStyle w:val="Appelnotedebasdep"/>
          <w:rFonts w:ascii="Times New Roman" w:hAnsi="Times New Roman" w:cs="Times New Roman"/>
        </w:rPr>
        <w:footnoteReference w:id="72"/>
      </w:r>
      <w:r>
        <w:rPr>
          <w:rFonts w:ascii="Times New Roman" w:hAnsi="Times New Roman" w:cs="Times New Roman"/>
        </w:rPr>
        <w:t>.</w:t>
      </w:r>
      <w:r w:rsidR="0023760D">
        <w:rPr>
          <w:rFonts w:ascii="Times New Roman" w:hAnsi="Times New Roman" w:cs="Times New Roman"/>
        </w:rPr>
        <w:t xml:space="preserve"> Il serait tout à fait possible d’imaginer une version plus longue de ce livre – un </w:t>
      </w:r>
      <w:r w:rsidR="0023760D">
        <w:rPr>
          <w:rFonts w:ascii="Times New Roman" w:hAnsi="Times New Roman" w:cs="Times New Roman"/>
          <w:i/>
          <w:iCs/>
        </w:rPr>
        <w:t>Jonas plus spirituel </w:t>
      </w:r>
      <w:r w:rsidR="0023760D">
        <w:rPr>
          <w:rFonts w:ascii="Times New Roman" w:hAnsi="Times New Roman" w:cs="Times New Roman"/>
        </w:rPr>
        <w:t>? – qui comporterait une réaction du prophète, qu’elle soit de l’ordre de l’approbation ou de la révolte.</w:t>
      </w:r>
    </w:p>
    <w:p w14:paraId="4395E535" w14:textId="77777777" w:rsidR="0025009D" w:rsidRDefault="0025009D" w:rsidP="004430E3">
      <w:pPr>
        <w:spacing w:line="360" w:lineRule="auto"/>
        <w:jc w:val="both"/>
        <w:rPr>
          <w:rFonts w:ascii="Times New Roman" w:hAnsi="Times New Roman" w:cs="Times New Roman"/>
        </w:rPr>
      </w:pPr>
    </w:p>
    <w:p w14:paraId="6886FEF0" w14:textId="77777777" w:rsidR="0025009D" w:rsidRDefault="0025009D" w:rsidP="004430E3">
      <w:pPr>
        <w:spacing w:line="360" w:lineRule="auto"/>
        <w:jc w:val="both"/>
        <w:rPr>
          <w:rFonts w:ascii="Times New Roman" w:hAnsi="Times New Roman" w:cs="Times New Roman"/>
        </w:rPr>
      </w:pPr>
      <w:r>
        <w:rPr>
          <w:rFonts w:ascii="Times New Roman" w:hAnsi="Times New Roman" w:cs="Times New Roman"/>
        </w:rPr>
        <w:t>3. Pour une approche universaliste des textes</w:t>
      </w:r>
    </w:p>
    <w:p w14:paraId="1DEF317B" w14:textId="77777777" w:rsidR="0025009D" w:rsidRDefault="0025009D" w:rsidP="004430E3">
      <w:pPr>
        <w:spacing w:line="360" w:lineRule="auto"/>
        <w:jc w:val="both"/>
        <w:rPr>
          <w:rFonts w:ascii="Times New Roman" w:hAnsi="Times New Roman" w:cs="Times New Roman"/>
        </w:rPr>
      </w:pPr>
    </w:p>
    <w:p w14:paraId="7C49EB8F" w14:textId="77777777" w:rsidR="0025009D" w:rsidRPr="0025009D" w:rsidRDefault="0025009D" w:rsidP="0025009D">
      <w:pPr>
        <w:spacing w:line="360" w:lineRule="auto"/>
        <w:jc w:val="both"/>
        <w:rPr>
          <w:rFonts w:ascii="Times New Roman" w:hAnsi="Times New Roman" w:cs="Times New Roman"/>
        </w:rPr>
      </w:pPr>
      <w:r w:rsidRPr="0025009D">
        <w:rPr>
          <w:rFonts w:ascii="Times New Roman" w:hAnsi="Times New Roman" w:cs="Times New Roman"/>
          <w:i/>
          <w:iCs/>
        </w:rPr>
        <w:t>Où on envisage que Saint Marc soit le Saint Patron des agnostiques.</w:t>
      </w:r>
    </w:p>
    <w:p w14:paraId="3ADECFC6" w14:textId="77777777" w:rsidR="0025009D" w:rsidRDefault="0025009D" w:rsidP="004430E3">
      <w:pPr>
        <w:spacing w:line="360" w:lineRule="auto"/>
        <w:jc w:val="both"/>
        <w:rPr>
          <w:rFonts w:ascii="Times New Roman" w:hAnsi="Times New Roman" w:cs="Times New Roman"/>
        </w:rPr>
      </w:pPr>
    </w:p>
    <w:p w14:paraId="10D5BE51" w14:textId="77777777" w:rsidR="0025009D" w:rsidRDefault="0025009D" w:rsidP="004430E3">
      <w:pPr>
        <w:spacing w:line="360" w:lineRule="auto"/>
        <w:jc w:val="both"/>
        <w:rPr>
          <w:rFonts w:ascii="Times New Roman" w:hAnsi="Times New Roman" w:cs="Times New Roman"/>
        </w:rPr>
      </w:pPr>
      <w:r w:rsidRPr="0025009D">
        <w:rPr>
          <w:rFonts w:ascii="Times New Roman" w:hAnsi="Times New Roman" w:cs="Times New Roman"/>
        </w:rPr>
        <w:t>« Voici la liste de ceux qui à l’époque s’illustrèrent dans l’écriture de récits liés directement ou non à notre Seigneur : Jacques fils de Thadée, Nicéphore, Diodore de Naziance, Théotime, Nicolas de Thessalonique et John Tolkien, fils d’Arthur</w:t>
      </w:r>
      <w:r>
        <w:rPr>
          <w:rStyle w:val="Appelnotedebasdep"/>
          <w:rFonts w:ascii="Times New Roman" w:hAnsi="Times New Roman" w:cs="Times New Roman"/>
        </w:rPr>
        <w:footnoteReference w:id="73"/>
      </w:r>
      <w:r w:rsidRPr="0025009D">
        <w:rPr>
          <w:rFonts w:ascii="Times New Roman" w:hAnsi="Times New Roman" w:cs="Times New Roman"/>
        </w:rPr>
        <w:t xml:space="preserve">. » </w:t>
      </w:r>
    </w:p>
    <w:p w14:paraId="72F2E5AA" w14:textId="77777777" w:rsidR="00923C60" w:rsidRDefault="00923C60" w:rsidP="004430E3">
      <w:pPr>
        <w:spacing w:line="360" w:lineRule="auto"/>
        <w:jc w:val="both"/>
        <w:rPr>
          <w:rFonts w:ascii="Times New Roman" w:hAnsi="Times New Roman" w:cs="Times New Roman"/>
        </w:rPr>
      </w:pPr>
    </w:p>
    <w:p w14:paraId="6B61AC75" w14:textId="77777777" w:rsidR="00736133" w:rsidRDefault="00736133" w:rsidP="004430E3">
      <w:pPr>
        <w:spacing w:line="360" w:lineRule="auto"/>
        <w:jc w:val="both"/>
        <w:rPr>
          <w:rFonts w:ascii="Times New Roman" w:hAnsi="Times New Roman" w:cs="Times New Roman"/>
        </w:rPr>
      </w:pPr>
      <w:r>
        <w:rPr>
          <w:rFonts w:ascii="Times New Roman" w:hAnsi="Times New Roman" w:cs="Times New Roman"/>
        </w:rPr>
        <w:t xml:space="preserve">Lire les textes de l’Antiquité tardive à la lumière des thèses de Pierre Bayard – supposer que leurs auteurs et autrices plagient le théoricien – et proposer des thèses inspirées de Pierre Bayard à partir de ce corpus repose sur un présupposé : il n’y a pas de spécificité des textes de l’Antiquité tardive, pas plus qu’il n’y aurait aucune spécificité d’un corpus donné, qu’elle soit linguistique, culturelle, chronologique ou encore générique ; un texte est toujours universel et peut donc être lu en parallèle avec tous les textes du monde et de tous les temps et à partir de toute proposition théorique, quel que soit le corpus à partir duquel elle a été formulée. </w:t>
      </w:r>
    </w:p>
    <w:p w14:paraId="1D21EE88" w14:textId="77777777" w:rsidR="00923C60" w:rsidRDefault="00736133" w:rsidP="004430E3">
      <w:pPr>
        <w:spacing w:line="360" w:lineRule="auto"/>
        <w:jc w:val="both"/>
        <w:rPr>
          <w:rFonts w:ascii="Times New Roman" w:hAnsi="Times New Roman" w:cs="Times New Roman"/>
          <w:lang w:val="en-US"/>
        </w:rPr>
      </w:pPr>
      <w:r>
        <w:rPr>
          <w:rFonts w:ascii="Times New Roman" w:hAnsi="Times New Roman" w:cs="Times New Roman"/>
        </w:rPr>
        <w:lastRenderedPageBreak/>
        <w:t xml:space="preserve">Ce présupposé est, je crois, inhérent à toutes les thèses de Pierre Bayard. Il est explicité notamment dans </w:t>
      </w:r>
      <w:r>
        <w:rPr>
          <w:rFonts w:ascii="Times New Roman" w:hAnsi="Times New Roman" w:cs="Times New Roman"/>
          <w:i/>
          <w:iCs/>
        </w:rPr>
        <w:t>Comment améliorer les œuvres ratées ? </w:t>
      </w:r>
      <w:r>
        <w:rPr>
          <w:rFonts w:ascii="Times New Roman" w:hAnsi="Times New Roman" w:cs="Times New Roman"/>
        </w:rPr>
        <w:t xml:space="preserve">: </w:t>
      </w:r>
      <w:r w:rsidRPr="00736133">
        <w:rPr>
          <w:rFonts w:ascii="Times New Roman" w:hAnsi="Times New Roman" w:cs="Times New Roman"/>
        </w:rPr>
        <w:t>« Aucune œuvre, à ce titre, n’est seule. Aussi étendue soit-elle, elle n’est jamais que la partie limitée d’un ensemble plus vaste, une simple pièce perdue dans l’immense demeure des textes universels</w:t>
      </w:r>
      <w:r>
        <w:rPr>
          <w:rStyle w:val="Appelnotedebasdep"/>
          <w:rFonts w:ascii="Times New Roman" w:hAnsi="Times New Roman" w:cs="Times New Roman"/>
        </w:rPr>
        <w:footnoteReference w:id="74"/>
      </w:r>
      <w:r w:rsidRPr="00736133">
        <w:rPr>
          <w:rFonts w:ascii="Times New Roman" w:hAnsi="Times New Roman" w:cs="Times New Roman"/>
        </w:rPr>
        <w:t xml:space="preserve">. » </w:t>
      </w:r>
      <w:r>
        <w:rPr>
          <w:rFonts w:ascii="Times New Roman" w:hAnsi="Times New Roman" w:cs="Times New Roman"/>
        </w:rPr>
        <w:t>Il justifie, entre autres, que les textes de l’Antiquité tardive soient rapprochés de textes y compris distants dans le temps et en apparence aux thématiques très différentes</w:t>
      </w:r>
      <w:r w:rsidR="00A34490">
        <w:rPr>
          <w:rStyle w:val="Appelnotedebasdep"/>
          <w:rFonts w:ascii="Times New Roman" w:hAnsi="Times New Roman" w:cs="Times New Roman"/>
        </w:rPr>
        <w:footnoteReference w:id="75"/>
      </w:r>
      <w:r>
        <w:rPr>
          <w:rFonts w:ascii="Times New Roman" w:hAnsi="Times New Roman" w:cs="Times New Roman"/>
        </w:rPr>
        <w:t>.</w:t>
      </w:r>
      <w:r w:rsidR="001D75F0">
        <w:rPr>
          <w:rFonts w:ascii="Times New Roman" w:hAnsi="Times New Roman" w:cs="Times New Roman"/>
        </w:rPr>
        <w:t xml:space="preserve"> Il me semble ainsi possible de mettre en perspective deux mises en abyme, l’une présente dans un des textes coptes de Nag Hammadi, l’autre dans un texte beaucoup plus proche de nous dans le temps. </w:t>
      </w:r>
      <w:r w:rsidR="00016B41">
        <w:rPr>
          <w:rFonts w:ascii="Times New Roman" w:hAnsi="Times New Roman" w:cs="Times New Roman"/>
        </w:rPr>
        <w:t>La</w:t>
      </w:r>
      <w:r w:rsidR="001D75F0">
        <w:rPr>
          <w:rFonts w:ascii="Times New Roman" w:hAnsi="Times New Roman" w:cs="Times New Roman"/>
        </w:rPr>
        <w:t xml:space="preserve"> </w:t>
      </w:r>
      <w:r w:rsidR="001D75F0">
        <w:rPr>
          <w:rFonts w:ascii="Times New Roman" w:hAnsi="Times New Roman" w:cs="Times New Roman"/>
          <w:i/>
          <w:iCs/>
        </w:rPr>
        <w:t>Lettre apocryphe de Jacques</w:t>
      </w:r>
      <w:r w:rsidR="001D75F0">
        <w:rPr>
          <w:rFonts w:ascii="Times New Roman" w:hAnsi="Times New Roman" w:cs="Times New Roman"/>
        </w:rPr>
        <w:t xml:space="preserve">, </w:t>
      </w:r>
      <w:r w:rsidR="00016B41">
        <w:rPr>
          <w:rFonts w:ascii="Times New Roman" w:hAnsi="Times New Roman" w:cs="Times New Roman"/>
        </w:rPr>
        <w:t xml:space="preserve">dans le </w:t>
      </w:r>
      <w:r w:rsidR="001D75F0">
        <w:rPr>
          <w:rFonts w:ascii="Times New Roman" w:hAnsi="Times New Roman" w:cs="Times New Roman"/>
        </w:rPr>
        <w:t xml:space="preserve">premier </w:t>
      </w:r>
      <w:r w:rsidR="001D75F0">
        <w:rPr>
          <w:rFonts w:ascii="Times New Roman" w:hAnsi="Times New Roman" w:cs="Times New Roman"/>
          <w:i/>
          <w:iCs/>
        </w:rPr>
        <w:t>codex</w:t>
      </w:r>
      <w:r w:rsidR="001D75F0">
        <w:rPr>
          <w:rFonts w:ascii="Times New Roman" w:hAnsi="Times New Roman" w:cs="Times New Roman"/>
        </w:rPr>
        <w:t xml:space="preserve"> de Nag Hammadi, </w:t>
      </w:r>
      <w:r w:rsidR="00016B41">
        <w:rPr>
          <w:rFonts w:ascii="Times New Roman" w:hAnsi="Times New Roman" w:cs="Times New Roman"/>
        </w:rPr>
        <w:t xml:space="preserve">après une courte introduction épistolaire, </w:t>
      </w:r>
      <w:r w:rsidR="00D36E78">
        <w:rPr>
          <w:rFonts w:ascii="Times New Roman" w:hAnsi="Times New Roman" w:cs="Times New Roman"/>
        </w:rPr>
        <w:t>commence par</w:t>
      </w:r>
      <w:r w:rsidR="00016B41">
        <w:rPr>
          <w:rFonts w:ascii="Times New Roman" w:hAnsi="Times New Roman" w:cs="Times New Roman"/>
        </w:rPr>
        <w:t xml:space="preserve"> un court récit mettant en scène les disciples après la résurrection et le départ de Jésus : </w:t>
      </w:r>
      <w:r w:rsidR="00016B41" w:rsidRPr="00016B41">
        <w:rPr>
          <w:rFonts w:ascii="Times New Roman" w:hAnsi="Times New Roman" w:cs="Times New Roman"/>
        </w:rPr>
        <w:t xml:space="preserve">« [Mais alors qu’ils étaient] assis une fois, tous, en[semble], les uns avec les autres, les douze disciples, et qu’ils se rappelaient ce que le Sauveur avait dit à chacun, soit en secret soit en langage manifeste, et qu’ils le mettaient dans des livres – moi, dans ce livre </w:t>
      </w:r>
      <w:r w:rsidR="00016B41">
        <w:rPr>
          <w:rFonts w:ascii="Times New Roman" w:hAnsi="Times New Roman" w:cs="Times New Roman"/>
        </w:rPr>
        <w:t>[</w:t>
      </w:r>
      <w:r w:rsidR="00016B41" w:rsidRPr="00016B41">
        <w:rPr>
          <w:rFonts w:ascii="Times New Roman" w:hAnsi="Times New Roman" w:cs="Times New Roman"/>
        </w:rPr>
        <w:t>ou dans mon livre</w:t>
      </w:r>
      <w:r w:rsidR="00016B41">
        <w:rPr>
          <w:rStyle w:val="Appelnotedebasdep"/>
          <w:rFonts w:ascii="Times New Roman" w:hAnsi="Times New Roman" w:cs="Times New Roman"/>
        </w:rPr>
        <w:footnoteReference w:id="76"/>
      </w:r>
      <w:r w:rsidR="00016B41">
        <w:rPr>
          <w:rFonts w:ascii="Times New Roman" w:hAnsi="Times New Roman" w:cs="Times New Roman"/>
        </w:rPr>
        <w:t>]</w:t>
      </w:r>
      <w:r w:rsidR="00016B41" w:rsidRPr="00016B41">
        <w:rPr>
          <w:rFonts w:ascii="Times New Roman" w:hAnsi="Times New Roman" w:cs="Times New Roman"/>
        </w:rPr>
        <w:t> – voici que le Sauveur s’est manifesté</w:t>
      </w:r>
      <w:r w:rsidR="00016B41">
        <w:rPr>
          <w:rStyle w:val="Appelnotedebasdep"/>
          <w:rFonts w:ascii="Times New Roman" w:hAnsi="Times New Roman" w:cs="Times New Roman"/>
        </w:rPr>
        <w:footnoteReference w:id="77"/>
      </w:r>
      <w:r w:rsidR="00016B41" w:rsidRPr="00016B41">
        <w:rPr>
          <w:rFonts w:ascii="Times New Roman" w:hAnsi="Times New Roman" w:cs="Times New Roman"/>
        </w:rPr>
        <w:t xml:space="preserve">. » </w:t>
      </w:r>
      <w:r w:rsidR="00D36E78">
        <w:rPr>
          <w:rFonts w:ascii="Times New Roman" w:hAnsi="Times New Roman" w:cs="Times New Roman"/>
        </w:rPr>
        <w:t xml:space="preserve">Ce passage présente une mise en abyme – l’auteur lui-même se montre en train d’écrire son livre – mais une mise en abyme paradoxale et impossible – l’auteur ne pourrait décrire cet ouvrage comme « ce livre » ou comme « [s]on livre » qu’en adoptant un point de vue extérieur sur celui-ci et non depuis l’intérieur de ses pages. </w:t>
      </w:r>
      <w:r w:rsidR="00D36E78" w:rsidRPr="00D36E78">
        <w:rPr>
          <w:rFonts w:ascii="Times New Roman" w:hAnsi="Times New Roman" w:cs="Times New Roman"/>
          <w:i/>
          <w:iCs/>
        </w:rPr>
        <w:t>The Lord of the Rings</w:t>
      </w:r>
      <w:r w:rsidR="00D36E78" w:rsidRPr="00D36E78">
        <w:rPr>
          <w:rFonts w:ascii="Times New Roman" w:hAnsi="Times New Roman" w:cs="Times New Roman"/>
        </w:rPr>
        <w:t xml:space="preserve"> de John R. R. Tolkien présente le même type de mise en abyme paradoxale : </w:t>
      </w:r>
      <w:r w:rsidR="00D36E78">
        <w:rPr>
          <w:rFonts w:ascii="Times New Roman" w:hAnsi="Times New Roman" w:cs="Times New Roman"/>
        </w:rPr>
        <w:t>l’un de ses personnages, Sam, y déclare en effet, depuis l</w:t>
      </w:r>
      <w:r w:rsidR="00551875">
        <w:rPr>
          <w:rFonts w:ascii="Times New Roman" w:hAnsi="Times New Roman" w:cs="Times New Roman"/>
        </w:rPr>
        <w:t>’intérieur du</w:t>
      </w:r>
      <w:r w:rsidR="00D36E78">
        <w:rPr>
          <w:rFonts w:ascii="Times New Roman" w:hAnsi="Times New Roman" w:cs="Times New Roman"/>
        </w:rPr>
        <w:t xml:space="preserve"> récit : « Et pourtant, je me demande si nous serons un jour mis en chansons ou en histoires. </w:t>
      </w:r>
      <w:r w:rsidR="00D36E78" w:rsidRPr="00D36E78">
        <w:rPr>
          <w:rFonts w:ascii="Times New Roman" w:hAnsi="Times New Roman" w:cs="Times New Roman"/>
        </w:rPr>
        <w:t xml:space="preserve">Nous sommes dans l’une d’elles, évidemment ; […] les gens diront : “Écoutons donc </w:t>
      </w:r>
      <w:r w:rsidR="00D36E78">
        <w:rPr>
          <w:rFonts w:ascii="Times New Roman" w:hAnsi="Times New Roman" w:cs="Times New Roman"/>
        </w:rPr>
        <w:t>le récit de Frodo et de l’Anneau.</w:t>
      </w:r>
      <w:r w:rsidR="00D36E78" w:rsidRPr="00D36E78">
        <w:rPr>
          <w:rFonts w:ascii="Times New Roman" w:hAnsi="Times New Roman" w:cs="Times New Roman"/>
        </w:rPr>
        <w:t>”</w:t>
      </w:r>
      <w:r w:rsidR="00D36E78">
        <w:rPr>
          <w:rFonts w:ascii="Times New Roman" w:hAnsi="Times New Roman" w:cs="Times New Roman"/>
        </w:rPr>
        <w:t xml:space="preserve"> </w:t>
      </w:r>
      <w:r w:rsidR="00D36E78" w:rsidRPr="00D36E78">
        <w:rPr>
          <w:rFonts w:ascii="Times New Roman" w:hAnsi="Times New Roman" w:cs="Times New Roman"/>
        </w:rPr>
        <w:t>Et ils diront : “Oui, c’est une de mes histoires préférées.</w:t>
      </w:r>
      <w:r w:rsidR="004917FF">
        <w:rPr>
          <w:rFonts w:ascii="Times New Roman" w:hAnsi="Times New Roman" w:cs="Times New Roman"/>
        </w:rPr>
        <w:t xml:space="preserve"> </w:t>
      </w:r>
      <w:r w:rsidR="004917FF">
        <w:rPr>
          <w:rFonts w:ascii="Times New Roman" w:hAnsi="Times New Roman" w:cs="Times New Roman"/>
          <w:lang w:val="en-US"/>
        </w:rPr>
        <w:t>[</w:t>
      </w:r>
      <w:r w:rsidR="004917FF" w:rsidRPr="00D36E78">
        <w:rPr>
          <w:rFonts w:ascii="Times New Roman" w:hAnsi="Times New Roman" w:cs="Times New Roman"/>
          <w:lang w:val="en-US"/>
        </w:rPr>
        <w:t>…</w:t>
      </w:r>
      <w:r w:rsidR="004917FF">
        <w:rPr>
          <w:rFonts w:ascii="Times New Roman" w:hAnsi="Times New Roman" w:cs="Times New Roman"/>
          <w:lang w:val="en-US"/>
        </w:rPr>
        <w:t>]</w:t>
      </w:r>
      <w:r w:rsidR="00D36E78" w:rsidRPr="00D36E78">
        <w:rPr>
          <w:rFonts w:ascii="Times New Roman" w:hAnsi="Times New Roman" w:cs="Times New Roman"/>
        </w:rPr>
        <w:t>”</w:t>
      </w:r>
      <w:r w:rsidR="00D36E78">
        <w:rPr>
          <w:rStyle w:val="Appelnotedebasdep"/>
          <w:rFonts w:ascii="Times New Roman" w:hAnsi="Times New Roman" w:cs="Times New Roman"/>
        </w:rPr>
        <w:footnoteReference w:id="78"/>
      </w:r>
      <w:r w:rsidR="00D36E78">
        <w:rPr>
          <w:rFonts w:ascii="Times New Roman" w:hAnsi="Times New Roman" w:cs="Times New Roman"/>
        </w:rPr>
        <w:t> </w:t>
      </w:r>
      <w:r w:rsidR="00D36E78" w:rsidRPr="00D36E78">
        <w:rPr>
          <w:rFonts w:ascii="Times New Roman" w:hAnsi="Times New Roman" w:cs="Times New Roman"/>
          <w:lang w:val="en-US"/>
        </w:rPr>
        <w:t xml:space="preserve">» </w:t>
      </w:r>
    </w:p>
    <w:p w14:paraId="39C88BC8" w14:textId="77777777" w:rsidR="00267E5E" w:rsidRPr="00625BA7" w:rsidRDefault="00267E5E" w:rsidP="004430E3">
      <w:pPr>
        <w:spacing w:line="360" w:lineRule="auto"/>
        <w:jc w:val="both"/>
        <w:rPr>
          <w:rFonts w:ascii="Times New Roman" w:hAnsi="Times New Roman" w:cs="Times New Roman"/>
        </w:rPr>
      </w:pPr>
      <w:r w:rsidRPr="00267E5E">
        <w:rPr>
          <w:rFonts w:ascii="Times New Roman" w:hAnsi="Times New Roman" w:cs="Times New Roman"/>
        </w:rPr>
        <w:t>Cette approche universaliste a des cons</w:t>
      </w:r>
      <w:r>
        <w:rPr>
          <w:rFonts w:ascii="Times New Roman" w:hAnsi="Times New Roman" w:cs="Times New Roman"/>
        </w:rPr>
        <w:t xml:space="preserve">équences éthiques : elle suppose que l’analyse littéraire – ou simplement la lecture – ne se déploie ni dans une aire culturelle </w:t>
      </w:r>
      <w:r w:rsidR="00614F1E">
        <w:rPr>
          <w:rFonts w:ascii="Times New Roman" w:hAnsi="Times New Roman" w:cs="Times New Roman"/>
        </w:rPr>
        <w:t xml:space="preserve">ou religieuse </w:t>
      </w:r>
      <w:r>
        <w:rPr>
          <w:rFonts w:ascii="Times New Roman" w:hAnsi="Times New Roman" w:cs="Times New Roman"/>
        </w:rPr>
        <w:t xml:space="preserve">donnée, ni à </w:t>
      </w:r>
      <w:r>
        <w:rPr>
          <w:rFonts w:ascii="Times New Roman" w:hAnsi="Times New Roman" w:cs="Times New Roman"/>
        </w:rPr>
        <w:lastRenderedPageBreak/>
        <w:t>une époque délimitée, mais</w:t>
      </w:r>
      <w:r w:rsidR="00614F1E">
        <w:rPr>
          <w:rFonts w:ascii="Times New Roman" w:hAnsi="Times New Roman" w:cs="Times New Roman"/>
        </w:rPr>
        <w:t>, sans limite, dans le domaine de l’humain</w:t>
      </w:r>
      <w:r w:rsidR="00614F1E">
        <w:rPr>
          <w:rStyle w:val="Appelnotedebasdep"/>
          <w:rFonts w:ascii="Times New Roman" w:hAnsi="Times New Roman" w:cs="Times New Roman"/>
        </w:rPr>
        <w:footnoteReference w:id="79"/>
      </w:r>
      <w:r w:rsidR="00625BA7">
        <w:rPr>
          <w:rFonts w:ascii="Times New Roman" w:hAnsi="Times New Roman" w:cs="Times New Roman"/>
        </w:rPr>
        <w:t>. Ainsi</w:t>
      </w:r>
      <w:r w:rsidR="00614F1E">
        <w:rPr>
          <w:rFonts w:ascii="Times New Roman" w:hAnsi="Times New Roman" w:cs="Times New Roman"/>
        </w:rPr>
        <w:t xml:space="preserve"> la fin brève de l’</w:t>
      </w:r>
      <w:r w:rsidR="00614F1E">
        <w:rPr>
          <w:rFonts w:ascii="Times New Roman" w:hAnsi="Times New Roman" w:cs="Times New Roman"/>
          <w:i/>
          <w:iCs/>
        </w:rPr>
        <w:t>Évangile selon Marc</w:t>
      </w:r>
      <w:r w:rsidR="00625BA7" w:rsidRPr="00625BA7">
        <w:rPr>
          <w:rStyle w:val="Appelnotedebasdep"/>
          <w:rFonts w:ascii="Times New Roman" w:hAnsi="Times New Roman" w:cs="Times New Roman"/>
        </w:rPr>
        <w:footnoteReference w:id="80"/>
      </w:r>
      <w:r w:rsidR="00614F1E">
        <w:rPr>
          <w:rFonts w:ascii="Times New Roman" w:hAnsi="Times New Roman" w:cs="Times New Roman"/>
        </w:rPr>
        <w:t>, par exemple</w:t>
      </w:r>
      <w:r w:rsidR="00625BA7">
        <w:rPr>
          <w:rFonts w:ascii="Times New Roman" w:hAnsi="Times New Roman" w:cs="Times New Roman"/>
        </w:rPr>
        <w:t xml:space="preserve">, se terminant avec le tombeau vide et sans apparition de Jésus ressuscité – </w:t>
      </w:r>
      <w:r w:rsidR="00625BA7" w:rsidRPr="00625BA7">
        <w:rPr>
          <w:rFonts w:ascii="Times New Roman" w:hAnsi="Times New Roman" w:cs="Times New Roman"/>
        </w:rPr>
        <w:t>« Et elles sortirent du tombeau en prenant la fuite, car un tremblement et un bouleversement les avaient saisies : et elles ne dirent rien à personne, elles avaient peur en effet</w:t>
      </w:r>
      <w:r w:rsidR="00625BA7">
        <w:rPr>
          <w:rStyle w:val="Appelnotedebasdep"/>
          <w:rFonts w:ascii="Times New Roman" w:hAnsi="Times New Roman" w:cs="Times New Roman"/>
        </w:rPr>
        <w:footnoteReference w:id="81"/>
      </w:r>
      <w:r w:rsidR="00625BA7" w:rsidRPr="00625BA7">
        <w:rPr>
          <w:rFonts w:ascii="Times New Roman" w:hAnsi="Times New Roman" w:cs="Times New Roman"/>
        </w:rPr>
        <w:t>. »</w:t>
      </w:r>
      <w:r w:rsidR="00625BA7">
        <w:rPr>
          <w:rFonts w:ascii="Times New Roman" w:hAnsi="Times New Roman" w:cs="Times New Roman"/>
        </w:rPr>
        <w:t xml:space="preserve"> – peut être lue de manière aussi bien chrétienne (ce silence est un appel à croire malgré tout et à proclamer Jésus à la place des personnages qui gardent le silence</w:t>
      </w:r>
      <w:r w:rsidR="00625BA7">
        <w:rPr>
          <w:rStyle w:val="Appelnotedebasdep"/>
          <w:rFonts w:ascii="Times New Roman" w:hAnsi="Times New Roman" w:cs="Times New Roman"/>
        </w:rPr>
        <w:footnoteReference w:id="82"/>
      </w:r>
      <w:r w:rsidR="00625BA7">
        <w:rPr>
          <w:rFonts w:ascii="Times New Roman" w:hAnsi="Times New Roman" w:cs="Times New Roman"/>
        </w:rPr>
        <w:t>) qu’agnostique (en définitive, rien n’est sûr de tout ce qui a précédé dans l’</w:t>
      </w:r>
      <w:r w:rsidR="00625BA7">
        <w:rPr>
          <w:rFonts w:ascii="Times New Roman" w:hAnsi="Times New Roman" w:cs="Times New Roman"/>
          <w:i/>
          <w:iCs/>
        </w:rPr>
        <w:t>Évangile</w:t>
      </w:r>
      <w:r w:rsidR="00625BA7">
        <w:rPr>
          <w:rFonts w:ascii="Times New Roman" w:hAnsi="Times New Roman" w:cs="Times New Roman"/>
        </w:rPr>
        <w:t>), voire athée. L’écriture, la lecture et la théorie littéraire sont ainsi le lieu où cesse tout combat partisan, où il est, simplement possible, de se rencontrer et de se comprendre, par-delà les lieux, les temps et les idéologies, entre humaines et humains.</w:t>
      </w:r>
      <w:r w:rsidR="005362FA">
        <w:rPr>
          <w:rFonts w:ascii="Times New Roman" w:hAnsi="Times New Roman" w:cs="Times New Roman"/>
        </w:rPr>
        <w:t xml:space="preserve"> C’est alors qu’</w:t>
      </w:r>
      <w:r w:rsidR="005362FA" w:rsidRPr="005362FA">
        <w:rPr>
          <w:rFonts w:ascii="Times New Roman" w:hAnsi="Times New Roman" w:cs="Times New Roman"/>
        </w:rPr>
        <w:t xml:space="preserve"> </w:t>
      </w:r>
      <w:r w:rsidR="005362FA">
        <w:rPr>
          <w:rFonts w:ascii="Times New Roman" w:hAnsi="Times New Roman" w:cs="Times New Roman"/>
        </w:rPr>
        <w:t>« [o]</w:t>
      </w:r>
      <w:r w:rsidR="005362FA" w:rsidRPr="005362FA">
        <w:rPr>
          <w:rFonts w:ascii="Times New Roman" w:hAnsi="Times New Roman" w:cs="Times New Roman"/>
        </w:rPr>
        <w:t>n mesure l’intérêt, dans la lecture d’une œuvre, de ne pas l’aborder avec des préjugés idéologiques, mais de la lire comme une production autonome</w:t>
      </w:r>
      <w:r w:rsidR="005362FA">
        <w:rPr>
          <w:rFonts w:ascii="Times New Roman" w:hAnsi="Times New Roman" w:cs="Times New Roman"/>
        </w:rPr>
        <w:t xml:space="preserve"> [</w:t>
      </w:r>
      <w:r w:rsidR="005362FA" w:rsidRPr="005362FA">
        <w:rPr>
          <w:rFonts w:ascii="Times New Roman" w:hAnsi="Times New Roman" w:cs="Times New Roman"/>
        </w:rPr>
        <w:t>…</w:t>
      </w:r>
      <w:r w:rsidR="005362FA">
        <w:rPr>
          <w:rFonts w:ascii="Times New Roman" w:hAnsi="Times New Roman" w:cs="Times New Roman"/>
        </w:rPr>
        <w:t xml:space="preserve">] </w:t>
      </w:r>
      <w:r w:rsidR="005362FA" w:rsidRPr="005362FA">
        <w:rPr>
          <w:rFonts w:ascii="Times New Roman" w:hAnsi="Times New Roman" w:cs="Times New Roman"/>
        </w:rPr>
        <w:t>C’est à ce prix que l’on peut espérer faire valoir ce que l’œuvre comporte de singulier par rapport aux conditions</w:t>
      </w:r>
      <w:r w:rsidR="005362FA">
        <w:rPr>
          <w:rFonts w:ascii="Times New Roman" w:hAnsi="Times New Roman" w:cs="Times New Roman"/>
        </w:rPr>
        <w:t xml:space="preserve"> </w:t>
      </w:r>
      <w:r w:rsidR="005362FA" w:rsidRPr="005362FA">
        <w:rPr>
          <w:rFonts w:ascii="Times New Roman" w:hAnsi="Times New Roman" w:cs="Times New Roman"/>
        </w:rPr>
        <w:t xml:space="preserve">contingentes </w:t>
      </w:r>
      <w:r w:rsidR="005362FA">
        <w:rPr>
          <w:rFonts w:ascii="Times New Roman" w:hAnsi="Times New Roman" w:cs="Times New Roman"/>
        </w:rPr>
        <w:t>[</w:t>
      </w:r>
      <w:r w:rsidR="005362FA" w:rsidRPr="005362FA">
        <w:rPr>
          <w:rFonts w:ascii="Times New Roman" w:hAnsi="Times New Roman" w:cs="Times New Roman"/>
        </w:rPr>
        <w:t>…</w:t>
      </w:r>
      <w:r w:rsidR="005362FA">
        <w:rPr>
          <w:rFonts w:ascii="Times New Roman" w:hAnsi="Times New Roman" w:cs="Times New Roman"/>
        </w:rPr>
        <w:t xml:space="preserve">] </w:t>
      </w:r>
      <w:r w:rsidR="005362FA" w:rsidRPr="005362FA">
        <w:rPr>
          <w:rFonts w:ascii="Times New Roman" w:hAnsi="Times New Roman" w:cs="Times New Roman"/>
        </w:rPr>
        <w:t>et espérer ainsi, en augmentant sa portée, la faire accéder, au titre d’expérience universelle, à des publics de tous les milieux et de toutes les époques</w:t>
      </w:r>
      <w:r w:rsidR="005362FA">
        <w:rPr>
          <w:rStyle w:val="Appelnotedebasdep"/>
          <w:rFonts w:ascii="Times New Roman" w:hAnsi="Times New Roman" w:cs="Times New Roman"/>
        </w:rPr>
        <w:footnoteReference w:id="83"/>
      </w:r>
      <w:r w:rsidR="005362FA" w:rsidRPr="005362FA">
        <w:rPr>
          <w:rFonts w:ascii="Times New Roman" w:hAnsi="Times New Roman" w:cs="Times New Roman"/>
        </w:rPr>
        <w:t>. »</w:t>
      </w:r>
    </w:p>
    <w:p w14:paraId="5DA75038" w14:textId="77777777" w:rsidR="00FC62B5" w:rsidRPr="00267E5E" w:rsidRDefault="00FC62B5" w:rsidP="00B33A13">
      <w:pPr>
        <w:spacing w:line="360" w:lineRule="auto"/>
        <w:jc w:val="both"/>
        <w:rPr>
          <w:rFonts w:ascii="Times New Roman" w:hAnsi="Times New Roman" w:cs="Times New Roman"/>
        </w:rPr>
      </w:pPr>
    </w:p>
    <w:p w14:paraId="76BD6901" w14:textId="77777777" w:rsidR="00333394" w:rsidRPr="00333394" w:rsidRDefault="00333394" w:rsidP="00333394">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Antoine Paris</w:t>
      </w:r>
    </w:p>
    <w:p w14:paraId="5B724472" w14:textId="77777777" w:rsidR="00DF274E" w:rsidRPr="005362FA" w:rsidRDefault="00333394" w:rsidP="005362FA">
      <w:pPr>
        <w:spacing w:line="360" w:lineRule="auto"/>
        <w:jc w:val="right"/>
        <w:rPr>
          <w:rFonts w:ascii="Times New Roman" w:eastAsia="Times New Roman" w:hAnsi="Times New Roman" w:cs="Times New Roman"/>
          <w:color w:val="222222"/>
          <w:kern w:val="0"/>
          <w:shd w:val="clear" w:color="auto" w:fill="FFFFFF"/>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Université catholique de Louvain</w:t>
      </w:r>
    </w:p>
    <w:p w14:paraId="49B8B7A2" w14:textId="77777777" w:rsidR="00F62711" w:rsidRDefault="005362FA" w:rsidP="00F62711">
      <w:pPr>
        <w:jc w:val="both"/>
        <w:rPr>
          <w:rFonts w:ascii="Times New Roman" w:hAnsi="Times New Roman" w:cs="Times New Roman"/>
        </w:rPr>
      </w:pPr>
      <w:r>
        <w:rPr>
          <w:rFonts w:ascii="Times New Roman" w:hAnsi="Times New Roman" w:cs="Times New Roman"/>
        </w:rPr>
        <w:t xml:space="preserve">Note : </w:t>
      </w:r>
      <w:r w:rsidR="00F62711">
        <w:rPr>
          <w:rFonts w:ascii="Times New Roman" w:hAnsi="Times New Roman" w:cs="Times New Roman"/>
        </w:rPr>
        <w:t xml:space="preserve">Pour prolonger certaines propositions de cet article, celui-ci a comporté certaines citations falsifiées. Ainsi, celle </w:t>
      </w:r>
      <w:r w:rsidR="00F62711" w:rsidRPr="00FE25B4">
        <w:rPr>
          <w:rFonts w:ascii="Times New Roman" w:hAnsi="Times New Roman" w:cs="Times New Roman"/>
        </w:rPr>
        <w:t xml:space="preserve">placée en tête de ce texte (« L’étude des différentes manières… ») et présentée en note comme un extrait inédit du </w:t>
      </w:r>
      <w:r w:rsidR="00F62711" w:rsidRPr="00FE25B4">
        <w:rPr>
          <w:rFonts w:ascii="Times New Roman" w:hAnsi="Times New Roman" w:cs="Times New Roman"/>
          <w:i/>
          <w:iCs/>
        </w:rPr>
        <w:t>codex</w:t>
      </w:r>
      <w:r w:rsidR="00F62711" w:rsidRPr="00FE25B4">
        <w:rPr>
          <w:rFonts w:ascii="Times New Roman" w:hAnsi="Times New Roman" w:cs="Times New Roman"/>
        </w:rPr>
        <w:t xml:space="preserve"> </w:t>
      </w:r>
      <w:r w:rsidR="00F62711" w:rsidRPr="00FE25B4">
        <w:rPr>
          <w:rFonts w:ascii="Times New Roman" w:hAnsi="Times New Roman" w:cs="Times New Roman"/>
          <w:smallCaps/>
        </w:rPr>
        <w:t xml:space="preserve">xiv </w:t>
      </w:r>
      <w:r w:rsidR="00F62711" w:rsidRPr="00FE25B4">
        <w:rPr>
          <w:rFonts w:ascii="Times New Roman" w:hAnsi="Times New Roman" w:cs="Times New Roman"/>
        </w:rPr>
        <w:t xml:space="preserve">de la Bibliothèque copte de Nag Hammadi – qui ne compte en réalité que douze </w:t>
      </w:r>
      <w:r w:rsidR="00F62711" w:rsidRPr="00FE25B4">
        <w:rPr>
          <w:rFonts w:ascii="Times New Roman" w:hAnsi="Times New Roman" w:cs="Times New Roman"/>
          <w:i/>
          <w:iCs/>
        </w:rPr>
        <w:t>codices</w:t>
      </w:r>
      <w:r>
        <w:rPr>
          <w:rFonts w:ascii="Times New Roman" w:hAnsi="Times New Roman" w:cs="Times New Roman"/>
        </w:rPr>
        <w:t xml:space="preserve"> – </w:t>
      </w:r>
      <w:r w:rsidR="00F62711" w:rsidRPr="00FE25B4">
        <w:rPr>
          <w:rFonts w:ascii="Times New Roman" w:hAnsi="Times New Roman" w:cs="Times New Roman"/>
        </w:rPr>
        <w:t xml:space="preserve">est en fait </w:t>
      </w:r>
      <w:r w:rsidR="00FE25B4" w:rsidRPr="00FE25B4">
        <w:rPr>
          <w:rFonts w:ascii="Times New Roman" w:hAnsi="Times New Roman" w:cs="Times New Roman"/>
        </w:rPr>
        <w:t>une reprise du texte du quatrième de couverture</w:t>
      </w:r>
      <w:r w:rsidR="00F62711" w:rsidRPr="00FE25B4">
        <w:rPr>
          <w:rFonts w:ascii="Times New Roman" w:hAnsi="Times New Roman" w:cs="Times New Roman"/>
        </w:rPr>
        <w:t xml:space="preserve"> d</w:t>
      </w:r>
      <w:r w:rsidR="00FE25B4" w:rsidRPr="00FE25B4">
        <w:rPr>
          <w:rFonts w:ascii="Times New Roman" w:hAnsi="Times New Roman" w:cs="Times New Roman"/>
        </w:rPr>
        <w:t>e</w:t>
      </w:r>
      <w:r w:rsidR="00F62711" w:rsidRPr="00FE25B4">
        <w:rPr>
          <w:rFonts w:ascii="Times New Roman" w:hAnsi="Times New Roman" w:cs="Times New Roman"/>
        </w:rPr>
        <w:t xml:space="preserve"> Pierre Bayard,</w:t>
      </w:r>
      <w:r w:rsidR="00FE25B4" w:rsidRPr="00FE25B4">
        <w:rPr>
          <w:rFonts w:ascii="Times New Roman" w:hAnsi="Times New Roman" w:cs="Times New Roman"/>
        </w:rPr>
        <w:t xml:space="preserve"> </w:t>
      </w:r>
      <w:r w:rsidR="00FE25B4" w:rsidRPr="00FE25B4">
        <w:rPr>
          <w:rFonts w:ascii="Times New Roman" w:hAnsi="Times New Roman" w:cs="Times New Roman"/>
          <w:i/>
          <w:iCs/>
        </w:rPr>
        <w:t>Comment parler des livres que l’on n’a pas lus ?</w:t>
      </w:r>
      <w:r w:rsidR="00FE25B4" w:rsidRPr="00FE25B4">
        <w:rPr>
          <w:rFonts w:ascii="Times New Roman" w:hAnsi="Times New Roman" w:cs="Times New Roman"/>
        </w:rPr>
        <w:t xml:space="preserve">, </w:t>
      </w:r>
      <w:r w:rsidR="00FE25B4" w:rsidRPr="00FE25B4">
        <w:rPr>
          <w:rFonts w:ascii="Times New Roman" w:hAnsi="Times New Roman" w:cs="Times New Roman"/>
          <w:i/>
          <w:iCs/>
        </w:rPr>
        <w:t>op. cit.</w:t>
      </w:r>
      <w:r w:rsidR="00FE25B4" w:rsidRPr="00FE25B4">
        <w:rPr>
          <w:rFonts w:ascii="Times New Roman" w:hAnsi="Times New Roman" w:cs="Times New Roman"/>
        </w:rPr>
        <w:t>,</w:t>
      </w:r>
      <w:r w:rsidR="00F62711" w:rsidRPr="00FE25B4">
        <w:rPr>
          <w:rFonts w:ascii="Times New Roman" w:hAnsi="Times New Roman" w:cs="Times New Roman"/>
        </w:rPr>
        <w:t xml:space="preserve"> abrégé comme si certaines circonstances l’avaient rendu fragmentaire.</w:t>
      </w:r>
      <w:r w:rsidR="00A95153" w:rsidRPr="00FE25B4">
        <w:rPr>
          <w:rFonts w:ascii="Times New Roman" w:hAnsi="Times New Roman" w:cs="Times New Roman"/>
        </w:rPr>
        <w:t xml:space="preserve"> De même, la </w:t>
      </w:r>
      <w:r w:rsidR="00A95153" w:rsidRPr="00FE25B4">
        <w:rPr>
          <w:rFonts w:ascii="Times New Roman" w:hAnsi="Times New Roman" w:cs="Times New Roman"/>
          <w:i/>
          <w:iCs/>
        </w:rPr>
        <w:t>Cinquième lettre de Saint Paul apôtre aux Thessaloniciens</w:t>
      </w:r>
      <w:r w:rsidR="00A95153" w:rsidRPr="00FE25B4">
        <w:rPr>
          <w:rFonts w:ascii="Times New Roman" w:hAnsi="Times New Roman" w:cs="Times New Roman"/>
        </w:rPr>
        <w:t xml:space="preserve"> n’existe que comme création personnelle</w:t>
      </w:r>
      <w:r w:rsidR="0025009D">
        <w:rPr>
          <w:rFonts w:ascii="Times New Roman" w:hAnsi="Times New Roman" w:cs="Times New Roman"/>
        </w:rPr>
        <w:t xml:space="preserve"> et l’</w:t>
      </w:r>
      <w:r w:rsidR="0025009D">
        <w:rPr>
          <w:rFonts w:ascii="Times New Roman" w:hAnsi="Times New Roman" w:cs="Times New Roman"/>
          <w:i/>
          <w:iCs/>
        </w:rPr>
        <w:t>Histoire ecclésiastique</w:t>
      </w:r>
      <w:r w:rsidR="0025009D">
        <w:rPr>
          <w:rFonts w:ascii="Times New Roman" w:hAnsi="Times New Roman" w:cs="Times New Roman"/>
        </w:rPr>
        <w:t xml:space="preserve"> d’Eusèbe de Césarée ne compte que dix livres.</w:t>
      </w:r>
    </w:p>
    <w:p w14:paraId="4E69A31C" w14:textId="77777777" w:rsidR="005362FA" w:rsidRDefault="005362FA" w:rsidP="00F62711">
      <w:pPr>
        <w:jc w:val="both"/>
        <w:rPr>
          <w:rFonts w:ascii="Times New Roman" w:hAnsi="Times New Roman" w:cs="Times New Roman"/>
        </w:rPr>
      </w:pPr>
    </w:p>
    <w:p w14:paraId="45A33A2B" w14:textId="77777777" w:rsidR="005362FA" w:rsidRDefault="005362FA" w:rsidP="005362FA">
      <w:pPr>
        <w:rPr>
          <w:rFonts w:ascii="Times New Roman" w:eastAsia="Times New Roman" w:hAnsi="Times New Roman" w:cs="Times New Roman"/>
          <w:color w:val="222222"/>
          <w:kern w:val="0"/>
          <w:shd w:val="clear" w:color="auto" w:fill="FFFFFF"/>
          <w:lang w:eastAsia="fr-FR"/>
          <w14:ligatures w14:val="none"/>
        </w:rPr>
      </w:pPr>
    </w:p>
    <w:p w14:paraId="21FB6B06" w14:textId="77777777" w:rsidR="005362FA" w:rsidRPr="00333394" w:rsidRDefault="005362FA" w:rsidP="005362FA">
      <w:pPr>
        <w:rPr>
          <w:rFonts w:ascii="Times New Roman" w:eastAsia="Times New Roman" w:hAnsi="Times New Roman" w:cs="Times New Roman"/>
          <w:kern w:val="0"/>
          <w:lang w:eastAsia="fr-FR"/>
          <w14:ligatures w14:val="none"/>
        </w:rPr>
      </w:pPr>
      <w:r w:rsidRPr="00333394">
        <w:rPr>
          <w:rFonts w:ascii="Times New Roman" w:eastAsia="Times New Roman" w:hAnsi="Times New Roman" w:cs="Times New Roman"/>
          <w:color w:val="222222"/>
          <w:kern w:val="0"/>
          <w:shd w:val="clear" w:color="auto" w:fill="FFFFFF"/>
          <w:lang w:eastAsia="fr-FR"/>
          <w14:ligatures w14:val="none"/>
        </w:rPr>
        <w:t>Quelques mots pour vous dire que nous devons pas dépasser 600 000 signes (idéalement moins, m'a recommandé Damien de Blic), ce qui, ramené aux nombres de contributeurs — y compris Pierre qui nous donnera un inédit—  devrait nous amener à </w:t>
      </w:r>
      <w:r w:rsidRPr="00333394">
        <w:rPr>
          <w:rFonts w:ascii="Times New Roman" w:eastAsia="Times New Roman" w:hAnsi="Times New Roman" w:cs="Times New Roman"/>
          <w:b/>
          <w:bCs/>
          <w:color w:val="222222"/>
          <w:kern w:val="0"/>
          <w:lang w:eastAsia="fr-FR"/>
          <w14:ligatures w14:val="none"/>
        </w:rPr>
        <w:t>viser 25 000 signes</w:t>
      </w:r>
      <w:r w:rsidRPr="00333394">
        <w:rPr>
          <w:rFonts w:ascii="Times New Roman" w:eastAsia="Times New Roman" w:hAnsi="Times New Roman" w:cs="Times New Roman"/>
          <w:color w:val="222222"/>
          <w:kern w:val="0"/>
          <w:shd w:val="clear" w:color="auto" w:fill="FFFFFF"/>
          <w:lang w:eastAsia="fr-FR"/>
          <w14:ligatures w14:val="none"/>
        </w:rPr>
        <w:t> (espaces compris) chacun.e pour nos contributions respectives. 10 pages enviro,n</w:t>
      </w:r>
    </w:p>
    <w:p w14:paraId="45459222" w14:textId="77777777" w:rsidR="005362FA" w:rsidRPr="0025009D" w:rsidRDefault="005362FA" w:rsidP="00F62711">
      <w:pPr>
        <w:jc w:val="both"/>
        <w:rPr>
          <w:rFonts w:ascii="Times New Roman" w:hAnsi="Times New Roman" w:cs="Times New Roman"/>
        </w:rPr>
      </w:pPr>
    </w:p>
    <w:sectPr w:rsidR="005362FA" w:rsidRPr="0025009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91694" w14:textId="77777777" w:rsidR="00A57D3D" w:rsidRDefault="00A57D3D" w:rsidP="00333394">
      <w:r>
        <w:separator/>
      </w:r>
    </w:p>
  </w:endnote>
  <w:endnote w:type="continuationSeparator" w:id="0">
    <w:p w14:paraId="76EA8B30" w14:textId="77777777" w:rsidR="00A57D3D" w:rsidRDefault="00A57D3D" w:rsidP="003333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sukushi A Round Gothic">
    <w:panose1 w:val="020B0604020202020204"/>
    <w:charset w:val="80"/>
    <w:family w:val="roman"/>
    <w:pitch w:val="variable"/>
    <w:sig w:usb0="800002CF" w:usb1="68C7FCFC" w:usb2="00000012" w:usb3="00000000" w:csb0="00020005" w:csb1="00000000"/>
  </w:font>
  <w:font w:name="SPAchmim">
    <w:panose1 w:val="020B06040202020202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IFAO-Grec Unicode">
    <w:panose1 w:val="020B0604020202020204"/>
    <w:charset w:val="4D"/>
    <w:family w:val="roman"/>
    <w:pitch w:val="variable"/>
    <w:sig w:usb0="E00002EF" w:usb1="5200387A" w:usb2="00000020" w:usb3="00000000" w:csb0="0000009B"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423385" w14:textId="77777777" w:rsidR="00A57D3D" w:rsidRDefault="00A57D3D" w:rsidP="00333394">
      <w:r>
        <w:separator/>
      </w:r>
    </w:p>
  </w:footnote>
  <w:footnote w:type="continuationSeparator" w:id="0">
    <w:p w14:paraId="1D5D6B7C" w14:textId="77777777" w:rsidR="00A57D3D" w:rsidRDefault="00A57D3D" w:rsidP="00333394">
      <w:r>
        <w:continuationSeparator/>
      </w:r>
    </w:p>
  </w:footnote>
  <w:footnote w:id="1">
    <w:p w14:paraId="7E043B93" w14:textId="77777777" w:rsidR="00333394" w:rsidRPr="00D011BC" w:rsidRDefault="00333394" w:rsidP="00D011BC">
      <w:pPr>
        <w:jc w:val="both"/>
        <w:rPr>
          <w:rFonts w:ascii="Times New Roman" w:eastAsia="Times New Roman" w:hAnsi="Times New Roman" w:cs="Times New Roman"/>
          <w:color w:val="222222"/>
          <w:kern w:val="0"/>
          <w:sz w:val="20"/>
          <w:szCs w:val="20"/>
          <w:shd w:val="clear" w:color="auto" w:fill="FFFFFF"/>
          <w:lang w:eastAsia="fr-FR"/>
          <w14:ligatures w14:val="none"/>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w:t>
      </w:r>
      <w:r w:rsidR="00F62711" w:rsidRPr="00D011BC">
        <w:rPr>
          <w:rFonts w:ascii="Times New Roman" w:hAnsi="Times New Roman" w:cs="Times New Roman"/>
          <w:sz w:val="20"/>
          <w:szCs w:val="20"/>
        </w:rPr>
        <w:t xml:space="preserve">Bibliothèque copte de </w:t>
      </w:r>
      <w:r w:rsidRPr="00D011BC">
        <w:rPr>
          <w:rFonts w:ascii="Times New Roman" w:hAnsi="Times New Roman" w:cs="Times New Roman"/>
          <w:sz w:val="20"/>
          <w:szCs w:val="20"/>
        </w:rPr>
        <w:t xml:space="preserve">Nag Hammadi, </w:t>
      </w:r>
      <w:r w:rsidRPr="00D011BC">
        <w:rPr>
          <w:rFonts w:ascii="Times New Roman" w:hAnsi="Times New Roman" w:cs="Times New Roman"/>
          <w:i/>
          <w:iCs/>
          <w:sz w:val="20"/>
          <w:szCs w:val="20"/>
        </w:rPr>
        <w:t>Codex</w:t>
      </w:r>
      <w:r w:rsidRPr="00D011BC">
        <w:rPr>
          <w:rFonts w:ascii="Times New Roman" w:hAnsi="Times New Roman" w:cs="Times New Roman"/>
          <w:sz w:val="20"/>
          <w:szCs w:val="20"/>
        </w:rPr>
        <w:t xml:space="preserve"> </w:t>
      </w:r>
      <w:r w:rsidR="00F62711" w:rsidRPr="00D011BC">
        <w:rPr>
          <w:rFonts w:ascii="Times New Roman" w:hAnsi="Times New Roman" w:cs="Times New Roman"/>
          <w:smallCaps/>
          <w:sz w:val="20"/>
          <w:szCs w:val="20"/>
        </w:rPr>
        <w:t>xiv</w:t>
      </w:r>
      <w:r w:rsidRPr="00D011BC">
        <w:rPr>
          <w:rFonts w:ascii="Times New Roman" w:hAnsi="Times New Roman" w:cs="Times New Roman"/>
          <w:sz w:val="20"/>
          <w:szCs w:val="20"/>
        </w:rPr>
        <w:t>, texte 3, p. 20, l. 24-29, état fragmentaire</w:t>
      </w:r>
      <w:r w:rsidR="00F62711" w:rsidRPr="00D011BC">
        <w:rPr>
          <w:rFonts w:ascii="Times New Roman" w:hAnsi="Times New Roman" w:cs="Times New Roman"/>
          <w:sz w:val="20"/>
          <w:szCs w:val="20"/>
        </w:rPr>
        <w:t>, texte non édité.</w:t>
      </w:r>
      <w:r w:rsidR="002F0600" w:rsidRPr="00D011BC">
        <w:rPr>
          <w:rFonts w:ascii="Times New Roman" w:hAnsi="Times New Roman" w:cs="Times New Roman"/>
          <w:sz w:val="20"/>
          <w:szCs w:val="20"/>
        </w:rPr>
        <w:t xml:space="preserve"> </w:t>
      </w:r>
      <w:r w:rsidR="002F0600" w:rsidRPr="00D011BC">
        <w:rPr>
          <w:rFonts w:ascii="Times New Roman" w:eastAsia="Times New Roman" w:hAnsi="Times New Roman" w:cs="Times New Roman"/>
          <w:color w:val="222222"/>
          <w:kern w:val="0"/>
          <w:sz w:val="20"/>
          <w:szCs w:val="20"/>
          <w:shd w:val="clear" w:color="auto" w:fill="FFFFFF"/>
          <w:lang w:eastAsia="fr-FR"/>
          <w14:ligatures w14:val="none"/>
        </w:rPr>
        <w:t>Au début de cet article, je voulais adresser mes plus chaleureux remerciements aux deux organisatrices du colloque et directrices de cet ouvrage, Loriane Lafont-Grave et Jacqueline Victor, pour avoir accueilli ma proposition puis mon article avec tant de générosité.</w:t>
      </w:r>
    </w:p>
  </w:footnote>
  <w:footnote w:id="2">
    <w:p w14:paraId="036E7662" w14:textId="77777777" w:rsidR="0068236C" w:rsidRPr="00D011BC" w:rsidRDefault="0068236C"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Pierre Bayard, </w:t>
      </w:r>
      <w:r w:rsidRPr="00D011BC">
        <w:rPr>
          <w:rFonts w:ascii="Times New Roman" w:hAnsi="Times New Roman" w:cs="Times New Roman"/>
          <w:i/>
          <w:iCs/>
        </w:rPr>
        <w:t>Comment parler des livres que l’on n’a pas lus ?</w:t>
      </w:r>
      <w:r w:rsidRPr="00D011BC">
        <w:rPr>
          <w:rFonts w:ascii="Times New Roman" w:hAnsi="Times New Roman" w:cs="Times New Roman"/>
        </w:rPr>
        <w:t>, Paris, Éditions de Minuit, coll. « Paradoxe », 2007.</w:t>
      </w:r>
    </w:p>
  </w:footnote>
  <w:footnote w:id="3">
    <w:p w14:paraId="3FC04A5E" w14:textId="77777777" w:rsidR="0068236C" w:rsidRPr="00D011BC" w:rsidRDefault="0068236C"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Pierre Bayard, </w:t>
      </w:r>
      <w:r w:rsidRPr="00D011BC">
        <w:rPr>
          <w:rFonts w:ascii="Times New Roman" w:hAnsi="Times New Roman" w:cs="Times New Roman"/>
          <w:i/>
          <w:iCs/>
        </w:rPr>
        <w:t>Comment parler des faits qui ne se sont pas produits ?</w:t>
      </w:r>
      <w:r w:rsidRPr="00D011BC">
        <w:rPr>
          <w:rFonts w:ascii="Times New Roman" w:hAnsi="Times New Roman" w:cs="Times New Roman"/>
        </w:rPr>
        <w:t>, Paris, Éditions de Minuit, coll. « Paradoxe », 2020.</w:t>
      </w:r>
    </w:p>
  </w:footnote>
  <w:footnote w:id="4">
    <w:p w14:paraId="4EF1DDE7" w14:textId="77777777" w:rsidR="00C701C2" w:rsidRPr="00D011BC" w:rsidRDefault="00C701C2" w:rsidP="00D011BC">
      <w:pPr>
        <w:jc w:val="both"/>
        <w:rPr>
          <w:rFonts w:ascii="Times New Roman" w:hAnsi="Times New Roman" w:cs="Times New Roman"/>
          <w:sz w:val="20"/>
          <w:szCs w:val="20"/>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w:t>
      </w:r>
      <w:r w:rsidRPr="00D011BC">
        <w:rPr>
          <w:rFonts w:ascii="Times New Roman" w:eastAsia="Times New Roman" w:hAnsi="Times New Roman" w:cs="Times New Roman"/>
          <w:color w:val="222222"/>
          <w:kern w:val="0"/>
          <w:sz w:val="20"/>
          <w:szCs w:val="20"/>
          <w:shd w:val="clear" w:color="auto" w:fill="FFFFFF"/>
          <w:lang w:eastAsia="fr-FR"/>
          <w14:ligatures w14:val="none"/>
        </w:rPr>
        <w:t>L’expression « Antiquité tardive » (« Late Antiquity » en anglais), popularisée par Peter Brown (</w:t>
      </w:r>
      <w:r w:rsidRPr="00D011BC">
        <w:rPr>
          <w:rFonts w:ascii="Times New Roman" w:hAnsi="Times New Roman" w:cs="Times New Roman"/>
          <w:sz w:val="20"/>
          <w:szCs w:val="20"/>
        </w:rPr>
        <w:t xml:space="preserve">Peter Brown, </w:t>
      </w:r>
      <w:r w:rsidRPr="00D011BC">
        <w:rPr>
          <w:rFonts w:ascii="Times New Roman" w:hAnsi="Times New Roman" w:cs="Times New Roman"/>
          <w:i/>
          <w:iCs/>
          <w:sz w:val="20"/>
          <w:szCs w:val="20"/>
        </w:rPr>
        <w:t>The World of Late Antiquity. From Marcus Aurelius to Muhammad</w:t>
      </w:r>
      <w:r w:rsidRPr="00D011BC">
        <w:rPr>
          <w:rFonts w:ascii="Times New Roman" w:hAnsi="Times New Roman" w:cs="Times New Roman"/>
          <w:sz w:val="20"/>
          <w:szCs w:val="20"/>
        </w:rPr>
        <w:t xml:space="preserve">, Londres, Thames and Hudson, 1971) désigne une période dont les bornes chronologiques varient d’un auteur ou d’une autrice à l’autre. Peter Brown et, à sa suite, le </w:t>
      </w:r>
      <w:r w:rsidRPr="00D011BC">
        <w:rPr>
          <w:rFonts w:ascii="Times New Roman" w:hAnsi="Times New Roman" w:cs="Times New Roman"/>
          <w:i/>
          <w:iCs/>
          <w:sz w:val="20"/>
          <w:szCs w:val="20"/>
        </w:rPr>
        <w:t>Journal of Late Antiquity</w:t>
      </w:r>
      <w:r w:rsidRPr="00D011BC">
        <w:rPr>
          <w:rFonts w:ascii="Times New Roman" w:hAnsi="Times New Roman" w:cs="Times New Roman"/>
          <w:sz w:val="20"/>
          <w:szCs w:val="20"/>
        </w:rPr>
        <w:t xml:space="preserve">, qui paraît à partir de 2008, situent l’Antiquité tardive entre 200 et 800. Cependant, la définition culturelle de cette période donnée, par exemple, par Henri-Irénée Marrou, qui parle d’un « esprit nouveau » caractérisé notamment par la conception de l’homme méditerranéen « comme un homme religieux » et par « l’invasion de l’idée de Dieu (…) conçu comme Absolu et cependant personnel » (Henri-Irénée Marrou, « La civilisation de l’antiquité tardive », </w:t>
      </w:r>
      <w:r w:rsidRPr="00D011BC">
        <w:rPr>
          <w:rFonts w:ascii="Times New Roman" w:hAnsi="Times New Roman" w:cs="Times New Roman"/>
          <w:i/>
          <w:iCs/>
          <w:sz w:val="20"/>
          <w:szCs w:val="20"/>
        </w:rPr>
        <w:t>Publications de l’École Française de Rome</w:t>
      </w:r>
      <w:r w:rsidRPr="00D011BC">
        <w:rPr>
          <w:rFonts w:ascii="Times New Roman" w:hAnsi="Times New Roman" w:cs="Times New Roman"/>
          <w:sz w:val="20"/>
          <w:szCs w:val="20"/>
        </w:rPr>
        <w:t xml:space="preserve">, 35, 1978, p. 67-77, respectivement p. 71 et p. 74) conduit à y annexer certains textes du judaïsme de langue grecque (Philon d’Alexandrie, Flavius Josèphe) et du premier christianisme, à commencer par les textes du Nouveau Testament. C’est par exemple le parti-pris du cours « Littérature, religion et philosophie de l’Antiquité tardive » donné à la Sorbonne depuis une vingtaine d’années et qui comporte systématiquement des séances sur ces deux corpus. Sur les ambiguïtés du concept d’ « Antiquité tardive » </w:t>
      </w:r>
      <w:r w:rsidRPr="00D011BC">
        <w:rPr>
          <w:rFonts w:ascii="Times New Roman" w:hAnsi="Times New Roman" w:cs="Times New Roman"/>
          <w:i/>
          <w:iCs/>
          <w:sz w:val="20"/>
          <w:szCs w:val="20"/>
        </w:rPr>
        <w:t>cf.</w:t>
      </w:r>
      <w:r w:rsidRPr="00D011BC">
        <w:rPr>
          <w:rFonts w:ascii="Times New Roman" w:hAnsi="Times New Roman" w:cs="Times New Roman"/>
          <w:sz w:val="20"/>
          <w:szCs w:val="20"/>
        </w:rPr>
        <w:t xml:space="preserve"> notamment Polymnia Athanassiadi, « Antiquité tardive : construction et déconstruction d’un modèle historiographique », </w:t>
      </w:r>
      <w:r w:rsidRPr="00D011BC">
        <w:rPr>
          <w:rFonts w:ascii="Times New Roman" w:hAnsi="Times New Roman" w:cs="Times New Roman"/>
          <w:i/>
          <w:iCs/>
          <w:sz w:val="20"/>
          <w:szCs w:val="20"/>
        </w:rPr>
        <w:t>Antiquité tardive. Revue internationale d’histoire et d’archéologie (</w:t>
      </w:r>
      <w:r w:rsidRPr="00D011BC">
        <w:rPr>
          <w:rFonts w:ascii="Times New Roman" w:hAnsi="Times New Roman" w:cs="Times New Roman"/>
          <w:i/>
          <w:iCs/>
          <w:smallCaps/>
          <w:sz w:val="20"/>
          <w:szCs w:val="20"/>
        </w:rPr>
        <w:t>iv</w:t>
      </w:r>
      <w:r w:rsidRPr="00D011BC">
        <w:rPr>
          <w:rFonts w:ascii="Times New Roman" w:hAnsi="Times New Roman" w:cs="Times New Roman"/>
          <w:i/>
          <w:iCs/>
          <w:sz w:val="20"/>
          <w:szCs w:val="20"/>
          <w:vertAlign w:val="superscript"/>
        </w:rPr>
        <w:t>e</w:t>
      </w:r>
      <w:r w:rsidRPr="00D011BC">
        <w:rPr>
          <w:rFonts w:ascii="Times New Roman" w:hAnsi="Times New Roman" w:cs="Times New Roman"/>
          <w:i/>
          <w:iCs/>
          <w:sz w:val="20"/>
          <w:szCs w:val="20"/>
        </w:rPr>
        <w:t>-</w:t>
      </w:r>
      <w:r w:rsidRPr="00D011BC">
        <w:rPr>
          <w:rFonts w:ascii="Times New Roman" w:hAnsi="Times New Roman" w:cs="Times New Roman"/>
          <w:i/>
          <w:iCs/>
          <w:smallCaps/>
          <w:sz w:val="20"/>
          <w:szCs w:val="20"/>
        </w:rPr>
        <w:t>vii</w:t>
      </w:r>
      <w:r w:rsidRPr="00D011BC">
        <w:rPr>
          <w:rFonts w:ascii="Times New Roman" w:hAnsi="Times New Roman" w:cs="Times New Roman"/>
          <w:i/>
          <w:iCs/>
          <w:sz w:val="20"/>
          <w:szCs w:val="20"/>
          <w:vertAlign w:val="superscript"/>
        </w:rPr>
        <w:t>e</w:t>
      </w:r>
      <w:r w:rsidRPr="00D011BC">
        <w:rPr>
          <w:rFonts w:ascii="Times New Roman" w:hAnsi="Times New Roman" w:cs="Times New Roman"/>
          <w:i/>
          <w:iCs/>
          <w:sz w:val="20"/>
          <w:szCs w:val="20"/>
        </w:rPr>
        <w:t xml:space="preserve"> siècle)</w:t>
      </w:r>
      <w:r w:rsidRPr="00D011BC">
        <w:rPr>
          <w:rFonts w:ascii="Times New Roman" w:hAnsi="Times New Roman" w:cs="Times New Roman"/>
          <w:sz w:val="20"/>
          <w:szCs w:val="20"/>
        </w:rPr>
        <w:t>, 14, 2006, p. 311-324 et</w:t>
      </w:r>
      <w:r w:rsidRPr="00D011BC">
        <w:rPr>
          <w:rFonts w:ascii="Times New Roman" w:hAnsi="Times New Roman" w:cs="Times New Roman"/>
          <w:i/>
          <w:iCs/>
          <w:sz w:val="20"/>
          <w:szCs w:val="20"/>
        </w:rPr>
        <w:t xml:space="preserve"> </w:t>
      </w:r>
      <w:r w:rsidRPr="00D011BC">
        <w:rPr>
          <w:rFonts w:ascii="Times New Roman" w:hAnsi="Times New Roman" w:cs="Times New Roman"/>
          <w:sz w:val="20"/>
          <w:szCs w:val="20"/>
        </w:rPr>
        <w:t xml:space="preserve">Hervé Inglebert, « De l’Antiquité au Moyen Âge : de quoi l’Antiquité tardive est-elle le nom ? », </w:t>
      </w:r>
      <w:r w:rsidRPr="00D011BC">
        <w:rPr>
          <w:rFonts w:ascii="Times New Roman" w:hAnsi="Times New Roman" w:cs="Times New Roman"/>
          <w:i/>
          <w:iCs/>
          <w:sz w:val="20"/>
          <w:szCs w:val="20"/>
        </w:rPr>
        <w:t>ATALA Cultures et sciences humaines</w:t>
      </w:r>
      <w:r w:rsidRPr="00D011BC">
        <w:rPr>
          <w:rFonts w:ascii="Times New Roman" w:hAnsi="Times New Roman" w:cs="Times New Roman"/>
          <w:sz w:val="20"/>
          <w:szCs w:val="20"/>
        </w:rPr>
        <w:t>, 17, 2014, p. 117-131.</w:t>
      </w:r>
    </w:p>
  </w:footnote>
  <w:footnote w:id="5">
    <w:p w14:paraId="2FDAB405" w14:textId="77777777" w:rsidR="00C701C2" w:rsidRPr="00E03247" w:rsidRDefault="00C701C2" w:rsidP="00E03247">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On ne peut pas parler en bloc et sans nuance de « littérature chrétienne » dans les premiers siècles de l’ère chrétienne, pour au moins deux raisons. 1. Ce serait méconnaître la variété des textes qui, à cette époque, font référence à Jésus, par exemple, la différence entre les textes dits de Nag Hammadi, qui présentent une nature et un rôle de Jésus très différents de ceux défendus par l’Église majoritaire à cette époque, et les œuvres d’Athanase d’Alexandrie, qui leur sont contemporaines, et sont beaucoup plus orthodoxes de ce point de vue. 2. L’adjectif « chrétien » (χριστιανός) apparaît pour la première fois dans les </w:t>
      </w:r>
      <w:r w:rsidRPr="00D011BC">
        <w:rPr>
          <w:rFonts w:ascii="Times New Roman" w:hAnsi="Times New Roman" w:cs="Times New Roman"/>
          <w:i/>
          <w:iCs/>
        </w:rPr>
        <w:t>Actes des apôtres</w:t>
      </w:r>
      <w:r w:rsidRPr="00D011BC">
        <w:rPr>
          <w:rFonts w:ascii="Times New Roman" w:hAnsi="Times New Roman" w:cs="Times New Roman"/>
        </w:rPr>
        <w:t xml:space="preserve"> (Actes 11, 26), composés entre 80 et 90 selon, notamment, Daniel Marguerat (Daniel Marguerat, </w:t>
      </w:r>
      <w:r w:rsidRPr="00D011BC">
        <w:rPr>
          <w:rFonts w:ascii="Times New Roman" w:hAnsi="Times New Roman" w:cs="Times New Roman"/>
          <w:i/>
          <w:iCs/>
        </w:rPr>
        <w:t>Les Actes des Apôtres (1-12)</w:t>
      </w:r>
      <w:r w:rsidRPr="00D011BC">
        <w:rPr>
          <w:rFonts w:ascii="Times New Roman" w:hAnsi="Times New Roman" w:cs="Times New Roman"/>
        </w:rPr>
        <w:t>, Genève, Labor et Fides, coll. « Commentaire du Nouveau Testament, 2</w:t>
      </w:r>
      <w:r w:rsidRPr="00D011BC">
        <w:rPr>
          <w:rFonts w:ascii="Times New Roman" w:hAnsi="Times New Roman" w:cs="Times New Roman"/>
          <w:vertAlign w:val="superscript"/>
        </w:rPr>
        <w:t>ème</w:t>
      </w:r>
      <w:r w:rsidRPr="00D011BC">
        <w:rPr>
          <w:rFonts w:ascii="Times New Roman" w:hAnsi="Times New Roman" w:cs="Times New Roman"/>
        </w:rPr>
        <w:t xml:space="preserve"> série », 2007, p. 20), de sorte que, pour des textes antérieurs, comme l’</w:t>
      </w:r>
      <w:r w:rsidRPr="00D011BC">
        <w:rPr>
          <w:rFonts w:ascii="Times New Roman" w:hAnsi="Times New Roman" w:cs="Times New Roman"/>
          <w:i/>
          <w:iCs/>
        </w:rPr>
        <w:t>Évangile selon Marc</w:t>
      </w:r>
      <w:r w:rsidRPr="00D011BC">
        <w:rPr>
          <w:rFonts w:ascii="Times New Roman" w:hAnsi="Times New Roman" w:cs="Times New Roman"/>
        </w:rPr>
        <w:t>,</w:t>
      </w:r>
      <w:r w:rsidR="008D1E6C" w:rsidRPr="00D011BC">
        <w:rPr>
          <w:rFonts w:ascii="Times New Roman" w:hAnsi="Times New Roman" w:cs="Times New Roman"/>
        </w:rPr>
        <w:t xml:space="preserve"> composé peu après 70,</w:t>
      </w:r>
      <w:r w:rsidRPr="00D011BC">
        <w:rPr>
          <w:rFonts w:ascii="Times New Roman" w:hAnsi="Times New Roman" w:cs="Times New Roman"/>
        </w:rPr>
        <w:t xml:space="preserve"> la caractérisation de « chrétien » serait anachronique. </w:t>
      </w:r>
      <w:r w:rsidR="008D1E6C" w:rsidRPr="00D011BC">
        <w:rPr>
          <w:rFonts w:ascii="Times New Roman" w:hAnsi="Times New Roman" w:cs="Times New Roman"/>
        </w:rPr>
        <w:t>(Pour cette datation de l’</w:t>
      </w:r>
      <w:r w:rsidR="008D1E6C" w:rsidRPr="00D011BC">
        <w:rPr>
          <w:rFonts w:ascii="Times New Roman" w:hAnsi="Times New Roman" w:cs="Times New Roman"/>
          <w:i/>
          <w:iCs/>
        </w:rPr>
        <w:t>Évangile selon Marc</w:t>
      </w:r>
      <w:r w:rsidR="008D1E6C" w:rsidRPr="00D011BC">
        <w:rPr>
          <w:rFonts w:ascii="Times New Roman" w:hAnsi="Times New Roman" w:cs="Times New Roman"/>
        </w:rPr>
        <w:t xml:space="preserve">, </w:t>
      </w:r>
      <w:r w:rsidR="008D1E6C" w:rsidRPr="00D011BC">
        <w:rPr>
          <w:rFonts w:ascii="Times New Roman" w:hAnsi="Times New Roman" w:cs="Times New Roman"/>
          <w:i/>
          <w:iCs/>
        </w:rPr>
        <w:t>cf.</w:t>
      </w:r>
      <w:r w:rsidR="008D1E6C" w:rsidRPr="00D011BC">
        <w:rPr>
          <w:rFonts w:ascii="Times New Roman" w:hAnsi="Times New Roman" w:cs="Times New Roman"/>
        </w:rPr>
        <w:t xml:space="preserve"> notamment </w:t>
      </w:r>
      <w:r w:rsidR="00E313A6" w:rsidRPr="00D011BC">
        <w:rPr>
          <w:rFonts w:ascii="Times New Roman" w:hAnsi="Times New Roman" w:cs="Times New Roman"/>
          <w:kern w:val="0"/>
        </w:rPr>
        <w:t xml:space="preserve">Élian Cuvillier, </w:t>
      </w:r>
      <w:r w:rsidR="00E313A6" w:rsidRPr="00D011BC">
        <w:rPr>
          <w:rFonts w:ascii="Times New Roman" w:hAnsi="Times New Roman" w:cs="Times New Roman"/>
          <w:i/>
          <w:iCs/>
          <w:kern w:val="0"/>
        </w:rPr>
        <w:t>Le concept de parabolè dans le second évangile. Son arrière-plan littéraire, sa signification dans le cadre de la rédaction marcienne, son utilisation dans la tradition de Jésus</w:t>
      </w:r>
      <w:r w:rsidR="00E313A6" w:rsidRPr="00D011BC">
        <w:rPr>
          <w:rFonts w:ascii="Times New Roman" w:hAnsi="Times New Roman" w:cs="Times New Roman"/>
          <w:kern w:val="0"/>
        </w:rPr>
        <w:t xml:space="preserve">, Pendé, Gabalda, 1993, p. 16 et </w:t>
      </w:r>
      <w:r w:rsidR="00E313A6" w:rsidRPr="00D011BC">
        <w:rPr>
          <w:rFonts w:ascii="Times New Roman" w:hAnsi="Times New Roman" w:cs="Times New Roman"/>
          <w:i/>
          <w:iCs/>
          <w:kern w:val="0"/>
        </w:rPr>
        <w:t>id.</w:t>
      </w:r>
      <w:r w:rsidR="00E313A6" w:rsidRPr="00D011BC">
        <w:rPr>
          <w:rFonts w:ascii="Times New Roman" w:hAnsi="Times New Roman" w:cs="Times New Roman"/>
          <w:kern w:val="0"/>
        </w:rPr>
        <w:t>,</w:t>
      </w:r>
      <w:r w:rsidR="00E313A6" w:rsidRPr="00D011BC">
        <w:rPr>
          <w:rFonts w:ascii="Times New Roman" w:hAnsi="Times New Roman" w:cs="Times New Roman"/>
          <w:i/>
          <w:iCs/>
          <w:kern w:val="0"/>
        </w:rPr>
        <w:t xml:space="preserve"> L’Évangile de Marc. Traduction et lecture</w:t>
      </w:r>
      <w:r w:rsidR="00E313A6" w:rsidRPr="00D011BC">
        <w:rPr>
          <w:rFonts w:ascii="Times New Roman" w:hAnsi="Times New Roman" w:cs="Times New Roman"/>
          <w:kern w:val="0"/>
        </w:rPr>
        <w:t>, Paris, Bayard – Labor et Fides, 2002, p. 14.)</w:t>
      </w:r>
      <w:r w:rsidR="00672E09" w:rsidRPr="00D011BC">
        <w:rPr>
          <w:rFonts w:ascii="Times New Roman" w:hAnsi="Times New Roman" w:cs="Times New Roman"/>
          <w:kern w:val="0"/>
        </w:rPr>
        <w:t xml:space="preserve"> Sauf </w:t>
      </w:r>
      <w:r w:rsidR="00672E09" w:rsidRPr="00E03247">
        <w:rPr>
          <w:rFonts w:ascii="Times New Roman" w:hAnsi="Times New Roman" w:cs="Times New Roman"/>
          <w:kern w:val="0"/>
        </w:rPr>
        <w:t>précision contraire, les traductions proposées pour des textes écrits originellement dans une autre langue que le français sont de mon fait.</w:t>
      </w:r>
      <w:r w:rsidR="00E03247" w:rsidRPr="00E03247">
        <w:rPr>
          <w:rFonts w:ascii="Times New Roman" w:hAnsi="Times New Roman" w:cs="Times New Roman"/>
          <w:kern w:val="0"/>
        </w:rPr>
        <w:t xml:space="preserve"> Pour les textes du Nouveau Testament, je suis le texte édité </w:t>
      </w:r>
      <w:r w:rsidR="00E03247" w:rsidRPr="00E03247">
        <w:rPr>
          <w:rFonts w:ascii="Times New Roman" w:hAnsi="Times New Roman" w:cs="Times New Roman"/>
        </w:rPr>
        <w:t xml:space="preserve">par Barbara Aland, Kurt Aland </w:t>
      </w:r>
      <w:r w:rsidR="00E03247" w:rsidRPr="00E03247">
        <w:rPr>
          <w:rFonts w:ascii="Times New Roman" w:hAnsi="Times New Roman" w:cs="Times New Roman"/>
          <w:i/>
          <w:iCs/>
          <w:color w:val="000000" w:themeColor="text1"/>
        </w:rPr>
        <w:t>et al.</w:t>
      </w:r>
      <w:r w:rsidR="00E03247" w:rsidRPr="00E03247">
        <w:rPr>
          <w:rFonts w:ascii="Times New Roman" w:hAnsi="Times New Roman" w:cs="Times New Roman"/>
          <w:color w:val="000000" w:themeColor="text1"/>
        </w:rPr>
        <w:t xml:space="preserve"> dans </w:t>
      </w:r>
      <w:r w:rsidR="00E03247" w:rsidRPr="00E03247">
        <w:rPr>
          <w:rFonts w:ascii="Times New Roman" w:hAnsi="Times New Roman" w:cs="Times New Roman"/>
          <w:i/>
          <w:iCs/>
          <w:color w:val="000000" w:themeColor="text1"/>
        </w:rPr>
        <w:t>Novum Testamentum Graece</w:t>
      </w:r>
      <w:r w:rsidR="00E03247" w:rsidRPr="00E03247">
        <w:rPr>
          <w:rFonts w:ascii="Times New Roman" w:hAnsi="Times New Roman" w:cs="Times New Roman"/>
          <w:color w:val="000000" w:themeColor="text1"/>
        </w:rPr>
        <w:t>, Stuttgart, Deutsche Bibelgesellschaft, 2012</w:t>
      </w:r>
      <w:r w:rsidR="00E03247" w:rsidRPr="00E03247">
        <w:rPr>
          <w:rFonts w:ascii="Times New Roman" w:hAnsi="Times New Roman" w:cs="Times New Roman"/>
          <w:color w:val="000000" w:themeColor="text1"/>
          <w:vertAlign w:val="superscript"/>
        </w:rPr>
        <w:t>28</w:t>
      </w:r>
      <w:r w:rsidR="00E03247" w:rsidRPr="00E03247">
        <w:rPr>
          <w:rFonts w:ascii="Times New Roman" w:hAnsi="Times New Roman" w:cs="Times New Roman"/>
          <w:color w:val="000000" w:themeColor="text1"/>
        </w:rPr>
        <w:t>.</w:t>
      </w:r>
    </w:p>
  </w:footnote>
  <w:footnote w:id="6">
    <w:p w14:paraId="7438FA22" w14:textId="77777777" w:rsidR="002959D7" w:rsidRPr="00D011BC" w:rsidRDefault="002959D7" w:rsidP="00D011BC">
      <w:pPr>
        <w:pStyle w:val="Notedebasdepage"/>
        <w:jc w:val="both"/>
        <w:rPr>
          <w:rFonts w:ascii="Times New Roman" w:hAnsi="Times New Roman" w:cs="Times New Roman"/>
        </w:rPr>
      </w:pPr>
      <w:r w:rsidRPr="00E03247">
        <w:rPr>
          <w:rStyle w:val="Appelnotedebasdep"/>
          <w:rFonts w:ascii="Times New Roman" w:hAnsi="Times New Roman" w:cs="Times New Roman"/>
        </w:rPr>
        <w:footnoteRef/>
      </w:r>
      <w:r w:rsidRPr="00E03247">
        <w:rPr>
          <w:rFonts w:ascii="Times New Roman" w:hAnsi="Times New Roman" w:cs="Times New Roman"/>
        </w:rPr>
        <w:t xml:space="preserve"> </w:t>
      </w:r>
      <w:r w:rsidR="00CE7C8D" w:rsidRPr="00E03247">
        <w:rPr>
          <w:rFonts w:ascii="Times New Roman" w:hAnsi="Times New Roman" w:cs="Times New Roman"/>
        </w:rPr>
        <w:t>Les titres de Pierre Bayard font</w:t>
      </w:r>
      <w:r w:rsidR="002F3585" w:rsidRPr="00E03247">
        <w:rPr>
          <w:rFonts w:ascii="Times New Roman" w:hAnsi="Times New Roman" w:cs="Times New Roman"/>
        </w:rPr>
        <w:t xml:space="preserve"> référence à Honoré de Balzac (Pierre Bayard,</w:t>
      </w:r>
      <w:r w:rsidR="00CE7C8D" w:rsidRPr="00E03247">
        <w:rPr>
          <w:rFonts w:ascii="Times New Roman" w:hAnsi="Times New Roman" w:cs="Times New Roman"/>
        </w:rPr>
        <w:t xml:space="preserve"> </w:t>
      </w:r>
      <w:r w:rsidR="00CE7C8D" w:rsidRPr="00E03247">
        <w:rPr>
          <w:rFonts w:ascii="Times New Roman" w:hAnsi="Times New Roman" w:cs="Times New Roman"/>
          <w:i/>
          <w:iCs/>
        </w:rPr>
        <w:t>Balzac et le troc de l</w:t>
      </w:r>
      <w:r w:rsidR="002F3585" w:rsidRPr="00E03247">
        <w:rPr>
          <w:rFonts w:ascii="Times New Roman" w:hAnsi="Times New Roman" w:cs="Times New Roman"/>
          <w:i/>
          <w:iCs/>
        </w:rPr>
        <w:t>’</w:t>
      </w:r>
      <w:r w:rsidR="00CE7C8D" w:rsidRPr="00E03247">
        <w:rPr>
          <w:rFonts w:ascii="Times New Roman" w:hAnsi="Times New Roman" w:cs="Times New Roman"/>
          <w:i/>
          <w:iCs/>
        </w:rPr>
        <w:t>imaginaire. Lecture de La Peau de chagrin</w:t>
      </w:r>
      <w:r w:rsidR="00CE7C8D" w:rsidRPr="00E03247">
        <w:rPr>
          <w:rFonts w:ascii="Times New Roman" w:hAnsi="Times New Roman" w:cs="Times New Roman"/>
        </w:rPr>
        <w:t xml:space="preserve">, </w:t>
      </w:r>
      <w:r w:rsidR="002F3585" w:rsidRPr="00E03247">
        <w:rPr>
          <w:rFonts w:ascii="Times New Roman" w:hAnsi="Times New Roman" w:cs="Times New Roman"/>
        </w:rPr>
        <w:t xml:space="preserve">Paris, </w:t>
      </w:r>
      <w:r w:rsidR="00CE7C8D" w:rsidRPr="00E03247">
        <w:rPr>
          <w:rFonts w:ascii="Times New Roman" w:hAnsi="Times New Roman" w:cs="Times New Roman"/>
        </w:rPr>
        <w:t>Lettres</w:t>
      </w:r>
      <w:r w:rsidR="00CE7C8D" w:rsidRPr="00D011BC">
        <w:rPr>
          <w:rFonts w:ascii="Times New Roman" w:hAnsi="Times New Roman" w:cs="Times New Roman"/>
        </w:rPr>
        <w:t xml:space="preserve"> modernes-Minard,</w:t>
      </w:r>
      <w:r w:rsidR="002F3585" w:rsidRPr="00D011BC">
        <w:rPr>
          <w:rFonts w:ascii="Times New Roman" w:hAnsi="Times New Roman" w:cs="Times New Roman"/>
        </w:rPr>
        <w:t xml:space="preserve"> coll. « Situation »,</w:t>
      </w:r>
      <w:r w:rsidR="00CE7C8D" w:rsidRPr="00D011BC">
        <w:rPr>
          <w:rFonts w:ascii="Times New Roman" w:hAnsi="Times New Roman" w:cs="Times New Roman"/>
        </w:rPr>
        <w:t xml:space="preserve"> 1978</w:t>
      </w:r>
      <w:r w:rsidR="002F3585" w:rsidRPr="00D011BC">
        <w:rPr>
          <w:rFonts w:ascii="Times New Roman" w:hAnsi="Times New Roman" w:cs="Times New Roman"/>
        </w:rPr>
        <w:t>), Stendhal (</w:t>
      </w:r>
      <w:r w:rsidR="002F3585" w:rsidRPr="00D011BC">
        <w:rPr>
          <w:rFonts w:ascii="Times New Roman" w:hAnsi="Times New Roman" w:cs="Times New Roman"/>
          <w:i/>
          <w:iCs/>
        </w:rPr>
        <w:t>id.</w:t>
      </w:r>
      <w:r w:rsidR="002F3585" w:rsidRPr="00D011BC">
        <w:rPr>
          <w:rFonts w:ascii="Times New Roman" w:hAnsi="Times New Roman" w:cs="Times New Roman"/>
        </w:rPr>
        <w:t xml:space="preserve">, </w:t>
      </w:r>
      <w:r w:rsidR="00CE7C8D" w:rsidRPr="00D011BC">
        <w:rPr>
          <w:rFonts w:ascii="Times New Roman" w:hAnsi="Times New Roman" w:cs="Times New Roman"/>
          <w:i/>
          <w:iCs/>
        </w:rPr>
        <w:t>Symptôme de Stendhal. Armance et l’aveu</w:t>
      </w:r>
      <w:r w:rsidR="00CE7C8D" w:rsidRPr="00D011BC">
        <w:rPr>
          <w:rFonts w:ascii="Times New Roman" w:hAnsi="Times New Roman" w:cs="Times New Roman"/>
        </w:rPr>
        <w:t>,</w:t>
      </w:r>
      <w:r w:rsidR="002F3585" w:rsidRPr="00D011BC">
        <w:rPr>
          <w:rFonts w:ascii="Times New Roman" w:hAnsi="Times New Roman" w:cs="Times New Roman"/>
        </w:rPr>
        <w:t xml:space="preserve"> Paris,</w:t>
      </w:r>
      <w:r w:rsidR="00CE7C8D" w:rsidRPr="00D011BC">
        <w:rPr>
          <w:rFonts w:ascii="Times New Roman" w:hAnsi="Times New Roman" w:cs="Times New Roman"/>
        </w:rPr>
        <w:t xml:space="preserve"> Lettres modernes-Minard,</w:t>
      </w:r>
      <w:r w:rsidR="002F3585" w:rsidRPr="00D011BC">
        <w:rPr>
          <w:rFonts w:ascii="Times New Roman" w:hAnsi="Times New Roman" w:cs="Times New Roman"/>
        </w:rPr>
        <w:t xml:space="preserve"> coll. « Archives des lettres modernes »,</w:t>
      </w:r>
      <w:r w:rsidR="00CE7C8D" w:rsidRPr="00D011BC">
        <w:rPr>
          <w:rFonts w:ascii="Times New Roman" w:hAnsi="Times New Roman" w:cs="Times New Roman"/>
        </w:rPr>
        <w:t xml:space="preserve"> 1980</w:t>
      </w:r>
      <w:r w:rsidR="002F3585" w:rsidRPr="00D011BC">
        <w:rPr>
          <w:rFonts w:ascii="Times New Roman" w:hAnsi="Times New Roman" w:cs="Times New Roman"/>
        </w:rPr>
        <w:t>), Romain Gary (</w:t>
      </w:r>
      <w:r w:rsidR="00CE7C8D" w:rsidRPr="00D011BC">
        <w:rPr>
          <w:rFonts w:ascii="Times New Roman" w:hAnsi="Times New Roman" w:cs="Times New Roman"/>
          <w:i/>
          <w:iCs/>
        </w:rPr>
        <w:t>Il était deux fois Romain Gary</w:t>
      </w:r>
      <w:r w:rsidR="00CE7C8D" w:rsidRPr="00D011BC">
        <w:rPr>
          <w:rFonts w:ascii="Times New Roman" w:hAnsi="Times New Roman" w:cs="Times New Roman"/>
        </w:rPr>
        <w:t xml:space="preserve">, </w:t>
      </w:r>
      <w:r w:rsidR="002F3585" w:rsidRPr="00D011BC">
        <w:rPr>
          <w:rFonts w:ascii="Times New Roman" w:hAnsi="Times New Roman" w:cs="Times New Roman"/>
        </w:rPr>
        <w:t xml:space="preserve">Paris, </w:t>
      </w:r>
      <w:r w:rsidR="00CE7C8D" w:rsidRPr="00D011BC">
        <w:rPr>
          <w:rFonts w:ascii="Times New Roman" w:hAnsi="Times New Roman" w:cs="Times New Roman"/>
        </w:rPr>
        <w:t xml:space="preserve">Presses universitaires de France, </w:t>
      </w:r>
      <w:r w:rsidR="002F3585" w:rsidRPr="00D011BC">
        <w:rPr>
          <w:rFonts w:ascii="Times New Roman" w:hAnsi="Times New Roman" w:cs="Times New Roman"/>
        </w:rPr>
        <w:t xml:space="preserve">coll. « Le Texte rêve », </w:t>
      </w:r>
      <w:r w:rsidR="00CE7C8D" w:rsidRPr="00D011BC">
        <w:rPr>
          <w:rFonts w:ascii="Times New Roman" w:hAnsi="Times New Roman" w:cs="Times New Roman"/>
        </w:rPr>
        <w:t>1990</w:t>
      </w:r>
      <w:r w:rsidR="002F3585" w:rsidRPr="00D011BC">
        <w:rPr>
          <w:rFonts w:ascii="Times New Roman" w:hAnsi="Times New Roman" w:cs="Times New Roman"/>
        </w:rPr>
        <w:t>), Pierre Choderlos de Laclos (</w:t>
      </w:r>
      <w:r w:rsidR="002F3585" w:rsidRPr="00D011BC">
        <w:rPr>
          <w:rFonts w:ascii="Times New Roman" w:hAnsi="Times New Roman" w:cs="Times New Roman"/>
          <w:i/>
          <w:iCs/>
        </w:rPr>
        <w:t>id.</w:t>
      </w:r>
      <w:r w:rsidR="002F3585" w:rsidRPr="00D011BC">
        <w:rPr>
          <w:rFonts w:ascii="Times New Roman" w:hAnsi="Times New Roman" w:cs="Times New Roman"/>
        </w:rPr>
        <w:t>,</w:t>
      </w:r>
      <w:r w:rsidR="002F3585" w:rsidRPr="00D011BC">
        <w:rPr>
          <w:rFonts w:ascii="Times New Roman" w:hAnsi="Times New Roman" w:cs="Times New Roman"/>
          <w:i/>
          <w:iCs/>
        </w:rPr>
        <w:t xml:space="preserve"> </w:t>
      </w:r>
      <w:r w:rsidR="00CE7C8D" w:rsidRPr="00D011BC">
        <w:rPr>
          <w:rFonts w:ascii="Times New Roman" w:hAnsi="Times New Roman" w:cs="Times New Roman"/>
          <w:i/>
          <w:iCs/>
        </w:rPr>
        <w:t>Le Paradoxe du menteur. Sur Laclos</w:t>
      </w:r>
      <w:r w:rsidR="00CE7C8D" w:rsidRPr="00D011BC">
        <w:rPr>
          <w:rFonts w:ascii="Times New Roman" w:hAnsi="Times New Roman" w:cs="Times New Roman"/>
        </w:rPr>
        <w:t xml:space="preserve">, </w:t>
      </w:r>
      <w:r w:rsidR="002F3585" w:rsidRPr="00D011BC">
        <w:rPr>
          <w:rFonts w:ascii="Times New Roman" w:hAnsi="Times New Roman" w:cs="Times New Roman"/>
        </w:rPr>
        <w:t>Paris, Éditions de Minuit</w:t>
      </w:r>
      <w:r w:rsidR="00CE7C8D" w:rsidRPr="00D011BC">
        <w:rPr>
          <w:rFonts w:ascii="Times New Roman" w:hAnsi="Times New Roman" w:cs="Times New Roman"/>
        </w:rPr>
        <w:t>,</w:t>
      </w:r>
      <w:r w:rsidR="002F3585" w:rsidRPr="00D011BC">
        <w:rPr>
          <w:rFonts w:ascii="Times New Roman" w:hAnsi="Times New Roman" w:cs="Times New Roman"/>
        </w:rPr>
        <w:t xml:space="preserve"> coll. « Paradoxe »,</w:t>
      </w:r>
      <w:r w:rsidR="00CE7C8D" w:rsidRPr="00D011BC">
        <w:rPr>
          <w:rFonts w:ascii="Times New Roman" w:hAnsi="Times New Roman" w:cs="Times New Roman"/>
        </w:rPr>
        <w:t xml:space="preserve"> 1993</w:t>
      </w:r>
      <w:r w:rsidR="002F3585" w:rsidRPr="00D011BC">
        <w:rPr>
          <w:rFonts w:ascii="Times New Roman" w:hAnsi="Times New Roman" w:cs="Times New Roman"/>
        </w:rPr>
        <w:t>), Guy de Maupassant et Sigmund Freud (</w:t>
      </w:r>
      <w:r w:rsidR="002F3585" w:rsidRPr="00D011BC">
        <w:rPr>
          <w:rFonts w:ascii="Times New Roman" w:hAnsi="Times New Roman" w:cs="Times New Roman"/>
          <w:i/>
          <w:iCs/>
        </w:rPr>
        <w:t>id.</w:t>
      </w:r>
      <w:r w:rsidR="002F3585" w:rsidRPr="00D011BC">
        <w:rPr>
          <w:rFonts w:ascii="Times New Roman" w:hAnsi="Times New Roman" w:cs="Times New Roman"/>
        </w:rPr>
        <w:t>,</w:t>
      </w:r>
      <w:r w:rsidR="002F3585" w:rsidRPr="00D011BC">
        <w:rPr>
          <w:rFonts w:ascii="Times New Roman" w:hAnsi="Times New Roman" w:cs="Times New Roman"/>
          <w:i/>
          <w:iCs/>
        </w:rPr>
        <w:t xml:space="preserve"> </w:t>
      </w:r>
      <w:r w:rsidR="00CE7C8D" w:rsidRPr="00D011BC">
        <w:rPr>
          <w:rFonts w:ascii="Times New Roman" w:hAnsi="Times New Roman" w:cs="Times New Roman"/>
          <w:i/>
          <w:iCs/>
        </w:rPr>
        <w:t>Maupassant, juste avant Freud</w:t>
      </w:r>
      <w:r w:rsidR="00CE7C8D" w:rsidRPr="00D011BC">
        <w:rPr>
          <w:rFonts w:ascii="Times New Roman" w:hAnsi="Times New Roman" w:cs="Times New Roman"/>
        </w:rPr>
        <w:t>,</w:t>
      </w:r>
      <w:r w:rsidR="002F3585" w:rsidRPr="00D011BC">
        <w:rPr>
          <w:rFonts w:ascii="Times New Roman" w:hAnsi="Times New Roman" w:cs="Times New Roman"/>
        </w:rPr>
        <w:t xml:space="preserve"> Paris,</w:t>
      </w:r>
      <w:r w:rsidR="00CE7C8D" w:rsidRPr="00D011BC">
        <w:rPr>
          <w:rFonts w:ascii="Times New Roman" w:hAnsi="Times New Roman" w:cs="Times New Roman"/>
        </w:rPr>
        <w:t xml:space="preserve"> </w:t>
      </w:r>
      <w:r w:rsidR="002F3585" w:rsidRPr="00D011BC">
        <w:rPr>
          <w:rFonts w:ascii="Times New Roman" w:hAnsi="Times New Roman" w:cs="Times New Roman"/>
        </w:rPr>
        <w:t xml:space="preserve">Éditions de </w:t>
      </w:r>
      <w:r w:rsidR="00CE7C8D" w:rsidRPr="00D011BC">
        <w:rPr>
          <w:rFonts w:ascii="Times New Roman" w:hAnsi="Times New Roman" w:cs="Times New Roman"/>
        </w:rPr>
        <w:t xml:space="preserve">Minuit, </w:t>
      </w:r>
      <w:r w:rsidR="002F3585" w:rsidRPr="00D011BC">
        <w:rPr>
          <w:rFonts w:ascii="Times New Roman" w:hAnsi="Times New Roman" w:cs="Times New Roman"/>
        </w:rPr>
        <w:t xml:space="preserve">coll. « Paradoxe », </w:t>
      </w:r>
      <w:r w:rsidR="00CE7C8D" w:rsidRPr="00D011BC">
        <w:rPr>
          <w:rFonts w:ascii="Times New Roman" w:hAnsi="Times New Roman" w:cs="Times New Roman"/>
        </w:rPr>
        <w:t>1994</w:t>
      </w:r>
      <w:r w:rsidR="002F3585" w:rsidRPr="00D011BC">
        <w:rPr>
          <w:rFonts w:ascii="Times New Roman" w:hAnsi="Times New Roman" w:cs="Times New Roman"/>
        </w:rPr>
        <w:t>), Marcel Proust (</w:t>
      </w:r>
      <w:r w:rsidR="002F3585" w:rsidRPr="00D011BC">
        <w:rPr>
          <w:rFonts w:ascii="Times New Roman" w:hAnsi="Times New Roman" w:cs="Times New Roman"/>
          <w:i/>
          <w:iCs/>
        </w:rPr>
        <w:t>id.</w:t>
      </w:r>
      <w:r w:rsidR="002F3585" w:rsidRPr="00D011BC">
        <w:rPr>
          <w:rFonts w:ascii="Times New Roman" w:hAnsi="Times New Roman" w:cs="Times New Roman"/>
        </w:rPr>
        <w:t>,</w:t>
      </w:r>
      <w:r w:rsidR="002F3585" w:rsidRPr="00D011BC">
        <w:rPr>
          <w:rFonts w:ascii="Times New Roman" w:hAnsi="Times New Roman" w:cs="Times New Roman"/>
          <w:i/>
          <w:iCs/>
        </w:rPr>
        <w:t xml:space="preserve"> </w:t>
      </w:r>
      <w:r w:rsidR="00CE7C8D" w:rsidRPr="00D011BC">
        <w:rPr>
          <w:rFonts w:ascii="Times New Roman" w:hAnsi="Times New Roman" w:cs="Times New Roman"/>
          <w:i/>
          <w:iCs/>
        </w:rPr>
        <w:t>Le Hors-sujet. Proust et la digression</w:t>
      </w:r>
      <w:r w:rsidR="00CE7C8D" w:rsidRPr="00D011BC">
        <w:rPr>
          <w:rFonts w:ascii="Times New Roman" w:hAnsi="Times New Roman" w:cs="Times New Roman"/>
        </w:rPr>
        <w:t>,</w:t>
      </w:r>
      <w:r w:rsidR="002F3585" w:rsidRPr="00D011BC">
        <w:rPr>
          <w:rFonts w:ascii="Times New Roman" w:hAnsi="Times New Roman" w:cs="Times New Roman"/>
        </w:rPr>
        <w:t xml:space="preserve"> Paris, Éditions de</w:t>
      </w:r>
      <w:r w:rsidR="00CE7C8D" w:rsidRPr="00D011BC">
        <w:rPr>
          <w:rFonts w:ascii="Times New Roman" w:hAnsi="Times New Roman" w:cs="Times New Roman"/>
        </w:rPr>
        <w:t xml:space="preserve"> Minuit,</w:t>
      </w:r>
      <w:r w:rsidR="002F3585" w:rsidRPr="00D011BC">
        <w:rPr>
          <w:rFonts w:ascii="Times New Roman" w:hAnsi="Times New Roman" w:cs="Times New Roman"/>
        </w:rPr>
        <w:t xml:space="preserve"> coll. « Paradoxe »,</w:t>
      </w:r>
      <w:r w:rsidR="00CE7C8D" w:rsidRPr="00D011BC">
        <w:rPr>
          <w:rFonts w:ascii="Times New Roman" w:hAnsi="Times New Roman" w:cs="Times New Roman"/>
        </w:rPr>
        <w:t xml:space="preserve"> 1996</w:t>
      </w:r>
      <w:r w:rsidR="002F3585" w:rsidRPr="00D011BC">
        <w:rPr>
          <w:rFonts w:ascii="Times New Roman" w:hAnsi="Times New Roman" w:cs="Times New Roman"/>
        </w:rPr>
        <w:t>), Agatha Christie (</w:t>
      </w:r>
      <w:r w:rsidR="002F3585" w:rsidRPr="00D011BC">
        <w:rPr>
          <w:rFonts w:ascii="Times New Roman" w:hAnsi="Times New Roman" w:cs="Times New Roman"/>
          <w:i/>
          <w:iCs/>
        </w:rPr>
        <w:t>id.</w:t>
      </w:r>
      <w:r w:rsidR="002F3585" w:rsidRPr="00D011BC">
        <w:rPr>
          <w:rFonts w:ascii="Times New Roman" w:hAnsi="Times New Roman" w:cs="Times New Roman"/>
        </w:rPr>
        <w:t xml:space="preserve">, </w:t>
      </w:r>
      <w:r w:rsidR="00CE7C8D" w:rsidRPr="00D011BC">
        <w:rPr>
          <w:rFonts w:ascii="Times New Roman" w:hAnsi="Times New Roman" w:cs="Times New Roman"/>
          <w:i/>
          <w:iCs/>
        </w:rPr>
        <w:t>Qui a tué Roger Ackroyd ?</w:t>
      </w:r>
      <w:r w:rsidR="00CE7C8D" w:rsidRPr="00D011BC">
        <w:rPr>
          <w:rFonts w:ascii="Times New Roman" w:hAnsi="Times New Roman" w:cs="Times New Roman"/>
        </w:rPr>
        <w:t>,</w:t>
      </w:r>
      <w:r w:rsidR="002F3585" w:rsidRPr="00D011BC">
        <w:rPr>
          <w:rFonts w:ascii="Times New Roman" w:hAnsi="Times New Roman" w:cs="Times New Roman"/>
        </w:rPr>
        <w:t xml:space="preserve"> Paris, Éditions de</w:t>
      </w:r>
      <w:r w:rsidR="00CE7C8D" w:rsidRPr="00D011BC">
        <w:rPr>
          <w:rFonts w:ascii="Times New Roman" w:hAnsi="Times New Roman" w:cs="Times New Roman"/>
        </w:rPr>
        <w:t xml:space="preserve"> Minuit,</w:t>
      </w:r>
      <w:r w:rsidR="002F3585" w:rsidRPr="00D011BC">
        <w:rPr>
          <w:rFonts w:ascii="Times New Roman" w:hAnsi="Times New Roman" w:cs="Times New Roman"/>
        </w:rPr>
        <w:t xml:space="preserve"> coll. « Paradoxe »,</w:t>
      </w:r>
      <w:r w:rsidR="00CE7C8D" w:rsidRPr="00D011BC">
        <w:rPr>
          <w:rFonts w:ascii="Times New Roman" w:hAnsi="Times New Roman" w:cs="Times New Roman"/>
        </w:rPr>
        <w:t xml:space="preserve"> 1998 </w:t>
      </w:r>
      <w:r w:rsidR="002F3585" w:rsidRPr="00D011BC">
        <w:rPr>
          <w:rFonts w:ascii="Times New Roman" w:hAnsi="Times New Roman" w:cs="Times New Roman"/>
        </w:rPr>
        <w:t xml:space="preserve">puis coll. </w:t>
      </w:r>
      <w:r w:rsidR="00CE7C8D" w:rsidRPr="00D011BC">
        <w:rPr>
          <w:rFonts w:ascii="Times New Roman" w:hAnsi="Times New Roman" w:cs="Times New Roman"/>
        </w:rPr>
        <w:t>« Reprise », 2002</w:t>
      </w:r>
      <w:r w:rsidR="000B7294" w:rsidRPr="00D011BC">
        <w:rPr>
          <w:rFonts w:ascii="Times New Roman" w:hAnsi="Times New Roman" w:cs="Times New Roman"/>
        </w:rPr>
        <w:t xml:space="preserve"> et </w:t>
      </w:r>
      <w:r w:rsidR="000B7294" w:rsidRPr="00D011BC">
        <w:rPr>
          <w:rFonts w:ascii="Times New Roman" w:hAnsi="Times New Roman" w:cs="Times New Roman"/>
          <w:i/>
          <w:iCs/>
        </w:rPr>
        <w:t>id.</w:t>
      </w:r>
      <w:r w:rsidR="000B7294" w:rsidRPr="00D011BC">
        <w:rPr>
          <w:rFonts w:ascii="Times New Roman" w:hAnsi="Times New Roman" w:cs="Times New Roman"/>
        </w:rPr>
        <w:t xml:space="preserve">, </w:t>
      </w:r>
      <w:r w:rsidR="000B7294" w:rsidRPr="00D011BC">
        <w:rPr>
          <w:rFonts w:ascii="Times New Roman" w:hAnsi="Times New Roman" w:cs="Times New Roman"/>
          <w:i/>
          <w:iCs/>
        </w:rPr>
        <w:t xml:space="preserve">La Vérité sur </w:t>
      </w:r>
      <w:r w:rsidR="000B7294" w:rsidRPr="00D011BC">
        <w:rPr>
          <w:rFonts w:ascii="Times New Roman" w:hAnsi="Times New Roman" w:cs="Times New Roman"/>
        </w:rPr>
        <w:t xml:space="preserve">Dix Petits Nègres, Paris, Éditions de Minuit, coll. « Paradoxe », 2019, republié sous le titre </w:t>
      </w:r>
      <w:r w:rsidR="00D86F4C" w:rsidRPr="00D011BC">
        <w:rPr>
          <w:rFonts w:ascii="Times New Roman" w:hAnsi="Times New Roman" w:cs="Times New Roman"/>
          <w:i/>
          <w:iCs/>
        </w:rPr>
        <w:t xml:space="preserve">La Vérité sur </w:t>
      </w:r>
      <w:r w:rsidR="00D86F4C" w:rsidRPr="00D011BC">
        <w:rPr>
          <w:rFonts w:ascii="Times New Roman" w:hAnsi="Times New Roman" w:cs="Times New Roman"/>
        </w:rPr>
        <w:t>Ils étaient dix, Paris, Éditions de Minuit, coll. « Double », 2021</w:t>
      </w:r>
      <w:r w:rsidR="002F3585" w:rsidRPr="00D011BC">
        <w:rPr>
          <w:rFonts w:ascii="Times New Roman" w:hAnsi="Times New Roman" w:cs="Times New Roman"/>
        </w:rPr>
        <w:t>), William Shakespeare (</w:t>
      </w:r>
      <w:r w:rsidR="002F3585" w:rsidRPr="00D011BC">
        <w:rPr>
          <w:rFonts w:ascii="Times New Roman" w:hAnsi="Times New Roman" w:cs="Times New Roman"/>
          <w:i/>
          <w:iCs/>
        </w:rPr>
        <w:t>id.</w:t>
      </w:r>
      <w:r w:rsidR="002F3585" w:rsidRPr="00D011BC">
        <w:rPr>
          <w:rFonts w:ascii="Times New Roman" w:hAnsi="Times New Roman" w:cs="Times New Roman"/>
        </w:rPr>
        <w:t>,</w:t>
      </w:r>
      <w:r w:rsidR="002F3585" w:rsidRPr="00D011BC">
        <w:rPr>
          <w:rFonts w:ascii="Times New Roman" w:hAnsi="Times New Roman" w:cs="Times New Roman"/>
          <w:i/>
          <w:iCs/>
        </w:rPr>
        <w:t xml:space="preserve"> </w:t>
      </w:r>
      <w:r w:rsidR="00CE7C8D" w:rsidRPr="00D011BC">
        <w:rPr>
          <w:rFonts w:ascii="Times New Roman" w:hAnsi="Times New Roman" w:cs="Times New Roman"/>
          <w:i/>
          <w:iCs/>
        </w:rPr>
        <w:t xml:space="preserve">Enquête sur </w:t>
      </w:r>
      <w:r w:rsidR="00CE7C8D" w:rsidRPr="00D011BC">
        <w:rPr>
          <w:rFonts w:ascii="Times New Roman" w:hAnsi="Times New Roman" w:cs="Times New Roman"/>
        </w:rPr>
        <w:t>Hamlet</w:t>
      </w:r>
      <w:r w:rsidR="00CE7C8D" w:rsidRPr="00D011BC">
        <w:rPr>
          <w:rFonts w:ascii="Times New Roman" w:hAnsi="Times New Roman" w:cs="Times New Roman"/>
          <w:i/>
          <w:iCs/>
        </w:rPr>
        <w:t>. Le Dialogue de sourds</w:t>
      </w:r>
      <w:r w:rsidR="00CE7C8D" w:rsidRPr="00D011BC">
        <w:rPr>
          <w:rFonts w:ascii="Times New Roman" w:hAnsi="Times New Roman" w:cs="Times New Roman"/>
        </w:rPr>
        <w:t xml:space="preserve">, </w:t>
      </w:r>
      <w:r w:rsidR="002F3585" w:rsidRPr="00D011BC">
        <w:rPr>
          <w:rFonts w:ascii="Times New Roman" w:hAnsi="Times New Roman" w:cs="Times New Roman"/>
        </w:rPr>
        <w:t>Paris, Éditions de Minuit</w:t>
      </w:r>
      <w:r w:rsidR="00CE7C8D" w:rsidRPr="00D011BC">
        <w:rPr>
          <w:rFonts w:ascii="Times New Roman" w:hAnsi="Times New Roman" w:cs="Times New Roman"/>
        </w:rPr>
        <w:t>,</w:t>
      </w:r>
      <w:r w:rsidR="002F3585" w:rsidRPr="00D011BC">
        <w:rPr>
          <w:rFonts w:ascii="Times New Roman" w:hAnsi="Times New Roman" w:cs="Times New Roman"/>
        </w:rPr>
        <w:t xml:space="preserve"> coll. « Double »,</w:t>
      </w:r>
      <w:r w:rsidR="00CE7C8D" w:rsidRPr="00D011BC">
        <w:rPr>
          <w:rFonts w:ascii="Times New Roman" w:hAnsi="Times New Roman" w:cs="Times New Roman"/>
        </w:rPr>
        <w:t xml:space="preserve"> 2002</w:t>
      </w:r>
      <w:r w:rsidR="002F3585" w:rsidRPr="00D011BC">
        <w:rPr>
          <w:rFonts w:ascii="Times New Roman" w:hAnsi="Times New Roman" w:cs="Times New Roman"/>
        </w:rPr>
        <w:t>), Arthur Conan Doyle (</w:t>
      </w:r>
      <w:r w:rsidR="002F3585" w:rsidRPr="00D011BC">
        <w:rPr>
          <w:rFonts w:ascii="Times New Roman" w:hAnsi="Times New Roman" w:cs="Times New Roman"/>
          <w:i/>
          <w:iCs/>
        </w:rPr>
        <w:t>id.</w:t>
      </w:r>
      <w:r w:rsidR="002F3585" w:rsidRPr="00D011BC">
        <w:rPr>
          <w:rFonts w:ascii="Times New Roman" w:hAnsi="Times New Roman" w:cs="Times New Roman"/>
        </w:rPr>
        <w:t xml:space="preserve">, </w:t>
      </w:r>
      <w:r w:rsidR="00CE7C8D" w:rsidRPr="00D011BC">
        <w:rPr>
          <w:rFonts w:ascii="Times New Roman" w:hAnsi="Times New Roman" w:cs="Times New Roman"/>
          <w:i/>
          <w:iCs/>
        </w:rPr>
        <w:t>L'Affaire du chien des Baskerville</w:t>
      </w:r>
      <w:r w:rsidR="00CE7C8D" w:rsidRPr="00D011BC">
        <w:rPr>
          <w:rFonts w:ascii="Times New Roman" w:hAnsi="Times New Roman" w:cs="Times New Roman"/>
        </w:rPr>
        <w:t>,</w:t>
      </w:r>
      <w:r w:rsidR="002F3585" w:rsidRPr="00D011BC">
        <w:rPr>
          <w:rFonts w:ascii="Times New Roman" w:hAnsi="Times New Roman" w:cs="Times New Roman"/>
        </w:rPr>
        <w:t xml:space="preserve"> Paris, Éditions de</w:t>
      </w:r>
      <w:r w:rsidR="00CE7C8D" w:rsidRPr="00D011BC">
        <w:rPr>
          <w:rFonts w:ascii="Times New Roman" w:hAnsi="Times New Roman" w:cs="Times New Roman"/>
        </w:rPr>
        <w:t xml:space="preserve"> Minuit, </w:t>
      </w:r>
      <w:r w:rsidR="002F3585" w:rsidRPr="00D011BC">
        <w:rPr>
          <w:rFonts w:ascii="Times New Roman" w:hAnsi="Times New Roman" w:cs="Times New Roman"/>
        </w:rPr>
        <w:t xml:space="preserve">coll. « Double », </w:t>
      </w:r>
      <w:r w:rsidR="00CE7C8D" w:rsidRPr="00D011BC">
        <w:rPr>
          <w:rFonts w:ascii="Times New Roman" w:hAnsi="Times New Roman" w:cs="Times New Roman"/>
        </w:rPr>
        <w:t>2008</w:t>
      </w:r>
      <w:r w:rsidR="002F3585" w:rsidRPr="00D011BC">
        <w:rPr>
          <w:rFonts w:ascii="Times New Roman" w:hAnsi="Times New Roman" w:cs="Times New Roman"/>
        </w:rPr>
        <w:t>), Léon Tolstoï et Fiodor Dostoïevski (</w:t>
      </w:r>
      <w:r w:rsidR="002F3585" w:rsidRPr="00D011BC">
        <w:rPr>
          <w:rFonts w:ascii="Times New Roman" w:hAnsi="Times New Roman" w:cs="Times New Roman"/>
          <w:i/>
          <w:iCs/>
        </w:rPr>
        <w:t>id.</w:t>
      </w:r>
      <w:r w:rsidR="002F3585" w:rsidRPr="00D011BC">
        <w:rPr>
          <w:rFonts w:ascii="Times New Roman" w:hAnsi="Times New Roman" w:cs="Times New Roman"/>
        </w:rPr>
        <w:t xml:space="preserve">, </w:t>
      </w:r>
      <w:r w:rsidR="00CE7C8D" w:rsidRPr="00D011BC">
        <w:rPr>
          <w:rFonts w:ascii="Times New Roman" w:hAnsi="Times New Roman" w:cs="Times New Roman"/>
          <w:i/>
          <w:iCs/>
        </w:rPr>
        <w:t>L'Énigme Tolstoïevski</w:t>
      </w:r>
      <w:r w:rsidR="00CE7C8D" w:rsidRPr="00D011BC">
        <w:rPr>
          <w:rFonts w:ascii="Times New Roman" w:hAnsi="Times New Roman" w:cs="Times New Roman"/>
        </w:rPr>
        <w:t>,</w:t>
      </w:r>
      <w:r w:rsidR="002F3585" w:rsidRPr="00D011BC">
        <w:rPr>
          <w:rFonts w:ascii="Times New Roman" w:hAnsi="Times New Roman" w:cs="Times New Roman"/>
        </w:rPr>
        <w:t xml:space="preserve"> Paris, Éditions de</w:t>
      </w:r>
      <w:r w:rsidR="00CE7C8D" w:rsidRPr="00D011BC">
        <w:rPr>
          <w:rFonts w:ascii="Times New Roman" w:hAnsi="Times New Roman" w:cs="Times New Roman"/>
        </w:rPr>
        <w:t xml:space="preserve"> Minuit,</w:t>
      </w:r>
      <w:r w:rsidR="000B7294" w:rsidRPr="00D011BC">
        <w:rPr>
          <w:rFonts w:ascii="Times New Roman" w:hAnsi="Times New Roman" w:cs="Times New Roman"/>
        </w:rPr>
        <w:t xml:space="preserve"> coll. « Paradoxe »,</w:t>
      </w:r>
      <w:r w:rsidR="00CE7C8D" w:rsidRPr="00D011BC">
        <w:rPr>
          <w:rFonts w:ascii="Times New Roman" w:hAnsi="Times New Roman" w:cs="Times New Roman"/>
        </w:rPr>
        <w:t xml:space="preserve"> 2017</w:t>
      </w:r>
      <w:r w:rsidR="00D86F4C" w:rsidRPr="00D011BC">
        <w:rPr>
          <w:rFonts w:ascii="Times New Roman" w:hAnsi="Times New Roman" w:cs="Times New Roman"/>
        </w:rPr>
        <w:t>), les Beatles (</w:t>
      </w:r>
      <w:r w:rsidR="00D86F4C" w:rsidRPr="00D011BC">
        <w:rPr>
          <w:rFonts w:ascii="Times New Roman" w:hAnsi="Times New Roman" w:cs="Times New Roman"/>
          <w:i/>
          <w:iCs/>
        </w:rPr>
        <w:t>id.</w:t>
      </w:r>
      <w:r w:rsidR="00D86F4C" w:rsidRPr="00D011BC">
        <w:rPr>
          <w:rFonts w:ascii="Times New Roman" w:hAnsi="Times New Roman" w:cs="Times New Roman"/>
        </w:rPr>
        <w:t xml:space="preserve">, </w:t>
      </w:r>
      <w:r w:rsidR="00D86F4C" w:rsidRPr="00D011BC">
        <w:rPr>
          <w:rFonts w:ascii="Times New Roman" w:hAnsi="Times New Roman" w:cs="Times New Roman"/>
          <w:i/>
          <w:iCs/>
        </w:rPr>
        <w:t>Et si les Beatles n'étaient pas nés ?</w:t>
      </w:r>
      <w:r w:rsidR="00D86F4C" w:rsidRPr="00D011BC">
        <w:rPr>
          <w:rFonts w:ascii="Times New Roman" w:hAnsi="Times New Roman" w:cs="Times New Roman"/>
        </w:rPr>
        <w:t>, Paris, Éditions de Minuit, coll. « Paradoxe », 2022) et Alfred Hitchcock (</w:t>
      </w:r>
      <w:r w:rsidR="00D86F4C" w:rsidRPr="00D011BC">
        <w:rPr>
          <w:rFonts w:ascii="Times New Roman" w:hAnsi="Times New Roman" w:cs="Times New Roman"/>
          <w:i/>
          <w:iCs/>
        </w:rPr>
        <w:t>id.</w:t>
      </w:r>
      <w:r w:rsidR="00D86F4C" w:rsidRPr="00D011BC">
        <w:rPr>
          <w:rFonts w:ascii="Times New Roman" w:hAnsi="Times New Roman" w:cs="Times New Roman"/>
        </w:rPr>
        <w:t xml:space="preserve">, </w:t>
      </w:r>
      <w:r w:rsidR="00D86F4C" w:rsidRPr="00D011BC">
        <w:rPr>
          <w:rFonts w:ascii="Times New Roman" w:hAnsi="Times New Roman" w:cs="Times New Roman"/>
          <w:i/>
          <w:iCs/>
        </w:rPr>
        <w:t>Hitchcock s'est trompé.</w:t>
      </w:r>
      <w:r w:rsidR="00D86F4C" w:rsidRPr="00D011BC">
        <w:rPr>
          <w:rFonts w:ascii="Times New Roman" w:hAnsi="Times New Roman" w:cs="Times New Roman"/>
        </w:rPr>
        <w:t xml:space="preserve"> Fenêtre sur cour</w:t>
      </w:r>
      <w:r w:rsidR="00D86F4C" w:rsidRPr="00D011BC">
        <w:rPr>
          <w:rFonts w:ascii="Times New Roman" w:hAnsi="Times New Roman" w:cs="Times New Roman"/>
          <w:i/>
          <w:iCs/>
        </w:rPr>
        <w:t>, contre-enquête</w:t>
      </w:r>
      <w:r w:rsidR="00D86F4C" w:rsidRPr="00D011BC">
        <w:rPr>
          <w:rFonts w:ascii="Times New Roman" w:hAnsi="Times New Roman" w:cs="Times New Roman"/>
        </w:rPr>
        <w:t>, Paris, Éditions de Minuit, coll. « Paradoxe », 2023</w:t>
      </w:r>
      <w:r w:rsidR="003A2FA2" w:rsidRPr="00D011BC">
        <w:rPr>
          <w:rFonts w:ascii="Times New Roman" w:hAnsi="Times New Roman" w:cs="Times New Roman"/>
        </w:rPr>
        <w:t xml:space="preserve">), autrement dit à des auteurs et réalisateurs situés entre le </w:t>
      </w:r>
      <w:r w:rsidR="003A2FA2" w:rsidRPr="00D011BC">
        <w:rPr>
          <w:rFonts w:ascii="Times New Roman" w:hAnsi="Times New Roman" w:cs="Times New Roman"/>
          <w:smallCaps/>
        </w:rPr>
        <w:t>xviii</w:t>
      </w:r>
      <w:r w:rsidR="003A2FA2" w:rsidRPr="00D011BC">
        <w:rPr>
          <w:rFonts w:ascii="Times New Roman" w:hAnsi="Times New Roman" w:cs="Times New Roman"/>
          <w:vertAlign w:val="superscript"/>
        </w:rPr>
        <w:t>e</w:t>
      </w:r>
      <w:r w:rsidR="003A2FA2" w:rsidRPr="00D011BC">
        <w:rPr>
          <w:rFonts w:ascii="Times New Roman" w:hAnsi="Times New Roman" w:cs="Times New Roman"/>
        </w:rPr>
        <w:t xml:space="preserve"> et le </w:t>
      </w:r>
      <w:r w:rsidR="003A2FA2" w:rsidRPr="00D011BC">
        <w:rPr>
          <w:rFonts w:ascii="Times New Roman" w:hAnsi="Times New Roman" w:cs="Times New Roman"/>
          <w:smallCaps/>
        </w:rPr>
        <w:t>xx</w:t>
      </w:r>
      <w:r w:rsidR="003A2FA2" w:rsidRPr="00D011BC">
        <w:rPr>
          <w:rFonts w:ascii="Times New Roman" w:hAnsi="Times New Roman" w:cs="Times New Roman"/>
          <w:vertAlign w:val="superscript"/>
        </w:rPr>
        <w:t>e</w:t>
      </w:r>
      <w:r w:rsidR="003A2FA2" w:rsidRPr="00D011BC">
        <w:rPr>
          <w:rFonts w:ascii="Times New Roman" w:hAnsi="Times New Roman" w:cs="Times New Roman"/>
        </w:rPr>
        <w:t xml:space="preserve"> siècles. Seul </w:t>
      </w:r>
      <w:r w:rsidR="00CE7C8D" w:rsidRPr="00D011BC">
        <w:rPr>
          <w:rFonts w:ascii="Times New Roman" w:hAnsi="Times New Roman" w:cs="Times New Roman"/>
          <w:i/>
          <w:iCs/>
        </w:rPr>
        <w:t>Œdipe n'est pas coupable</w:t>
      </w:r>
      <w:r w:rsidR="003A2FA2" w:rsidRPr="00D011BC">
        <w:rPr>
          <w:rFonts w:ascii="Times New Roman" w:hAnsi="Times New Roman" w:cs="Times New Roman"/>
        </w:rPr>
        <w:t xml:space="preserve"> (Paris, Éditions de</w:t>
      </w:r>
      <w:r w:rsidR="00CE7C8D" w:rsidRPr="00D011BC">
        <w:rPr>
          <w:rFonts w:ascii="Times New Roman" w:hAnsi="Times New Roman" w:cs="Times New Roman"/>
        </w:rPr>
        <w:t xml:space="preserve"> Minuit, </w:t>
      </w:r>
      <w:r w:rsidR="003A2FA2" w:rsidRPr="00D011BC">
        <w:rPr>
          <w:rFonts w:ascii="Times New Roman" w:hAnsi="Times New Roman" w:cs="Times New Roman"/>
        </w:rPr>
        <w:t xml:space="preserve">coll. « Paradoxe », </w:t>
      </w:r>
      <w:r w:rsidR="00CE7C8D" w:rsidRPr="00D011BC">
        <w:rPr>
          <w:rFonts w:ascii="Times New Roman" w:hAnsi="Times New Roman" w:cs="Times New Roman"/>
        </w:rPr>
        <w:t>2021</w:t>
      </w:r>
      <w:r w:rsidR="003A2FA2" w:rsidRPr="00D011BC">
        <w:rPr>
          <w:rFonts w:ascii="Times New Roman" w:hAnsi="Times New Roman" w:cs="Times New Roman"/>
        </w:rPr>
        <w:t xml:space="preserve">) fait référence, entre autres, à </w:t>
      </w:r>
      <w:r w:rsidR="003A2FA2" w:rsidRPr="00D011BC">
        <w:rPr>
          <w:rFonts w:ascii="Times New Roman" w:hAnsi="Times New Roman" w:cs="Times New Roman"/>
          <w:i/>
          <w:iCs/>
        </w:rPr>
        <w:t xml:space="preserve">Œdipe-Roi </w:t>
      </w:r>
      <w:r w:rsidR="003A2FA2" w:rsidRPr="00D011BC">
        <w:rPr>
          <w:rFonts w:ascii="Times New Roman" w:hAnsi="Times New Roman" w:cs="Times New Roman"/>
        </w:rPr>
        <w:t xml:space="preserve">de Sophocle, donc à une œuvre antique. </w:t>
      </w:r>
    </w:p>
  </w:footnote>
  <w:footnote w:id="7">
    <w:p w14:paraId="48E0CDC8" w14:textId="77777777" w:rsidR="00FE25B4" w:rsidRPr="00D011BC" w:rsidRDefault="00FE25B4"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Pierre Bayard, </w:t>
      </w:r>
      <w:r w:rsidRPr="00D011BC">
        <w:rPr>
          <w:rFonts w:ascii="Times New Roman" w:hAnsi="Times New Roman" w:cs="Times New Roman"/>
          <w:i/>
          <w:iCs/>
        </w:rPr>
        <w:t>Le plagiat par anticipation</w:t>
      </w:r>
      <w:r w:rsidRPr="00D011BC">
        <w:rPr>
          <w:rFonts w:ascii="Times New Roman" w:hAnsi="Times New Roman" w:cs="Times New Roman"/>
        </w:rPr>
        <w:t>, Paris, Éditions de Minuit, coll. « Paradoxe », 2009.</w:t>
      </w:r>
    </w:p>
  </w:footnote>
  <w:footnote w:id="8">
    <w:p w14:paraId="73434CFE" w14:textId="77777777" w:rsidR="00A95153" w:rsidRPr="00D011BC" w:rsidRDefault="00A95153"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w:t>
      </w:r>
      <w:r w:rsidRPr="00D011BC">
        <w:rPr>
          <w:rFonts w:ascii="Times New Roman" w:eastAsia="Times New Roman" w:hAnsi="Times New Roman" w:cs="Times New Roman"/>
          <w:i/>
          <w:iCs/>
          <w:color w:val="222222"/>
          <w:kern w:val="0"/>
          <w:shd w:val="clear" w:color="auto" w:fill="FFFFFF"/>
          <w:lang w:eastAsia="fr-FR"/>
          <w14:ligatures w14:val="none"/>
        </w:rPr>
        <w:t>Cinquième lettre de Saint Paul apôtre aux Thessaloniciens</w:t>
      </w:r>
      <w:r w:rsidRPr="00D011BC">
        <w:rPr>
          <w:rFonts w:ascii="Times New Roman" w:eastAsia="Times New Roman" w:hAnsi="Times New Roman" w:cs="Times New Roman"/>
          <w:color w:val="222222"/>
          <w:kern w:val="0"/>
          <w:shd w:val="clear" w:color="auto" w:fill="FFFFFF"/>
          <w:lang w:eastAsia="fr-FR"/>
          <w14:ligatures w14:val="none"/>
        </w:rPr>
        <w:t xml:space="preserve"> 14, 5.</w:t>
      </w:r>
    </w:p>
  </w:footnote>
  <w:footnote w:id="9">
    <w:p w14:paraId="77ED9638" w14:textId="77777777" w:rsidR="00A95153" w:rsidRPr="00D011BC" w:rsidRDefault="00A95153" w:rsidP="00D011BC">
      <w:pPr>
        <w:jc w:val="both"/>
        <w:rPr>
          <w:rFonts w:ascii="Times New Roman" w:eastAsia="Times New Roman" w:hAnsi="Times New Roman" w:cs="Times New Roman"/>
          <w:color w:val="222222"/>
          <w:kern w:val="0"/>
          <w:sz w:val="20"/>
          <w:szCs w:val="20"/>
          <w:shd w:val="clear" w:color="auto" w:fill="FFFFFF"/>
          <w:lang w:eastAsia="fr-FR"/>
          <w14:ligatures w14:val="none"/>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w:t>
      </w:r>
      <w:r w:rsidRPr="00D011BC">
        <w:rPr>
          <w:rFonts w:ascii="Times New Roman" w:eastAsia="Times New Roman" w:hAnsi="Times New Roman" w:cs="Times New Roman"/>
          <w:color w:val="222222"/>
          <w:kern w:val="0"/>
          <w:sz w:val="20"/>
          <w:szCs w:val="20"/>
          <w:shd w:val="clear" w:color="auto" w:fill="FFFFFF"/>
          <w:lang w:eastAsia="fr-FR"/>
          <w14:ligatures w14:val="none"/>
        </w:rPr>
        <w:t>Le chercheur invite à « [r]econnaître que les livres ne sont pas des textes fixes, mais des objets mobiles »</w:t>
      </w:r>
      <w:r w:rsidR="00C06EC8" w:rsidRPr="00D011BC">
        <w:rPr>
          <w:rFonts w:ascii="Times New Roman" w:eastAsia="Times New Roman" w:hAnsi="Times New Roman" w:cs="Times New Roman"/>
          <w:color w:val="222222"/>
          <w:kern w:val="0"/>
          <w:sz w:val="20"/>
          <w:szCs w:val="20"/>
          <w:shd w:val="clear" w:color="auto" w:fill="FFFFFF"/>
          <w:lang w:eastAsia="fr-FR"/>
          <w14:ligatures w14:val="none"/>
        </w:rPr>
        <w:t xml:space="preserve"> (Pierre Bayard, </w:t>
      </w:r>
      <w:r w:rsidR="00C06EC8" w:rsidRPr="00D011BC">
        <w:rPr>
          <w:rFonts w:ascii="Times New Roman" w:eastAsia="Times New Roman" w:hAnsi="Times New Roman" w:cs="Times New Roman"/>
          <w:i/>
          <w:iCs/>
          <w:color w:val="222222"/>
          <w:kern w:val="0"/>
          <w:sz w:val="20"/>
          <w:szCs w:val="20"/>
          <w:shd w:val="clear" w:color="auto" w:fill="FFFFFF"/>
          <w:lang w:eastAsia="fr-FR"/>
          <w14:ligatures w14:val="none"/>
        </w:rPr>
        <w:t>Comment parler des livres que l’on n’a pas lus ?</w:t>
      </w:r>
      <w:r w:rsidR="00C06EC8" w:rsidRPr="00D011BC">
        <w:rPr>
          <w:rFonts w:ascii="Times New Roman" w:eastAsia="Times New Roman" w:hAnsi="Times New Roman" w:cs="Times New Roman"/>
          <w:color w:val="222222"/>
          <w:kern w:val="0"/>
          <w:sz w:val="20"/>
          <w:szCs w:val="20"/>
          <w:shd w:val="clear" w:color="auto" w:fill="FFFFFF"/>
          <w:lang w:eastAsia="fr-FR"/>
          <w14:ligatures w14:val="none"/>
        </w:rPr>
        <w:t xml:space="preserve">, </w:t>
      </w:r>
      <w:r w:rsidR="00C06EC8" w:rsidRPr="00D011BC">
        <w:rPr>
          <w:rFonts w:ascii="Times New Roman" w:eastAsia="Times New Roman" w:hAnsi="Times New Roman" w:cs="Times New Roman"/>
          <w:i/>
          <w:iCs/>
          <w:color w:val="222222"/>
          <w:kern w:val="0"/>
          <w:sz w:val="20"/>
          <w:szCs w:val="20"/>
          <w:shd w:val="clear" w:color="auto" w:fill="FFFFFF"/>
          <w:lang w:eastAsia="fr-FR"/>
          <w14:ligatures w14:val="none"/>
        </w:rPr>
        <w:t>op. cit.</w:t>
      </w:r>
      <w:r w:rsidR="00C06EC8" w:rsidRPr="00D011BC">
        <w:rPr>
          <w:rFonts w:ascii="Times New Roman" w:eastAsia="Times New Roman" w:hAnsi="Times New Roman" w:cs="Times New Roman"/>
          <w:color w:val="222222"/>
          <w:kern w:val="0"/>
          <w:sz w:val="20"/>
          <w:szCs w:val="20"/>
          <w:shd w:val="clear" w:color="auto" w:fill="FFFFFF"/>
          <w:lang w:eastAsia="fr-FR"/>
          <w14:ligatures w14:val="none"/>
        </w:rPr>
        <w:t>, p. 131)</w:t>
      </w:r>
      <w:r w:rsidRPr="00D011BC">
        <w:rPr>
          <w:rFonts w:ascii="Times New Roman" w:eastAsia="Times New Roman" w:hAnsi="Times New Roman" w:cs="Times New Roman"/>
          <w:color w:val="222222"/>
          <w:kern w:val="0"/>
          <w:sz w:val="20"/>
          <w:szCs w:val="20"/>
          <w:shd w:val="clear" w:color="auto" w:fill="FFFFFF"/>
          <w:lang w:eastAsia="fr-FR"/>
          <w14:ligatures w14:val="none"/>
        </w:rPr>
        <w:t xml:space="preserve">. Pierre Bayard, me semble-t-il, est ici proche de Stanley Fish lorsque ce dernier identifie le texte à l’expérience de lecture </w:t>
      </w:r>
      <w:r w:rsidR="005121FE" w:rsidRPr="00D011BC">
        <w:rPr>
          <w:rFonts w:ascii="Times New Roman" w:eastAsia="Times New Roman" w:hAnsi="Times New Roman" w:cs="Times New Roman"/>
          <w:color w:val="222222"/>
          <w:kern w:val="0"/>
          <w:sz w:val="20"/>
          <w:szCs w:val="20"/>
          <w:shd w:val="clear" w:color="auto" w:fill="FFFFFF"/>
          <w:lang w:eastAsia="fr-FR"/>
          <w14:ligatures w14:val="none"/>
        </w:rPr>
        <w:t xml:space="preserve">et en conclut que le texte doit être envisagé non comme la réalité spatiale d’un objet physique mais comme la réalité temporelle d’une expérience (Stanley Fish, « Literature in the reader: affective stylistics », </w:t>
      </w:r>
      <w:r w:rsidR="005121FE" w:rsidRPr="00D011BC">
        <w:rPr>
          <w:rFonts w:ascii="Times New Roman" w:eastAsia="Times New Roman" w:hAnsi="Times New Roman" w:cs="Times New Roman"/>
          <w:i/>
          <w:iCs/>
          <w:color w:val="222222"/>
          <w:kern w:val="0"/>
          <w:sz w:val="20"/>
          <w:szCs w:val="20"/>
          <w:shd w:val="clear" w:color="auto" w:fill="FFFFFF"/>
          <w:lang w:eastAsia="fr-FR"/>
          <w14:ligatures w14:val="none"/>
        </w:rPr>
        <w:t>New Literary History</w:t>
      </w:r>
      <w:r w:rsidR="005121FE" w:rsidRPr="00D011BC">
        <w:rPr>
          <w:rFonts w:ascii="Times New Roman" w:eastAsia="Times New Roman" w:hAnsi="Times New Roman" w:cs="Times New Roman"/>
          <w:color w:val="222222"/>
          <w:kern w:val="0"/>
          <w:sz w:val="20"/>
          <w:szCs w:val="20"/>
          <w:shd w:val="clear" w:color="auto" w:fill="FFFFFF"/>
          <w:lang w:eastAsia="fr-FR"/>
          <w14:ligatures w14:val="none"/>
        </w:rPr>
        <w:t>, 2, 1, 1970, p. 123-162, p. 126 et p. 140-141 notamment).</w:t>
      </w:r>
    </w:p>
  </w:footnote>
  <w:footnote w:id="10">
    <w:p w14:paraId="70A8DC66" w14:textId="77777777" w:rsidR="00AE67EF" w:rsidRPr="00D011BC" w:rsidRDefault="00AE67EF"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C’est le cas, par exemple, des </w:t>
      </w:r>
      <w:r w:rsidRPr="00D011BC">
        <w:rPr>
          <w:rFonts w:ascii="Times New Roman" w:hAnsi="Times New Roman" w:cs="Times New Roman"/>
          <w:i/>
          <w:iCs/>
        </w:rPr>
        <w:t>Stromates</w:t>
      </w:r>
      <w:r w:rsidRPr="00D011BC">
        <w:rPr>
          <w:rFonts w:ascii="Times New Roman" w:hAnsi="Times New Roman" w:cs="Times New Roman"/>
        </w:rPr>
        <w:t xml:space="preserve"> de Clément d’Alexandrie. Ceux-ci nous sont connus par deux manuscrits : le </w:t>
      </w:r>
      <w:r w:rsidRPr="00D011BC">
        <w:rPr>
          <w:rFonts w:ascii="Times New Roman" w:hAnsi="Times New Roman" w:cs="Times New Roman"/>
          <w:i/>
          <w:iCs/>
        </w:rPr>
        <w:t>Laurentianus</w:t>
      </w:r>
      <w:r w:rsidRPr="00D011BC">
        <w:rPr>
          <w:rFonts w:ascii="Times New Roman" w:hAnsi="Times New Roman" w:cs="Times New Roman"/>
        </w:rPr>
        <w:t xml:space="preserve"> </w:t>
      </w:r>
      <w:r w:rsidRPr="00D011BC">
        <w:rPr>
          <w:rFonts w:ascii="Times New Roman" w:hAnsi="Times New Roman" w:cs="Times New Roman"/>
          <w:smallCaps/>
        </w:rPr>
        <w:t>v</w:t>
      </w:r>
      <w:r w:rsidRPr="00D011BC">
        <w:rPr>
          <w:rFonts w:ascii="Times New Roman" w:hAnsi="Times New Roman" w:cs="Times New Roman"/>
        </w:rPr>
        <w:t xml:space="preserve">, 3, remontant au </w:t>
      </w:r>
      <w:r w:rsidRPr="00D011BC">
        <w:rPr>
          <w:rFonts w:ascii="Times New Roman" w:hAnsi="Times New Roman" w:cs="Times New Roman"/>
          <w:smallCaps/>
        </w:rPr>
        <w:t>xi</w:t>
      </w:r>
      <w:r w:rsidRPr="00D011BC">
        <w:rPr>
          <w:rFonts w:ascii="Times New Roman" w:hAnsi="Times New Roman" w:cs="Times New Roman"/>
          <w:vertAlign w:val="superscript"/>
        </w:rPr>
        <w:t>e</w:t>
      </w:r>
      <w:r w:rsidRPr="00D011BC">
        <w:rPr>
          <w:rFonts w:ascii="Times New Roman" w:hAnsi="Times New Roman" w:cs="Times New Roman"/>
        </w:rPr>
        <w:t xml:space="preserve"> siècle, et le</w:t>
      </w:r>
      <w:r w:rsidRPr="00D011BC">
        <w:rPr>
          <w:rFonts w:ascii="Times New Roman" w:hAnsi="Times New Roman" w:cs="Times New Roman"/>
          <w:i/>
          <w:iCs/>
        </w:rPr>
        <w:t xml:space="preserve"> Parisinus Suppl. Graec </w:t>
      </w:r>
      <w:r w:rsidRPr="00D011BC">
        <w:rPr>
          <w:rFonts w:ascii="Times New Roman" w:hAnsi="Times New Roman" w:cs="Times New Roman"/>
        </w:rPr>
        <w:t xml:space="preserve">250, copié </w:t>
      </w:r>
      <w:r w:rsidRPr="00D011BC">
        <w:rPr>
          <w:rFonts w:ascii="Times New Roman" w:hAnsi="Times New Roman" w:cs="Times New Roman"/>
          <w:smallCaps/>
        </w:rPr>
        <w:t>xvi</w:t>
      </w:r>
      <w:r w:rsidRPr="00D011BC">
        <w:rPr>
          <w:rFonts w:ascii="Times New Roman" w:hAnsi="Times New Roman" w:cs="Times New Roman"/>
          <w:vertAlign w:val="superscript"/>
        </w:rPr>
        <w:t>e</w:t>
      </w:r>
      <w:r w:rsidRPr="00D011BC">
        <w:rPr>
          <w:rFonts w:ascii="Times New Roman" w:hAnsi="Times New Roman" w:cs="Times New Roman"/>
        </w:rPr>
        <w:t xml:space="preserve"> siècle. Bien que le second soit une copie du premier, il existe des différences entre les deux témoins. </w:t>
      </w:r>
    </w:p>
  </w:footnote>
  <w:footnote w:id="11">
    <w:p w14:paraId="191C3137" w14:textId="77777777" w:rsidR="00CE3E51" w:rsidRPr="00D011BC" w:rsidRDefault="00CE3E51" w:rsidP="00D011BC">
      <w:pPr>
        <w:autoSpaceDE w:val="0"/>
        <w:autoSpaceDN w:val="0"/>
        <w:adjustRightInd w:val="0"/>
        <w:jc w:val="both"/>
        <w:rPr>
          <w:rFonts w:ascii="Times New Roman" w:hAnsi="Times New Roman" w:cs="Times New Roman"/>
          <w:kern w:val="0"/>
          <w:sz w:val="20"/>
          <w:szCs w:val="20"/>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w:t>
      </w:r>
      <w:r w:rsidRPr="00D011BC">
        <w:rPr>
          <w:rFonts w:ascii="Times New Roman" w:hAnsi="Times New Roman" w:cs="Times New Roman"/>
          <w:i/>
          <w:iCs/>
          <w:sz w:val="20"/>
          <w:szCs w:val="20"/>
        </w:rPr>
        <w:t xml:space="preserve">Cf. </w:t>
      </w:r>
      <w:r w:rsidRPr="00D011BC">
        <w:rPr>
          <w:rFonts w:ascii="Times New Roman" w:hAnsi="Times New Roman" w:cs="Times New Roman"/>
          <w:sz w:val="20"/>
          <w:szCs w:val="20"/>
        </w:rPr>
        <w:t xml:space="preserve">notamment </w:t>
      </w:r>
      <w:r w:rsidRPr="00D011BC">
        <w:rPr>
          <w:rFonts w:ascii="Times New Roman" w:hAnsi="Times New Roman" w:cs="Times New Roman"/>
          <w:kern w:val="0"/>
          <w:sz w:val="20"/>
          <w:szCs w:val="20"/>
        </w:rPr>
        <w:t>Kurt Aland, « Der Schluss des Markusevangeliums » dans Maurice Sabbe (dir.),</w:t>
      </w:r>
      <w:r w:rsidR="00672E09" w:rsidRPr="00D011BC">
        <w:rPr>
          <w:rFonts w:ascii="Times New Roman" w:hAnsi="Times New Roman" w:cs="Times New Roman"/>
          <w:kern w:val="0"/>
          <w:sz w:val="20"/>
          <w:szCs w:val="20"/>
        </w:rPr>
        <w:t xml:space="preserve"> </w:t>
      </w:r>
      <w:r w:rsidRPr="00D011BC">
        <w:rPr>
          <w:rFonts w:ascii="Times New Roman" w:hAnsi="Times New Roman" w:cs="Times New Roman"/>
          <w:i/>
          <w:iCs/>
          <w:kern w:val="0"/>
          <w:sz w:val="20"/>
          <w:szCs w:val="20"/>
        </w:rPr>
        <w:t>L’Évangile selon Marc. Tradition et rédaction</w:t>
      </w:r>
      <w:r w:rsidRPr="00D011BC">
        <w:rPr>
          <w:rFonts w:ascii="Times New Roman" w:hAnsi="Times New Roman" w:cs="Times New Roman"/>
          <w:kern w:val="0"/>
          <w:sz w:val="20"/>
          <w:szCs w:val="20"/>
        </w:rPr>
        <w:t>, Louvain, Leuven University Press, [1974] 1988, p. 435-470.</w:t>
      </w:r>
    </w:p>
  </w:footnote>
  <w:footnote w:id="12">
    <w:p w14:paraId="6998BDB4" w14:textId="77777777" w:rsidR="00672E09" w:rsidRPr="00D011BC" w:rsidRDefault="00672E09" w:rsidP="00D011BC">
      <w:pPr>
        <w:autoSpaceDE w:val="0"/>
        <w:autoSpaceDN w:val="0"/>
        <w:adjustRightInd w:val="0"/>
        <w:jc w:val="both"/>
        <w:rPr>
          <w:rFonts w:ascii="Times New Roman" w:hAnsi="Times New Roman" w:cs="Times New Roman"/>
          <w:kern w:val="0"/>
          <w:sz w:val="20"/>
          <w:szCs w:val="20"/>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Clément d’Alexandrie, </w:t>
      </w:r>
      <w:r w:rsidRPr="00D011BC">
        <w:rPr>
          <w:rFonts w:ascii="Times New Roman" w:hAnsi="Times New Roman" w:cs="Times New Roman"/>
          <w:i/>
          <w:iCs/>
          <w:sz w:val="20"/>
          <w:szCs w:val="20"/>
        </w:rPr>
        <w:t>Stromates</w:t>
      </w:r>
      <w:r w:rsidRPr="00D011BC">
        <w:rPr>
          <w:rFonts w:ascii="Times New Roman" w:hAnsi="Times New Roman" w:cs="Times New Roman"/>
          <w:sz w:val="20"/>
          <w:szCs w:val="20"/>
        </w:rPr>
        <w:t xml:space="preserve">, </w:t>
      </w:r>
      <w:r w:rsidRPr="00D011BC">
        <w:rPr>
          <w:rFonts w:ascii="Times New Roman" w:hAnsi="Times New Roman" w:cs="Times New Roman"/>
          <w:smallCaps/>
          <w:sz w:val="20"/>
          <w:szCs w:val="20"/>
        </w:rPr>
        <w:t>i</w:t>
      </w:r>
      <w:r w:rsidRPr="00D011BC">
        <w:rPr>
          <w:rFonts w:ascii="Times New Roman" w:hAnsi="Times New Roman" w:cs="Times New Roman"/>
          <w:sz w:val="20"/>
          <w:szCs w:val="20"/>
        </w:rPr>
        <w:t xml:space="preserve">, 13. Je suis le texte édité par Otto Stählin et repris dans Clément d’Alexandrie, </w:t>
      </w:r>
      <w:r w:rsidRPr="00D011BC">
        <w:rPr>
          <w:rFonts w:ascii="Times New Roman" w:hAnsi="Times New Roman" w:cs="Times New Roman"/>
          <w:i/>
          <w:iCs/>
          <w:kern w:val="0"/>
          <w:sz w:val="20"/>
          <w:szCs w:val="20"/>
        </w:rPr>
        <w:t>Stromate I</w:t>
      </w:r>
      <w:r w:rsidRPr="00D011BC">
        <w:rPr>
          <w:rFonts w:ascii="Times New Roman" w:hAnsi="Times New Roman" w:cs="Times New Roman"/>
          <w:kern w:val="0"/>
          <w:sz w:val="20"/>
          <w:szCs w:val="20"/>
        </w:rPr>
        <w:t>, Paris, Éditions du Cerf, coll. « Sources chrétiennes », 1951.</w:t>
      </w:r>
    </w:p>
  </w:footnote>
  <w:footnote w:id="13">
    <w:p w14:paraId="23B2A179" w14:textId="77777777" w:rsidR="00672E09" w:rsidRPr="00D011BC" w:rsidRDefault="00672E09" w:rsidP="00D011BC">
      <w:pPr>
        <w:jc w:val="both"/>
        <w:rPr>
          <w:rFonts w:ascii="Times New Roman" w:eastAsia="Tsukushi A Round Gothic" w:hAnsi="Times New Roman" w:cs="Times New Roman"/>
          <w:iCs/>
          <w:sz w:val="20"/>
          <w:szCs w:val="20"/>
          <w:lang w:val="en-US" w:eastAsia="fr-FR"/>
        </w:rPr>
      </w:pPr>
      <w:r w:rsidRPr="00D011BC">
        <w:rPr>
          <w:rStyle w:val="Appelnotedebasdep"/>
          <w:rFonts w:ascii="Times New Roman" w:hAnsi="Times New Roman" w:cs="Times New Roman"/>
          <w:sz w:val="20"/>
          <w:szCs w:val="20"/>
        </w:rPr>
        <w:footnoteRef/>
      </w:r>
      <w:r w:rsidRPr="00D011BC">
        <w:rPr>
          <w:rFonts w:ascii="Times New Roman" w:hAnsi="Times New Roman" w:cs="Times New Roman"/>
          <w:sz w:val="20"/>
          <w:szCs w:val="20"/>
        </w:rPr>
        <w:t xml:space="preserve"> Le mot « </w:t>
      </w:r>
      <w:r w:rsidRPr="00D011BC">
        <w:rPr>
          <w:rFonts w:ascii="Times New Roman" w:hAnsi="Times New Roman" w:cs="Times New Roman"/>
          <w:i/>
          <w:iCs/>
          <w:sz w:val="20"/>
          <w:szCs w:val="20"/>
        </w:rPr>
        <w:t>logos</w:t>
      </w:r>
      <w:r w:rsidRPr="00D011BC">
        <w:rPr>
          <w:rFonts w:ascii="Times New Roman" w:hAnsi="Times New Roman" w:cs="Times New Roman"/>
          <w:sz w:val="20"/>
          <w:szCs w:val="20"/>
        </w:rPr>
        <w:t> » (λόγος) est profondément polysémique et peut, dans ce contexte, désigner aussi bien la « raison » que Jésus en tant que « verbe » de Dieu ou encore le « discours » écrit composé par Clément.</w:t>
      </w:r>
      <w:r w:rsidR="00C17715" w:rsidRPr="00D011BC">
        <w:rPr>
          <w:rFonts w:ascii="Times New Roman" w:hAnsi="Times New Roman" w:cs="Times New Roman"/>
          <w:sz w:val="20"/>
          <w:szCs w:val="20"/>
        </w:rPr>
        <w:t xml:space="preserve"> J’ai proposé une telle analyse métalittéraire de ce passage dans Antoine Paris, </w:t>
      </w:r>
      <w:r w:rsidR="00C17715" w:rsidRPr="00D011BC">
        <w:rPr>
          <w:rFonts w:ascii="Times New Roman" w:eastAsia="Tsukushi A Round Gothic" w:hAnsi="Times New Roman" w:cs="Times New Roman"/>
          <w:sz w:val="20"/>
          <w:szCs w:val="20"/>
          <w:lang w:eastAsia="fr-FR"/>
        </w:rPr>
        <w:t xml:space="preserve">« The dismembered truth. </w:t>
      </w:r>
      <w:r w:rsidR="00C17715" w:rsidRPr="00D011BC">
        <w:rPr>
          <w:rFonts w:ascii="Times New Roman" w:eastAsia="Tsukushi A Round Gothic" w:hAnsi="Times New Roman" w:cs="Times New Roman"/>
          <w:sz w:val="20"/>
          <w:szCs w:val="20"/>
          <w:lang w:val="en-US" w:eastAsia="fr-FR"/>
        </w:rPr>
        <w:t xml:space="preserve">Pentheus dismembered as an image of the </w:t>
      </w:r>
      <w:r w:rsidR="00C17715" w:rsidRPr="00D011BC">
        <w:rPr>
          <w:rFonts w:ascii="Times New Roman" w:eastAsia="Tsukushi A Round Gothic" w:hAnsi="Times New Roman" w:cs="Times New Roman"/>
          <w:i/>
          <w:sz w:val="20"/>
          <w:szCs w:val="20"/>
          <w:lang w:val="en-US" w:eastAsia="fr-FR"/>
        </w:rPr>
        <w:t>Stromata</w:t>
      </w:r>
      <w:r w:rsidR="00C17715" w:rsidRPr="00D011BC">
        <w:rPr>
          <w:rFonts w:ascii="Times New Roman" w:eastAsia="Tsukushi A Round Gothic" w:hAnsi="Times New Roman" w:cs="Times New Roman"/>
          <w:sz w:val="20"/>
          <w:szCs w:val="20"/>
          <w:lang w:val="en-US" w:eastAsia="fr-FR"/>
        </w:rPr>
        <w:t xml:space="preserve"> by Clement of Alexandria », dans Marco Formisano et Paolo Felice Sacchi (dir.), </w:t>
      </w:r>
      <w:r w:rsidR="00C17715" w:rsidRPr="00D011BC">
        <w:rPr>
          <w:rFonts w:ascii="Times New Roman" w:eastAsia="Tsukushi A Round Gothic" w:hAnsi="Times New Roman" w:cs="Times New Roman"/>
          <w:i/>
          <w:sz w:val="20"/>
          <w:szCs w:val="20"/>
          <w:lang w:val="en-US" w:eastAsia="fr-FR"/>
        </w:rPr>
        <w:t>Epitomic Writing in Late Antiquity and Beyond: Forms of Unabridged Writing [Conference, Academia Belgica, 2018]</w:t>
      </w:r>
      <w:r w:rsidR="00C17715" w:rsidRPr="00D011BC">
        <w:rPr>
          <w:rFonts w:ascii="Times New Roman" w:eastAsia="Tsukushi A Round Gothic" w:hAnsi="Times New Roman" w:cs="Times New Roman"/>
          <w:iCs/>
          <w:sz w:val="20"/>
          <w:szCs w:val="20"/>
          <w:lang w:val="en-US" w:eastAsia="fr-FR"/>
        </w:rPr>
        <w:t>, Londres, Bloomsbury Academic, coll. « Sera Tela: studies in late antique literature and its reception », 2023, p. 122-140.</w:t>
      </w:r>
    </w:p>
  </w:footnote>
  <w:footnote w:id="14">
    <w:p w14:paraId="16E954D5" w14:textId="77777777" w:rsidR="00672E09" w:rsidRPr="00D011BC" w:rsidRDefault="00672E09"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lang w:val="en-US"/>
        </w:rPr>
        <w:t xml:space="preserve"> </w:t>
      </w:r>
      <w:r w:rsidRPr="00D011BC">
        <w:rPr>
          <w:rFonts w:ascii="Times New Roman" w:hAnsi="Times New Roman" w:cs="Times New Roman"/>
          <w:lang w:val="el-GR"/>
        </w:rPr>
        <w:t xml:space="preserve">Ὁ δὲ τὰ διῃρημένα συνθεὶς αὖθις καὶ ἑνοποιήσας τέλειον τὸν λόγον ἀκινδύνως εὖ ἴσθ’ ὅτι κατόψεται, τὴν ἀλήθειαν. </w:t>
      </w:r>
      <w:r w:rsidRPr="00D011BC">
        <w:rPr>
          <w:rFonts w:ascii="Times New Roman" w:hAnsi="Times New Roman" w:cs="Times New Roman"/>
        </w:rPr>
        <w:t xml:space="preserve">(Clément d’Alexandrie, </w:t>
      </w:r>
      <w:r w:rsidRPr="00D011BC">
        <w:rPr>
          <w:rFonts w:ascii="Times New Roman" w:hAnsi="Times New Roman" w:cs="Times New Roman"/>
          <w:i/>
          <w:iCs/>
        </w:rPr>
        <w:t>Stromates</w:t>
      </w:r>
      <w:r w:rsidRPr="00D011BC">
        <w:rPr>
          <w:rFonts w:ascii="Times New Roman" w:hAnsi="Times New Roman" w:cs="Times New Roman"/>
        </w:rPr>
        <w:t xml:space="preserve">, </w:t>
      </w:r>
      <w:r w:rsidRPr="00D011BC">
        <w:rPr>
          <w:rFonts w:ascii="Times New Roman" w:hAnsi="Times New Roman" w:cs="Times New Roman"/>
          <w:smallCaps/>
        </w:rPr>
        <w:t>i</w:t>
      </w:r>
      <w:r w:rsidRPr="00D011BC">
        <w:rPr>
          <w:rFonts w:ascii="Times New Roman" w:hAnsi="Times New Roman" w:cs="Times New Roman"/>
        </w:rPr>
        <w:t>, 13, 57, 6)</w:t>
      </w:r>
    </w:p>
  </w:footnote>
  <w:footnote w:id="15">
    <w:p w14:paraId="106839DC" w14:textId="77777777" w:rsidR="00064E3D" w:rsidRPr="00D011BC" w:rsidRDefault="00064E3D" w:rsidP="00D011BC">
      <w:pPr>
        <w:pStyle w:val="NormalWeb"/>
        <w:spacing w:before="0" w:beforeAutospacing="0" w:after="0" w:afterAutospacing="0"/>
        <w:jc w:val="both"/>
        <w:rPr>
          <w:sz w:val="20"/>
          <w:szCs w:val="20"/>
        </w:rPr>
      </w:pPr>
      <w:r w:rsidRPr="00D011BC">
        <w:rPr>
          <w:rStyle w:val="Appelnotedebasdep"/>
          <w:sz w:val="20"/>
          <w:szCs w:val="20"/>
        </w:rPr>
        <w:footnoteRef/>
      </w:r>
      <w:r w:rsidRPr="00D011BC">
        <w:rPr>
          <w:sz w:val="20"/>
          <w:szCs w:val="20"/>
        </w:rPr>
        <w:t xml:space="preserve"> Victor Rosenthal, « La voix de l’intérieur », </w:t>
      </w:r>
      <w:r w:rsidRPr="00D011BC">
        <w:rPr>
          <w:i/>
          <w:iCs/>
          <w:sz w:val="20"/>
          <w:szCs w:val="20"/>
        </w:rPr>
        <w:t>Intellectica. Revue de l’Association pour la Recherche Cognitive</w:t>
      </w:r>
      <w:r w:rsidRPr="00D011BC">
        <w:rPr>
          <w:sz w:val="20"/>
          <w:szCs w:val="20"/>
        </w:rPr>
        <w:t>, 58, 2, 2012, p. 53-89.</w:t>
      </w:r>
    </w:p>
  </w:footnote>
  <w:footnote w:id="16">
    <w:p w14:paraId="09807588" w14:textId="77777777" w:rsidR="00064E3D" w:rsidRPr="00D011BC" w:rsidRDefault="00064E3D"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Ces images, qui n’appartiennent ni aux images concrètes ni à l’imaginaire pur – puisqu’elles ont une origine dans le texte – peuvent être situées dans un domaine intermédiaire entre réalité et imagination, celui qu’Henry Corbin nomme l’ « imaginal » (Henri Corbin, </w:t>
      </w:r>
      <w:r w:rsidRPr="00D011BC">
        <w:rPr>
          <w:rFonts w:ascii="Times New Roman" w:eastAsia="Times New Roman" w:hAnsi="Times New Roman" w:cs="Times New Roman"/>
          <w:i/>
          <w:iCs/>
          <w:lang w:eastAsia="fr-FR"/>
        </w:rPr>
        <w:t>L’imagination créatrice dans le soufisme d’Ibn ‘Arabî</w:t>
      </w:r>
      <w:r w:rsidRPr="00D011BC">
        <w:rPr>
          <w:rFonts w:ascii="Times New Roman" w:eastAsia="Times New Roman" w:hAnsi="Times New Roman" w:cs="Times New Roman"/>
          <w:lang w:eastAsia="fr-FR"/>
        </w:rPr>
        <w:t xml:space="preserve">, Zurich, Rhein-Verlag, 1957 et </w:t>
      </w:r>
      <w:r w:rsidRPr="00D011BC">
        <w:rPr>
          <w:rFonts w:ascii="Times New Roman" w:eastAsia="Times New Roman" w:hAnsi="Times New Roman" w:cs="Times New Roman"/>
          <w:i/>
          <w:iCs/>
          <w:lang w:eastAsia="fr-FR"/>
        </w:rPr>
        <w:t>id.</w:t>
      </w:r>
      <w:r w:rsidRPr="00D011BC">
        <w:rPr>
          <w:rFonts w:ascii="Times New Roman" w:eastAsia="Times New Roman" w:hAnsi="Times New Roman" w:cs="Times New Roman"/>
          <w:lang w:eastAsia="fr-FR"/>
        </w:rPr>
        <w:t xml:space="preserve">, </w:t>
      </w:r>
      <w:r w:rsidRPr="00D011BC">
        <w:rPr>
          <w:rFonts w:ascii="Times New Roman" w:eastAsia="Times New Roman" w:hAnsi="Times New Roman" w:cs="Times New Roman"/>
          <w:i/>
          <w:iCs/>
          <w:lang w:eastAsia="fr-FR"/>
        </w:rPr>
        <w:t>Corps spirituel et Terre céleste : de l’Iran mazdéen à l’Iran shî’ite</w:t>
      </w:r>
      <w:r w:rsidRPr="00D011BC">
        <w:rPr>
          <w:rFonts w:ascii="Times New Roman" w:eastAsia="Times New Roman" w:hAnsi="Times New Roman" w:cs="Times New Roman"/>
          <w:lang w:eastAsia="fr-FR"/>
        </w:rPr>
        <w:t>, Paris, Buchet-Chastel, 2005</w:t>
      </w:r>
      <w:r w:rsidRPr="00D011BC">
        <w:rPr>
          <w:rFonts w:ascii="Times New Roman" w:eastAsia="Times New Roman" w:hAnsi="Times New Roman" w:cs="Times New Roman"/>
          <w:vertAlign w:val="superscript"/>
          <w:lang w:eastAsia="fr-FR"/>
        </w:rPr>
        <w:t>3</w:t>
      </w:r>
      <w:r w:rsidRPr="00D011BC">
        <w:rPr>
          <w:rFonts w:ascii="Times New Roman" w:eastAsia="Times New Roman" w:hAnsi="Times New Roman" w:cs="Times New Roman"/>
          <w:lang w:eastAsia="fr-FR"/>
        </w:rPr>
        <w:t xml:space="preserve"> [1960</w:t>
      </w:r>
      <w:r w:rsidR="000A1043" w:rsidRPr="00D011BC">
        <w:rPr>
          <w:rFonts w:ascii="Times New Roman" w:eastAsia="Times New Roman" w:hAnsi="Times New Roman" w:cs="Times New Roman"/>
          <w:lang w:eastAsia="fr-FR"/>
        </w:rPr>
        <w:t> ; 1975</w:t>
      </w:r>
      <w:r w:rsidRPr="00D011BC">
        <w:rPr>
          <w:rFonts w:ascii="Times New Roman" w:eastAsia="Times New Roman" w:hAnsi="Times New Roman" w:cs="Times New Roman"/>
          <w:lang w:eastAsia="fr-FR"/>
        </w:rPr>
        <w:t>].</w:t>
      </w:r>
    </w:p>
  </w:footnote>
  <w:footnote w:id="17">
    <w:p w14:paraId="20299642" w14:textId="77777777" w:rsidR="000A1043" w:rsidRPr="00D011BC" w:rsidRDefault="000A1043" w:rsidP="00D011BC">
      <w:pPr>
        <w:pStyle w:val="Notedebasdepage"/>
        <w:jc w:val="both"/>
        <w:rPr>
          <w:rFonts w:ascii="Times New Roman" w:hAnsi="Times New Roman" w:cs="Times New Roman"/>
          <w:lang w:val="en-US"/>
        </w:rPr>
      </w:pPr>
      <w:r w:rsidRPr="00D011BC">
        <w:rPr>
          <w:rStyle w:val="Appelnotedebasdep"/>
          <w:rFonts w:ascii="Times New Roman" w:hAnsi="Times New Roman" w:cs="Times New Roman"/>
        </w:rPr>
        <w:footnoteRef/>
      </w:r>
      <w:r w:rsidRPr="00D011BC">
        <w:rPr>
          <w:rFonts w:ascii="Times New Roman" w:hAnsi="Times New Roman" w:cs="Times New Roman"/>
          <w:lang w:val="en-US"/>
        </w:rPr>
        <w:t xml:space="preserve"> Georges Poulet, « Criticism and the experience of interiority », dans Jane P. Tompkins (dir.), </w:t>
      </w:r>
      <w:r w:rsidRPr="00D011BC">
        <w:rPr>
          <w:rFonts w:ascii="Times New Roman" w:hAnsi="Times New Roman" w:cs="Times New Roman"/>
          <w:i/>
          <w:iCs/>
          <w:lang w:val="en-US"/>
        </w:rPr>
        <w:t>Reader-Response Criticism. From Formalism to Post-Structuralism</w:t>
      </w:r>
      <w:r w:rsidRPr="00D011BC">
        <w:rPr>
          <w:rFonts w:ascii="Times New Roman" w:hAnsi="Times New Roman" w:cs="Times New Roman"/>
          <w:lang w:val="en-US"/>
        </w:rPr>
        <w:t>, Baltimore, The John Hopkins University Press, 1980, p. 41-19, p. 47.</w:t>
      </w:r>
    </w:p>
  </w:footnote>
  <w:footnote w:id="18">
    <w:p w14:paraId="76763020" w14:textId="77777777" w:rsidR="000A1043" w:rsidRPr="00D011BC" w:rsidRDefault="000A1043"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C’est ainsi que Michel Tremblay écrit par exemple qu’après avoir lu </w:t>
      </w:r>
      <w:r w:rsidRPr="00D011BC">
        <w:rPr>
          <w:rFonts w:ascii="Times New Roman" w:hAnsi="Times New Roman" w:cs="Times New Roman"/>
          <w:i/>
          <w:iCs/>
        </w:rPr>
        <w:t>Agamemnon</w:t>
      </w:r>
      <w:r w:rsidRPr="00D011BC">
        <w:rPr>
          <w:rFonts w:ascii="Times New Roman" w:hAnsi="Times New Roman" w:cs="Times New Roman"/>
        </w:rPr>
        <w:t xml:space="preserve"> d’Eschyle, il « eu[t] l’impression d’être devenu quelqu’un d’autre, d’avoir grandi, évolué en quelques heures, d’avoir entrevu des possibilités qui me concernaient personnellement et qui transformaient ma vie d’une façon définitive. » (Michel Tremblay, </w:t>
      </w:r>
      <w:r w:rsidRPr="00D011BC">
        <w:rPr>
          <w:rFonts w:ascii="Times New Roman" w:hAnsi="Times New Roman" w:cs="Times New Roman"/>
          <w:i/>
          <w:iCs/>
        </w:rPr>
        <w:t>Un ange cornu avec des ailes en tôle</w:t>
      </w:r>
      <w:r w:rsidRPr="00D011BC">
        <w:rPr>
          <w:rFonts w:ascii="Times New Roman" w:hAnsi="Times New Roman" w:cs="Times New Roman"/>
        </w:rPr>
        <w:t>, Montréal-Arles, Leméac-Actes Sud, 1994, p. 211)</w:t>
      </w:r>
    </w:p>
  </w:footnote>
  <w:footnote w:id="19">
    <w:p w14:paraId="2F2126C6" w14:textId="77777777" w:rsidR="004667EE" w:rsidRPr="00D011BC" w:rsidRDefault="004667EE"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Pour reprendre une expression du psychanalyste Michel de M’Uzan, qui envisage ce « vacillement » dans le processus de construction identitaire de l’enfant, notamment face au miroir, mais aussi lors d’un « saisissement artistique » (Michel de M’Uzan, « Le jumeau paraphrénique ou aux confins de l’identité », conférence prononcée devant la Société psychanalytique de Paris le 17 novembre 1998, disponible en ligne ; URL : </w:t>
      </w:r>
      <w:hyperlink r:id="rId1" w:history="1">
        <w:r w:rsidRPr="00D011BC">
          <w:rPr>
            <w:rStyle w:val="Lienhypertexte"/>
            <w:rFonts w:ascii="Times New Roman" w:hAnsi="Times New Roman" w:cs="Times New Roman"/>
          </w:rPr>
          <w:t>https://www.rfpsy.fr/le-jumeau-paraphrenique-ou-aux-confins-de-lidentite/</w:t>
        </w:r>
      </w:hyperlink>
      <w:r w:rsidRPr="00D011BC">
        <w:rPr>
          <w:rFonts w:ascii="Times New Roman" w:hAnsi="Times New Roman" w:cs="Times New Roman"/>
        </w:rPr>
        <w:t> ; page consultée le 22 décembre 2024).</w:t>
      </w:r>
    </w:p>
  </w:footnote>
  <w:footnote w:id="20">
    <w:p w14:paraId="25D94A08" w14:textId="77777777" w:rsidR="00FD75E4" w:rsidRPr="00D011BC" w:rsidRDefault="00FD75E4"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Anne Pasquier </w:t>
      </w:r>
      <w:r w:rsidR="00190141" w:rsidRPr="00D011BC">
        <w:rPr>
          <w:rFonts w:ascii="Times New Roman" w:hAnsi="Times New Roman" w:cs="Times New Roman"/>
        </w:rPr>
        <w:t xml:space="preserve">envisage ainsi </w:t>
      </w:r>
      <w:r w:rsidR="00E23165" w:rsidRPr="00D011BC">
        <w:rPr>
          <w:rFonts w:ascii="Times New Roman" w:hAnsi="Times New Roman" w:cs="Times New Roman"/>
        </w:rPr>
        <w:t>la littérature des</w:t>
      </w:r>
      <w:r w:rsidR="00190141" w:rsidRPr="00D011BC">
        <w:rPr>
          <w:rFonts w:ascii="Times New Roman" w:hAnsi="Times New Roman" w:cs="Times New Roman"/>
        </w:rPr>
        <w:t xml:space="preserve"> </w:t>
      </w:r>
      <w:r w:rsidR="00190141" w:rsidRPr="00D011BC">
        <w:rPr>
          <w:rFonts w:ascii="Times New Roman" w:hAnsi="Times New Roman" w:cs="Times New Roman"/>
          <w:i/>
          <w:iCs/>
        </w:rPr>
        <w:t>Actes</w:t>
      </w:r>
      <w:r w:rsidR="00E23165" w:rsidRPr="00D011BC">
        <w:rPr>
          <w:rFonts w:ascii="Times New Roman" w:hAnsi="Times New Roman" w:cs="Times New Roman"/>
        </w:rPr>
        <w:t xml:space="preserve"> – notamment les </w:t>
      </w:r>
      <w:r w:rsidR="00E23165" w:rsidRPr="00D011BC">
        <w:rPr>
          <w:rFonts w:ascii="Times New Roman" w:hAnsi="Times New Roman" w:cs="Times New Roman"/>
          <w:i/>
          <w:iCs/>
        </w:rPr>
        <w:t xml:space="preserve">Actes d’André </w:t>
      </w:r>
      <w:r w:rsidR="00E23165" w:rsidRPr="00D011BC">
        <w:rPr>
          <w:rFonts w:ascii="Times New Roman" w:hAnsi="Times New Roman" w:cs="Times New Roman"/>
        </w:rPr>
        <w:t xml:space="preserve">– </w:t>
      </w:r>
      <w:r w:rsidR="00190141" w:rsidRPr="00D011BC">
        <w:rPr>
          <w:rFonts w:ascii="Times New Roman" w:hAnsi="Times New Roman" w:cs="Times New Roman"/>
        </w:rPr>
        <w:t>en considérant que leurs auteurs organisent ces textes pour « convertir leurs lecteurs »</w:t>
      </w:r>
      <w:r w:rsidR="00E23165" w:rsidRPr="00D011BC">
        <w:rPr>
          <w:rFonts w:ascii="Times New Roman" w:hAnsi="Times New Roman" w:cs="Times New Roman"/>
        </w:rPr>
        <w:t xml:space="preserve"> (Anne Pasquier, « Itinéraires de conversion dans le christianisme ancien », 9, 2011, </w:t>
      </w:r>
      <w:r w:rsidR="00E23165" w:rsidRPr="00D011BC">
        <w:rPr>
          <w:rFonts w:ascii="Times New Roman" w:hAnsi="Times New Roman" w:cs="Times New Roman"/>
          <w:i/>
          <w:iCs/>
        </w:rPr>
        <w:t>Cahiers d’études du religieux. Recherches interdisciplinaires</w:t>
      </w:r>
      <w:r w:rsidR="00E23165" w:rsidRPr="00D011BC">
        <w:rPr>
          <w:rFonts w:ascii="Times New Roman" w:hAnsi="Times New Roman" w:cs="Times New Roman"/>
        </w:rPr>
        <w:t xml:space="preserve"> ; URL : </w:t>
      </w:r>
      <w:hyperlink r:id="rId2" w:history="1">
        <w:r w:rsidR="00E23165" w:rsidRPr="00D011BC">
          <w:rPr>
            <w:rStyle w:val="Lienhypertexte"/>
            <w:rFonts w:ascii="Times New Roman" w:hAnsi="Times New Roman" w:cs="Times New Roman"/>
          </w:rPr>
          <w:t>https://journals.openedition.org/cerri/869</w:t>
        </w:r>
      </w:hyperlink>
      <w:r w:rsidR="00E23165" w:rsidRPr="00D011BC">
        <w:rPr>
          <w:rFonts w:ascii="Times New Roman" w:hAnsi="Times New Roman" w:cs="Times New Roman"/>
        </w:rPr>
        <w:t xml:space="preserve"> ; page consultée le 22 décembre 2024).</w:t>
      </w:r>
    </w:p>
  </w:footnote>
  <w:footnote w:id="21">
    <w:p w14:paraId="1BF9CF0E" w14:textId="77777777" w:rsidR="00D011BC" w:rsidRPr="00D011BC" w:rsidRDefault="00D011BC" w:rsidP="00D011BC">
      <w:pPr>
        <w:pStyle w:val="Notedebasdepage"/>
        <w:jc w:val="both"/>
        <w:rPr>
          <w:rFonts w:ascii="Times New Roman" w:hAnsi="Times New Roman" w:cs="Times New Roman"/>
        </w:rPr>
      </w:pPr>
      <w:r w:rsidRPr="00D011BC">
        <w:rPr>
          <w:rStyle w:val="Appelnotedebasdep"/>
          <w:rFonts w:ascii="Times New Roman" w:hAnsi="Times New Roman" w:cs="Times New Roman"/>
        </w:rPr>
        <w:footnoteRef/>
      </w:r>
      <w:r w:rsidRPr="00D011BC">
        <w:rPr>
          <w:rFonts w:ascii="Times New Roman" w:hAnsi="Times New Roman" w:cs="Times New Roman"/>
        </w:rPr>
        <w:t xml:space="preserve"> Je reprends le texte édité par Bernard Barc dan Bernard Barc, « </w:t>
      </w:r>
      <w:r w:rsidRPr="00D011BC">
        <w:rPr>
          <w:rFonts w:ascii="Times New Roman" w:hAnsi="Times New Roman" w:cs="Times New Roman"/>
          <w:i/>
          <w:iCs/>
        </w:rPr>
        <w:t>L’Hypostase des archontes.</w:t>
      </w:r>
      <w:r w:rsidRPr="00D011BC">
        <w:rPr>
          <w:rFonts w:ascii="Times New Roman" w:hAnsi="Times New Roman" w:cs="Times New Roman"/>
        </w:rPr>
        <w:t xml:space="preserve"> Traité gnostique sur l’origine de l’Homme, du monde et des archontes (NH </w:t>
      </w:r>
      <w:r w:rsidRPr="00D011BC">
        <w:rPr>
          <w:rFonts w:ascii="Times New Roman" w:hAnsi="Times New Roman" w:cs="Times New Roman"/>
          <w:smallCaps/>
        </w:rPr>
        <w:t>ii</w:t>
      </w:r>
      <w:r w:rsidRPr="00D011BC">
        <w:rPr>
          <w:rFonts w:ascii="Times New Roman" w:hAnsi="Times New Roman" w:cs="Times New Roman"/>
        </w:rPr>
        <w:t xml:space="preserve">, 4) » dans Bernard Barc et Michel Roberge, </w:t>
      </w:r>
      <w:r w:rsidRPr="00D011BC">
        <w:rPr>
          <w:rFonts w:ascii="Times New Roman" w:hAnsi="Times New Roman" w:cs="Times New Roman"/>
          <w:i/>
          <w:iCs/>
        </w:rPr>
        <w:t>L’Hypostase des archontes.</w:t>
      </w:r>
      <w:r w:rsidRPr="00D011BC">
        <w:rPr>
          <w:rFonts w:ascii="Times New Roman" w:hAnsi="Times New Roman" w:cs="Times New Roman"/>
        </w:rPr>
        <w:t xml:space="preserve"> </w:t>
      </w:r>
      <w:r w:rsidRPr="00D011BC">
        <w:rPr>
          <w:rFonts w:ascii="Times New Roman" w:hAnsi="Times New Roman" w:cs="Times New Roman"/>
          <w:i/>
          <w:iCs/>
        </w:rPr>
        <w:t xml:space="preserve">Traité gnostique sur l’origine de l’Homme, du monde et des archontes (NH </w:t>
      </w:r>
      <w:r w:rsidRPr="00D011BC">
        <w:rPr>
          <w:rFonts w:ascii="Times New Roman" w:hAnsi="Times New Roman" w:cs="Times New Roman"/>
          <w:i/>
          <w:iCs/>
          <w:smallCaps/>
        </w:rPr>
        <w:t>ii</w:t>
      </w:r>
      <w:r w:rsidRPr="00D011BC">
        <w:rPr>
          <w:rFonts w:ascii="Times New Roman" w:hAnsi="Times New Roman" w:cs="Times New Roman"/>
          <w:i/>
          <w:iCs/>
        </w:rPr>
        <w:t xml:space="preserve">, 4) suivi de Noréa (NH </w:t>
      </w:r>
      <w:r w:rsidRPr="00D011BC">
        <w:rPr>
          <w:rFonts w:ascii="Times New Roman" w:hAnsi="Times New Roman" w:cs="Times New Roman"/>
          <w:i/>
          <w:iCs/>
          <w:smallCaps/>
        </w:rPr>
        <w:t>ix</w:t>
      </w:r>
      <w:r w:rsidRPr="00D011BC">
        <w:rPr>
          <w:rFonts w:ascii="Times New Roman" w:hAnsi="Times New Roman" w:cs="Times New Roman"/>
          <w:i/>
          <w:iCs/>
        </w:rPr>
        <w:t>, 2)</w:t>
      </w:r>
      <w:r w:rsidRPr="00D011BC">
        <w:rPr>
          <w:rFonts w:ascii="Times New Roman" w:hAnsi="Times New Roman" w:cs="Times New Roman"/>
        </w:rPr>
        <w:t>, Québec-Louvain, Presses de l’Université Laval-Peeters, coll. « Bilbiothèque copte de Nag Hammadi. Section textes », 1980, p. 1-147, p. 50-72.</w:t>
      </w:r>
    </w:p>
  </w:footnote>
  <w:footnote w:id="22">
    <w:p w14:paraId="5988FDC3" w14:textId="77777777" w:rsidR="00D011BC" w:rsidRPr="00E442F7" w:rsidRDefault="00D011BC">
      <w:pPr>
        <w:pStyle w:val="Notedebasdepage"/>
      </w:pPr>
      <w:r w:rsidRPr="000B17FC">
        <w:rPr>
          <w:rStyle w:val="Appelnotedebasdep"/>
          <w:rFonts w:ascii="Times New Roman" w:hAnsi="Times New Roman" w:cs="Times New Roman"/>
        </w:rPr>
        <w:footnoteRef/>
      </w:r>
      <w:r>
        <w:t xml:space="preserve"> </w:t>
      </w:r>
      <w:r>
        <w:rPr>
          <w:rFonts w:cs="Times New Roman"/>
          <w:iCs/>
        </w:rPr>
        <w:t>[</w:t>
      </w:r>
      <w:r w:rsidRPr="00B56196">
        <w:rPr>
          <w:rFonts w:ascii="SPAchmim" w:hAnsi="SPAchmim" w:cs="Times New Roman"/>
          <w:iCs/>
        </w:rPr>
        <w:t>aei</w:t>
      </w:r>
      <w:r>
        <w:rPr>
          <w:rFonts w:ascii="Cambria" w:hAnsi="Cambria" w:cs="Times New Roman"/>
          <w:iCs/>
        </w:rPr>
        <w:t>]</w:t>
      </w:r>
      <w:r w:rsidRPr="00B56196">
        <w:rPr>
          <w:rFonts w:ascii="SPAchmim" w:hAnsi="SPAchmim" w:cs="Times New Roman"/>
          <w:iCs/>
        </w:rPr>
        <w:t xml:space="preserve">`ene </w:t>
      </w:r>
      <w:r w:rsidRPr="00DB2F44">
        <w:rPr>
          <w:rFonts w:ascii="SPAchmim" w:hAnsi="SPAchmim" w:cs="Times New Roman"/>
          <w:iCs/>
        </w:rPr>
        <w:t>naei ek4ine etbe quposta</w:t>
      </w:r>
      <w:r w:rsidRPr="00DB2F44">
        <w:rPr>
          <w:rFonts w:ascii="Cambria" w:hAnsi="Cambria" w:cs="Times New Roman"/>
          <w:iCs/>
        </w:rPr>
        <w:t>[</w:t>
      </w:r>
      <w:r w:rsidRPr="00DB2F44">
        <w:rPr>
          <w:rFonts w:ascii="SPAchmim" w:hAnsi="SPAchmim" w:cs="Times New Roman"/>
          <w:iCs/>
        </w:rPr>
        <w:t>sis n-</w:t>
      </w:r>
      <w:r w:rsidRPr="00DB2F44">
        <w:rPr>
          <w:rFonts w:ascii="Cambria" w:hAnsi="Cambria" w:cs="Times New Roman"/>
          <w:iCs/>
        </w:rPr>
        <w:t>&lt;</w:t>
      </w:r>
      <w:r w:rsidRPr="00DB2F44">
        <w:rPr>
          <w:rFonts w:ascii="SPAchmim" w:hAnsi="SPAchmim" w:cs="Times New Roman"/>
          <w:iCs/>
        </w:rPr>
        <w:t>n</w:t>
      </w:r>
      <w:r>
        <w:rPr>
          <w:rFonts w:ascii="SPAchmim" w:hAnsi="SPAchmim" w:cs="Times New Roman"/>
          <w:iCs/>
        </w:rPr>
        <w:t>-</w:t>
      </w:r>
      <w:r>
        <w:rPr>
          <w:rFonts w:ascii="Cambria" w:hAnsi="Cambria" w:cs="Times New Roman"/>
          <w:iCs/>
        </w:rPr>
        <w:t>&gt;]</w:t>
      </w:r>
      <w:r w:rsidRPr="00DB2F44">
        <w:rPr>
          <w:rFonts w:ascii="SPAchmim" w:hAnsi="SPAchmim" w:cs="Times New Roman"/>
          <w:iCs/>
        </w:rPr>
        <w:t>ecousia</w:t>
      </w:r>
      <w:r w:rsidRPr="00DB2F44">
        <w:rPr>
          <w:rFonts w:cs="Times New Roman"/>
          <w:iCs/>
        </w:rPr>
        <w:t xml:space="preserve"> </w:t>
      </w:r>
      <w:r w:rsidRPr="000B17FC">
        <w:rPr>
          <w:rFonts w:ascii="Times New Roman" w:hAnsi="Times New Roman" w:cs="Times New Roman"/>
          <w:iCs/>
        </w:rPr>
        <w:t>(</w:t>
      </w:r>
      <w:r w:rsidRPr="000B17FC">
        <w:rPr>
          <w:rFonts w:ascii="Times New Roman" w:hAnsi="Times New Roman" w:cs="Times New Roman"/>
          <w:i/>
          <w:iCs/>
        </w:rPr>
        <w:t>Hypostase des archontes</w:t>
      </w:r>
      <w:r w:rsidRPr="000B17FC">
        <w:rPr>
          <w:rFonts w:ascii="Times New Roman" w:hAnsi="Times New Roman" w:cs="Times New Roman"/>
        </w:rPr>
        <w:t xml:space="preserve"> p. 86, 26-27).</w:t>
      </w:r>
      <w:r w:rsidR="00E442F7">
        <w:rPr>
          <w:rFonts w:ascii="Times New Roman" w:hAnsi="Times New Roman" w:cs="Times New Roman"/>
        </w:rPr>
        <w:t xml:space="preserve"> Pour les textes retrouvées dans les </w:t>
      </w:r>
      <w:r w:rsidR="00E442F7">
        <w:rPr>
          <w:rFonts w:ascii="Times New Roman" w:hAnsi="Times New Roman" w:cs="Times New Roman"/>
          <w:i/>
          <w:iCs/>
        </w:rPr>
        <w:t>codices</w:t>
      </w:r>
      <w:r w:rsidR="00E442F7">
        <w:rPr>
          <w:rFonts w:ascii="Times New Roman" w:hAnsi="Times New Roman" w:cs="Times New Roman"/>
        </w:rPr>
        <w:t xml:space="preserve"> de Nag Hammadi, je donne la page dans le </w:t>
      </w:r>
      <w:r w:rsidR="00E442F7">
        <w:rPr>
          <w:rFonts w:ascii="Times New Roman" w:hAnsi="Times New Roman" w:cs="Times New Roman"/>
          <w:i/>
          <w:iCs/>
        </w:rPr>
        <w:t>codex</w:t>
      </w:r>
      <w:r w:rsidR="00E442F7">
        <w:rPr>
          <w:rFonts w:ascii="Times New Roman" w:hAnsi="Times New Roman" w:cs="Times New Roman"/>
        </w:rPr>
        <w:t>, suivie de la ou des lignes du passage.</w:t>
      </w:r>
    </w:p>
  </w:footnote>
  <w:footnote w:id="23">
    <w:p w14:paraId="777C0C16" w14:textId="77777777" w:rsidR="00D011BC" w:rsidRPr="007E1A60" w:rsidRDefault="00D011BC">
      <w:pPr>
        <w:pStyle w:val="Notedebasdepage"/>
      </w:pPr>
      <w:r w:rsidRPr="000B17FC">
        <w:rPr>
          <w:rStyle w:val="Appelnotedebasdep"/>
          <w:rFonts w:ascii="Times New Roman" w:hAnsi="Times New Roman" w:cs="Times New Roman"/>
        </w:rPr>
        <w:footnoteRef/>
      </w:r>
      <w:r w:rsidRPr="007E1A60">
        <w:t xml:space="preserve"> </w:t>
      </w:r>
      <w:r w:rsidRPr="007E1A60">
        <w:rPr>
          <w:rFonts w:ascii="SPAchmim" w:hAnsi="SPAchmim"/>
        </w:rPr>
        <w:t xml:space="preserve">pe`a3 naei n-2i e-l-e-l-h-q- pno2 n-aggelos </w:t>
      </w:r>
      <w:r w:rsidRPr="000B17FC">
        <w:rPr>
          <w:rFonts w:ascii="Times New Roman" w:hAnsi="Times New Roman" w:cs="Times New Roman"/>
          <w:iCs/>
        </w:rPr>
        <w:t>(</w:t>
      </w:r>
      <w:r w:rsidRPr="000B17FC">
        <w:rPr>
          <w:rFonts w:ascii="Times New Roman" w:hAnsi="Times New Roman" w:cs="Times New Roman"/>
          <w:i/>
          <w:iCs/>
        </w:rPr>
        <w:t>Hypostase des archontes</w:t>
      </w:r>
      <w:r w:rsidRPr="000B17FC">
        <w:rPr>
          <w:rFonts w:ascii="Times New Roman" w:hAnsi="Times New Roman" w:cs="Times New Roman"/>
        </w:rPr>
        <w:t xml:space="preserve"> p. 93, 18).</w:t>
      </w:r>
    </w:p>
  </w:footnote>
  <w:footnote w:id="24">
    <w:p w14:paraId="6CE8978F" w14:textId="77777777" w:rsidR="002A173B" w:rsidRPr="002A173B" w:rsidRDefault="002A173B" w:rsidP="002A173B">
      <w:pPr>
        <w:jc w:val="both"/>
        <w:rPr>
          <w:rFonts w:ascii="Times New Roman" w:eastAsia="Times New Roman" w:hAnsi="Times New Roman" w:cs="Times New Roman"/>
          <w:color w:val="222222"/>
          <w:kern w:val="0"/>
          <w:sz w:val="20"/>
          <w:szCs w:val="20"/>
          <w:shd w:val="clear" w:color="auto" w:fill="FFFFFF"/>
          <w:lang w:val="en-US" w:eastAsia="fr-FR"/>
          <w14:ligatures w14:val="none"/>
        </w:rPr>
      </w:pPr>
      <w:r w:rsidRPr="002A173B">
        <w:rPr>
          <w:rStyle w:val="Appelnotedebasdep"/>
          <w:rFonts w:ascii="Times New Roman" w:hAnsi="Times New Roman" w:cs="Times New Roman"/>
          <w:sz w:val="20"/>
          <w:szCs w:val="20"/>
        </w:rPr>
        <w:footnoteRef/>
      </w:r>
      <w:r w:rsidRPr="002A173B">
        <w:rPr>
          <w:rFonts w:ascii="Times New Roman" w:hAnsi="Times New Roman" w:cs="Times New Roman"/>
          <w:sz w:val="20"/>
          <w:szCs w:val="20"/>
        </w:rPr>
        <w:t xml:space="preserve"> </w:t>
      </w:r>
      <w:r w:rsidRPr="002A173B">
        <w:rPr>
          <w:rFonts w:ascii="Times New Roman" w:eastAsia="Times New Roman" w:hAnsi="Times New Roman" w:cs="Times New Roman"/>
          <w:color w:val="222222"/>
          <w:kern w:val="0"/>
          <w:sz w:val="20"/>
          <w:szCs w:val="20"/>
          <w:shd w:val="clear" w:color="auto" w:fill="FFFFFF"/>
          <w:lang w:eastAsia="fr-FR"/>
          <w14:ligatures w14:val="none"/>
        </w:rPr>
        <w:t>Lire l’</w:t>
      </w:r>
      <w:r w:rsidRPr="002A173B">
        <w:rPr>
          <w:rFonts w:ascii="Times New Roman" w:eastAsia="Times New Roman" w:hAnsi="Times New Roman" w:cs="Times New Roman"/>
          <w:i/>
          <w:iCs/>
          <w:color w:val="222222"/>
          <w:kern w:val="0"/>
          <w:sz w:val="20"/>
          <w:szCs w:val="20"/>
          <w:shd w:val="clear" w:color="auto" w:fill="FFFFFF"/>
          <w:lang w:eastAsia="fr-FR"/>
          <w14:ligatures w14:val="none"/>
        </w:rPr>
        <w:t>Hypostase des archontes</w:t>
      </w:r>
      <w:r w:rsidRPr="002A173B">
        <w:rPr>
          <w:rFonts w:ascii="Times New Roman" w:eastAsia="Times New Roman" w:hAnsi="Times New Roman" w:cs="Times New Roman"/>
          <w:color w:val="222222"/>
          <w:kern w:val="0"/>
          <w:sz w:val="20"/>
          <w:szCs w:val="20"/>
          <w:shd w:val="clear" w:color="auto" w:fill="FFFFFF"/>
          <w:lang w:eastAsia="fr-FR"/>
          <w14:ligatures w14:val="none"/>
        </w:rPr>
        <w:t xml:space="preserve"> est ainsi une expérience que l’on pourrait qualifier de </w:t>
      </w:r>
      <w:r w:rsidRPr="002A173B">
        <w:rPr>
          <w:rFonts w:ascii="Times New Roman" w:eastAsia="Times New Roman" w:hAnsi="Times New Roman" w:cs="Times New Roman"/>
          <w:i/>
          <w:iCs/>
          <w:color w:val="222222"/>
          <w:kern w:val="0"/>
          <w:sz w:val="20"/>
          <w:szCs w:val="20"/>
          <w:shd w:val="clear" w:color="auto" w:fill="FFFFFF"/>
          <w:lang w:eastAsia="fr-FR"/>
          <w14:ligatures w14:val="none"/>
        </w:rPr>
        <w:t>queer</w:t>
      </w:r>
      <w:r w:rsidRPr="002A173B">
        <w:rPr>
          <w:rFonts w:ascii="Times New Roman" w:eastAsia="Times New Roman" w:hAnsi="Times New Roman" w:cs="Times New Roman"/>
          <w:color w:val="222222"/>
          <w:kern w:val="0"/>
          <w:sz w:val="20"/>
          <w:szCs w:val="20"/>
          <w:shd w:val="clear" w:color="auto" w:fill="FFFFFF"/>
          <w:lang w:eastAsia="fr-FR"/>
          <w14:ligatures w14:val="none"/>
        </w:rPr>
        <w:t xml:space="preserve">. </w:t>
      </w:r>
      <w:r w:rsidRPr="002A173B">
        <w:rPr>
          <w:rFonts w:ascii="Times New Roman" w:eastAsia="Times New Roman" w:hAnsi="Times New Roman" w:cs="Times New Roman"/>
          <w:color w:val="222222"/>
          <w:kern w:val="0"/>
          <w:sz w:val="20"/>
          <w:szCs w:val="20"/>
          <w:shd w:val="clear" w:color="auto" w:fill="FFFFFF"/>
          <w:lang w:val="en-US" w:eastAsia="fr-FR"/>
          <w14:ligatures w14:val="none"/>
        </w:rPr>
        <w:t xml:space="preserve">Sur cette notion, </w:t>
      </w:r>
      <w:r w:rsidRPr="002A173B">
        <w:rPr>
          <w:rFonts w:ascii="Times New Roman" w:eastAsia="Times New Roman" w:hAnsi="Times New Roman" w:cs="Times New Roman"/>
          <w:i/>
          <w:iCs/>
          <w:color w:val="222222"/>
          <w:kern w:val="0"/>
          <w:sz w:val="20"/>
          <w:szCs w:val="20"/>
          <w:shd w:val="clear" w:color="auto" w:fill="FFFFFF"/>
          <w:lang w:val="en-US" w:eastAsia="fr-FR"/>
          <w14:ligatures w14:val="none"/>
        </w:rPr>
        <w:t>cf.</w:t>
      </w:r>
      <w:r w:rsidRPr="002A173B">
        <w:rPr>
          <w:rFonts w:ascii="Times New Roman" w:eastAsia="Times New Roman" w:hAnsi="Times New Roman" w:cs="Times New Roman"/>
          <w:color w:val="222222"/>
          <w:kern w:val="0"/>
          <w:sz w:val="20"/>
          <w:szCs w:val="20"/>
          <w:shd w:val="clear" w:color="auto" w:fill="FFFFFF"/>
          <w:lang w:val="en-US" w:eastAsia="fr-FR"/>
          <w14:ligatures w14:val="none"/>
        </w:rPr>
        <w:t xml:space="preserve"> Judith Butler, </w:t>
      </w:r>
      <w:r w:rsidRPr="002A173B">
        <w:rPr>
          <w:rFonts w:ascii="Times New Roman" w:hAnsi="Times New Roman" w:cs="Times New Roman"/>
          <w:i/>
          <w:iCs/>
          <w:sz w:val="20"/>
          <w:szCs w:val="20"/>
          <w:lang w:val="en-US"/>
        </w:rPr>
        <w:t>Gender Trouble: Feminism and the Subversion of Identity</w:t>
      </w:r>
      <w:r w:rsidRPr="002A173B">
        <w:rPr>
          <w:rFonts w:ascii="Times New Roman" w:hAnsi="Times New Roman" w:cs="Times New Roman"/>
          <w:sz w:val="20"/>
          <w:szCs w:val="20"/>
          <w:lang w:val="en-US"/>
        </w:rPr>
        <w:t xml:space="preserve">, New York, Routledge, coll. « Routledge classics », 1990. Pour une approche </w:t>
      </w:r>
      <w:r w:rsidRPr="002A173B">
        <w:rPr>
          <w:rFonts w:ascii="Times New Roman" w:hAnsi="Times New Roman" w:cs="Times New Roman"/>
          <w:i/>
          <w:iCs/>
          <w:sz w:val="20"/>
          <w:szCs w:val="20"/>
          <w:lang w:val="en-US"/>
        </w:rPr>
        <w:t>queer</w:t>
      </w:r>
      <w:r w:rsidRPr="002A173B">
        <w:rPr>
          <w:rFonts w:ascii="Times New Roman" w:hAnsi="Times New Roman" w:cs="Times New Roman"/>
          <w:sz w:val="20"/>
          <w:szCs w:val="20"/>
          <w:lang w:val="en-US"/>
        </w:rPr>
        <w:t xml:space="preserve"> des textes de Nag Hammadi, </w:t>
      </w:r>
      <w:r w:rsidRPr="002A173B">
        <w:rPr>
          <w:rFonts w:ascii="Times New Roman" w:hAnsi="Times New Roman" w:cs="Times New Roman"/>
          <w:i/>
          <w:iCs/>
          <w:sz w:val="20"/>
          <w:szCs w:val="20"/>
          <w:lang w:val="en-US"/>
        </w:rPr>
        <w:t xml:space="preserve">cf. </w:t>
      </w:r>
      <w:r w:rsidRPr="002A173B">
        <w:rPr>
          <w:rFonts w:ascii="Times New Roman" w:hAnsi="Times New Roman" w:cs="Times New Roman"/>
          <w:sz w:val="20"/>
          <w:szCs w:val="20"/>
          <w:lang w:val="en-US"/>
        </w:rPr>
        <w:t xml:space="preserve">Jonathan Cahana, « Gnostically Queer: Gender Trouble in Gnosticism », </w:t>
      </w:r>
      <w:r w:rsidRPr="002A173B">
        <w:rPr>
          <w:rFonts w:ascii="Times New Roman" w:hAnsi="Times New Roman" w:cs="Times New Roman"/>
          <w:i/>
          <w:iCs/>
          <w:sz w:val="20"/>
          <w:szCs w:val="20"/>
          <w:lang w:val="en-US"/>
        </w:rPr>
        <w:t>Biblical Theology Bulletin: Journal of Bible and Culture</w:t>
      </w:r>
      <w:r w:rsidRPr="002A173B">
        <w:rPr>
          <w:rFonts w:ascii="Times New Roman" w:hAnsi="Times New Roman" w:cs="Times New Roman"/>
          <w:sz w:val="20"/>
          <w:szCs w:val="20"/>
          <w:lang w:val="en-US"/>
        </w:rPr>
        <w:t>, 41, 1, 2011 p. 24-35.</w:t>
      </w:r>
    </w:p>
  </w:footnote>
  <w:footnote w:id="25">
    <w:p w14:paraId="320B349F" w14:textId="77777777" w:rsidR="00286C35" w:rsidRPr="001E5DD4" w:rsidRDefault="00286C35" w:rsidP="00286C35">
      <w:pPr>
        <w:pStyle w:val="Notedebasdepage"/>
      </w:pPr>
      <w:r w:rsidRPr="001E5DD4">
        <w:rPr>
          <w:rStyle w:val="Appelnotedebasdep"/>
          <w:rFonts w:ascii="Times New Roman" w:hAnsi="Times New Roman" w:cs="Times New Roman"/>
        </w:rPr>
        <w:footnoteRef/>
      </w:r>
      <w:r w:rsidRPr="001E5DD4">
        <w:rPr>
          <w:rFonts w:ascii="Times New Roman" w:hAnsi="Times New Roman" w:cs="Times New Roman"/>
        </w:rPr>
        <w:t xml:space="preserve"> Pierre</w:t>
      </w:r>
      <w:r w:rsidRPr="00D011BC">
        <w:rPr>
          <w:rFonts w:ascii="Times New Roman" w:hAnsi="Times New Roman" w:cs="Times New Roman"/>
        </w:rPr>
        <w:t xml:space="preserve"> Bayard, </w:t>
      </w:r>
      <w:r w:rsidRPr="00D011BC">
        <w:rPr>
          <w:rFonts w:ascii="Times New Roman" w:hAnsi="Times New Roman" w:cs="Times New Roman"/>
          <w:i/>
          <w:iCs/>
        </w:rPr>
        <w:t>Comment parler des faits qui ne se sont pas produits ?</w:t>
      </w:r>
      <w:r w:rsidRPr="00D011BC">
        <w:rPr>
          <w:rFonts w:ascii="Times New Roman" w:hAnsi="Times New Roman" w:cs="Times New Roman"/>
        </w:rPr>
        <w:t xml:space="preserve">, </w:t>
      </w:r>
      <w:r>
        <w:rPr>
          <w:rFonts w:ascii="Times New Roman" w:hAnsi="Times New Roman" w:cs="Times New Roman"/>
          <w:i/>
          <w:iCs/>
        </w:rPr>
        <w:t>op. cit.</w:t>
      </w:r>
      <w:r>
        <w:rPr>
          <w:rFonts w:ascii="Times New Roman" w:hAnsi="Times New Roman" w:cs="Times New Roman"/>
        </w:rPr>
        <w:t>, p. 89.</w:t>
      </w:r>
    </w:p>
  </w:footnote>
  <w:footnote w:id="26">
    <w:p w14:paraId="72EE9259" w14:textId="77777777" w:rsidR="001E5DD4" w:rsidRPr="00286C35" w:rsidRDefault="001E5DD4">
      <w:pPr>
        <w:pStyle w:val="Notedebasdepage"/>
      </w:pPr>
      <w:r w:rsidRPr="001E5DD4">
        <w:rPr>
          <w:rStyle w:val="Appelnotedebasdep"/>
          <w:rFonts w:ascii="Times New Roman" w:hAnsi="Times New Roman" w:cs="Times New Roman"/>
        </w:rPr>
        <w:footnoteRef/>
      </w:r>
      <w:r w:rsidRPr="001E5DD4">
        <w:rPr>
          <w:rFonts w:ascii="Times New Roman" w:hAnsi="Times New Roman" w:cs="Times New Roman"/>
        </w:rPr>
        <w:t xml:space="preserve"> </w:t>
      </w:r>
      <w:r w:rsidR="00286C35">
        <w:rPr>
          <w:rFonts w:ascii="Times New Roman" w:hAnsi="Times New Roman" w:cs="Times New Roman"/>
          <w:i/>
          <w:iCs/>
        </w:rPr>
        <w:t>Ibid.</w:t>
      </w:r>
      <w:r w:rsidR="00286C35">
        <w:rPr>
          <w:rFonts w:ascii="Times New Roman" w:hAnsi="Times New Roman" w:cs="Times New Roman"/>
        </w:rPr>
        <w:t xml:space="preserve">, </w:t>
      </w:r>
      <w:r w:rsidR="00286C35">
        <w:rPr>
          <w:rFonts w:ascii="Times New Roman" w:hAnsi="Times New Roman" w:cs="Times New Roman"/>
          <w:i/>
          <w:iCs/>
        </w:rPr>
        <w:t>loc. cit.</w:t>
      </w:r>
    </w:p>
  </w:footnote>
  <w:footnote w:id="27">
    <w:p w14:paraId="45715153" w14:textId="77777777" w:rsidR="00E4575F" w:rsidRPr="00BA75F1" w:rsidRDefault="00E4575F" w:rsidP="00BA75F1">
      <w:pPr>
        <w:pStyle w:val="Notedebasdepage"/>
        <w:jc w:val="both"/>
        <w:rPr>
          <w:rFonts w:ascii="Times New Roman" w:hAnsi="Times New Roman" w:cs="Times New Roman"/>
        </w:rPr>
      </w:pPr>
      <w:r w:rsidRPr="00BA75F1">
        <w:rPr>
          <w:rStyle w:val="Appelnotedebasdep"/>
          <w:rFonts w:ascii="Times New Roman" w:hAnsi="Times New Roman" w:cs="Times New Roman"/>
        </w:rPr>
        <w:footnoteRef/>
      </w:r>
      <w:r w:rsidRPr="00BA75F1">
        <w:rPr>
          <w:rFonts w:ascii="Times New Roman" w:eastAsia="Times New Roman" w:hAnsi="Times New Roman" w:cs="Times New Roman"/>
          <w:color w:val="222222"/>
          <w:kern w:val="0"/>
          <w:shd w:val="clear" w:color="auto" w:fill="FFFFFF"/>
          <w:lang w:eastAsia="fr-FR"/>
          <w14:ligatures w14:val="none"/>
        </w:rPr>
        <w:t> « la question de savoir qui est Homère demeurera à jamais dans le domaine de l’indécidable » (</w:t>
      </w:r>
      <w:r w:rsidRPr="00BA75F1">
        <w:rPr>
          <w:rFonts w:ascii="Times New Roman" w:hAnsi="Times New Roman" w:cs="Times New Roman"/>
        </w:rPr>
        <w:t xml:space="preserve">Pierre Bayard, </w:t>
      </w:r>
      <w:r w:rsidRPr="00BA75F1">
        <w:rPr>
          <w:rFonts w:ascii="Times New Roman" w:hAnsi="Times New Roman" w:cs="Times New Roman"/>
          <w:i/>
          <w:iCs/>
        </w:rPr>
        <w:t>Et si les œuvres changeaient d’auteurs ?</w:t>
      </w:r>
      <w:r w:rsidRPr="00BA75F1">
        <w:rPr>
          <w:rFonts w:ascii="Times New Roman" w:hAnsi="Times New Roman" w:cs="Times New Roman"/>
        </w:rPr>
        <w:t>, Paris, Éditions de Minuit, coll. « Paradoxe », 2010, p. 27).</w:t>
      </w:r>
    </w:p>
  </w:footnote>
  <w:footnote w:id="28">
    <w:p w14:paraId="2749B3B2" w14:textId="77777777" w:rsidR="005607F2" w:rsidRPr="00E03247" w:rsidRDefault="005607F2" w:rsidP="00E03247">
      <w:pPr>
        <w:pStyle w:val="Notedebasdepage"/>
        <w:jc w:val="both"/>
        <w:rPr>
          <w:rFonts w:ascii="Times New Roman" w:hAnsi="Times New Roman" w:cs="Times New Roman"/>
        </w:rPr>
      </w:pPr>
      <w:r w:rsidRPr="00BA75F1">
        <w:rPr>
          <w:rStyle w:val="Appelnotedebasdep"/>
          <w:rFonts w:ascii="Times New Roman" w:hAnsi="Times New Roman" w:cs="Times New Roman"/>
        </w:rPr>
        <w:footnoteRef/>
      </w:r>
      <w:r w:rsidRPr="00BA75F1">
        <w:rPr>
          <w:rFonts w:ascii="Times New Roman" w:hAnsi="Times New Roman" w:cs="Times New Roman"/>
        </w:rPr>
        <w:t xml:space="preserve"> On pourrait mentionner le dialogue mettant en scène Socrate et transmis sous le titre « </w:t>
      </w:r>
      <w:r w:rsidRPr="00BA75F1">
        <w:rPr>
          <w:rFonts w:ascii="Times New Roman" w:hAnsi="Times New Roman" w:cs="Times New Roman"/>
          <w:i/>
          <w:iCs/>
        </w:rPr>
        <w:t>Alcyon</w:t>
      </w:r>
      <w:r w:rsidRPr="00BA75F1">
        <w:rPr>
          <w:rFonts w:ascii="Times New Roman" w:hAnsi="Times New Roman" w:cs="Times New Roman"/>
        </w:rPr>
        <w:t> », que les manuscrits attribuent à Platon ou à Lucien</w:t>
      </w:r>
      <w:r w:rsidR="00853FCF" w:rsidRPr="00BA75F1">
        <w:rPr>
          <w:rFonts w:ascii="Times New Roman" w:hAnsi="Times New Roman" w:cs="Times New Roman"/>
        </w:rPr>
        <w:t xml:space="preserve">, sans qu’aucune de ces attributions ne soit considérée comme authentique </w:t>
      </w:r>
      <w:r w:rsidRPr="00BA75F1">
        <w:rPr>
          <w:rFonts w:ascii="Times New Roman" w:hAnsi="Times New Roman" w:cs="Times New Roman"/>
        </w:rPr>
        <w:t>(</w:t>
      </w:r>
      <w:r w:rsidRPr="00BA75F1">
        <w:rPr>
          <w:rFonts w:ascii="Times New Roman" w:hAnsi="Times New Roman" w:cs="Times New Roman"/>
          <w:i/>
          <w:iCs/>
        </w:rPr>
        <w:t>cf.</w:t>
      </w:r>
      <w:r w:rsidRPr="00BA75F1">
        <w:rPr>
          <w:rFonts w:ascii="Times New Roman" w:hAnsi="Times New Roman" w:cs="Times New Roman"/>
        </w:rPr>
        <w:t xml:space="preserve"> Helen M. Cockle, </w:t>
      </w:r>
      <w:r w:rsidRPr="00BA75F1">
        <w:rPr>
          <w:rFonts w:ascii="Times New Roman" w:hAnsi="Times New Roman" w:cs="Times New Roman"/>
          <w:i/>
          <w:iCs/>
        </w:rPr>
        <w:t>The Oxyrhynchus Papyri</w:t>
      </w:r>
      <w:r w:rsidRPr="00BA75F1">
        <w:rPr>
          <w:rFonts w:ascii="Times New Roman" w:hAnsi="Times New Roman" w:cs="Times New Roman"/>
        </w:rPr>
        <w:t>, vol. 52, Londres, Egypt Exploration Society, coll. « Graeco-Roman memoirs », 1984, p. 114</w:t>
      </w:r>
      <w:r w:rsidR="00853FCF" w:rsidRPr="00BA75F1">
        <w:rPr>
          <w:rFonts w:ascii="Times New Roman" w:hAnsi="Times New Roman" w:cs="Times New Roman"/>
        </w:rPr>
        <w:t>) et que les auteurs anciens Diogène Laërce et Athénée de Naucratis attribuent chacun à un dénommé « Léon » – avec la précision « l’Académicien » dans le second cas – sans que cet auteur soit identifiable</w:t>
      </w:r>
      <w:r w:rsidR="00FD1A2E" w:rsidRPr="00BA75F1">
        <w:rPr>
          <w:rFonts w:ascii="Times New Roman" w:hAnsi="Times New Roman" w:cs="Times New Roman"/>
        </w:rPr>
        <w:t xml:space="preserve"> (Diogène Laërce, </w:t>
      </w:r>
      <w:r w:rsidR="00FD1A2E" w:rsidRPr="00BA75F1">
        <w:rPr>
          <w:rFonts w:ascii="Times New Roman" w:hAnsi="Times New Roman" w:cs="Times New Roman"/>
          <w:i/>
          <w:iCs/>
        </w:rPr>
        <w:t>Vie, doctrines et sentences des philosophes illustres</w:t>
      </w:r>
      <w:r w:rsidR="00FD1A2E" w:rsidRPr="00BA75F1">
        <w:rPr>
          <w:rFonts w:ascii="Times New Roman" w:hAnsi="Times New Roman" w:cs="Times New Roman"/>
        </w:rPr>
        <w:t xml:space="preserve">, 3, 62 et Athénée de Naucratis, </w:t>
      </w:r>
      <w:r w:rsidR="00FD1A2E" w:rsidRPr="00BA75F1">
        <w:rPr>
          <w:rFonts w:ascii="Times New Roman" w:hAnsi="Times New Roman" w:cs="Times New Roman"/>
          <w:i/>
          <w:iCs/>
        </w:rPr>
        <w:t>Les Déipnosophistes</w:t>
      </w:r>
      <w:r w:rsidR="00FD1A2E" w:rsidRPr="00BA75F1">
        <w:rPr>
          <w:rFonts w:ascii="Times New Roman" w:hAnsi="Times New Roman" w:cs="Times New Roman"/>
        </w:rPr>
        <w:t xml:space="preserve">, 11, 506c. </w:t>
      </w:r>
      <w:r w:rsidR="00FD1A2E" w:rsidRPr="00BA75F1">
        <w:rPr>
          <w:rFonts w:ascii="Times New Roman" w:hAnsi="Times New Roman" w:cs="Times New Roman"/>
          <w:i/>
          <w:iCs/>
        </w:rPr>
        <w:t>Cf.</w:t>
      </w:r>
      <w:r w:rsidR="00FD1A2E" w:rsidRPr="00BA75F1">
        <w:rPr>
          <w:rFonts w:ascii="Times New Roman" w:hAnsi="Times New Roman" w:cs="Times New Roman"/>
        </w:rPr>
        <w:t xml:space="preserve"> les textes édités, respectivement, par Miroslav Marcovich dans </w:t>
      </w:r>
      <w:r w:rsidR="00FD1A2E" w:rsidRPr="00BA75F1">
        <w:rPr>
          <w:rFonts w:ascii="Times New Roman" w:hAnsi="Times New Roman" w:cs="Times New Roman"/>
          <w:i/>
          <w:iCs/>
        </w:rPr>
        <w:t>Diogenis Laertii Vitae philosophorum</w:t>
      </w:r>
      <w:r w:rsidR="00FD1A2E" w:rsidRPr="00BA75F1">
        <w:rPr>
          <w:rFonts w:ascii="Times New Roman" w:hAnsi="Times New Roman" w:cs="Times New Roman"/>
        </w:rPr>
        <w:t xml:space="preserve">, vol. 1, coll. « Bibliotheca scriptorum graecorum et romanorum Teubneriana », Stuttgart-Leipzig, Teubner, 1999 et Charles Burton Gulick dans </w:t>
      </w:r>
      <w:r w:rsidR="00FD1A2E" w:rsidRPr="00BA75F1">
        <w:rPr>
          <w:rFonts w:ascii="Times New Roman" w:hAnsi="Times New Roman" w:cs="Times New Roman"/>
          <w:i/>
          <w:iCs/>
        </w:rPr>
        <w:t xml:space="preserve">The Deipnosophists. </w:t>
      </w:r>
      <w:r w:rsidR="00FD1A2E" w:rsidRPr="00D74C6A">
        <w:rPr>
          <w:rFonts w:ascii="Times New Roman" w:hAnsi="Times New Roman" w:cs="Times New Roman"/>
          <w:i/>
          <w:iCs/>
        </w:rPr>
        <w:t xml:space="preserve">5. Book </w:t>
      </w:r>
      <w:r w:rsidR="00FD1A2E" w:rsidRPr="00D74C6A">
        <w:rPr>
          <w:rFonts w:ascii="Times New Roman" w:hAnsi="Times New Roman" w:cs="Times New Roman"/>
          <w:i/>
          <w:iCs/>
          <w:smallCaps/>
        </w:rPr>
        <w:t xml:space="preserve">xi </w:t>
      </w:r>
      <w:r w:rsidR="00FD1A2E" w:rsidRPr="00D74C6A">
        <w:rPr>
          <w:rFonts w:ascii="Times New Roman" w:hAnsi="Times New Roman" w:cs="Times New Roman"/>
          <w:i/>
          <w:iCs/>
        </w:rPr>
        <w:t xml:space="preserve">– Book </w:t>
      </w:r>
      <w:r w:rsidR="00FD1A2E" w:rsidRPr="00D74C6A">
        <w:rPr>
          <w:rFonts w:ascii="Times New Roman" w:hAnsi="Times New Roman" w:cs="Times New Roman"/>
          <w:i/>
          <w:iCs/>
          <w:smallCaps/>
        </w:rPr>
        <w:t>xii</w:t>
      </w:r>
      <w:r w:rsidR="00FD1A2E" w:rsidRPr="00D74C6A">
        <w:rPr>
          <w:rFonts w:ascii="Times New Roman" w:hAnsi="Times New Roman" w:cs="Times New Roman"/>
          <w:smallCaps/>
        </w:rPr>
        <w:t xml:space="preserve">, </w:t>
      </w:r>
      <w:r w:rsidR="00FD1A2E" w:rsidRPr="00D74C6A">
        <w:rPr>
          <w:rFonts w:ascii="Times New Roman" w:hAnsi="Times New Roman" w:cs="Times New Roman"/>
        </w:rPr>
        <w:t>Londres-Cambridge (Massachusetts), coll. « The Deipnosophists », Harvard University Press, 1963).</w:t>
      </w:r>
      <w:r w:rsidR="001D5D85" w:rsidRPr="00D74C6A">
        <w:rPr>
          <w:rFonts w:ascii="Times New Roman" w:hAnsi="Times New Roman" w:cs="Times New Roman"/>
        </w:rPr>
        <w:t xml:space="preserve"> Selon Carl Werner Müller, l’</w:t>
      </w:r>
      <w:r w:rsidR="001D5D85" w:rsidRPr="00D74C6A">
        <w:rPr>
          <w:rFonts w:ascii="Times New Roman" w:hAnsi="Times New Roman" w:cs="Times New Roman"/>
          <w:i/>
          <w:iCs/>
        </w:rPr>
        <w:t>Alcyon</w:t>
      </w:r>
      <w:r w:rsidR="001D5D85" w:rsidRPr="00D74C6A">
        <w:rPr>
          <w:rFonts w:ascii="Times New Roman" w:hAnsi="Times New Roman" w:cs="Times New Roman"/>
        </w:rPr>
        <w:t xml:space="preserve"> aurait été composé au </w:t>
      </w:r>
      <w:r w:rsidR="001D5D85" w:rsidRPr="00D74C6A">
        <w:rPr>
          <w:rFonts w:ascii="Times New Roman" w:hAnsi="Times New Roman" w:cs="Times New Roman"/>
          <w:smallCaps/>
        </w:rPr>
        <w:t>iii</w:t>
      </w:r>
      <w:r w:rsidR="001D5D85" w:rsidRPr="00D74C6A">
        <w:rPr>
          <w:rFonts w:ascii="Times New Roman" w:hAnsi="Times New Roman" w:cs="Times New Roman"/>
          <w:vertAlign w:val="superscript"/>
        </w:rPr>
        <w:t xml:space="preserve">e </w:t>
      </w:r>
      <w:r w:rsidR="001D5D85" w:rsidRPr="00D74C6A">
        <w:rPr>
          <w:rFonts w:ascii="Times New Roman" w:hAnsi="Times New Roman" w:cs="Times New Roman"/>
        </w:rPr>
        <w:t xml:space="preserve">siècle avant l’ère chrétienne (Carl Werner Müller, </w:t>
      </w:r>
      <w:r w:rsidR="001D5D85" w:rsidRPr="00D74C6A">
        <w:rPr>
          <w:rFonts w:ascii="Times New Roman" w:hAnsi="Times New Roman" w:cs="Times New Roman"/>
          <w:i/>
          <w:iCs/>
        </w:rPr>
        <w:t>Die Kurzdialoge der Appendix Platonica: philologische Beiträge zur nachplatonischen Sokratik</w:t>
      </w:r>
      <w:r w:rsidR="001D5D85" w:rsidRPr="00D74C6A">
        <w:rPr>
          <w:rFonts w:ascii="Times New Roman" w:hAnsi="Times New Roman" w:cs="Times New Roman"/>
        </w:rPr>
        <w:t xml:space="preserve">, Munich, W. Fink, coll. « Studia et testimonia antiqua », 1975, p. 316 </w:t>
      </w:r>
      <w:r w:rsidR="001D5D85" w:rsidRPr="00D74C6A">
        <w:rPr>
          <w:rFonts w:ascii="Times New Roman" w:hAnsi="Times New Roman" w:cs="Times New Roman"/>
          <w:i/>
          <w:iCs/>
        </w:rPr>
        <w:t>sq.</w:t>
      </w:r>
      <w:r w:rsidR="001D5D85" w:rsidRPr="00D74C6A">
        <w:rPr>
          <w:rFonts w:ascii="Times New Roman" w:hAnsi="Times New Roman" w:cs="Times New Roman"/>
        </w:rPr>
        <w:t xml:space="preserve"> et </w:t>
      </w:r>
      <w:r w:rsidR="001D5D85" w:rsidRPr="00D74C6A">
        <w:rPr>
          <w:rFonts w:ascii="Times New Roman" w:hAnsi="Times New Roman" w:cs="Times New Roman"/>
          <w:i/>
          <w:iCs/>
        </w:rPr>
        <w:t>id.</w:t>
      </w:r>
      <w:r w:rsidR="001D5D85" w:rsidRPr="00D74C6A">
        <w:rPr>
          <w:rFonts w:ascii="Times New Roman" w:hAnsi="Times New Roman" w:cs="Times New Roman"/>
        </w:rPr>
        <w:t xml:space="preserve">, « Appendix Platonica und Neue Akadmie », dans Klaus Dörung, Michael Erler et Stefan Schorn (dir.), </w:t>
      </w:r>
      <w:r w:rsidR="001D5D85" w:rsidRPr="00D74C6A">
        <w:rPr>
          <w:rFonts w:ascii="Times New Roman" w:hAnsi="Times New Roman" w:cs="Times New Roman"/>
          <w:i/>
          <w:iCs/>
        </w:rPr>
        <w:t xml:space="preserve">Pseudoplatonica. </w:t>
      </w:r>
      <w:r w:rsidR="001D5D85" w:rsidRPr="00BA75F1">
        <w:rPr>
          <w:rFonts w:ascii="Times New Roman" w:hAnsi="Times New Roman" w:cs="Times New Roman"/>
          <w:i/>
          <w:iCs/>
          <w:lang w:val="en-US"/>
        </w:rPr>
        <w:t xml:space="preserve">Akten des Kondresses zu den Pseudoplatonica vom 6.-9. </w:t>
      </w:r>
      <w:r w:rsidR="001D5D85" w:rsidRPr="00D74C6A">
        <w:rPr>
          <w:rFonts w:ascii="Times New Roman" w:hAnsi="Times New Roman" w:cs="Times New Roman"/>
          <w:i/>
          <w:iCs/>
          <w:lang w:val="en-US"/>
        </w:rPr>
        <w:t>Juli 2003 in Bamberg</w:t>
      </w:r>
      <w:r w:rsidR="001D5D85" w:rsidRPr="00D74C6A">
        <w:rPr>
          <w:rFonts w:ascii="Times New Roman" w:hAnsi="Times New Roman" w:cs="Times New Roman"/>
          <w:lang w:val="en-US"/>
        </w:rPr>
        <w:t xml:space="preserve">, Stuttgart, F. Steiner, coll. </w:t>
      </w:r>
      <w:r w:rsidR="001D5D85" w:rsidRPr="00BA75F1">
        <w:rPr>
          <w:rFonts w:ascii="Times New Roman" w:hAnsi="Times New Roman" w:cs="Times New Roman"/>
        </w:rPr>
        <w:t xml:space="preserve">« Philosophie der Antike », 2005, p. </w:t>
      </w:r>
      <w:r w:rsidR="001D5D85" w:rsidRPr="00E03247">
        <w:rPr>
          <w:rFonts w:ascii="Times New Roman" w:hAnsi="Times New Roman" w:cs="Times New Roman"/>
        </w:rPr>
        <w:t>155-174, p. 166-168.</w:t>
      </w:r>
    </w:p>
  </w:footnote>
  <w:footnote w:id="29">
    <w:p w14:paraId="517F85A3" w14:textId="77777777" w:rsidR="007E1A60" w:rsidRPr="00E03247" w:rsidRDefault="007E1A60" w:rsidP="00E03247">
      <w:pPr>
        <w:pStyle w:val="Notedebasdepage"/>
        <w:jc w:val="both"/>
        <w:rPr>
          <w:rFonts w:ascii="Times New Roman" w:hAnsi="Times New Roman" w:cs="Times New Roman"/>
        </w:rPr>
      </w:pPr>
      <w:r w:rsidRPr="00E03247">
        <w:rPr>
          <w:rStyle w:val="Appelnotedebasdep"/>
          <w:rFonts w:ascii="Times New Roman" w:hAnsi="Times New Roman" w:cs="Times New Roman"/>
        </w:rPr>
        <w:footnoteRef/>
      </w:r>
      <w:r w:rsidRPr="00E03247">
        <w:rPr>
          <w:rFonts w:ascii="Times New Roman" w:hAnsi="Times New Roman" w:cs="Times New Roman"/>
        </w:rPr>
        <w:t xml:space="preserve"> </w:t>
      </w:r>
      <w:r w:rsidR="00BA75F1" w:rsidRPr="00E03247">
        <w:rPr>
          <w:rFonts w:ascii="Times New Roman" w:hAnsi="Times New Roman" w:cs="Times New Roman"/>
        </w:rPr>
        <w:t xml:space="preserve">On pourrait penser à plusieurs textes transmis sous le nom de Jean Chrysostome et attribués aussi à un ou à une série de « Pseudo-Chrysostome ». </w:t>
      </w:r>
      <w:r w:rsidR="00BA75F1" w:rsidRPr="00E03247">
        <w:rPr>
          <w:rFonts w:ascii="Times New Roman" w:hAnsi="Times New Roman" w:cs="Times New Roman"/>
          <w:i/>
          <w:iCs/>
        </w:rPr>
        <w:t>Cf.</w:t>
      </w:r>
      <w:r w:rsidR="00BA75F1" w:rsidRPr="00E03247">
        <w:rPr>
          <w:rFonts w:ascii="Times New Roman" w:hAnsi="Times New Roman" w:cs="Times New Roman"/>
        </w:rPr>
        <w:t xml:space="preserve">, entre autres, </w:t>
      </w:r>
      <w:r w:rsidR="001003F5" w:rsidRPr="00E03247">
        <w:rPr>
          <w:rFonts w:ascii="Times New Roman" w:hAnsi="Times New Roman" w:cs="Times New Roman"/>
        </w:rPr>
        <w:t xml:space="preserve">Sever J. Voicu, « Spigolature pseudocrisostomiche », </w:t>
      </w:r>
      <w:r w:rsidR="001003F5" w:rsidRPr="00E03247">
        <w:rPr>
          <w:rFonts w:ascii="Times New Roman" w:hAnsi="Times New Roman" w:cs="Times New Roman"/>
          <w:i/>
          <w:iCs/>
        </w:rPr>
        <w:t>Bollettino della Badia Greca di Grottaferrata</w:t>
      </w:r>
      <w:r w:rsidR="001003F5" w:rsidRPr="00E03247">
        <w:rPr>
          <w:rFonts w:ascii="Times New Roman" w:hAnsi="Times New Roman" w:cs="Times New Roman"/>
        </w:rPr>
        <w:t xml:space="preserve">, 13, 2016, p. 165-188. </w:t>
      </w:r>
    </w:p>
  </w:footnote>
  <w:footnote w:id="30">
    <w:p w14:paraId="24368D1E" w14:textId="77777777" w:rsidR="0019334C" w:rsidRPr="00E03247" w:rsidRDefault="0019334C" w:rsidP="00E03247">
      <w:pPr>
        <w:pStyle w:val="Notedebasdepage"/>
        <w:jc w:val="both"/>
        <w:rPr>
          <w:rFonts w:ascii="Times New Roman" w:hAnsi="Times New Roman" w:cs="Times New Roman"/>
        </w:rPr>
      </w:pPr>
      <w:r w:rsidRPr="00E03247">
        <w:rPr>
          <w:rStyle w:val="Appelnotedebasdep"/>
          <w:rFonts w:ascii="Times New Roman" w:hAnsi="Times New Roman" w:cs="Times New Roman"/>
        </w:rPr>
        <w:footnoteRef/>
      </w:r>
      <w:r w:rsidRPr="00E03247">
        <w:rPr>
          <w:rFonts w:ascii="Times New Roman" w:hAnsi="Times New Roman" w:cs="Times New Roman"/>
        </w:rPr>
        <w:t xml:space="preserve"> </w:t>
      </w:r>
      <w:r w:rsidRPr="00E03247">
        <w:rPr>
          <w:rFonts w:ascii="Times New Roman" w:hAnsi="Times New Roman" w:cs="Times New Roman"/>
          <w:i/>
          <w:iCs/>
        </w:rPr>
        <w:t>Cf.</w:t>
      </w:r>
      <w:r w:rsidRPr="00E03247">
        <w:rPr>
          <w:rFonts w:ascii="Times New Roman" w:hAnsi="Times New Roman" w:cs="Times New Roman"/>
        </w:rPr>
        <w:t xml:space="preserve"> par exemple le début de l’</w:t>
      </w:r>
      <w:r w:rsidRPr="00E03247">
        <w:rPr>
          <w:rFonts w:ascii="Times New Roman" w:hAnsi="Times New Roman" w:cs="Times New Roman"/>
          <w:i/>
          <w:iCs/>
        </w:rPr>
        <w:t>Épître aux Éphésiens</w:t>
      </w:r>
      <w:r w:rsidRPr="00E03247">
        <w:rPr>
          <w:rFonts w:ascii="Times New Roman" w:hAnsi="Times New Roman" w:cs="Times New Roman"/>
        </w:rPr>
        <w:t xml:space="preserve"> : Παῦλος ἀπόστολος Χριστοῦ Ἰησοῦ διὰ θελήματος θεοῦ τοῖς ἁγίοις τοῖς οὖσιν [ἐν Ἐφέσῳ] καὶ πιστοῖς ἐν Χριστῷ Ἰησοῦ « Paul, apôtre du Christ Jésus par la volonté de </w:t>
      </w:r>
      <w:r w:rsidR="00E03247" w:rsidRPr="00E03247">
        <w:rPr>
          <w:rFonts w:ascii="Times New Roman" w:hAnsi="Times New Roman" w:cs="Times New Roman"/>
        </w:rPr>
        <w:t>Dieu, aux saints et fidèles dans le Christ Jésus qui sont [à Éphèse] » (Éphésiens 1, 1).</w:t>
      </w:r>
    </w:p>
  </w:footnote>
  <w:footnote w:id="31">
    <w:p w14:paraId="5BD075A3" w14:textId="77777777" w:rsidR="00E03247" w:rsidRPr="007876E5" w:rsidRDefault="00E03247" w:rsidP="00E03247">
      <w:pPr>
        <w:jc w:val="both"/>
        <w:rPr>
          <w:rFonts w:ascii="Cambria" w:eastAsia="Times New Roman" w:hAnsi="Cambria" w:cs="Times New Roman"/>
          <w:color w:val="222222"/>
          <w:kern w:val="0"/>
          <w:shd w:val="clear" w:color="auto" w:fill="FFFFFF"/>
          <w:lang w:eastAsia="fr-FR"/>
          <w14:ligatures w14:val="none"/>
        </w:rPr>
      </w:pPr>
      <w:r w:rsidRPr="00E03247">
        <w:rPr>
          <w:rStyle w:val="Appelnotedebasdep"/>
          <w:rFonts w:ascii="Times New Roman" w:hAnsi="Times New Roman" w:cs="Times New Roman"/>
          <w:sz w:val="20"/>
          <w:szCs w:val="20"/>
        </w:rPr>
        <w:footnoteRef/>
      </w:r>
      <w:r w:rsidRPr="00E03247">
        <w:rPr>
          <w:rFonts w:ascii="Times New Roman" w:hAnsi="Times New Roman" w:cs="Times New Roman"/>
          <w:sz w:val="20"/>
          <w:szCs w:val="20"/>
        </w:rPr>
        <w:t xml:space="preserve"> </w:t>
      </w:r>
      <w:r w:rsidRPr="00E03247">
        <w:rPr>
          <w:rFonts w:ascii="Times New Roman" w:eastAsia="Times New Roman" w:hAnsi="Times New Roman" w:cs="Times New Roman"/>
          <w:color w:val="222222"/>
          <w:kern w:val="0"/>
          <w:sz w:val="20"/>
          <w:szCs w:val="20"/>
          <w:shd w:val="clear" w:color="auto" w:fill="FFFFFF"/>
          <w:lang w:eastAsia="fr-FR"/>
          <w14:ligatures w14:val="none"/>
        </w:rPr>
        <w:t xml:space="preserve">C’est ce qu’on appelle la pseudépigraphie. </w:t>
      </w:r>
      <w:r w:rsidRPr="00E03247">
        <w:rPr>
          <w:rFonts w:ascii="Times New Roman" w:eastAsia="Times New Roman" w:hAnsi="Times New Roman" w:cs="Times New Roman"/>
          <w:i/>
          <w:iCs/>
          <w:color w:val="222222"/>
          <w:kern w:val="0"/>
          <w:sz w:val="20"/>
          <w:szCs w:val="20"/>
          <w:shd w:val="clear" w:color="auto" w:fill="FFFFFF"/>
          <w:lang w:eastAsia="fr-FR"/>
          <w14:ligatures w14:val="none"/>
        </w:rPr>
        <w:t>Cf.</w:t>
      </w:r>
      <w:r w:rsidRPr="00E03247">
        <w:rPr>
          <w:rFonts w:ascii="Times New Roman" w:eastAsia="Times New Roman" w:hAnsi="Times New Roman" w:cs="Times New Roman"/>
          <w:color w:val="222222"/>
          <w:kern w:val="0"/>
          <w:sz w:val="20"/>
          <w:szCs w:val="20"/>
          <w:shd w:val="clear" w:color="auto" w:fill="FFFFFF"/>
          <w:lang w:eastAsia="fr-FR"/>
          <w14:ligatures w14:val="none"/>
        </w:rPr>
        <w:t xml:space="preserve"> notamment Eckart Reinmuth</w:t>
      </w:r>
      <w:r w:rsidRPr="00E03247">
        <w:rPr>
          <w:rFonts w:ascii="Times New Roman" w:hAnsi="Times New Roman" w:cs="Times New Roman"/>
          <w:sz w:val="20"/>
          <w:szCs w:val="20"/>
        </w:rPr>
        <w:t>, « Zur neutestamentlichen Paulus-Pseudepigraphie », dans</w:t>
      </w:r>
      <w:r w:rsidRPr="00E03247">
        <w:rPr>
          <w:rFonts w:ascii="Times New Roman" w:hAnsi="Times New Roman" w:cs="Times New Roman"/>
          <w:i/>
          <w:iCs/>
          <w:sz w:val="20"/>
          <w:szCs w:val="20"/>
        </w:rPr>
        <w:t xml:space="preserve"> </w:t>
      </w:r>
      <w:r w:rsidRPr="00E03247">
        <w:rPr>
          <w:rFonts w:ascii="Times New Roman" w:hAnsi="Times New Roman" w:cs="Times New Roman"/>
          <w:sz w:val="20"/>
          <w:szCs w:val="20"/>
        </w:rPr>
        <w:t xml:space="preserve">Nikolaus Walter, Eckart Reinmuth et Peter Lampe (dir.), </w:t>
      </w:r>
      <w:r w:rsidRPr="00E03247">
        <w:rPr>
          <w:rFonts w:ascii="Times New Roman" w:hAnsi="Times New Roman" w:cs="Times New Roman"/>
          <w:i/>
          <w:iCs/>
          <w:sz w:val="20"/>
          <w:szCs w:val="20"/>
        </w:rPr>
        <w:t>Die Briefe an die Philipper, Thessalonicher und an Philemon</w:t>
      </w:r>
      <w:r w:rsidRPr="00E03247">
        <w:rPr>
          <w:rFonts w:ascii="Times New Roman" w:hAnsi="Times New Roman" w:cs="Times New Roman"/>
          <w:sz w:val="20"/>
          <w:szCs w:val="20"/>
        </w:rPr>
        <w:t xml:space="preserve">, Göttingen, Vandenhoek &amp; Ruprecht, 1998 et François Vouga, « Pseudépigraphies. Crypto-Paul, Deutéro-Paul, Trito-Paul et Quarto-Paul », </w:t>
      </w:r>
      <w:r w:rsidRPr="00E03247">
        <w:rPr>
          <w:rFonts w:ascii="Times New Roman" w:hAnsi="Times New Roman" w:cs="Times New Roman"/>
          <w:i/>
          <w:iCs/>
          <w:sz w:val="20"/>
          <w:szCs w:val="20"/>
        </w:rPr>
        <w:t>Études théologiques et religieuses</w:t>
      </w:r>
      <w:r w:rsidRPr="00E03247">
        <w:rPr>
          <w:rFonts w:ascii="Times New Roman" w:hAnsi="Times New Roman" w:cs="Times New Roman"/>
          <w:sz w:val="20"/>
          <w:szCs w:val="20"/>
        </w:rPr>
        <w:t>, 88, 4, 2013, p. 529-547.</w:t>
      </w:r>
      <w:r w:rsidR="007876E5">
        <w:rPr>
          <w:rFonts w:ascii="Times New Roman" w:hAnsi="Times New Roman" w:cs="Times New Roman"/>
          <w:sz w:val="20"/>
          <w:szCs w:val="20"/>
        </w:rPr>
        <w:t xml:space="preserve"> La pseudépigraphie est également fréquente dans le corpus de Nag Hammadi. On pourrait par exemple citer l’évangile attribué à Thomas, commençant par les mots </w:t>
      </w:r>
      <w:r w:rsidR="007876E5" w:rsidRPr="007876E5">
        <w:rPr>
          <w:rFonts w:ascii="SPAchmim" w:hAnsi="SPAchmim" w:cs="Times New Roman"/>
          <w:sz w:val="20"/>
          <w:szCs w:val="20"/>
        </w:rPr>
        <w:t>naei ne n-4a`e eqhp entai-</w:t>
      </w:r>
      <w:r w:rsidR="007876E5">
        <w:rPr>
          <w:rFonts w:ascii="SPAchmim" w:hAnsi="SPAchmim" w:cs="Times New Roman"/>
          <w:sz w:val="20"/>
          <w:szCs w:val="20"/>
        </w:rPr>
        <w:t>s-</w:t>
      </w:r>
      <w:r w:rsidR="007876E5" w:rsidRPr="007876E5">
        <w:rPr>
          <w:rFonts w:ascii="SPAchmim" w:hAnsi="SPAchmim" w:cs="Times New Roman"/>
          <w:sz w:val="20"/>
          <w:szCs w:val="20"/>
        </w:rPr>
        <w:t xml:space="preserve"> eton6 `oou auw a3</w:t>
      </w:r>
      <w:r w:rsidR="007876E5">
        <w:rPr>
          <w:rFonts w:ascii="SPAchmim" w:hAnsi="SPAchmim" w:cs="Times New Roman"/>
          <w:sz w:val="20"/>
          <w:szCs w:val="20"/>
        </w:rPr>
        <w:t>s6</w:t>
      </w:r>
      <w:r w:rsidR="007876E5" w:rsidRPr="007876E5">
        <w:rPr>
          <w:rFonts w:ascii="SPAchmim" w:hAnsi="SPAchmim" w:cs="Times New Roman"/>
          <w:sz w:val="20"/>
          <w:szCs w:val="20"/>
        </w:rPr>
        <w:t>aiso</w:t>
      </w:r>
      <w:r w:rsidR="007876E5">
        <w:rPr>
          <w:rFonts w:ascii="SPAchmim" w:hAnsi="SPAchmim" w:cs="Times New Roman"/>
          <w:sz w:val="20"/>
          <w:szCs w:val="20"/>
        </w:rPr>
        <w:t>u</w:t>
      </w:r>
      <w:r w:rsidR="007876E5" w:rsidRPr="007876E5">
        <w:rPr>
          <w:rFonts w:ascii="SPAchmim" w:hAnsi="SPAchmim" w:cs="Times New Roman"/>
          <w:sz w:val="20"/>
          <w:szCs w:val="20"/>
        </w:rPr>
        <w:t xml:space="preserve"> n-</w:t>
      </w:r>
      <w:r w:rsidR="007876E5">
        <w:rPr>
          <w:rFonts w:ascii="SPAchmim" w:hAnsi="SPAchmim" w:cs="Times New Roman"/>
          <w:sz w:val="20"/>
          <w:szCs w:val="20"/>
        </w:rPr>
        <w:t>2</w:t>
      </w:r>
      <w:r w:rsidR="007876E5" w:rsidRPr="007876E5">
        <w:rPr>
          <w:rFonts w:ascii="SPAchmim" w:hAnsi="SPAchmim" w:cs="Times New Roman"/>
          <w:sz w:val="20"/>
          <w:szCs w:val="20"/>
        </w:rPr>
        <w:t xml:space="preserve">ididumos </w:t>
      </w:r>
      <w:r w:rsidR="007876E5">
        <w:rPr>
          <w:rFonts w:ascii="Cambria" w:hAnsi="Cambria" w:cs="Cambria"/>
          <w:sz w:val="20"/>
          <w:szCs w:val="20"/>
        </w:rPr>
        <w:t>ï</w:t>
      </w:r>
      <w:r w:rsidR="007876E5" w:rsidRPr="007876E5">
        <w:rPr>
          <w:rFonts w:ascii="SPAchmim" w:hAnsi="SPAchmim" w:cs="Times New Roman"/>
          <w:sz w:val="20"/>
          <w:szCs w:val="20"/>
        </w:rPr>
        <w:t>oudas qwmas</w:t>
      </w:r>
      <w:r w:rsidR="007876E5">
        <w:rPr>
          <w:rFonts w:ascii="Times New Roman" w:hAnsi="Times New Roman" w:cs="Times New Roman"/>
          <w:sz w:val="20"/>
          <w:szCs w:val="20"/>
        </w:rPr>
        <w:t xml:space="preserve"> « Ce sont les paroles cachées que Jésus le vivant a parlées et qu’a écrites Jumeau Jude Thomas » (p. 32, 10-12) et se terminant par le colophon – souvent l’équivalent d’un titre moderne – </w:t>
      </w:r>
      <w:r w:rsidR="007876E5" w:rsidRPr="007876E5">
        <w:rPr>
          <w:rFonts w:ascii="SPAchmim" w:hAnsi="SPAchmim" w:cs="Times New Roman"/>
          <w:sz w:val="20"/>
          <w:szCs w:val="20"/>
        </w:rPr>
        <w:t>peuaggelion pkataqwmas</w:t>
      </w:r>
      <w:r w:rsidR="007876E5">
        <w:rPr>
          <w:rFonts w:ascii="SPAchmim" w:hAnsi="SPAchmim" w:cs="Times New Roman"/>
          <w:sz w:val="20"/>
          <w:szCs w:val="20"/>
        </w:rPr>
        <w:t xml:space="preserve"> </w:t>
      </w:r>
      <w:r w:rsidR="007876E5" w:rsidRPr="007876E5">
        <w:rPr>
          <w:rFonts w:ascii="Times New Roman" w:hAnsi="Times New Roman" w:cs="Times New Roman"/>
          <w:sz w:val="20"/>
          <w:szCs w:val="20"/>
        </w:rPr>
        <w:t>« l’évangile selon Thomas » (bas de la p. 52)</w:t>
      </w:r>
      <w:r w:rsidR="007876E5">
        <w:rPr>
          <w:rFonts w:ascii="Times New Roman" w:hAnsi="Times New Roman" w:cs="Times New Roman"/>
          <w:sz w:val="20"/>
          <w:szCs w:val="20"/>
        </w:rPr>
        <w:t>, ces deux indications plaçant le texte sous le patronage de Thomas.</w:t>
      </w:r>
    </w:p>
  </w:footnote>
  <w:footnote w:id="32">
    <w:p w14:paraId="673DE1D4" w14:textId="77777777" w:rsidR="00BA5AA3" w:rsidRPr="00DF369C" w:rsidRDefault="00BA5AA3" w:rsidP="00DF369C">
      <w:pPr>
        <w:pStyle w:val="Notedebasdepage"/>
        <w:jc w:val="both"/>
        <w:rPr>
          <w:rFonts w:ascii="Times New Roman" w:hAnsi="Times New Roman" w:cs="Times New Roman"/>
        </w:rPr>
      </w:pPr>
      <w:r w:rsidRPr="00520BB5">
        <w:rPr>
          <w:rStyle w:val="Appelnotedebasdep"/>
          <w:rFonts w:ascii="Times New Roman" w:hAnsi="Times New Roman" w:cs="Times New Roman"/>
        </w:rPr>
        <w:footnoteRef/>
      </w:r>
      <w:r w:rsidRPr="00520BB5">
        <w:rPr>
          <w:rFonts w:ascii="Times New Roman" w:hAnsi="Times New Roman" w:cs="Times New Roman"/>
        </w:rPr>
        <w:t xml:space="preserve"> On pourrait citer par exemple un passage où Justin de Naplouse attribue </w:t>
      </w:r>
      <w:r w:rsidR="00BB1FCB" w:rsidRPr="00520BB5">
        <w:rPr>
          <w:rFonts w:ascii="Times New Roman" w:hAnsi="Times New Roman" w:cs="Times New Roman"/>
        </w:rPr>
        <w:t>à la communauté</w:t>
      </w:r>
      <w:r w:rsidRPr="00520BB5">
        <w:rPr>
          <w:rFonts w:ascii="Times New Roman" w:hAnsi="Times New Roman" w:cs="Times New Roman"/>
        </w:rPr>
        <w:t xml:space="preserve"> </w:t>
      </w:r>
      <w:r w:rsidR="00BB1FCB" w:rsidRPr="00520BB5">
        <w:rPr>
          <w:rFonts w:ascii="Times New Roman" w:hAnsi="Times New Roman" w:cs="Times New Roman"/>
        </w:rPr>
        <w:t xml:space="preserve">dont il se reconnaît comme membre les noms donnés à certains autres groupes : Εἰσὶν οὖν καὶ ἐγένοντο, ὦ φίλοι ἄνδρες, πολλοὶ οἳ ἄθεα καὶ βλάσφημα λέγειν καὶ πράττειν ἐδίδαξαν, ἐν ὀνόματι τοῦ Ἰησοῦ προσελθόντες · καὶ &lt;καλούμενοί&gt; εἰσιν ὑφ' ἡμῶν ἀπὸ τῆς προσωνυμίας τῶν ἀνδρῶν, ἐξ οὗπερ ἑκάστη διδαχὴ καὶ γνώμη ἤρξατο. </w:t>
      </w:r>
      <w:r w:rsidR="00570EEA" w:rsidRPr="00520BB5">
        <w:rPr>
          <w:rFonts w:ascii="Times New Roman" w:hAnsi="Times New Roman" w:cs="Times New Roman"/>
        </w:rPr>
        <w:t>[…]</w:t>
      </w:r>
      <w:r w:rsidR="00BB1FCB" w:rsidRPr="00520BB5">
        <w:rPr>
          <w:rFonts w:ascii="Times New Roman" w:hAnsi="Times New Roman" w:cs="Times New Roman"/>
        </w:rPr>
        <w:t xml:space="preserve"> Καὶ Χριστιανοὺς ἑαυτοὺς λέγουσιν, ὃν τρόπον οἱ ἐν τοῖς ἔθνεσι τὸ ὄνομα τοῦ θεοῦ ἐπιγράφουσι τοῖς χειροποιήτοις, καὶ ἀνόμοις καὶ ἀθέοις τελεταῖς κοινωνοῦσι. Καί εἰσιν αὐτῶν οἱ μέν τινες καλούμενοι Μαρκιανοί, οἱ δὲ Οὐαλεντινιανοί, οἱ δὲ Βασιλειδιανοί, οἱ δὲ Σατορνιλιανοί, καὶ ἄλλοι ἄλλῳ ὀνόματι, ἀπὸ τοῦ ἀρχηγέτου τῆς γνώμης ἕκαστος ὀνομαζόμενος, ὃν τρόπον καὶ ἕκαστος τῶν φιλοσοφεῖν νομιζόντων, ὡς ἐν ἀρχῇ προεῖπον, ἀπὸ τοῦ πατρὸς τοῦ λόγου τὸ ὄνομα ἧς φιλοσοφεῖ φιλοσοφίας ἡγεῖται φέρειν. « Sont donc advenus et existent encore chers amis, beaucoup de gens qui enseignent à dire et à faire des choses contraires à Dieu et blasphématoires, en s’avançant au nom de Jésus et ils sont &lt;appelés&gt;</w:t>
      </w:r>
      <w:r w:rsidR="00570EEA" w:rsidRPr="00520BB5">
        <w:rPr>
          <w:rFonts w:ascii="Times New Roman" w:hAnsi="Times New Roman" w:cs="Times New Roman"/>
        </w:rPr>
        <w:t xml:space="preserve"> par nous en se </w:t>
      </w:r>
      <w:r w:rsidR="00570EEA" w:rsidRPr="00DF369C">
        <w:rPr>
          <w:rFonts w:ascii="Times New Roman" w:hAnsi="Times New Roman" w:cs="Times New Roman"/>
        </w:rPr>
        <w:t xml:space="preserve">fondant sur le nom des hommes par qui chacun enseignement et chaque pensée a commencé. […] Et ils se disent “chrétiens” à la façon dont ceux qui sont chez les païens inscrivent le nom de Dieu sur des choses faites de leurs mains et participent en commun à des sacrifices contraires à la loi et à Dieu. Et parmi eux, certains sont appelés Marcionites, d’autres Valentiniens, Basilidiens, Satornilianins et d’autres d’un autre nom, chacun s’appelant </w:t>
      </w:r>
      <w:r w:rsidR="00F8623A" w:rsidRPr="00DF369C">
        <w:rPr>
          <w:rFonts w:ascii="Times New Roman" w:hAnsi="Times New Roman" w:cs="Times New Roman"/>
        </w:rPr>
        <w:t>du fondateur de la pensée à la façon donc chacun de ceux qui estiment faire de la philosophie, comme je l’ai dit au début, pense prendre leur nom du père du discours de la philosophie dont ils philosophent. »</w:t>
      </w:r>
      <w:r w:rsidR="00646268" w:rsidRPr="00DF369C">
        <w:rPr>
          <w:rFonts w:ascii="Times New Roman" w:hAnsi="Times New Roman" w:cs="Times New Roman"/>
        </w:rPr>
        <w:t xml:space="preserve"> (Justin de Naplouse, </w:t>
      </w:r>
      <w:r w:rsidR="00646268" w:rsidRPr="00DF369C">
        <w:rPr>
          <w:rFonts w:ascii="Times New Roman" w:hAnsi="Times New Roman" w:cs="Times New Roman"/>
          <w:i/>
          <w:iCs/>
        </w:rPr>
        <w:t>Dialogue avec Tryphon</w:t>
      </w:r>
      <w:r w:rsidR="00646268" w:rsidRPr="00DF369C">
        <w:rPr>
          <w:rFonts w:ascii="Times New Roman" w:hAnsi="Times New Roman" w:cs="Times New Roman"/>
        </w:rPr>
        <w:t xml:space="preserve">, </w:t>
      </w:r>
      <w:r w:rsidR="00055597" w:rsidRPr="00DF369C">
        <w:rPr>
          <w:rFonts w:ascii="Times New Roman" w:hAnsi="Times New Roman" w:cs="Times New Roman"/>
        </w:rPr>
        <w:t xml:space="preserve">35, 4 et 6) Je suis le texte édité par </w:t>
      </w:r>
      <w:r w:rsidR="00520BB5" w:rsidRPr="00DF369C">
        <w:rPr>
          <w:rFonts w:ascii="Times New Roman" w:hAnsi="Times New Roman" w:cs="Times New Roman"/>
        </w:rPr>
        <w:t xml:space="preserve">Philippe Bobichon dans </w:t>
      </w:r>
      <w:r w:rsidR="00520BB5" w:rsidRPr="00DF369C">
        <w:rPr>
          <w:rFonts w:ascii="Times New Roman" w:hAnsi="Times New Roman" w:cs="Times New Roman"/>
          <w:i/>
          <w:iCs/>
        </w:rPr>
        <w:t>Dialogue avec Tryphon</w:t>
      </w:r>
      <w:r w:rsidR="00520BB5" w:rsidRPr="00DF369C">
        <w:rPr>
          <w:rFonts w:ascii="Times New Roman" w:hAnsi="Times New Roman" w:cs="Times New Roman"/>
        </w:rPr>
        <w:t xml:space="preserve">, coll. « Paradosis : études de littérature et de théologie anciennes », Fribourg, Academic Press, 2003. Le </w:t>
      </w:r>
      <w:r w:rsidR="00520BB5" w:rsidRPr="00DF369C">
        <w:rPr>
          <w:rFonts w:ascii="Times New Roman" w:hAnsi="Times New Roman" w:cs="Times New Roman"/>
          <w:i/>
          <w:iCs/>
        </w:rPr>
        <w:t>Dialogue avec Tryphon</w:t>
      </w:r>
      <w:r w:rsidR="00520BB5" w:rsidRPr="00DF369C">
        <w:rPr>
          <w:rFonts w:ascii="Times New Roman" w:hAnsi="Times New Roman" w:cs="Times New Roman"/>
        </w:rPr>
        <w:t xml:space="preserve"> remonte au deuxième siècle.</w:t>
      </w:r>
    </w:p>
  </w:footnote>
  <w:footnote w:id="33">
    <w:p w14:paraId="4C0D6645" w14:textId="77777777" w:rsidR="00DF369C" w:rsidRPr="00DF369C" w:rsidRDefault="00DF369C" w:rsidP="00DF369C">
      <w:pPr>
        <w:pStyle w:val="Notedebasdepage"/>
        <w:jc w:val="both"/>
        <w:rPr>
          <w:rFonts w:ascii="Times New Roman" w:hAnsi="Times New Roman" w:cs="Times New Roman"/>
        </w:rPr>
      </w:pPr>
      <w:r w:rsidRPr="00DF369C">
        <w:rPr>
          <w:rStyle w:val="Appelnotedebasdep"/>
          <w:rFonts w:ascii="Times New Roman" w:hAnsi="Times New Roman" w:cs="Times New Roman"/>
        </w:rPr>
        <w:footnoteRef/>
      </w:r>
      <w:r w:rsidRPr="00DF369C">
        <w:rPr>
          <w:rFonts w:ascii="Times New Roman" w:hAnsi="Times New Roman" w:cs="Times New Roman"/>
        </w:rPr>
        <w:t xml:space="preserve"> On pourrait mentionner par exemple le </w:t>
      </w:r>
      <w:r w:rsidRPr="00DF369C">
        <w:rPr>
          <w:rFonts w:ascii="Times New Roman" w:hAnsi="Times New Roman" w:cs="Times New Roman"/>
          <w:i/>
          <w:iCs/>
        </w:rPr>
        <w:t>Contre les hérésies</w:t>
      </w:r>
      <w:r w:rsidRPr="00DF369C">
        <w:rPr>
          <w:rFonts w:ascii="Times New Roman" w:hAnsi="Times New Roman" w:cs="Times New Roman"/>
        </w:rPr>
        <w:t xml:space="preserve"> d’Irénée de Lyon, où il est question de ἡ λεγομένη γνωστικὴ αἵρεσις « le groupe appelé “gnostique” » (1, 5, 1) ou encore οἱ ῥηθησόμενοι ὑφ’ ἡμῶν ψευδωνύμως Γνωστικοί « ceux qui se donnent à eux-mêmes le nom mensonger de “gnostiques” » (1, 5, 1). Pour cette œuvre, datant du deuxième siècle, je suis le texte édité par Adelin Rousseau et Louis Doutreleau, avec la collaboration de Bertrand Hemmerdinger et Charles Mercier dans </w:t>
      </w:r>
      <w:r w:rsidRPr="00DF369C">
        <w:rPr>
          <w:rFonts w:ascii="Times New Roman" w:hAnsi="Times New Roman" w:cs="Times New Roman"/>
          <w:i/>
          <w:iCs/>
        </w:rPr>
        <w:t>Contre les hérésies</w:t>
      </w:r>
      <w:r w:rsidRPr="00DF369C">
        <w:rPr>
          <w:rFonts w:ascii="Times New Roman" w:hAnsi="Times New Roman" w:cs="Times New Roman"/>
        </w:rPr>
        <w:t>, Paris, Éditions du Cerf, coll. « Sources chrétiennes », 1979.</w:t>
      </w:r>
    </w:p>
  </w:footnote>
  <w:footnote w:id="34">
    <w:p w14:paraId="39194041" w14:textId="77777777" w:rsidR="003528EB" w:rsidRPr="00261785" w:rsidRDefault="00520BB5" w:rsidP="00261785">
      <w:pPr>
        <w:pStyle w:val="Notedebasdepage"/>
        <w:jc w:val="both"/>
        <w:rPr>
          <w:rFonts w:ascii="Times New Roman" w:hAnsi="Times New Roman" w:cs="Times New Roman"/>
        </w:rPr>
      </w:pPr>
      <w:r w:rsidRPr="00DF369C">
        <w:rPr>
          <w:rStyle w:val="Appelnotedebasdep"/>
          <w:rFonts w:ascii="Times New Roman" w:hAnsi="Times New Roman" w:cs="Times New Roman"/>
        </w:rPr>
        <w:footnoteRef/>
      </w:r>
      <w:r w:rsidRPr="00DF369C">
        <w:rPr>
          <w:rFonts w:ascii="Times New Roman" w:hAnsi="Times New Roman" w:cs="Times New Roman"/>
        </w:rPr>
        <w:t xml:space="preserve"> Dans le passage du </w:t>
      </w:r>
      <w:r w:rsidRPr="00DF369C">
        <w:rPr>
          <w:rFonts w:ascii="Times New Roman" w:hAnsi="Times New Roman" w:cs="Times New Roman"/>
          <w:i/>
          <w:iCs/>
        </w:rPr>
        <w:t>Dialogue avec Tryphon</w:t>
      </w:r>
      <w:r w:rsidRPr="00DF369C">
        <w:rPr>
          <w:rFonts w:ascii="Times New Roman" w:hAnsi="Times New Roman" w:cs="Times New Roman"/>
        </w:rPr>
        <w:t xml:space="preserve"> précédemm</w:t>
      </w:r>
      <w:r w:rsidRPr="00261785">
        <w:rPr>
          <w:rFonts w:ascii="Times New Roman" w:hAnsi="Times New Roman" w:cs="Times New Roman"/>
        </w:rPr>
        <w:t xml:space="preserve">ent cité, l’expression Καὶ Χριστιανοὺς ἑαυτοὺς λέγουσιν, ὃν τρόπον οἱ ἐν τοῖς ἔθνεσι τὸ ὄνομα τοῦ θεοῦ ἐπιγράφουσι τοῖς χειροποιήτοις « Et ils se disent “chrétiens” à la façon dont ceux qui sont chez les païens inscrivent le nom de Dieu sur des choses faites de leurs mains » (Justin de Naplouse, </w:t>
      </w:r>
      <w:r w:rsidRPr="00261785">
        <w:rPr>
          <w:rFonts w:ascii="Times New Roman" w:hAnsi="Times New Roman" w:cs="Times New Roman"/>
          <w:i/>
          <w:iCs/>
        </w:rPr>
        <w:t>Dialogue avec Tryphon</w:t>
      </w:r>
      <w:r w:rsidRPr="00261785">
        <w:rPr>
          <w:rFonts w:ascii="Times New Roman" w:hAnsi="Times New Roman" w:cs="Times New Roman"/>
        </w:rPr>
        <w:t xml:space="preserve">, 35, 4) peut faire référence à des livres écrits de la main des groupes mentionnés mais le faire ἐπιγράφω « inscrire » peut aussi désigner des mots écrits, par exemple, sur des statues. </w:t>
      </w:r>
      <w:r w:rsidR="00D74C6A" w:rsidRPr="00261785">
        <w:rPr>
          <w:rFonts w:ascii="Times New Roman" w:hAnsi="Times New Roman" w:cs="Times New Roman"/>
        </w:rPr>
        <w:t xml:space="preserve">L’expression </w:t>
      </w:r>
      <w:r w:rsidR="00D74C6A" w:rsidRPr="00261785">
        <w:rPr>
          <w:rFonts w:ascii="Times New Roman" w:hAnsi="Times New Roman" w:cs="Times New Roman"/>
          <w:lang w:val="en-US"/>
        </w:rPr>
        <w:t>μάταιοι</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οὖν</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οἱ</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ἀπὸ</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Οὐαλεντίνου</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τοῦτο</w:t>
      </w:r>
      <w:r w:rsidR="00D74C6A" w:rsidRPr="00261785">
        <w:rPr>
          <w:rFonts w:ascii="Times New Roman" w:hAnsi="Times New Roman" w:cs="Times New Roman"/>
        </w:rPr>
        <w:t xml:space="preserve"> </w:t>
      </w:r>
      <w:r w:rsidR="00D74C6A" w:rsidRPr="00261785">
        <w:rPr>
          <w:rFonts w:ascii="Times New Roman" w:hAnsi="Times New Roman" w:cs="Times New Roman"/>
          <w:lang w:val="en-US"/>
        </w:rPr>
        <w:t>δογματίζοντες</w:t>
      </w:r>
      <w:r w:rsidR="00D74C6A" w:rsidRPr="00261785">
        <w:rPr>
          <w:rFonts w:ascii="Times New Roman" w:hAnsi="Times New Roman" w:cs="Times New Roman"/>
        </w:rPr>
        <w:t xml:space="preserve"> « c’est donc en vrai que ceux issus de Valentin proclament cela » chez Irénée de Lyon (</w:t>
      </w:r>
      <w:r w:rsidR="00D74C6A" w:rsidRPr="00261785">
        <w:rPr>
          <w:rFonts w:ascii="Times New Roman" w:hAnsi="Times New Roman" w:cs="Times New Roman"/>
          <w:i/>
          <w:iCs/>
        </w:rPr>
        <w:t>Contre les hérésies</w:t>
      </w:r>
      <w:r w:rsidR="00D74C6A" w:rsidRPr="00261785">
        <w:rPr>
          <w:rFonts w:ascii="Times New Roman" w:hAnsi="Times New Roman" w:cs="Times New Roman"/>
        </w:rPr>
        <w:t>, fragment 3) pourrait elle aussi faire référence à des proclamations écrites. (</w:t>
      </w:r>
      <w:r w:rsidR="00DF369C" w:rsidRPr="00261785">
        <w:rPr>
          <w:rFonts w:ascii="Times New Roman" w:hAnsi="Times New Roman" w:cs="Times New Roman"/>
        </w:rPr>
        <w:t>J</w:t>
      </w:r>
      <w:r w:rsidR="001130B6" w:rsidRPr="00261785">
        <w:rPr>
          <w:rFonts w:ascii="Times New Roman" w:hAnsi="Times New Roman" w:cs="Times New Roman"/>
        </w:rPr>
        <w:t>e</w:t>
      </w:r>
      <w:r w:rsidR="00D74C6A" w:rsidRPr="00261785">
        <w:rPr>
          <w:rFonts w:ascii="Times New Roman" w:hAnsi="Times New Roman" w:cs="Times New Roman"/>
        </w:rPr>
        <w:t xml:space="preserve"> suis le texte édité par François Sagnard dans </w:t>
      </w:r>
      <w:r w:rsidR="00D74C6A" w:rsidRPr="00261785">
        <w:rPr>
          <w:rFonts w:ascii="Times New Roman" w:hAnsi="Times New Roman" w:cs="Times New Roman"/>
          <w:i/>
          <w:iCs/>
        </w:rPr>
        <w:t xml:space="preserve">Contre les hérésies : mise en lumière et réfutation de la prétendue « connaissance » Livre </w:t>
      </w:r>
      <w:r w:rsidR="00D74C6A" w:rsidRPr="00261785">
        <w:rPr>
          <w:rFonts w:ascii="Times New Roman" w:hAnsi="Times New Roman" w:cs="Times New Roman"/>
          <w:i/>
          <w:iCs/>
          <w:smallCaps/>
        </w:rPr>
        <w:t>iii</w:t>
      </w:r>
      <w:r w:rsidR="00D74C6A" w:rsidRPr="00261785">
        <w:rPr>
          <w:rFonts w:ascii="Times New Roman" w:hAnsi="Times New Roman" w:cs="Times New Roman"/>
        </w:rPr>
        <w:t xml:space="preserve">, Paris, Éditions du Cerf, coll. « Sources chrétiennes », 1952.) La même question se pose pour l’ensemble des références aux idées des Valentiniens dans les </w:t>
      </w:r>
      <w:r w:rsidR="00D74C6A" w:rsidRPr="00261785">
        <w:rPr>
          <w:rFonts w:ascii="Times New Roman" w:hAnsi="Times New Roman" w:cs="Times New Roman"/>
          <w:i/>
          <w:iCs/>
        </w:rPr>
        <w:t>Extraits des œuvres de Théodote</w:t>
      </w:r>
      <w:r w:rsidR="00D74C6A" w:rsidRPr="00261785">
        <w:rPr>
          <w:rFonts w:ascii="Times New Roman" w:hAnsi="Times New Roman" w:cs="Times New Roman"/>
        </w:rPr>
        <w:t xml:space="preserve"> de Clément d’Alexandrie, introduites par des expressions telles que Λέγουσιν οἱ Οὐαλεντινιανοί « Les Valentiniens disent » (25, 1) ou Τὸν ἄγγελον ὡρίσαντο οἱ ἀπὸ Οὐαλεντίνου « Ceux qui viennent de Valentin définissent l’ange » (26, 1). (Pour cette œuvre</w:t>
      </w:r>
      <w:r w:rsidR="001130B6" w:rsidRPr="00261785">
        <w:rPr>
          <w:rFonts w:ascii="Times New Roman" w:hAnsi="Times New Roman" w:cs="Times New Roman"/>
        </w:rPr>
        <w:t xml:space="preserve"> remontant à la fin du deuxième ou au début du troisième siècle</w:t>
      </w:r>
      <w:r w:rsidR="00D74C6A" w:rsidRPr="00261785">
        <w:rPr>
          <w:rFonts w:ascii="Times New Roman" w:hAnsi="Times New Roman" w:cs="Times New Roman"/>
        </w:rPr>
        <w:t xml:space="preserve">, je suis le texte édité par François Sagnard dans </w:t>
      </w:r>
      <w:r w:rsidR="00D74C6A" w:rsidRPr="00261785">
        <w:rPr>
          <w:rFonts w:ascii="Times New Roman" w:hAnsi="Times New Roman" w:cs="Times New Roman"/>
          <w:i/>
          <w:iCs/>
        </w:rPr>
        <w:t>Extraits de Théodo</w:t>
      </w:r>
      <w:r w:rsidR="001130B6" w:rsidRPr="00261785">
        <w:rPr>
          <w:rFonts w:ascii="Times New Roman" w:hAnsi="Times New Roman" w:cs="Times New Roman"/>
          <w:i/>
          <w:iCs/>
        </w:rPr>
        <w:t>t</w:t>
      </w:r>
      <w:r w:rsidR="00D74C6A" w:rsidRPr="00261785">
        <w:rPr>
          <w:rFonts w:ascii="Times New Roman" w:hAnsi="Times New Roman" w:cs="Times New Roman"/>
          <w:i/>
          <w:iCs/>
        </w:rPr>
        <w:t>e</w:t>
      </w:r>
      <w:r w:rsidR="00D74C6A" w:rsidRPr="00261785">
        <w:rPr>
          <w:rFonts w:ascii="Times New Roman" w:hAnsi="Times New Roman" w:cs="Times New Roman"/>
        </w:rPr>
        <w:t>, Paris, Éditions du Cerf, coll. « Sources chrétiennes », 1948.)</w:t>
      </w:r>
    </w:p>
  </w:footnote>
  <w:footnote w:id="35">
    <w:p w14:paraId="18C2D9A1" w14:textId="77777777" w:rsidR="00895C36" w:rsidRPr="00261785" w:rsidRDefault="00895C36" w:rsidP="00261785">
      <w:pPr>
        <w:pStyle w:val="Notedebasdepage"/>
        <w:jc w:val="both"/>
        <w:rPr>
          <w:rFonts w:ascii="Times New Roman" w:hAnsi="Times New Roman" w:cs="Times New Roman"/>
        </w:rPr>
      </w:pPr>
      <w:r w:rsidRPr="00261785">
        <w:rPr>
          <w:rStyle w:val="Appelnotedebasdep"/>
          <w:rFonts w:ascii="Times New Roman" w:hAnsi="Times New Roman" w:cs="Times New Roman"/>
        </w:rPr>
        <w:footnoteRef/>
      </w:r>
      <w:r w:rsidRPr="00261785">
        <w:rPr>
          <w:rFonts w:ascii="Times New Roman" w:hAnsi="Times New Roman" w:cs="Times New Roman"/>
        </w:rPr>
        <w:t xml:space="preserve"> </w:t>
      </w:r>
      <w:r w:rsidRPr="00261785">
        <w:rPr>
          <w:rFonts w:ascii="Times New Roman" w:hAnsi="Times New Roman" w:cs="Times New Roman"/>
          <w:i/>
          <w:iCs/>
        </w:rPr>
        <w:t>Cf.</w:t>
      </w:r>
      <w:r w:rsidRPr="00261785">
        <w:rPr>
          <w:rFonts w:ascii="Times New Roman" w:hAnsi="Times New Roman" w:cs="Times New Roman"/>
        </w:rPr>
        <w:t xml:space="preserve"> Alain Le Boulluec, </w:t>
      </w:r>
      <w:r w:rsidRPr="00261785">
        <w:rPr>
          <w:rFonts w:ascii="Times New Roman" w:hAnsi="Times New Roman" w:cs="Times New Roman"/>
          <w:i/>
          <w:iCs/>
        </w:rPr>
        <w:t xml:space="preserve">La notion d’hérésie dans la littérature grecque, </w:t>
      </w:r>
      <w:r w:rsidRPr="00261785">
        <w:rPr>
          <w:rFonts w:ascii="Times New Roman" w:hAnsi="Times New Roman" w:cs="Times New Roman"/>
          <w:i/>
          <w:iCs/>
          <w:smallCaps/>
        </w:rPr>
        <w:t>ii</w:t>
      </w:r>
      <w:r w:rsidRPr="00261785">
        <w:rPr>
          <w:rFonts w:ascii="Times New Roman" w:hAnsi="Times New Roman" w:cs="Times New Roman"/>
          <w:i/>
          <w:iCs/>
          <w:vertAlign w:val="superscript"/>
        </w:rPr>
        <w:t>e</w:t>
      </w:r>
      <w:r w:rsidRPr="00261785">
        <w:rPr>
          <w:rFonts w:ascii="Times New Roman" w:hAnsi="Times New Roman" w:cs="Times New Roman"/>
          <w:i/>
          <w:iCs/>
        </w:rPr>
        <w:t>-</w:t>
      </w:r>
      <w:r w:rsidRPr="00261785">
        <w:rPr>
          <w:rFonts w:ascii="Times New Roman" w:hAnsi="Times New Roman" w:cs="Times New Roman"/>
          <w:i/>
          <w:iCs/>
          <w:smallCaps/>
        </w:rPr>
        <w:t>iii</w:t>
      </w:r>
      <w:r w:rsidRPr="00261785">
        <w:rPr>
          <w:rFonts w:ascii="Times New Roman" w:hAnsi="Times New Roman" w:cs="Times New Roman"/>
          <w:i/>
          <w:iCs/>
          <w:vertAlign w:val="superscript"/>
        </w:rPr>
        <w:t>e</w:t>
      </w:r>
      <w:r w:rsidRPr="00261785">
        <w:rPr>
          <w:rFonts w:ascii="Times New Roman" w:hAnsi="Times New Roman" w:cs="Times New Roman"/>
          <w:i/>
          <w:iCs/>
        </w:rPr>
        <w:t>siècles</w:t>
      </w:r>
      <w:r w:rsidRPr="00261785">
        <w:rPr>
          <w:rFonts w:ascii="Times New Roman" w:hAnsi="Times New Roman" w:cs="Times New Roman"/>
        </w:rPr>
        <w:t>, Paris, Études augistiniennes, coll. « Collection des études augustiniennes. Série Antiquité », 1985.</w:t>
      </w:r>
    </w:p>
  </w:footnote>
  <w:footnote w:id="36">
    <w:p w14:paraId="0623AB11" w14:textId="77777777" w:rsidR="00895C36" w:rsidRPr="00532595" w:rsidRDefault="00895C36" w:rsidP="00532595">
      <w:pPr>
        <w:pStyle w:val="Notedebasdepage"/>
        <w:jc w:val="both"/>
        <w:rPr>
          <w:rFonts w:ascii="Times New Roman" w:hAnsi="Times New Roman" w:cs="Times New Roman"/>
        </w:rPr>
      </w:pPr>
      <w:r w:rsidRPr="00261785">
        <w:rPr>
          <w:rStyle w:val="Appelnotedebasdep"/>
          <w:rFonts w:ascii="Times New Roman" w:hAnsi="Times New Roman" w:cs="Times New Roman"/>
        </w:rPr>
        <w:footnoteRef/>
      </w:r>
      <w:r w:rsidRPr="00261785">
        <w:rPr>
          <w:rFonts w:ascii="Times New Roman" w:hAnsi="Times New Roman" w:cs="Times New Roman"/>
        </w:rPr>
        <w:t xml:space="preserve"> </w:t>
      </w:r>
      <w:r w:rsidR="002B2B50" w:rsidRPr="00261785">
        <w:rPr>
          <w:rFonts w:ascii="Times New Roman" w:hAnsi="Times New Roman" w:cs="Times New Roman"/>
          <w:i/>
          <w:iCs/>
        </w:rPr>
        <w:t xml:space="preserve">Cf. </w:t>
      </w:r>
      <w:r w:rsidR="002B2B50" w:rsidRPr="00261785">
        <w:rPr>
          <w:rFonts w:ascii="Times New Roman" w:hAnsi="Times New Roman" w:cs="Times New Roman"/>
        </w:rPr>
        <w:t xml:space="preserve">Daniel Alain Bertrand, « La notion d’apocryphe dans l’argumentation de la </w:t>
      </w:r>
      <w:r w:rsidR="002B2B50" w:rsidRPr="00261785">
        <w:rPr>
          <w:rFonts w:ascii="Times New Roman" w:hAnsi="Times New Roman" w:cs="Times New Roman"/>
          <w:i/>
          <w:iCs/>
        </w:rPr>
        <w:t>Réfutation de toutes les hérésies</w:t>
      </w:r>
      <w:r w:rsidR="002B2B50" w:rsidRPr="00261785">
        <w:rPr>
          <w:rFonts w:ascii="Times New Roman" w:hAnsi="Times New Roman" w:cs="Times New Roman"/>
        </w:rPr>
        <w:t xml:space="preserve"> », dans Simon Claude Mimouni, avec la collaboration de Constantinos Macris (dir.), </w:t>
      </w:r>
      <w:r w:rsidR="002B2B50" w:rsidRPr="00261785">
        <w:rPr>
          <w:rFonts w:ascii="Times New Roman" w:hAnsi="Times New Roman" w:cs="Times New Roman"/>
          <w:i/>
          <w:iCs/>
        </w:rPr>
        <w:t>Apocryphité : histoire d’un concept transversal aux religions du livre : en hommage à Pierre Geoltrain</w:t>
      </w:r>
      <w:r w:rsidR="002B2B50" w:rsidRPr="00261785">
        <w:rPr>
          <w:rFonts w:ascii="Times New Roman" w:hAnsi="Times New Roman" w:cs="Times New Roman"/>
        </w:rPr>
        <w:t>, Turnhout, Brepols, coll. « Bibliothèque de l’école des hautes études. Sciences religieuses », 2002, p. 131-140.</w:t>
      </w:r>
      <w:r w:rsidR="002B2B50" w:rsidRPr="00261785">
        <w:rPr>
          <w:rFonts w:ascii="Times New Roman" w:hAnsi="Times New Roman" w:cs="Times New Roman"/>
          <w:i/>
          <w:iCs/>
        </w:rPr>
        <w:t xml:space="preserve"> </w:t>
      </w:r>
      <w:r w:rsidRPr="00261785">
        <w:rPr>
          <w:rFonts w:ascii="Times New Roman" w:hAnsi="Times New Roman" w:cs="Times New Roman"/>
        </w:rPr>
        <w:t xml:space="preserve">L’utilisation de ces caractérisations par la recherche, y compris contemporaine, comme des catégories historiographiques, n’est pas sans poser problème, comme l’a montré, par exemple, </w:t>
      </w:r>
      <w:r w:rsidR="002B2B50" w:rsidRPr="00261785">
        <w:rPr>
          <w:rFonts w:ascii="Times New Roman" w:hAnsi="Times New Roman" w:cs="Times New Roman"/>
        </w:rPr>
        <w:t xml:space="preserve">André </w:t>
      </w:r>
      <w:r w:rsidR="002B2B50" w:rsidRPr="00532595">
        <w:rPr>
          <w:rFonts w:ascii="Times New Roman" w:hAnsi="Times New Roman" w:cs="Times New Roman"/>
        </w:rPr>
        <w:t>Gagné dans une communication au 5</w:t>
      </w:r>
      <w:r w:rsidR="002B2B50" w:rsidRPr="00532595">
        <w:rPr>
          <w:rFonts w:ascii="Times New Roman" w:hAnsi="Times New Roman" w:cs="Times New Roman"/>
          <w:vertAlign w:val="superscript"/>
        </w:rPr>
        <w:t>th</w:t>
      </w:r>
      <w:r w:rsidR="002B2B50" w:rsidRPr="00532595">
        <w:rPr>
          <w:rFonts w:ascii="Times New Roman" w:hAnsi="Times New Roman" w:cs="Times New Roman"/>
        </w:rPr>
        <w:t xml:space="preserve"> Enoch Graduate Seminar (Montréal, 2014), « What is Gnosticism? Reassessing the Nomenclature ».</w:t>
      </w:r>
      <w:r w:rsidRPr="00532595">
        <w:rPr>
          <w:rFonts w:ascii="Times New Roman" w:hAnsi="Times New Roman" w:cs="Times New Roman"/>
        </w:rPr>
        <w:t xml:space="preserve"> </w:t>
      </w:r>
    </w:p>
  </w:footnote>
  <w:footnote w:id="37">
    <w:p w14:paraId="216659C9" w14:textId="77777777" w:rsidR="00261785" w:rsidRPr="00532595" w:rsidRDefault="00261785" w:rsidP="00532595">
      <w:pPr>
        <w:pStyle w:val="Notedebasdepage"/>
        <w:jc w:val="both"/>
        <w:rPr>
          <w:rFonts w:ascii="Times New Roman" w:hAnsi="Times New Roman" w:cs="Times New Roman"/>
        </w:rPr>
      </w:pPr>
      <w:r w:rsidRPr="00532595">
        <w:rPr>
          <w:rStyle w:val="Appelnotedebasdep"/>
          <w:rFonts w:ascii="Times New Roman" w:hAnsi="Times New Roman" w:cs="Times New Roman"/>
        </w:rPr>
        <w:footnoteRef/>
      </w:r>
      <w:r w:rsidRPr="00532595">
        <w:rPr>
          <w:rFonts w:ascii="Times New Roman" w:hAnsi="Times New Roman" w:cs="Times New Roman"/>
        </w:rPr>
        <w:t xml:space="preserve"> Pierre Bayard, </w:t>
      </w:r>
      <w:r w:rsidRPr="00532595">
        <w:rPr>
          <w:rFonts w:ascii="Times New Roman" w:hAnsi="Times New Roman" w:cs="Times New Roman"/>
          <w:i/>
          <w:iCs/>
        </w:rPr>
        <w:t>Et si les œuvres changeaient d’auteurs ?</w:t>
      </w:r>
      <w:r w:rsidRPr="00532595">
        <w:rPr>
          <w:rFonts w:ascii="Times New Roman" w:hAnsi="Times New Roman" w:cs="Times New Roman"/>
        </w:rPr>
        <w:t xml:space="preserve">, </w:t>
      </w:r>
      <w:r w:rsidRPr="00532595">
        <w:rPr>
          <w:rFonts w:ascii="Times New Roman" w:hAnsi="Times New Roman" w:cs="Times New Roman"/>
          <w:i/>
          <w:iCs/>
        </w:rPr>
        <w:t>op. cit.</w:t>
      </w:r>
      <w:r w:rsidRPr="00532595">
        <w:rPr>
          <w:rFonts w:ascii="Times New Roman" w:hAnsi="Times New Roman" w:cs="Times New Roman"/>
        </w:rPr>
        <w:t>, p. 40.</w:t>
      </w:r>
    </w:p>
  </w:footnote>
  <w:footnote w:id="38">
    <w:p w14:paraId="6E8F26BE" w14:textId="77777777" w:rsidR="00261785" w:rsidRPr="00814258" w:rsidRDefault="00261785" w:rsidP="00814258">
      <w:pPr>
        <w:pStyle w:val="Notedebasdepage"/>
        <w:jc w:val="both"/>
        <w:rPr>
          <w:rFonts w:ascii="Times New Roman" w:hAnsi="Times New Roman" w:cs="Times New Roman"/>
        </w:rPr>
      </w:pPr>
      <w:r w:rsidRPr="00532595">
        <w:rPr>
          <w:rStyle w:val="Appelnotedebasdep"/>
          <w:rFonts w:ascii="Times New Roman" w:hAnsi="Times New Roman" w:cs="Times New Roman"/>
        </w:rPr>
        <w:footnoteRef/>
      </w:r>
      <w:r w:rsidRPr="00532595">
        <w:rPr>
          <w:rFonts w:ascii="Times New Roman" w:hAnsi="Times New Roman" w:cs="Times New Roman"/>
        </w:rPr>
        <w:t xml:space="preserve"> De fait, un texte tel que la « Prière de l’apôtre Paul », le premier texte du </w:t>
      </w:r>
      <w:r w:rsidRPr="00532595">
        <w:rPr>
          <w:rFonts w:ascii="Times New Roman" w:hAnsi="Times New Roman" w:cs="Times New Roman"/>
          <w:i/>
          <w:iCs/>
        </w:rPr>
        <w:t>codex</w:t>
      </w:r>
      <w:r w:rsidRPr="00532595">
        <w:rPr>
          <w:rFonts w:ascii="Times New Roman" w:hAnsi="Times New Roman" w:cs="Times New Roman"/>
        </w:rPr>
        <w:t xml:space="preserve"> 1 de Nag Hammadi, ne dépareillerait pas parmi les lettres authentiques de Paul rassemblées dans le Nouveau Testament. On peut comparer </w:t>
      </w:r>
      <w:r w:rsidR="00532595" w:rsidRPr="00532595">
        <w:rPr>
          <w:rFonts w:ascii="Times New Roman" w:hAnsi="Times New Roman" w:cs="Times New Roman"/>
        </w:rPr>
        <w:t>ainsi la fin de ce texte et la fin de l’</w:t>
      </w:r>
      <w:r w:rsidR="00532595" w:rsidRPr="00532595">
        <w:rPr>
          <w:rFonts w:ascii="Times New Roman" w:hAnsi="Times New Roman" w:cs="Times New Roman"/>
          <w:i/>
          <w:iCs/>
        </w:rPr>
        <w:t>Épître aux Romains</w:t>
      </w:r>
      <w:r w:rsidR="00532595" w:rsidRPr="00532595">
        <w:rPr>
          <w:rFonts w:ascii="Times New Roman" w:hAnsi="Times New Roman" w:cs="Times New Roman"/>
        </w:rPr>
        <w:t xml:space="preserve"> : « Puisque j’ai la foi et l’espérance, gratifie-moi de ta grandeur bien-aimée, élue, bénie, le Premier-Né, le Premier Engendré, et le mystère merveilleux de ta maison. Car, c’est à toi qu’appartiennent la puissance, la gloire, la bénédiction et la ma[jesté] d’éternité en éternité. [Amen]. Prière de Paul, l’apôtre. En paix ! Christ est saint  ! » (fin de la « Prière de l’apôtre Paul », dans la traduction de Jean-Daniel Dubois ; URL : </w:t>
      </w:r>
      <w:hyperlink r:id="rId3" w:history="1">
        <w:r w:rsidR="00532595" w:rsidRPr="00532595">
          <w:rPr>
            <w:rStyle w:val="Lienhypertexte"/>
            <w:rFonts w:ascii="Times New Roman" w:hAnsi="Times New Roman" w:cs="Times New Roman"/>
          </w:rPr>
          <w:t>https://www.naghammadi.org/sites/naghammadi.org/files/uploads/traductions/NH-I-1-Pri%C3%A8re-de-lap%C3%B4tre-Paul.pdf</w:t>
        </w:r>
      </w:hyperlink>
      <w:r w:rsidR="00532595" w:rsidRPr="00532595">
        <w:rPr>
          <w:rFonts w:ascii="Times New Roman" w:hAnsi="Times New Roman" w:cs="Times New Roman"/>
        </w:rPr>
        <w:t xml:space="preserve">, page consultée le 22 décembre 2024) ; « Et à celui qui a la puissance de vous fortifier selon mon évangile et selon la prédication de Jésus Christ, selon la révélation du mystère </w:t>
      </w:r>
      <w:r w:rsidR="00532595" w:rsidRPr="00814258">
        <w:rPr>
          <w:rFonts w:ascii="Times New Roman" w:hAnsi="Times New Roman" w:cs="Times New Roman"/>
        </w:rPr>
        <w:t>tenu dans le silence pendant des temps éternels, mais qui a maintenant été manifesté et a été, par des écrits prophétiques selon l’ordre de Dieu éternel, fait connaître à l’écoute de la foi pour toutes les nations, à Dieu le seul sage, par Jésus Christ, la gloire pour les éternités. Amen. » (</w:t>
      </w:r>
      <w:r w:rsidR="00532595" w:rsidRPr="00814258">
        <w:rPr>
          <w:rFonts w:ascii="Times New Roman" w:hAnsi="Times New Roman" w:cs="Times New Roman"/>
          <w:i/>
          <w:iCs/>
        </w:rPr>
        <w:t>Épître aux Romains</w:t>
      </w:r>
      <w:r w:rsidR="00532595" w:rsidRPr="00814258">
        <w:rPr>
          <w:rFonts w:ascii="Times New Roman" w:hAnsi="Times New Roman" w:cs="Times New Roman"/>
        </w:rPr>
        <w:t xml:space="preserve"> 16, 25-27, traduction personnelle).</w:t>
      </w:r>
      <w:r w:rsidRPr="00814258">
        <w:rPr>
          <w:rFonts w:ascii="Times New Roman" w:hAnsi="Times New Roman" w:cs="Times New Roman"/>
        </w:rPr>
        <w:t xml:space="preserve"> </w:t>
      </w:r>
    </w:p>
  </w:footnote>
  <w:footnote w:id="39">
    <w:p w14:paraId="04CE461B" w14:textId="77777777" w:rsidR="00B33A13" w:rsidRPr="00814258" w:rsidRDefault="00B33A13" w:rsidP="00814258">
      <w:pPr>
        <w:pStyle w:val="Notedebasdepage"/>
        <w:jc w:val="both"/>
        <w:rPr>
          <w:rFonts w:ascii="Times New Roman" w:hAnsi="Times New Roman" w:cs="Times New Roman"/>
        </w:rPr>
      </w:pPr>
      <w:r w:rsidRPr="00814258">
        <w:rPr>
          <w:rStyle w:val="Appelnotedebasdep"/>
          <w:rFonts w:ascii="Times New Roman" w:hAnsi="Times New Roman" w:cs="Times New Roman"/>
        </w:rPr>
        <w:footnoteRef/>
      </w:r>
      <w:r w:rsidRPr="00814258">
        <w:rPr>
          <w:rFonts w:ascii="Times New Roman" w:hAnsi="Times New Roman" w:cs="Times New Roman"/>
        </w:rPr>
        <w:t xml:space="preserve"> </w:t>
      </w:r>
      <w:r w:rsidRPr="00814258">
        <w:rPr>
          <w:rFonts w:ascii="Times New Roman" w:hAnsi="Times New Roman" w:cs="Times New Roman"/>
          <w:i/>
          <w:iCs/>
        </w:rPr>
        <w:t>Hypostase des archontes</w:t>
      </w:r>
      <w:r w:rsidRPr="00814258">
        <w:rPr>
          <w:rFonts w:ascii="Times New Roman" w:hAnsi="Times New Roman" w:cs="Times New Roman"/>
        </w:rPr>
        <w:t xml:space="preserve"> p. 92 notamment.</w:t>
      </w:r>
    </w:p>
  </w:footnote>
  <w:footnote w:id="40">
    <w:p w14:paraId="78642FAE" w14:textId="77777777" w:rsidR="00B33A13" w:rsidRPr="00814258" w:rsidRDefault="00B33A13" w:rsidP="00814258">
      <w:pPr>
        <w:pStyle w:val="Notedebasdepage"/>
        <w:jc w:val="both"/>
        <w:rPr>
          <w:rFonts w:ascii="Times New Roman" w:hAnsi="Times New Roman" w:cs="Times New Roman"/>
        </w:rPr>
      </w:pPr>
      <w:r w:rsidRPr="00814258">
        <w:rPr>
          <w:rStyle w:val="Appelnotedebasdep"/>
          <w:rFonts w:ascii="Times New Roman" w:hAnsi="Times New Roman" w:cs="Times New Roman"/>
        </w:rPr>
        <w:footnoteRef/>
      </w:r>
      <w:r w:rsidRPr="00814258">
        <w:rPr>
          <w:rFonts w:ascii="Times New Roman" w:hAnsi="Times New Roman" w:cs="Times New Roman"/>
        </w:rPr>
        <w:t xml:space="preserve"> </w:t>
      </w:r>
      <w:r w:rsidRPr="00814258">
        <w:rPr>
          <w:rFonts w:ascii="Times New Roman" w:hAnsi="Times New Roman" w:cs="Times New Roman"/>
          <w:i/>
          <w:iCs/>
        </w:rPr>
        <w:t>Hypostase des archontes</w:t>
      </w:r>
      <w:r w:rsidRPr="00814258">
        <w:rPr>
          <w:rFonts w:ascii="Times New Roman" w:hAnsi="Times New Roman" w:cs="Times New Roman"/>
        </w:rPr>
        <w:t xml:space="preserve"> p. 93 </w:t>
      </w:r>
      <w:r w:rsidRPr="00814258">
        <w:rPr>
          <w:rFonts w:ascii="Times New Roman" w:hAnsi="Times New Roman" w:cs="Times New Roman"/>
          <w:i/>
          <w:iCs/>
        </w:rPr>
        <w:t>sq.</w:t>
      </w:r>
    </w:p>
  </w:footnote>
  <w:footnote w:id="41">
    <w:p w14:paraId="3686170E" w14:textId="77777777" w:rsidR="00CD5BBD" w:rsidRPr="00814258" w:rsidRDefault="00CD5BBD" w:rsidP="00814258">
      <w:pPr>
        <w:pStyle w:val="Notedebasdepage"/>
        <w:jc w:val="both"/>
        <w:rPr>
          <w:rFonts w:ascii="Times New Roman" w:hAnsi="Times New Roman" w:cs="Times New Roman"/>
        </w:rPr>
      </w:pPr>
      <w:r w:rsidRPr="00814258">
        <w:rPr>
          <w:rStyle w:val="Appelnotedebasdep"/>
          <w:rFonts w:ascii="Times New Roman" w:hAnsi="Times New Roman" w:cs="Times New Roman"/>
        </w:rPr>
        <w:footnoteRef/>
      </w:r>
      <w:r w:rsidRPr="00814258">
        <w:rPr>
          <w:rFonts w:ascii="Times New Roman" w:hAnsi="Times New Roman" w:cs="Times New Roman"/>
        </w:rPr>
        <w:t xml:space="preserve"> </w:t>
      </w:r>
      <w:r w:rsidRPr="00814258">
        <w:rPr>
          <w:rFonts w:ascii="Times New Roman" w:hAnsi="Times New Roman" w:cs="Times New Roman"/>
          <w:i/>
          <w:iCs/>
        </w:rPr>
        <w:t>Évangile selon Jean</w:t>
      </w:r>
      <w:r w:rsidRPr="00814258">
        <w:rPr>
          <w:rFonts w:ascii="Times New Roman" w:hAnsi="Times New Roman" w:cs="Times New Roman"/>
        </w:rPr>
        <w:t xml:space="preserve"> 1, 1-2.</w:t>
      </w:r>
      <w:r w:rsidR="00814258" w:rsidRPr="00814258">
        <w:rPr>
          <w:rFonts w:ascii="Times New Roman" w:hAnsi="Times New Roman" w:cs="Times New Roman"/>
        </w:rPr>
        <w:t xml:space="preserve"> </w:t>
      </w:r>
    </w:p>
  </w:footnote>
  <w:footnote w:id="42">
    <w:p w14:paraId="512F3CB1" w14:textId="77777777" w:rsidR="00CD5BBD" w:rsidRPr="00BC3EC2" w:rsidRDefault="00CD5BBD" w:rsidP="00814258">
      <w:pPr>
        <w:pStyle w:val="Notedebasdepage"/>
        <w:jc w:val="both"/>
        <w:rPr>
          <w:rFonts w:ascii="Times New Roman" w:hAnsi="Times New Roman" w:cs="Times New Roman"/>
        </w:rPr>
      </w:pPr>
      <w:r w:rsidRPr="00BC3EC2">
        <w:rPr>
          <w:rStyle w:val="Appelnotedebasdep"/>
          <w:rFonts w:ascii="Times New Roman" w:hAnsi="Times New Roman" w:cs="Times New Roman"/>
        </w:rPr>
        <w:footnoteRef/>
      </w:r>
      <w:r w:rsidR="00814258" w:rsidRPr="00BC3EC2">
        <w:rPr>
          <w:rFonts w:ascii="Times New Roman" w:hAnsi="Times New Roman" w:cs="Times New Roman"/>
        </w:rPr>
        <w:t xml:space="preserve"> Jean Doresse, </w:t>
      </w:r>
      <w:r w:rsidR="00814258" w:rsidRPr="00BC3EC2">
        <w:rPr>
          <w:rFonts w:ascii="Times New Roman" w:hAnsi="Times New Roman" w:cs="Times New Roman"/>
          <w:i/>
          <w:iCs/>
        </w:rPr>
        <w:t>Les</w:t>
      </w:r>
      <w:r w:rsidRPr="00BC3EC2">
        <w:rPr>
          <w:rFonts w:ascii="Times New Roman" w:hAnsi="Times New Roman" w:cs="Times New Roman"/>
          <w:i/>
          <w:iCs/>
        </w:rPr>
        <w:t xml:space="preserve"> livres secrets des gnostiques. [1] Introduction aux écrits gnostiques coptes découverts à Khénoboskion</w:t>
      </w:r>
      <w:r w:rsidRPr="00BC3EC2">
        <w:rPr>
          <w:rFonts w:ascii="Times New Roman" w:hAnsi="Times New Roman" w:cs="Times New Roman"/>
        </w:rPr>
        <w:t>, Paris, Plon, 1958, p. 257-258.</w:t>
      </w:r>
    </w:p>
  </w:footnote>
  <w:footnote w:id="43">
    <w:p w14:paraId="1C382C84" w14:textId="77777777" w:rsidR="00CD5BBD" w:rsidRPr="00BC3EC2" w:rsidRDefault="00CD5BBD" w:rsidP="00814258">
      <w:pPr>
        <w:pStyle w:val="Notedebasdepage"/>
        <w:jc w:val="both"/>
        <w:rPr>
          <w:rFonts w:ascii="Times New Roman" w:hAnsi="Times New Roman" w:cs="Times New Roman"/>
          <w:lang w:val="en-US"/>
        </w:rPr>
      </w:pPr>
      <w:r w:rsidRPr="00BC3EC2">
        <w:rPr>
          <w:rStyle w:val="Appelnotedebasdep"/>
          <w:rFonts w:ascii="Times New Roman" w:hAnsi="Times New Roman" w:cs="Times New Roman"/>
        </w:rPr>
        <w:footnoteRef/>
      </w:r>
      <w:r w:rsidR="00F855CB" w:rsidRPr="00BC3EC2">
        <w:rPr>
          <w:rFonts w:ascii="Times New Roman" w:hAnsi="Times New Roman" w:cs="Times New Roman"/>
        </w:rPr>
        <w:t xml:space="preserve"> Martin Krause, « Der Stand der Veröffentlichung der Nag Hammadi-Texte », dans</w:t>
      </w:r>
      <w:r w:rsidR="00F855CB" w:rsidRPr="00BC3EC2">
        <w:rPr>
          <w:rFonts w:ascii="Times New Roman" w:hAnsi="Times New Roman" w:cs="Times New Roman"/>
          <w:i/>
          <w:iCs/>
        </w:rPr>
        <w:t xml:space="preserve"> </w:t>
      </w:r>
      <w:r w:rsidR="00F855CB" w:rsidRPr="00BC3EC2">
        <w:rPr>
          <w:rFonts w:ascii="Times New Roman" w:hAnsi="Times New Roman" w:cs="Times New Roman"/>
        </w:rPr>
        <w:t xml:space="preserve">Ugo Bianchi (dir.), </w:t>
      </w:r>
      <w:r w:rsidR="00F855CB" w:rsidRPr="00BC3EC2">
        <w:rPr>
          <w:rFonts w:ascii="Times New Roman" w:hAnsi="Times New Roman" w:cs="Times New Roman"/>
          <w:i/>
          <w:iCs/>
        </w:rPr>
        <w:t>Le origine dello gnosticismo (Colloquio di Messina, 13-19 aprile 1966)</w:t>
      </w:r>
      <w:r w:rsidR="00F855CB" w:rsidRPr="00BC3EC2">
        <w:rPr>
          <w:rFonts w:ascii="Times New Roman" w:hAnsi="Times New Roman" w:cs="Times New Roman"/>
        </w:rPr>
        <w:t xml:space="preserve">, Leiden, Brill, coll. « Studies in the History of Religions », supplément au numéro 12, 1967, p. 61-89, p. 86 et Martin Krause et Pahor Labib, </w:t>
      </w:r>
      <w:r w:rsidR="00F855CB" w:rsidRPr="00BC3EC2">
        <w:rPr>
          <w:rFonts w:ascii="Times New Roman" w:hAnsi="Times New Roman" w:cs="Times New Roman"/>
          <w:i/>
          <w:iCs/>
        </w:rPr>
        <w:t xml:space="preserve">Gnostische und hermetische Schriften aus Codex </w:t>
      </w:r>
      <w:r w:rsidR="00F855CB" w:rsidRPr="00BC3EC2">
        <w:rPr>
          <w:rFonts w:ascii="Times New Roman" w:hAnsi="Times New Roman" w:cs="Times New Roman"/>
          <w:i/>
          <w:iCs/>
          <w:smallCaps/>
        </w:rPr>
        <w:t xml:space="preserve">ii </w:t>
      </w:r>
      <w:r w:rsidR="00F855CB" w:rsidRPr="00BC3EC2">
        <w:rPr>
          <w:rFonts w:ascii="Times New Roman" w:hAnsi="Times New Roman" w:cs="Times New Roman"/>
          <w:i/>
          <w:iCs/>
        </w:rPr>
        <w:t xml:space="preserve">und Codex </w:t>
      </w:r>
      <w:r w:rsidR="00F855CB" w:rsidRPr="00BC3EC2">
        <w:rPr>
          <w:rFonts w:ascii="Times New Roman" w:hAnsi="Times New Roman" w:cs="Times New Roman"/>
          <w:i/>
          <w:iCs/>
          <w:smallCaps/>
        </w:rPr>
        <w:t>vi</w:t>
      </w:r>
      <w:r w:rsidR="00F855CB" w:rsidRPr="00BC3EC2">
        <w:rPr>
          <w:rFonts w:ascii="Times New Roman" w:hAnsi="Times New Roman" w:cs="Times New Roman"/>
        </w:rPr>
        <w:t xml:space="preserve">, Glückstadt, J. J. Augustin, coll. </w:t>
      </w:r>
      <w:r w:rsidR="00F855CB" w:rsidRPr="00BC3EC2">
        <w:rPr>
          <w:rFonts w:ascii="Times New Roman" w:hAnsi="Times New Roman" w:cs="Times New Roman"/>
          <w:lang w:val="en-US"/>
        </w:rPr>
        <w:t>« Abhandlungen des Deutschen Archäologischen Instituts Kairo. Koptische Reihe », 2, 1971, p. 166-169.</w:t>
      </w:r>
    </w:p>
  </w:footnote>
  <w:footnote w:id="44">
    <w:p w14:paraId="3210921B" w14:textId="77777777" w:rsidR="00814258" w:rsidRPr="00E30C13" w:rsidRDefault="00814258" w:rsidP="00E30C13">
      <w:pPr>
        <w:pStyle w:val="Notedebasdepage"/>
        <w:jc w:val="both"/>
        <w:rPr>
          <w:rFonts w:ascii="Times New Roman" w:hAnsi="Times New Roman" w:cs="Times New Roman"/>
          <w:smallCaps/>
        </w:rPr>
      </w:pPr>
      <w:r w:rsidRPr="00814258">
        <w:rPr>
          <w:rStyle w:val="Appelnotedebasdep"/>
          <w:rFonts w:ascii="Times New Roman" w:hAnsi="Times New Roman" w:cs="Times New Roman"/>
        </w:rPr>
        <w:footnoteRef/>
      </w:r>
      <w:r w:rsidRPr="00814258">
        <w:rPr>
          <w:rFonts w:ascii="Times New Roman" w:hAnsi="Times New Roman" w:cs="Times New Roman"/>
        </w:rPr>
        <w:t xml:space="preserve"> Cette identification est le fait de Hans-Marie Schenke, selon David M. Sholer, </w:t>
      </w:r>
      <w:r w:rsidRPr="00814258">
        <w:rPr>
          <w:rFonts w:ascii="Times New Roman" w:hAnsi="Times New Roman" w:cs="Times New Roman"/>
          <w:smallCaps/>
        </w:rPr>
        <w:t>« </w:t>
      </w:r>
      <w:r w:rsidRPr="00814258">
        <w:rPr>
          <w:rFonts w:ascii="Times New Roman" w:hAnsi="Times New Roman" w:cs="Times New Roman"/>
        </w:rPr>
        <w:t xml:space="preserve">Bibliographia gnostica: Supplementum </w:t>
      </w:r>
      <w:r w:rsidRPr="00814258">
        <w:rPr>
          <w:rFonts w:ascii="Times New Roman" w:hAnsi="Times New Roman" w:cs="Times New Roman"/>
          <w:smallCaps/>
        </w:rPr>
        <w:t>iii</w:t>
      </w:r>
      <w:r w:rsidRPr="00814258">
        <w:rPr>
          <w:rFonts w:ascii="Times New Roman" w:hAnsi="Times New Roman" w:cs="Times New Roman"/>
        </w:rPr>
        <w:t> »,</w:t>
      </w:r>
      <w:r w:rsidRPr="00814258">
        <w:rPr>
          <w:rFonts w:ascii="Times New Roman" w:hAnsi="Times New Roman" w:cs="Times New Roman"/>
          <w:i/>
          <w:iCs/>
        </w:rPr>
        <w:t xml:space="preserve"> Novu</w:t>
      </w:r>
      <w:r w:rsidRPr="00E30C13">
        <w:rPr>
          <w:rFonts w:ascii="Times New Roman" w:hAnsi="Times New Roman" w:cs="Times New Roman"/>
          <w:i/>
          <w:iCs/>
        </w:rPr>
        <w:t>m Testamentum</w:t>
      </w:r>
      <w:r w:rsidRPr="00E30C13">
        <w:rPr>
          <w:rFonts w:ascii="Times New Roman" w:hAnsi="Times New Roman" w:cs="Times New Roman"/>
        </w:rPr>
        <w:t xml:space="preserve">, 15, 1973, p. 327-345. Cette bibliographie sur les textes de Nag Hammadi mentionne le texte 5 du </w:t>
      </w:r>
      <w:r w:rsidRPr="00E30C13">
        <w:rPr>
          <w:rFonts w:ascii="Times New Roman" w:hAnsi="Times New Roman" w:cs="Times New Roman"/>
          <w:i/>
          <w:iCs/>
        </w:rPr>
        <w:t>codex</w:t>
      </w:r>
      <w:r w:rsidRPr="00E30C13">
        <w:rPr>
          <w:rFonts w:ascii="Times New Roman" w:hAnsi="Times New Roman" w:cs="Times New Roman"/>
        </w:rPr>
        <w:t xml:space="preserve"> </w:t>
      </w:r>
      <w:r w:rsidRPr="00E30C13">
        <w:rPr>
          <w:rFonts w:ascii="Times New Roman" w:hAnsi="Times New Roman" w:cs="Times New Roman"/>
          <w:smallCaps/>
        </w:rPr>
        <w:t>vi</w:t>
      </w:r>
      <w:r w:rsidRPr="00E30C13">
        <w:rPr>
          <w:rFonts w:ascii="Times New Roman" w:hAnsi="Times New Roman" w:cs="Times New Roman"/>
        </w:rPr>
        <w:t xml:space="preserve"> sous le titre « </w:t>
      </w:r>
      <w:r w:rsidRPr="00E30C13">
        <w:rPr>
          <w:rFonts w:ascii="Times New Roman" w:hAnsi="Times New Roman" w:cs="Times New Roman"/>
          <w:i/>
          <w:iCs/>
        </w:rPr>
        <w:t>The Discourse on Injustice</w:t>
      </w:r>
      <w:r w:rsidRPr="00E30C13">
        <w:rPr>
          <w:rFonts w:ascii="Times New Roman" w:hAnsi="Times New Roman" w:cs="Times New Roman"/>
        </w:rPr>
        <w:t> », avec la précision</w:t>
      </w:r>
      <w:r w:rsidRPr="00E30C13">
        <w:rPr>
          <w:rFonts w:ascii="Times New Roman" w:hAnsi="Times New Roman" w:cs="Times New Roman"/>
          <w:i/>
          <w:iCs/>
        </w:rPr>
        <w:t xml:space="preserve"> </w:t>
      </w:r>
      <w:r w:rsidRPr="00E30C13">
        <w:rPr>
          <w:rFonts w:ascii="Times New Roman" w:hAnsi="Times New Roman" w:cs="Times New Roman"/>
        </w:rPr>
        <w:t xml:space="preserve">« Identified by H. M. </w:t>
      </w:r>
      <w:r w:rsidRPr="00E30C13">
        <w:rPr>
          <w:rFonts w:ascii="Times New Roman" w:hAnsi="Times New Roman" w:cs="Times New Roman"/>
          <w:smallCaps/>
        </w:rPr>
        <w:t>Schenke</w:t>
      </w:r>
      <w:r w:rsidRPr="00E30C13">
        <w:rPr>
          <w:rFonts w:ascii="Times New Roman" w:hAnsi="Times New Roman" w:cs="Times New Roman"/>
        </w:rPr>
        <w:t xml:space="preserve"> as an excerpt from Plato </w:t>
      </w:r>
      <w:r w:rsidRPr="00E30C13">
        <w:rPr>
          <w:rFonts w:ascii="Times New Roman" w:hAnsi="Times New Roman" w:cs="Times New Roman"/>
          <w:i/>
          <w:iCs/>
        </w:rPr>
        <w:t xml:space="preserve">Republic </w:t>
      </w:r>
      <w:r w:rsidRPr="00E30C13">
        <w:rPr>
          <w:rFonts w:ascii="Times New Roman" w:hAnsi="Times New Roman" w:cs="Times New Roman"/>
        </w:rPr>
        <w:t>588B-589B ». Hans-Marie Schenke démontre ensuite cette identification dans Hans-Marie Schenke, « Zur Faksimile-Ausgabe der Nag-Hammadi-Schriften NHC </w:t>
      </w:r>
      <w:r w:rsidRPr="00E30C13">
        <w:rPr>
          <w:rFonts w:ascii="Times New Roman" w:hAnsi="Times New Roman" w:cs="Times New Roman"/>
          <w:smallCaps/>
        </w:rPr>
        <w:t>vi</w:t>
      </w:r>
      <w:r w:rsidRPr="00E30C13">
        <w:rPr>
          <w:rFonts w:ascii="Times New Roman" w:hAnsi="Times New Roman" w:cs="Times New Roman"/>
        </w:rPr>
        <w:t xml:space="preserve"> », </w:t>
      </w:r>
      <w:r w:rsidRPr="00E30C13">
        <w:rPr>
          <w:rFonts w:ascii="Times New Roman" w:hAnsi="Times New Roman" w:cs="Times New Roman"/>
          <w:i/>
          <w:iCs/>
        </w:rPr>
        <w:t>Orientalische Literaturzeitung</w:t>
      </w:r>
      <w:r w:rsidRPr="00E30C13">
        <w:rPr>
          <w:rFonts w:ascii="Times New Roman" w:hAnsi="Times New Roman" w:cs="Times New Roman"/>
        </w:rPr>
        <w:t>, 69, 1974, col. 236-241.</w:t>
      </w:r>
    </w:p>
  </w:footnote>
  <w:footnote w:id="45">
    <w:p w14:paraId="40C1DA98" w14:textId="77777777" w:rsidR="00E30C13" w:rsidRPr="00E30C13" w:rsidRDefault="00E30C13" w:rsidP="00E30C13">
      <w:pPr>
        <w:pStyle w:val="Notedebasdepage"/>
        <w:jc w:val="both"/>
        <w:rPr>
          <w:rFonts w:ascii="Times New Roman" w:hAnsi="Times New Roman" w:cs="Times New Roman"/>
        </w:rPr>
      </w:pPr>
      <w:r w:rsidRPr="00E30C13">
        <w:rPr>
          <w:rStyle w:val="Appelnotedebasdep"/>
          <w:rFonts w:ascii="Times New Roman" w:hAnsi="Times New Roman" w:cs="Times New Roman"/>
        </w:rPr>
        <w:footnoteRef/>
      </w:r>
      <w:r w:rsidRPr="00E30C13">
        <w:rPr>
          <w:rFonts w:ascii="Times New Roman" w:hAnsi="Times New Roman" w:cs="Times New Roman"/>
        </w:rPr>
        <w:t xml:space="preserve"> </w:t>
      </w:r>
      <w:r w:rsidRPr="00E30C13">
        <w:rPr>
          <w:rFonts w:ascii="Times New Roman" w:hAnsi="Times New Roman" w:cs="Times New Roman"/>
          <w:i/>
          <w:iCs/>
        </w:rPr>
        <w:t xml:space="preserve">Fragment </w:t>
      </w:r>
      <w:r w:rsidR="00F855CB">
        <w:rPr>
          <w:rFonts w:ascii="Times New Roman" w:hAnsi="Times New Roman" w:cs="Times New Roman"/>
          <w:i/>
          <w:iCs/>
        </w:rPr>
        <w:t>de la</w:t>
      </w:r>
      <w:r w:rsidRPr="00E30C13">
        <w:rPr>
          <w:rFonts w:ascii="Times New Roman" w:hAnsi="Times New Roman" w:cs="Times New Roman"/>
          <w:i/>
          <w:iCs/>
        </w:rPr>
        <w:t xml:space="preserve"> République</w:t>
      </w:r>
      <w:r w:rsidR="00F855CB">
        <w:rPr>
          <w:rFonts w:ascii="Times New Roman" w:hAnsi="Times New Roman" w:cs="Times New Roman"/>
          <w:i/>
          <w:iCs/>
        </w:rPr>
        <w:t xml:space="preserve"> de Platon</w:t>
      </w:r>
      <w:r w:rsidRPr="00E30C13">
        <w:rPr>
          <w:rFonts w:ascii="Times New Roman" w:hAnsi="Times New Roman" w:cs="Times New Roman"/>
        </w:rPr>
        <w:t>, p. 48, 16-30.</w:t>
      </w:r>
      <w:r w:rsidR="00F855CB">
        <w:rPr>
          <w:rFonts w:ascii="Times New Roman" w:hAnsi="Times New Roman" w:cs="Times New Roman"/>
        </w:rPr>
        <w:t xml:space="preserve"> </w:t>
      </w:r>
      <w:r w:rsidR="00F855CB">
        <w:rPr>
          <w:rFonts w:ascii="Times New Roman" w:hAnsi="Times New Roman" w:cs="Times New Roman"/>
          <w:i/>
          <w:iCs/>
        </w:rPr>
        <w:t>Cf. infra</w:t>
      </w:r>
      <w:r w:rsidR="00F855CB">
        <w:rPr>
          <w:rFonts w:ascii="Times New Roman" w:hAnsi="Times New Roman" w:cs="Times New Roman"/>
        </w:rPr>
        <w:t>.</w:t>
      </w:r>
      <w:r w:rsidRPr="00E30C13">
        <w:rPr>
          <w:rFonts w:ascii="Times New Roman" w:hAnsi="Times New Roman" w:cs="Times New Roman"/>
        </w:rPr>
        <w:t xml:space="preserve"> Je reprends et traduis le texte édité par Louis Painchaud : « Fragment de la République de Platon (NH </w:t>
      </w:r>
      <w:r w:rsidRPr="00E30C13">
        <w:rPr>
          <w:rFonts w:ascii="Times New Roman" w:hAnsi="Times New Roman" w:cs="Times New Roman"/>
          <w:smallCaps/>
        </w:rPr>
        <w:t>vi</w:t>
      </w:r>
      <w:r w:rsidRPr="00E30C13">
        <w:rPr>
          <w:rFonts w:ascii="Times New Roman" w:hAnsi="Times New Roman" w:cs="Times New Roman"/>
        </w:rPr>
        <w:t xml:space="preserve">, 5) » dans Paul-Hubert Poirier et Louis Painchaud, </w:t>
      </w:r>
      <w:r w:rsidRPr="00E30C13">
        <w:rPr>
          <w:rFonts w:ascii="Times New Roman" w:hAnsi="Times New Roman" w:cs="Times New Roman"/>
          <w:i/>
          <w:iCs/>
        </w:rPr>
        <w:t xml:space="preserve">Les Sentences de Sextus (NH </w:t>
      </w:r>
      <w:r w:rsidRPr="00E30C13">
        <w:rPr>
          <w:rFonts w:ascii="Times New Roman" w:hAnsi="Times New Roman" w:cs="Times New Roman"/>
          <w:i/>
          <w:iCs/>
          <w:smallCaps/>
        </w:rPr>
        <w:t>xii</w:t>
      </w:r>
      <w:r w:rsidRPr="00E30C13">
        <w:rPr>
          <w:rFonts w:ascii="Times New Roman" w:hAnsi="Times New Roman" w:cs="Times New Roman"/>
          <w:i/>
          <w:iCs/>
        </w:rPr>
        <w:t xml:space="preserve">, 1). Fragments (NH </w:t>
      </w:r>
      <w:r w:rsidRPr="00E30C13">
        <w:rPr>
          <w:rFonts w:ascii="Times New Roman" w:hAnsi="Times New Roman" w:cs="Times New Roman"/>
          <w:i/>
          <w:iCs/>
          <w:smallCaps/>
        </w:rPr>
        <w:t>xii</w:t>
      </w:r>
      <w:r w:rsidRPr="00E30C13">
        <w:rPr>
          <w:rFonts w:ascii="Times New Roman" w:hAnsi="Times New Roman" w:cs="Times New Roman"/>
          <w:i/>
          <w:iCs/>
        </w:rPr>
        <w:t xml:space="preserve">, 3) et Fragment de la République de Platon (NH </w:t>
      </w:r>
      <w:r w:rsidRPr="00E30C13">
        <w:rPr>
          <w:rFonts w:ascii="Times New Roman" w:hAnsi="Times New Roman" w:cs="Times New Roman"/>
          <w:i/>
          <w:iCs/>
          <w:smallCaps/>
        </w:rPr>
        <w:t>vi</w:t>
      </w:r>
      <w:r w:rsidRPr="00E30C13">
        <w:rPr>
          <w:rFonts w:ascii="Times New Roman" w:hAnsi="Times New Roman" w:cs="Times New Roman"/>
          <w:i/>
          <w:iCs/>
        </w:rPr>
        <w:t>, 5)</w:t>
      </w:r>
      <w:r w:rsidRPr="00E30C13">
        <w:rPr>
          <w:rFonts w:ascii="Times New Roman" w:hAnsi="Times New Roman" w:cs="Times New Roman"/>
        </w:rPr>
        <w:t>, Québec, Presses de l’Université Laval, coll. « Bibliothèque copte de Nag Hammadi. Section textes », 1983, p. 126-132.</w:t>
      </w:r>
    </w:p>
  </w:footnote>
  <w:footnote w:id="46">
    <w:p w14:paraId="67EBC951" w14:textId="77777777" w:rsidR="00E30C13" w:rsidRDefault="00E30C13" w:rsidP="00E30C13">
      <w:pPr>
        <w:pStyle w:val="Notedebasdepage"/>
        <w:jc w:val="both"/>
      </w:pPr>
      <w:r w:rsidRPr="00E30C13">
        <w:rPr>
          <w:rStyle w:val="Appelnotedebasdep"/>
          <w:rFonts w:ascii="Times New Roman" w:hAnsi="Times New Roman" w:cs="Times New Roman"/>
        </w:rPr>
        <w:footnoteRef/>
      </w:r>
      <w:r w:rsidRPr="00E30C13">
        <w:rPr>
          <w:rFonts w:ascii="Times New Roman" w:hAnsi="Times New Roman" w:cs="Times New Roman"/>
        </w:rPr>
        <w:t xml:space="preserve"> </w:t>
      </w:r>
      <w:r w:rsidRPr="00E30C13">
        <w:rPr>
          <w:rFonts w:ascii="Times New Roman" w:hAnsi="Times New Roman" w:cs="Times New Roman"/>
          <w:i/>
          <w:iCs/>
        </w:rPr>
        <w:t>Fragment de</w:t>
      </w:r>
      <w:r w:rsidR="00F855CB">
        <w:rPr>
          <w:rFonts w:ascii="Times New Roman" w:hAnsi="Times New Roman" w:cs="Times New Roman"/>
          <w:i/>
          <w:iCs/>
        </w:rPr>
        <w:t xml:space="preserve"> la</w:t>
      </w:r>
      <w:r w:rsidRPr="00E30C13">
        <w:rPr>
          <w:rFonts w:ascii="Times New Roman" w:hAnsi="Times New Roman" w:cs="Times New Roman"/>
          <w:i/>
          <w:iCs/>
        </w:rPr>
        <w:t xml:space="preserve"> République</w:t>
      </w:r>
      <w:r w:rsidR="00F855CB">
        <w:rPr>
          <w:rFonts w:ascii="Times New Roman" w:hAnsi="Times New Roman" w:cs="Times New Roman"/>
          <w:i/>
          <w:iCs/>
        </w:rPr>
        <w:t xml:space="preserve"> de Platon</w:t>
      </w:r>
      <w:r w:rsidRPr="00E30C13">
        <w:rPr>
          <w:rFonts w:ascii="Times New Roman" w:hAnsi="Times New Roman" w:cs="Times New Roman"/>
        </w:rPr>
        <w:t>, p. 51, 11-23.</w:t>
      </w:r>
      <w:r w:rsidR="00F855CB">
        <w:rPr>
          <w:rFonts w:ascii="Times New Roman" w:hAnsi="Times New Roman" w:cs="Times New Roman"/>
        </w:rPr>
        <w:t xml:space="preserve"> </w:t>
      </w:r>
      <w:r w:rsidR="00F855CB">
        <w:rPr>
          <w:rFonts w:ascii="Times New Roman" w:hAnsi="Times New Roman" w:cs="Times New Roman"/>
          <w:i/>
          <w:iCs/>
        </w:rPr>
        <w:t>Cf. infra</w:t>
      </w:r>
      <w:r w:rsidR="00F855CB">
        <w:rPr>
          <w:rFonts w:ascii="Times New Roman" w:hAnsi="Times New Roman" w:cs="Times New Roman"/>
        </w:rPr>
        <w:t>.</w:t>
      </w:r>
    </w:p>
  </w:footnote>
  <w:footnote w:id="47">
    <w:p w14:paraId="5B9708EF" w14:textId="77777777" w:rsidR="00F6780D" w:rsidRPr="00244C50" w:rsidRDefault="00F6780D" w:rsidP="008C3DFA">
      <w:pPr>
        <w:pStyle w:val="Notedebasdepage"/>
        <w:jc w:val="both"/>
        <w:rPr>
          <w:rFonts w:ascii="Times New Roman" w:hAnsi="Times New Roman" w:cs="Times New Roman"/>
        </w:rPr>
      </w:pPr>
      <w:r w:rsidRPr="008C3DFA">
        <w:rPr>
          <w:rStyle w:val="Appelnotedebasdep"/>
          <w:rFonts w:ascii="Times New Roman" w:hAnsi="Times New Roman" w:cs="Times New Roman"/>
        </w:rPr>
        <w:footnoteRef/>
      </w:r>
      <w:r w:rsidRPr="008C3DFA">
        <w:rPr>
          <w:rFonts w:ascii="Times New Roman" w:hAnsi="Times New Roman" w:cs="Times New Roman"/>
        </w:rPr>
        <w:t xml:space="preserve"> Jésus est notamment assimilé au </w:t>
      </w:r>
      <w:r w:rsidR="00A93788" w:rsidRPr="008C3DFA">
        <w:rPr>
          <w:rFonts w:ascii="Times New Roman" w:hAnsi="Times New Roman" w:cs="Times New Roman"/>
        </w:rPr>
        <w:t>« </w:t>
      </w:r>
      <w:r w:rsidRPr="008C3DFA">
        <w:rPr>
          <w:rFonts w:ascii="Times New Roman" w:hAnsi="Times New Roman" w:cs="Times New Roman"/>
        </w:rPr>
        <w:t>serviteur</w:t>
      </w:r>
      <w:r w:rsidR="00A93788" w:rsidRPr="008C3DFA">
        <w:rPr>
          <w:rFonts w:ascii="Times New Roman" w:hAnsi="Times New Roman" w:cs="Times New Roman"/>
        </w:rPr>
        <w:t> »</w:t>
      </w:r>
      <w:r w:rsidRPr="008C3DFA">
        <w:rPr>
          <w:rFonts w:ascii="Times New Roman" w:hAnsi="Times New Roman" w:cs="Times New Roman"/>
        </w:rPr>
        <w:t xml:space="preserve"> dont il est question</w:t>
      </w:r>
      <w:r w:rsidR="00A93788" w:rsidRPr="008C3DFA">
        <w:rPr>
          <w:rFonts w:ascii="Times New Roman" w:hAnsi="Times New Roman" w:cs="Times New Roman"/>
        </w:rPr>
        <w:t>, notamment,</w:t>
      </w:r>
      <w:r w:rsidRPr="008C3DFA">
        <w:rPr>
          <w:rFonts w:ascii="Times New Roman" w:hAnsi="Times New Roman" w:cs="Times New Roman"/>
        </w:rPr>
        <w:t xml:space="preserve"> en </w:t>
      </w:r>
      <w:r w:rsidRPr="008C3DFA">
        <w:rPr>
          <w:rFonts w:ascii="Times New Roman" w:hAnsi="Times New Roman" w:cs="Times New Roman"/>
          <w:i/>
          <w:iCs/>
        </w:rPr>
        <w:t>Isaïe</w:t>
      </w:r>
      <w:r w:rsidRPr="008C3DFA">
        <w:rPr>
          <w:rFonts w:ascii="Times New Roman" w:hAnsi="Times New Roman" w:cs="Times New Roman"/>
        </w:rPr>
        <w:t xml:space="preserve"> 4</w:t>
      </w:r>
      <w:r w:rsidR="00A93788" w:rsidRPr="008C3DFA">
        <w:rPr>
          <w:rFonts w:ascii="Times New Roman" w:hAnsi="Times New Roman" w:cs="Times New Roman"/>
        </w:rPr>
        <w:t>9</w:t>
      </w:r>
      <w:r w:rsidRPr="008C3DFA">
        <w:rPr>
          <w:rFonts w:ascii="Times New Roman" w:hAnsi="Times New Roman" w:cs="Times New Roman"/>
        </w:rPr>
        <w:t>, 1-</w:t>
      </w:r>
      <w:r w:rsidR="00A93788" w:rsidRPr="008C3DFA">
        <w:rPr>
          <w:rFonts w:ascii="Times New Roman" w:hAnsi="Times New Roman" w:cs="Times New Roman"/>
        </w:rPr>
        <w:t>7</w:t>
      </w:r>
      <w:r w:rsidRPr="008C3DFA">
        <w:rPr>
          <w:rFonts w:ascii="Times New Roman" w:hAnsi="Times New Roman" w:cs="Times New Roman"/>
        </w:rPr>
        <w:t xml:space="preserve">, qui </w:t>
      </w:r>
      <w:r w:rsidR="00A93788" w:rsidRPr="008C3DFA">
        <w:rPr>
          <w:rFonts w:ascii="Times New Roman" w:hAnsi="Times New Roman" w:cs="Times New Roman"/>
        </w:rPr>
        <w:t>est méprisé (49, 7)</w:t>
      </w:r>
      <w:r w:rsidRPr="008C3DFA">
        <w:rPr>
          <w:rFonts w:ascii="Times New Roman" w:hAnsi="Times New Roman" w:cs="Times New Roman"/>
        </w:rPr>
        <w:t xml:space="preserve"> et reçoit la « gloire » (4</w:t>
      </w:r>
      <w:r w:rsidR="00A93788" w:rsidRPr="008C3DFA">
        <w:rPr>
          <w:rFonts w:ascii="Times New Roman" w:hAnsi="Times New Roman" w:cs="Times New Roman"/>
        </w:rPr>
        <w:t>9</w:t>
      </w:r>
      <w:r w:rsidRPr="008C3DFA">
        <w:rPr>
          <w:rFonts w:ascii="Times New Roman" w:hAnsi="Times New Roman" w:cs="Times New Roman"/>
        </w:rPr>
        <w:t xml:space="preserve">, </w:t>
      </w:r>
      <w:r w:rsidR="00A93788" w:rsidRPr="008C3DFA">
        <w:rPr>
          <w:rFonts w:ascii="Times New Roman" w:hAnsi="Times New Roman" w:cs="Times New Roman"/>
        </w:rPr>
        <w:t>3 et 5</w:t>
      </w:r>
      <w:r w:rsidRPr="008C3DFA">
        <w:rPr>
          <w:rFonts w:ascii="Times New Roman" w:hAnsi="Times New Roman" w:cs="Times New Roman"/>
        </w:rPr>
        <w:t>) de Dieu</w:t>
      </w:r>
      <w:r w:rsidR="00A93788" w:rsidRPr="008C3DFA">
        <w:rPr>
          <w:rFonts w:ascii="Times New Roman" w:hAnsi="Times New Roman" w:cs="Times New Roman"/>
        </w:rPr>
        <w:t xml:space="preserve">, ainsi qu’en </w:t>
      </w:r>
      <w:r w:rsidR="00A93788" w:rsidRPr="008C3DFA">
        <w:rPr>
          <w:rFonts w:ascii="Times New Roman" w:hAnsi="Times New Roman" w:cs="Times New Roman"/>
          <w:i/>
          <w:iCs/>
        </w:rPr>
        <w:t>Isaïe</w:t>
      </w:r>
      <w:r w:rsidR="00A93788" w:rsidRPr="008C3DFA">
        <w:rPr>
          <w:rFonts w:ascii="Times New Roman" w:hAnsi="Times New Roman" w:cs="Times New Roman"/>
        </w:rPr>
        <w:t xml:space="preserve"> 52, 13 </w:t>
      </w:r>
      <w:r w:rsidR="00C16C4E" w:rsidRPr="008C3DFA">
        <w:rPr>
          <w:rFonts w:ascii="Times New Roman" w:hAnsi="Times New Roman" w:cs="Times New Roman"/>
        </w:rPr>
        <w:t>–</w:t>
      </w:r>
      <w:r w:rsidR="00A93788" w:rsidRPr="008C3DFA">
        <w:rPr>
          <w:rFonts w:ascii="Times New Roman" w:hAnsi="Times New Roman" w:cs="Times New Roman"/>
        </w:rPr>
        <w:t xml:space="preserve"> </w:t>
      </w:r>
      <w:r w:rsidR="00C16C4E" w:rsidRPr="008C3DFA">
        <w:rPr>
          <w:rFonts w:ascii="Times New Roman" w:hAnsi="Times New Roman" w:cs="Times New Roman"/>
        </w:rPr>
        <w:t>53, 12, où cette glorification est évoquée (52, 13) tout comme les souffrances et les humiliations qu’il subit (52, 14 ; 53, 2-3 ; 7-8 et 10-12).</w:t>
      </w:r>
      <w:r w:rsidR="008C3DFA">
        <w:rPr>
          <w:rFonts w:ascii="Times New Roman" w:hAnsi="Times New Roman" w:cs="Times New Roman"/>
        </w:rPr>
        <w:t xml:space="preserve"> Pour </w:t>
      </w:r>
      <w:r w:rsidR="008C3DFA">
        <w:rPr>
          <w:rFonts w:ascii="Times New Roman" w:hAnsi="Times New Roman" w:cs="Times New Roman"/>
          <w:i/>
          <w:iCs/>
        </w:rPr>
        <w:t>Isaïe</w:t>
      </w:r>
      <w:r w:rsidR="008C3DFA">
        <w:rPr>
          <w:rFonts w:ascii="Times New Roman" w:hAnsi="Times New Roman" w:cs="Times New Roman"/>
        </w:rPr>
        <w:t xml:space="preserve">, nous suivons, pour l’hébreu, le texte établi par Barbara Aland, Kurt Aland </w:t>
      </w:r>
      <w:r w:rsidR="008C3DFA">
        <w:rPr>
          <w:rFonts w:ascii="Times New Roman" w:hAnsi="Times New Roman" w:cs="Times New Roman"/>
          <w:i/>
          <w:iCs/>
        </w:rPr>
        <w:t>et al.</w:t>
      </w:r>
      <w:r w:rsidR="008C3DFA">
        <w:rPr>
          <w:rFonts w:ascii="Times New Roman" w:hAnsi="Times New Roman" w:cs="Times New Roman"/>
        </w:rPr>
        <w:t xml:space="preserve"> dans </w:t>
      </w:r>
      <w:r w:rsidR="008C3DFA" w:rsidRPr="008C3DFA">
        <w:rPr>
          <w:rFonts w:ascii="Times New Roman" w:hAnsi="Times New Roman" w:cs="Times New Roman"/>
          <w:i/>
          <w:iCs/>
        </w:rPr>
        <w:t>Novum Testamentum Graece</w:t>
      </w:r>
      <w:r w:rsidR="008C3DFA">
        <w:rPr>
          <w:rFonts w:ascii="Times New Roman" w:hAnsi="Times New Roman" w:cs="Times New Roman"/>
        </w:rPr>
        <w:t>,</w:t>
      </w:r>
      <w:r w:rsidR="008C3DFA" w:rsidRPr="008C3DFA">
        <w:rPr>
          <w:rFonts w:ascii="Times New Roman" w:hAnsi="Times New Roman" w:cs="Times New Roman"/>
        </w:rPr>
        <w:t xml:space="preserve"> Stuttgart, Deutsche Bibelgesellschaft, </w:t>
      </w:r>
      <w:r w:rsidR="008C3DFA">
        <w:rPr>
          <w:rFonts w:ascii="Times New Roman" w:hAnsi="Times New Roman" w:cs="Times New Roman"/>
        </w:rPr>
        <w:t xml:space="preserve">[1898], </w:t>
      </w:r>
      <w:r w:rsidR="008C3DFA" w:rsidRPr="008C3DFA">
        <w:rPr>
          <w:rFonts w:ascii="Times New Roman" w:hAnsi="Times New Roman" w:cs="Times New Roman"/>
        </w:rPr>
        <w:t>2012</w:t>
      </w:r>
      <w:r w:rsidR="008C3DFA" w:rsidRPr="008C3DFA">
        <w:rPr>
          <w:rFonts w:ascii="Times New Roman" w:hAnsi="Times New Roman" w:cs="Times New Roman"/>
          <w:vertAlign w:val="superscript"/>
        </w:rPr>
        <w:t>28</w:t>
      </w:r>
      <w:r w:rsidR="008C3DFA">
        <w:rPr>
          <w:rFonts w:ascii="Times New Roman" w:hAnsi="Times New Roman" w:cs="Times New Roman"/>
        </w:rPr>
        <w:t xml:space="preserve"> et, pour le grec, le texte édité par </w:t>
      </w:r>
      <w:r w:rsidR="008C3DFA" w:rsidRPr="008C3DFA">
        <w:rPr>
          <w:rFonts w:ascii="Times New Roman" w:hAnsi="Times New Roman" w:cs="Times New Roman"/>
        </w:rPr>
        <w:t xml:space="preserve">Joseph Ziegler dans </w:t>
      </w:r>
      <w:r w:rsidR="008C3DFA" w:rsidRPr="008C3DFA">
        <w:rPr>
          <w:rFonts w:ascii="Times New Roman" w:hAnsi="Times New Roman" w:cs="Times New Roman"/>
          <w:i/>
          <w:iCs/>
        </w:rPr>
        <w:t xml:space="preserve">Septuaginta. </w:t>
      </w:r>
      <w:r w:rsidR="008C3DFA" w:rsidRPr="000779D9">
        <w:rPr>
          <w:rFonts w:ascii="Times New Roman" w:hAnsi="Times New Roman" w:cs="Times New Roman"/>
          <w:i/>
          <w:iCs/>
          <w:lang w:val="en-US"/>
        </w:rPr>
        <w:t>Vetus Testamentum Graecum: Band 14: Isaias</w:t>
      </w:r>
      <w:r w:rsidR="008C3DFA" w:rsidRPr="000779D9">
        <w:rPr>
          <w:rFonts w:ascii="Times New Roman" w:hAnsi="Times New Roman" w:cs="Times New Roman"/>
          <w:lang w:val="en-US"/>
        </w:rPr>
        <w:t>, Göttingen, Vandenhoeck &amp; Ruprecht, coll. « Septuaginta »,1939.</w:t>
      </w:r>
      <w:r w:rsidR="000779D9" w:rsidRPr="000779D9">
        <w:rPr>
          <w:rFonts w:ascii="Times New Roman" w:hAnsi="Times New Roman" w:cs="Times New Roman"/>
          <w:lang w:val="en-US"/>
        </w:rPr>
        <w:t xml:space="preserve"> </w:t>
      </w:r>
      <w:r w:rsidR="000779D9" w:rsidRPr="000779D9">
        <w:rPr>
          <w:rFonts w:ascii="Times New Roman" w:hAnsi="Times New Roman" w:cs="Times New Roman"/>
        </w:rPr>
        <w:t>L’assimilation de ce personnage de la Bible juive au Christ apparaît notamment dès le Nouveau Test</w:t>
      </w:r>
      <w:r w:rsidR="000779D9">
        <w:rPr>
          <w:rFonts w:ascii="Times New Roman" w:hAnsi="Times New Roman" w:cs="Times New Roman"/>
        </w:rPr>
        <w:t xml:space="preserve">ament, dans la </w:t>
      </w:r>
      <w:r w:rsidR="000779D9">
        <w:rPr>
          <w:rFonts w:ascii="Times New Roman" w:hAnsi="Times New Roman" w:cs="Times New Roman"/>
          <w:i/>
          <w:iCs/>
        </w:rPr>
        <w:t>Première épître de Pierre</w:t>
      </w:r>
      <w:r w:rsidR="000779D9">
        <w:rPr>
          <w:rFonts w:ascii="Times New Roman" w:hAnsi="Times New Roman" w:cs="Times New Roman"/>
        </w:rPr>
        <w:t xml:space="preserve">, qui cite </w:t>
      </w:r>
      <w:r w:rsidR="000779D9">
        <w:rPr>
          <w:rFonts w:ascii="Times New Roman" w:hAnsi="Times New Roman" w:cs="Times New Roman"/>
          <w:i/>
          <w:iCs/>
        </w:rPr>
        <w:t>Isaïe</w:t>
      </w:r>
      <w:r w:rsidR="000779D9">
        <w:rPr>
          <w:rFonts w:ascii="Times New Roman" w:hAnsi="Times New Roman" w:cs="Times New Roman"/>
        </w:rPr>
        <w:t xml:space="preserve"> 53, 9</w:t>
      </w:r>
      <w:r w:rsidR="005459AD">
        <w:rPr>
          <w:rFonts w:ascii="Times New Roman" w:hAnsi="Times New Roman" w:cs="Times New Roman"/>
        </w:rPr>
        <w:t xml:space="preserve">, </w:t>
      </w:r>
      <w:r w:rsidR="000779D9">
        <w:rPr>
          <w:rFonts w:ascii="Times New Roman" w:hAnsi="Times New Roman" w:cs="Times New Roman"/>
          <w:i/>
          <w:iCs/>
        </w:rPr>
        <w:t>Isaïe</w:t>
      </w:r>
      <w:r w:rsidR="000779D9">
        <w:rPr>
          <w:rFonts w:ascii="Times New Roman" w:hAnsi="Times New Roman" w:cs="Times New Roman"/>
        </w:rPr>
        <w:t xml:space="preserve"> 53, 4</w:t>
      </w:r>
      <w:r w:rsidR="005459AD">
        <w:rPr>
          <w:rFonts w:ascii="Times New Roman" w:hAnsi="Times New Roman" w:cs="Times New Roman"/>
        </w:rPr>
        <w:t>, 5</w:t>
      </w:r>
      <w:r w:rsidR="000779D9">
        <w:rPr>
          <w:rFonts w:ascii="Times New Roman" w:hAnsi="Times New Roman" w:cs="Times New Roman"/>
        </w:rPr>
        <w:t xml:space="preserve"> et 12</w:t>
      </w:r>
      <w:r w:rsidR="005459AD">
        <w:rPr>
          <w:rFonts w:ascii="Times New Roman" w:hAnsi="Times New Roman" w:cs="Times New Roman"/>
        </w:rPr>
        <w:t xml:space="preserve"> et </w:t>
      </w:r>
      <w:r w:rsidR="005459AD">
        <w:rPr>
          <w:rFonts w:ascii="Times New Roman" w:hAnsi="Times New Roman" w:cs="Times New Roman"/>
          <w:i/>
          <w:iCs/>
        </w:rPr>
        <w:t>Isaïe</w:t>
      </w:r>
      <w:r w:rsidR="005459AD">
        <w:rPr>
          <w:rFonts w:ascii="Times New Roman" w:hAnsi="Times New Roman" w:cs="Times New Roman"/>
        </w:rPr>
        <w:t xml:space="preserve"> 53, 6 respectivement en 2, 22 ; 2, 24 et 2, 25, </w:t>
      </w:r>
      <w:r w:rsidR="008832DD">
        <w:rPr>
          <w:rFonts w:ascii="Times New Roman" w:hAnsi="Times New Roman" w:cs="Times New Roman"/>
        </w:rPr>
        <w:t>à propos du Christ (</w:t>
      </w:r>
      <w:r w:rsidR="008832DD">
        <w:rPr>
          <w:rFonts w:ascii="Times New Roman" w:hAnsi="Times New Roman" w:cs="Times New Roman"/>
          <w:i/>
          <w:iCs/>
        </w:rPr>
        <w:t>cf.</w:t>
      </w:r>
      <w:r w:rsidR="008832DD">
        <w:rPr>
          <w:rFonts w:ascii="Times New Roman" w:hAnsi="Times New Roman" w:cs="Times New Roman"/>
        </w:rPr>
        <w:t xml:space="preserve"> </w:t>
      </w:r>
      <w:r w:rsidR="008832DD">
        <w:rPr>
          <w:rFonts w:ascii="Times New Roman" w:hAnsi="Times New Roman" w:cs="Times New Roman"/>
          <w:i/>
          <w:iCs/>
        </w:rPr>
        <w:t>1 Pierre</w:t>
      </w:r>
      <w:r w:rsidR="008832DD">
        <w:rPr>
          <w:rFonts w:ascii="Times New Roman" w:hAnsi="Times New Roman" w:cs="Times New Roman"/>
        </w:rPr>
        <w:t xml:space="preserve"> 2, 21).</w:t>
      </w:r>
      <w:r w:rsidR="0090571F">
        <w:rPr>
          <w:rFonts w:ascii="Times New Roman" w:hAnsi="Times New Roman" w:cs="Times New Roman"/>
        </w:rPr>
        <w:t xml:space="preserve"> </w:t>
      </w:r>
      <w:r w:rsidR="00E3293E">
        <w:rPr>
          <w:rFonts w:ascii="Times New Roman" w:hAnsi="Times New Roman" w:cs="Times New Roman"/>
        </w:rPr>
        <w:t>Sur les reprises des passages d’</w:t>
      </w:r>
      <w:r w:rsidR="00E3293E">
        <w:rPr>
          <w:rFonts w:ascii="Times New Roman" w:hAnsi="Times New Roman" w:cs="Times New Roman"/>
          <w:i/>
          <w:iCs/>
        </w:rPr>
        <w:t>Isaïe</w:t>
      </w:r>
      <w:r w:rsidR="00E3293E">
        <w:rPr>
          <w:rFonts w:ascii="Times New Roman" w:hAnsi="Times New Roman" w:cs="Times New Roman"/>
        </w:rPr>
        <w:t xml:space="preserve"> sur le serviteur souffrant dans le Nouveau Testament, </w:t>
      </w:r>
      <w:r w:rsidR="00E3293E">
        <w:rPr>
          <w:rFonts w:ascii="Times New Roman" w:hAnsi="Times New Roman" w:cs="Times New Roman"/>
          <w:i/>
          <w:iCs/>
        </w:rPr>
        <w:t>cf.</w:t>
      </w:r>
      <w:r w:rsidR="00E3293E">
        <w:rPr>
          <w:rFonts w:ascii="Times New Roman" w:hAnsi="Times New Roman" w:cs="Times New Roman"/>
        </w:rPr>
        <w:t xml:space="preserve"> notamment Kenneth Litwak, « </w:t>
      </w:r>
      <w:r w:rsidR="00E3293E" w:rsidRPr="00E3293E">
        <w:rPr>
          <w:rFonts w:ascii="Times New Roman" w:hAnsi="Times New Roman" w:cs="Times New Roman"/>
        </w:rPr>
        <w:t>The Use of Quotations From Isaiah 52:13-53:12 in the New Testament</w:t>
      </w:r>
      <w:r w:rsidR="00E3293E">
        <w:rPr>
          <w:rFonts w:ascii="Times New Roman" w:hAnsi="Times New Roman" w:cs="Times New Roman"/>
        </w:rPr>
        <w:t xml:space="preserve"> », </w:t>
      </w:r>
      <w:r w:rsidR="00244C50">
        <w:rPr>
          <w:rFonts w:ascii="Times New Roman" w:hAnsi="Times New Roman" w:cs="Times New Roman"/>
          <w:i/>
          <w:iCs/>
        </w:rPr>
        <w:t>Journal of the Evangelical Theological Society</w:t>
      </w:r>
      <w:r w:rsidR="00244C50">
        <w:rPr>
          <w:rFonts w:ascii="Times New Roman" w:hAnsi="Times New Roman" w:cs="Times New Roman"/>
        </w:rPr>
        <w:t>, 26, 4, 1983, p. 385-394.</w:t>
      </w:r>
    </w:p>
  </w:footnote>
  <w:footnote w:id="48">
    <w:p w14:paraId="4C3E90DD" w14:textId="77777777" w:rsidR="00B73003" w:rsidRPr="00B73003" w:rsidRDefault="00B73003" w:rsidP="00B73003">
      <w:pPr>
        <w:pStyle w:val="Notedebasdepage"/>
        <w:jc w:val="both"/>
        <w:rPr>
          <w:rFonts w:ascii="Times New Roman" w:hAnsi="Times New Roman" w:cs="Times New Roman"/>
        </w:rPr>
      </w:pPr>
      <w:r w:rsidRPr="00B73003">
        <w:rPr>
          <w:rStyle w:val="Appelnotedebasdep"/>
          <w:rFonts w:ascii="Times New Roman" w:hAnsi="Times New Roman" w:cs="Times New Roman"/>
        </w:rPr>
        <w:footnoteRef/>
      </w:r>
      <w:r w:rsidRPr="00B73003">
        <w:rPr>
          <w:rFonts w:ascii="Times New Roman" w:hAnsi="Times New Roman" w:cs="Times New Roman"/>
        </w:rPr>
        <w:t xml:space="preserve"> Ὁ σπείρων τὸ καλὸν σπέρμα ἐστὶν ὁ υἱὸς τοῦ ἀνθρώπου « Celui qui sème la belle semence est le fils de l’humain. » (</w:t>
      </w:r>
      <w:r w:rsidRPr="00B73003">
        <w:rPr>
          <w:rFonts w:ascii="Times New Roman" w:hAnsi="Times New Roman" w:cs="Times New Roman"/>
          <w:i/>
          <w:iCs/>
        </w:rPr>
        <w:t>Matthieu</w:t>
      </w:r>
      <w:r w:rsidRPr="00B73003">
        <w:rPr>
          <w:rFonts w:ascii="Times New Roman" w:hAnsi="Times New Roman" w:cs="Times New Roman"/>
        </w:rPr>
        <w:t xml:space="preserve"> 13, 37), « le fils de l’humain » étant assimilé à Jésus, par exemple en </w:t>
      </w:r>
      <w:r w:rsidRPr="00B73003">
        <w:rPr>
          <w:rFonts w:ascii="Times New Roman" w:hAnsi="Times New Roman" w:cs="Times New Roman"/>
          <w:i/>
          <w:iCs/>
        </w:rPr>
        <w:t>Matthieu</w:t>
      </w:r>
      <w:r w:rsidRPr="00B73003">
        <w:rPr>
          <w:rFonts w:ascii="Times New Roman" w:hAnsi="Times New Roman" w:cs="Times New Roman"/>
        </w:rPr>
        <w:t xml:space="preserve"> 11, 19.</w:t>
      </w:r>
    </w:p>
  </w:footnote>
  <w:footnote w:id="49">
    <w:p w14:paraId="17485889" w14:textId="77777777" w:rsidR="001D1904" w:rsidRPr="00181B30" w:rsidRDefault="001D1904" w:rsidP="00181B30">
      <w:pPr>
        <w:jc w:val="both"/>
        <w:rPr>
          <w:rFonts w:ascii="Times New Roman" w:eastAsia="Tsukushi A Round Gothic" w:hAnsi="Times New Roman" w:cs="Times New Roman"/>
          <w:bCs/>
          <w:sz w:val="20"/>
          <w:szCs w:val="20"/>
          <w:lang w:eastAsia="fr-FR"/>
        </w:rPr>
      </w:pPr>
      <w:r w:rsidRPr="008C3DFA">
        <w:rPr>
          <w:rStyle w:val="Appelnotedebasdep"/>
          <w:rFonts w:ascii="Times New Roman" w:hAnsi="Times New Roman" w:cs="Times New Roman"/>
          <w:sz w:val="20"/>
          <w:szCs w:val="20"/>
        </w:rPr>
        <w:footnoteRef/>
      </w:r>
      <w:r w:rsidRPr="008C3DFA">
        <w:rPr>
          <w:rFonts w:ascii="Times New Roman" w:hAnsi="Times New Roman" w:cs="Times New Roman"/>
          <w:sz w:val="20"/>
          <w:szCs w:val="20"/>
        </w:rPr>
        <w:t xml:space="preserve"> Antoine Paris, </w:t>
      </w:r>
      <w:r w:rsidRPr="008C3DFA">
        <w:rPr>
          <w:rFonts w:ascii="Times New Roman" w:eastAsia="Tsukushi A Round Gothic" w:hAnsi="Times New Roman" w:cs="Times New Roman"/>
          <w:bCs/>
          <w:sz w:val="20"/>
          <w:szCs w:val="20"/>
          <w:lang w:eastAsia="fr-FR"/>
        </w:rPr>
        <w:t>« </w:t>
      </w:r>
      <w:r w:rsidRPr="008C3DFA">
        <w:rPr>
          <w:rFonts w:ascii="Times New Roman" w:eastAsia="Tsukushi A Round Gothic" w:hAnsi="Times New Roman" w:cs="Times New Roman"/>
          <w:bCs/>
          <w:i/>
          <w:iCs/>
          <w:sz w:val="20"/>
          <w:szCs w:val="20"/>
          <w:lang w:eastAsia="fr-FR"/>
        </w:rPr>
        <w:t>République</w:t>
      </w:r>
      <w:r w:rsidRPr="008C3DFA">
        <w:rPr>
          <w:rFonts w:ascii="Times New Roman" w:eastAsia="Tsukushi A Round Gothic" w:hAnsi="Times New Roman" w:cs="Times New Roman"/>
          <w:bCs/>
          <w:sz w:val="20"/>
          <w:szCs w:val="20"/>
          <w:lang w:eastAsia="fr-FR"/>
        </w:rPr>
        <w:t xml:space="preserve"> 588b-589b dans le </w:t>
      </w:r>
      <w:r w:rsidRPr="008C3DFA">
        <w:rPr>
          <w:rFonts w:ascii="Times New Roman" w:eastAsia="Tsukushi A Round Gothic" w:hAnsi="Times New Roman" w:cs="Times New Roman"/>
          <w:bCs/>
          <w:i/>
          <w:iCs/>
          <w:sz w:val="20"/>
          <w:szCs w:val="20"/>
          <w:lang w:eastAsia="fr-FR"/>
        </w:rPr>
        <w:t>codex</w:t>
      </w:r>
      <w:r w:rsidRPr="008C3DFA">
        <w:rPr>
          <w:rFonts w:ascii="Times New Roman" w:eastAsia="Tsukushi A Round Gothic" w:hAnsi="Times New Roman" w:cs="Times New Roman"/>
          <w:bCs/>
          <w:sz w:val="20"/>
          <w:szCs w:val="20"/>
          <w:lang w:eastAsia="fr-FR"/>
        </w:rPr>
        <w:t xml:space="preserve"> </w:t>
      </w:r>
      <w:r w:rsidRPr="008C3DFA">
        <w:rPr>
          <w:rFonts w:ascii="Times New Roman" w:eastAsia="Tsukushi A Round Gothic" w:hAnsi="Times New Roman" w:cs="Times New Roman"/>
          <w:bCs/>
          <w:smallCaps/>
          <w:sz w:val="20"/>
          <w:szCs w:val="20"/>
          <w:lang w:eastAsia="fr-FR"/>
        </w:rPr>
        <w:t>vi</w:t>
      </w:r>
      <w:r w:rsidRPr="008C3DFA">
        <w:rPr>
          <w:rFonts w:ascii="Times New Roman" w:eastAsia="Tsukushi A Round Gothic" w:hAnsi="Times New Roman" w:cs="Times New Roman"/>
          <w:bCs/>
          <w:sz w:val="20"/>
          <w:szCs w:val="20"/>
          <w:lang w:eastAsia="fr-FR"/>
        </w:rPr>
        <w:t xml:space="preserve"> de la Bibliothèque copte de Nag Hammadi. Contresens, réécriture ou révélation ? », dans</w:t>
      </w:r>
      <w:r w:rsidRPr="008C3DFA">
        <w:rPr>
          <w:rFonts w:ascii="Times New Roman" w:eastAsia="Tsukushi A Round Gothic" w:hAnsi="Times New Roman" w:cs="Times New Roman"/>
          <w:bCs/>
          <w:i/>
          <w:iCs/>
          <w:sz w:val="20"/>
          <w:szCs w:val="20"/>
          <w:lang w:eastAsia="fr-FR"/>
        </w:rPr>
        <w:t xml:space="preserve"> </w:t>
      </w:r>
      <w:r w:rsidRPr="008C3DFA">
        <w:rPr>
          <w:rFonts w:ascii="Times New Roman" w:eastAsia="Tsukushi A Round Gothic" w:hAnsi="Times New Roman" w:cs="Times New Roman"/>
          <w:bCs/>
          <w:sz w:val="20"/>
          <w:szCs w:val="20"/>
          <w:lang w:eastAsia="fr-FR"/>
        </w:rPr>
        <w:t xml:space="preserve">Sophie Van der Meeren-Ferreri (dir.), </w:t>
      </w:r>
      <w:r w:rsidRPr="008C3DFA">
        <w:rPr>
          <w:rFonts w:ascii="Times New Roman" w:eastAsia="Tsukushi A Round Gothic" w:hAnsi="Times New Roman" w:cs="Times New Roman"/>
          <w:bCs/>
          <w:i/>
          <w:iCs/>
          <w:sz w:val="20"/>
          <w:szCs w:val="20"/>
          <w:lang w:eastAsia="fr-FR"/>
        </w:rPr>
        <w:t>Le contresens créateur dans l’exégèse des textes antiques</w:t>
      </w:r>
      <w:r w:rsidRPr="008C3DFA">
        <w:rPr>
          <w:rFonts w:ascii="Times New Roman" w:eastAsia="Tsukushi A Round Gothic" w:hAnsi="Times New Roman" w:cs="Times New Roman"/>
          <w:bCs/>
          <w:sz w:val="20"/>
          <w:szCs w:val="20"/>
          <w:lang w:eastAsia="fr-FR"/>
        </w:rPr>
        <w:t>, Rennes, Presses Universitaires de Rennes, à paraître.</w:t>
      </w:r>
    </w:p>
  </w:footnote>
  <w:footnote w:id="50">
    <w:p w14:paraId="4D7948F9" w14:textId="77777777" w:rsidR="00181B30" w:rsidRDefault="00181B30" w:rsidP="00EA0D5A">
      <w:pPr>
        <w:pStyle w:val="Notedebasdepage"/>
        <w:jc w:val="both"/>
      </w:pPr>
      <w:r>
        <w:rPr>
          <w:rStyle w:val="Appelnotedebasdep"/>
        </w:rPr>
        <w:footnoteRef/>
      </w:r>
      <w:r>
        <w:t xml:space="preserve"> </w:t>
      </w:r>
      <w:r w:rsidRPr="00B72424">
        <w:rPr>
          <w:rFonts w:ascii="IFAO-Grec Unicode" w:hAnsi="IFAO-Grec Unicode"/>
        </w:rPr>
        <w:t xml:space="preserve">Ἦν δέ που λεγόμενον λυσιτελεῖν ἀδικεῖν τῷ τελέως μὲν ἀδίκῳ, </w:t>
      </w:r>
      <w:r w:rsidRPr="00181B30">
        <w:rPr>
          <w:rFonts w:ascii="IFAO-Grec Unicode" w:hAnsi="IFAO-Grec Unicode"/>
          <w:i/>
          <w:iCs/>
        </w:rPr>
        <w:t>δοξαζομένῳ</w:t>
      </w:r>
      <w:r w:rsidRPr="00B72424">
        <w:rPr>
          <w:rFonts w:ascii="IFAO-Grec Unicode" w:hAnsi="IFAO-Grec Unicode"/>
        </w:rPr>
        <w:t xml:space="preserve"> δὲ δικαίῳ</w:t>
      </w:r>
      <w:r w:rsidRPr="00B72424">
        <w:t xml:space="preserve"> </w:t>
      </w:r>
      <w:r w:rsidRPr="005F04B3">
        <w:rPr>
          <w:rFonts w:ascii="Times New Roman" w:hAnsi="Times New Roman" w:cs="Times New Roman"/>
        </w:rPr>
        <w:t xml:space="preserve">(Platon, </w:t>
      </w:r>
      <w:r w:rsidRPr="005F04B3">
        <w:rPr>
          <w:rFonts w:ascii="Times New Roman" w:hAnsi="Times New Roman" w:cs="Times New Roman"/>
          <w:i/>
          <w:iCs/>
        </w:rPr>
        <w:t>République</w:t>
      </w:r>
      <w:r w:rsidRPr="005F04B3">
        <w:rPr>
          <w:rFonts w:ascii="Times New Roman" w:hAnsi="Times New Roman" w:cs="Times New Roman"/>
        </w:rPr>
        <w:t xml:space="preserve">, </w:t>
      </w:r>
      <w:r w:rsidRPr="005F04B3">
        <w:rPr>
          <w:rFonts w:ascii="Times New Roman" w:hAnsi="Times New Roman" w:cs="Times New Roman"/>
          <w:smallCaps/>
        </w:rPr>
        <w:t>ix</w:t>
      </w:r>
      <w:r w:rsidRPr="005F04B3">
        <w:rPr>
          <w:rFonts w:ascii="Times New Roman" w:hAnsi="Times New Roman" w:cs="Times New Roman"/>
        </w:rPr>
        <w:t>, 588b)</w:t>
      </w:r>
      <w:r w:rsidR="00EA0D5A" w:rsidRPr="005F04B3">
        <w:rPr>
          <w:rFonts w:ascii="Times New Roman" w:hAnsi="Times New Roman" w:cs="Times New Roman"/>
        </w:rPr>
        <w:t xml:space="preserve"> Pour </w:t>
      </w:r>
      <w:r w:rsidR="00EA0D5A" w:rsidRPr="005F04B3">
        <w:rPr>
          <w:rFonts w:ascii="Times New Roman" w:hAnsi="Times New Roman" w:cs="Times New Roman"/>
          <w:i/>
          <w:iCs/>
        </w:rPr>
        <w:t xml:space="preserve">République </w:t>
      </w:r>
      <w:r w:rsidR="00EA0D5A" w:rsidRPr="005F04B3">
        <w:rPr>
          <w:rFonts w:ascii="Times New Roman" w:hAnsi="Times New Roman" w:cs="Times New Roman"/>
          <w:smallCaps/>
        </w:rPr>
        <w:t>ix</w:t>
      </w:r>
      <w:r w:rsidR="00EA0D5A" w:rsidRPr="005F04B3">
        <w:rPr>
          <w:rFonts w:ascii="Times New Roman" w:hAnsi="Times New Roman" w:cs="Times New Roman"/>
        </w:rPr>
        <w:t xml:space="preserve">, je suis le texte établi par Émile Chambry dans Platon, </w:t>
      </w:r>
      <w:r w:rsidR="00EA0D5A" w:rsidRPr="005F04B3">
        <w:rPr>
          <w:rFonts w:ascii="Times New Roman" w:hAnsi="Times New Roman" w:cs="Times New Roman"/>
          <w:i/>
          <w:iCs/>
        </w:rPr>
        <w:t xml:space="preserve">Œuvres complètes. Tome </w:t>
      </w:r>
      <w:r w:rsidR="00EA0D5A" w:rsidRPr="005F04B3">
        <w:rPr>
          <w:rFonts w:ascii="Times New Roman" w:hAnsi="Times New Roman" w:cs="Times New Roman"/>
          <w:i/>
          <w:iCs/>
          <w:smallCaps/>
        </w:rPr>
        <w:t>vii</w:t>
      </w:r>
      <w:r w:rsidR="00EA0D5A" w:rsidRPr="005F04B3">
        <w:rPr>
          <w:rFonts w:ascii="Times New Roman" w:hAnsi="Times New Roman" w:cs="Times New Roman"/>
          <w:i/>
          <w:iCs/>
        </w:rPr>
        <w:t>, 2</w:t>
      </w:r>
      <w:r w:rsidR="00EA0D5A" w:rsidRPr="005F04B3">
        <w:rPr>
          <w:rFonts w:ascii="Times New Roman" w:hAnsi="Times New Roman" w:cs="Times New Roman"/>
          <w:i/>
          <w:iCs/>
          <w:vertAlign w:val="superscript"/>
        </w:rPr>
        <w:t>e</w:t>
      </w:r>
      <w:r w:rsidR="00EA0D5A" w:rsidRPr="005F04B3">
        <w:rPr>
          <w:rFonts w:ascii="Times New Roman" w:hAnsi="Times New Roman" w:cs="Times New Roman"/>
          <w:i/>
          <w:iCs/>
        </w:rPr>
        <w:t xml:space="preserve"> partie. La République. Livres </w:t>
      </w:r>
      <w:r w:rsidR="00EA0D5A" w:rsidRPr="005F04B3">
        <w:rPr>
          <w:rFonts w:ascii="Times New Roman" w:hAnsi="Times New Roman" w:cs="Times New Roman"/>
          <w:i/>
          <w:iCs/>
          <w:smallCaps/>
        </w:rPr>
        <w:t>viii-x</w:t>
      </w:r>
      <w:r w:rsidR="00EA0D5A" w:rsidRPr="005F04B3">
        <w:rPr>
          <w:rFonts w:ascii="Times New Roman" w:hAnsi="Times New Roman" w:cs="Times New Roman"/>
          <w:smallCaps/>
        </w:rPr>
        <w:t xml:space="preserve">, </w:t>
      </w:r>
      <w:r w:rsidR="00EA0D5A" w:rsidRPr="005F04B3">
        <w:rPr>
          <w:rFonts w:ascii="Times New Roman" w:hAnsi="Times New Roman" w:cs="Times New Roman"/>
        </w:rPr>
        <w:t>Les Belles Lettres, coll. « CUF », 1934.</w:t>
      </w:r>
    </w:p>
  </w:footnote>
  <w:footnote w:id="51">
    <w:p w14:paraId="40F1640E" w14:textId="77777777" w:rsidR="00EA0D5A" w:rsidRPr="00EA0D5A" w:rsidRDefault="00EA0D5A" w:rsidP="00EA0D5A">
      <w:pPr>
        <w:jc w:val="both"/>
        <w:rPr>
          <w:rFonts w:ascii="Times New Roman" w:hAnsi="Times New Roman" w:cs="Times New Roman"/>
        </w:rPr>
      </w:pPr>
      <w:r w:rsidRPr="00EA0D5A">
        <w:rPr>
          <w:rStyle w:val="Appelnotedebasdep"/>
          <w:rFonts w:ascii="Times New Roman" w:hAnsi="Times New Roman" w:cs="Times New Roman"/>
          <w:sz w:val="20"/>
          <w:szCs w:val="20"/>
        </w:rPr>
        <w:footnoteRef/>
      </w:r>
      <w:r w:rsidRPr="00EA0D5A">
        <w:rPr>
          <w:rFonts w:ascii="Times New Roman" w:hAnsi="Times New Roman" w:cs="Times New Roman"/>
          <w:sz w:val="20"/>
          <w:szCs w:val="20"/>
        </w:rPr>
        <w:t xml:space="preserve"> </w:t>
      </w:r>
      <w:r w:rsidRPr="00B72424">
        <w:rPr>
          <w:rFonts w:ascii="SPAchmim" w:hAnsi="SPAchmim"/>
          <w:sz w:val="20"/>
          <w:szCs w:val="20"/>
        </w:rPr>
        <w:t xml:space="preserve">auw tnna2ine m-mos e3`w m-mos </w:t>
      </w:r>
      <w:r w:rsidRPr="00B72424">
        <w:rPr>
          <w:rFonts w:ascii="Cambria" w:hAnsi="Cambria" w:cs="Cambria"/>
          <w:sz w:val="20"/>
          <w:szCs w:val="20"/>
        </w:rPr>
        <w:t>·</w:t>
      </w:r>
      <w:r w:rsidRPr="00B72424">
        <w:rPr>
          <w:rFonts w:ascii="SPAchmim" w:hAnsi="SPAchmim"/>
          <w:sz w:val="20"/>
          <w:szCs w:val="20"/>
        </w:rPr>
        <w:t xml:space="preserve"> `e nanou pentau`it-3- n-2on-s- tele</w:t>
      </w:r>
      <w:r w:rsidRPr="00B72424">
        <w:rPr>
          <w:rFonts w:ascii="SPAchmim" w:eastAsiaTheme="minorEastAsia" w:hAnsi="SPAchmim"/>
          <w:sz w:val="20"/>
          <w:szCs w:val="20"/>
        </w:rPr>
        <w:t xml:space="preserve">ws </w:t>
      </w:r>
      <w:r w:rsidRPr="00B72424">
        <w:rPr>
          <w:rFonts w:ascii="Cambria" w:eastAsiaTheme="minorEastAsia" w:hAnsi="Cambria" w:cs="Cambria"/>
          <w:sz w:val="20"/>
          <w:szCs w:val="20"/>
        </w:rPr>
        <w:t>·</w:t>
      </w:r>
      <w:r w:rsidRPr="00B72424">
        <w:rPr>
          <w:rFonts w:ascii="SPAchmim" w:eastAsiaTheme="minorEastAsia" w:hAnsi="SPAchmim"/>
          <w:sz w:val="20"/>
          <w:szCs w:val="20"/>
        </w:rPr>
        <w:t xml:space="preserve"> </w:t>
      </w:r>
      <w:r w:rsidRPr="00EA0D5A">
        <w:rPr>
          <w:rFonts w:ascii="SPAchmim" w:eastAsiaTheme="minorEastAsia" w:hAnsi="SPAchmim"/>
          <w:i/>
          <w:iCs/>
          <w:sz w:val="20"/>
          <w:szCs w:val="20"/>
        </w:rPr>
        <w:t>4a3`i eoou</w:t>
      </w:r>
      <w:r w:rsidRPr="00B72424">
        <w:rPr>
          <w:rFonts w:ascii="SPAchmim" w:eastAsiaTheme="minorEastAsia" w:hAnsi="SPAchmim"/>
          <w:sz w:val="20"/>
          <w:szCs w:val="20"/>
        </w:rPr>
        <w:t xml:space="preserve"> dikaiws</w:t>
      </w:r>
      <w:r w:rsidRPr="00B72424">
        <w:rPr>
          <w:rFonts w:ascii="SPAchmim" w:hAnsi="SPAchmim"/>
          <w:sz w:val="20"/>
          <w:szCs w:val="20"/>
        </w:rPr>
        <w:t xml:space="preserve"> </w:t>
      </w:r>
      <w:r w:rsidRPr="00B72424">
        <w:rPr>
          <w:sz w:val="20"/>
          <w:szCs w:val="20"/>
        </w:rPr>
        <w:t xml:space="preserve"> </w:t>
      </w:r>
      <w:r w:rsidRPr="00EA0D5A">
        <w:rPr>
          <w:rFonts w:ascii="Times New Roman" w:hAnsi="Times New Roman" w:cs="Times New Roman"/>
          <w:sz w:val="20"/>
          <w:szCs w:val="20"/>
        </w:rPr>
        <w:t>(</w:t>
      </w:r>
      <w:r w:rsidRPr="00EA0D5A">
        <w:rPr>
          <w:rFonts w:ascii="Times New Roman" w:hAnsi="Times New Roman" w:cs="Times New Roman"/>
          <w:i/>
          <w:iCs/>
          <w:sz w:val="20"/>
          <w:szCs w:val="20"/>
        </w:rPr>
        <w:t>Fragment de la République de Platon</w:t>
      </w:r>
      <w:r w:rsidRPr="00EA0D5A">
        <w:rPr>
          <w:rFonts w:ascii="Times New Roman" w:hAnsi="Times New Roman" w:cs="Times New Roman"/>
          <w:sz w:val="20"/>
          <w:szCs w:val="20"/>
        </w:rPr>
        <w:t>, p. 48, 19-22).</w:t>
      </w:r>
    </w:p>
  </w:footnote>
  <w:footnote w:id="52">
    <w:p w14:paraId="079840A2" w14:textId="77777777" w:rsidR="00EB4C0F" w:rsidRPr="00B72424" w:rsidRDefault="00EB4C0F" w:rsidP="00EB4C0F">
      <w:pPr>
        <w:pStyle w:val="Notedebasdepage"/>
        <w:jc w:val="both"/>
      </w:pPr>
      <w:r w:rsidRPr="00BA313C">
        <w:rPr>
          <w:rStyle w:val="Appelnotedebasdep"/>
          <w:rFonts w:ascii="Times New Roman" w:hAnsi="Times New Roman" w:cs="Times New Roman"/>
        </w:rPr>
        <w:footnoteRef/>
      </w:r>
      <w:r w:rsidRPr="00BA313C">
        <w:rPr>
          <w:rFonts w:ascii="Times New Roman" w:hAnsi="Times New Roman" w:cs="Times New Roman"/>
        </w:rPr>
        <w:t xml:space="preserve"> </w:t>
      </w:r>
      <w:r w:rsidRPr="00B72424">
        <w:rPr>
          <w:rFonts w:ascii="IFAO-Grec Unicode" w:hAnsi="IFAO-Grec Unicode"/>
        </w:rPr>
        <w:t xml:space="preserve">Οὐκοῦν αὖ ὁ τὰ δίκαια λέγων λυσιτελεῖν φαίη ἂν δεῖν ταῦτα πράττειν καὶ ταῦτα λέγειν, ὅθεν τοῦ ἀνθρώπου ὁ ἐντὸς ἄνθρωπος ἔσται ἐγκρατέστατος, καὶ τοῦ πολυκεφάλου θρέμματος ἐπιμελήσεται ὥσπερ γεωργός, τὰ μὲν ἥμερα τρέφων καὶ τιθασεύων, τὰ δὲ ἄγρια ἀποκωλύων φύεσθαι </w:t>
      </w:r>
      <w:r w:rsidRPr="00BA313C">
        <w:rPr>
          <w:rFonts w:ascii="Times New Roman" w:hAnsi="Times New Roman" w:cs="Times New Roman"/>
        </w:rPr>
        <w:t>« Eh bien donc, au contraire, celui qui dit que les choses justes apportent un bénéfice dirait qu’il faut faire et dire ce par quoi l’humain à l’intérieur de l’humain sera le plus vigoureux et s’occupera du rejeton polycéphale [l’âme humaine selon 588b-e] comme un cultivateur, qui nourrit et apprivoise les animaux domestiques, tandis qu’il empêche les animaux sauvages de grandir selon la nature » (</w:t>
      </w:r>
      <w:r w:rsidRPr="00BA313C">
        <w:rPr>
          <w:rFonts w:ascii="Times New Roman" w:hAnsi="Times New Roman" w:cs="Times New Roman"/>
          <w:smallCaps/>
        </w:rPr>
        <w:t>Platon</w:t>
      </w:r>
      <w:r w:rsidRPr="00BA313C">
        <w:rPr>
          <w:rFonts w:ascii="Times New Roman" w:hAnsi="Times New Roman" w:cs="Times New Roman"/>
        </w:rPr>
        <w:t xml:space="preserve">, </w:t>
      </w:r>
      <w:r w:rsidRPr="00BA313C">
        <w:rPr>
          <w:rFonts w:ascii="Times New Roman" w:hAnsi="Times New Roman" w:cs="Times New Roman"/>
          <w:i/>
          <w:iCs/>
        </w:rPr>
        <w:t>République</w:t>
      </w:r>
      <w:r w:rsidRPr="00BA313C">
        <w:rPr>
          <w:rFonts w:ascii="Times New Roman" w:hAnsi="Times New Roman" w:cs="Times New Roman"/>
        </w:rPr>
        <w:t xml:space="preserve">, </w:t>
      </w:r>
      <w:r w:rsidRPr="00BA313C">
        <w:rPr>
          <w:rFonts w:ascii="Times New Roman" w:hAnsi="Times New Roman" w:cs="Times New Roman"/>
          <w:smallCaps/>
        </w:rPr>
        <w:t>ix</w:t>
      </w:r>
      <w:r w:rsidRPr="00BA313C">
        <w:rPr>
          <w:rFonts w:ascii="Times New Roman" w:hAnsi="Times New Roman" w:cs="Times New Roman"/>
        </w:rPr>
        <w:t>, 588e-589a).</w:t>
      </w:r>
    </w:p>
  </w:footnote>
  <w:footnote w:id="53">
    <w:p w14:paraId="76F44EA1" w14:textId="77777777" w:rsidR="00EB4C0F" w:rsidRPr="00BA313C" w:rsidRDefault="00EB4C0F"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t xml:space="preserve"> </w:t>
      </w:r>
      <w:r w:rsidRPr="00B72424">
        <w:rPr>
          <w:rFonts w:ascii="SPAchmim" w:hAnsi="SPAchmim"/>
        </w:rPr>
        <w:t>oukoun 2e pet4a</w:t>
      </w:r>
      <w:r w:rsidRPr="00B72424">
        <w:rPr>
          <w:rFonts w:ascii="SPAchmim" w:hAnsi="SPAchmim" w:cs="Cambria"/>
        </w:rPr>
        <w:t xml:space="preserve">`e 6ww3 6-n- oudikaion s-r- no3re na3 </w:t>
      </w:r>
      <w:r w:rsidRPr="00B72424">
        <w:t xml:space="preserve">· </w:t>
      </w:r>
      <w:r w:rsidRPr="00B72424">
        <w:rPr>
          <w:rFonts w:ascii="SPAchmim" w:hAnsi="SPAchmim" w:cs="Cambria"/>
        </w:rPr>
        <w:t>auw e34an</w:t>
      </w:r>
      <w:r w:rsidRPr="00B72424">
        <w:rPr>
          <w:rFonts w:ascii="SPAchmim" w:hAnsi="SPAchmim"/>
        </w:rPr>
        <w:t>eire n-nai n3-4a</w:t>
      </w:r>
      <w:r w:rsidRPr="00B72424">
        <w:rPr>
          <w:rFonts w:ascii="SPAchmim" w:hAnsi="SPAchmim" w:cs="Cambria"/>
        </w:rPr>
        <w:t xml:space="preserve">`e n-6htou </w:t>
      </w:r>
      <w:r w:rsidRPr="00B72424">
        <w:rPr>
          <w:rFonts w:ascii="SPAchmim" w:hAnsi="SPAchmim"/>
        </w:rPr>
        <w:t>m-foun m-prwme seama6te 6-n- outa</w:t>
      </w:r>
      <w:r w:rsidRPr="00B72424">
        <w:rPr>
          <w:rFonts w:ascii="SPAchmim" w:hAnsi="SPAchmim" w:cs="Cambria"/>
        </w:rPr>
        <w:t xml:space="preserve">`ro </w:t>
      </w:r>
      <w:r w:rsidRPr="00B72424">
        <w:t xml:space="preserve">· </w:t>
      </w:r>
      <w:r w:rsidRPr="00B72424">
        <w:rPr>
          <w:rFonts w:ascii="SPAchmim" w:hAnsi="SPAchmim" w:cs="Cambria"/>
        </w:rPr>
        <w:t xml:space="preserve">etbe </w:t>
      </w:r>
      <w:r w:rsidRPr="00B72424">
        <w:rPr>
          <w:rFonts w:ascii="SPAchmim" w:hAnsi="SPAchmim"/>
        </w:rPr>
        <w:t xml:space="preserve">pai n-6ouo 4a34ine n-sa3i peuroou4 n3-sanou4ou </w:t>
      </w:r>
      <w:r w:rsidRPr="00B72424">
        <w:t xml:space="preserve">· </w:t>
      </w:r>
      <w:r w:rsidRPr="00B72424">
        <w:rPr>
          <w:rFonts w:ascii="SPAchmim" w:hAnsi="SPAchmim"/>
        </w:rPr>
        <w:t xml:space="preserve">n-qe 6ww3 m-pgewrgos e4a3saan-4- m-pe3genhma m-mhne </w:t>
      </w:r>
      <w:r w:rsidRPr="00B72424">
        <w:t>·</w:t>
      </w:r>
      <w:r w:rsidRPr="00B72424">
        <w:rPr>
          <w:rFonts w:ascii="SPAchmim" w:hAnsi="SPAchmim"/>
        </w:rPr>
        <w:t xml:space="preserve"> auw n-te n-qhrion n-argion r- kwlue m-mo3 etre3rwt </w:t>
      </w:r>
      <w:r w:rsidRPr="00BA313C">
        <w:rPr>
          <w:rFonts w:ascii="Times New Roman" w:hAnsi="Times New Roman" w:cs="Times New Roman"/>
        </w:rPr>
        <w:t>« Par conséquent donc celui qui parle quant à lui avec justice cela lui est utile et s’il fait ces choses et s’il parle en elles à l’intérieur de l’humain, elles dominent avec force. À cause de cela il cherche davantage à se soucier d’elles et à les maintenir comme également le cultivateur maintient sa production chaque jour et les bêtes sauvages l’empêchent de croître. » (</w:t>
      </w:r>
      <w:r w:rsidRPr="00BA313C">
        <w:rPr>
          <w:rFonts w:ascii="Times New Roman" w:hAnsi="Times New Roman" w:cs="Times New Roman"/>
          <w:i/>
          <w:iCs/>
        </w:rPr>
        <w:t>Fragment de République</w:t>
      </w:r>
      <w:r w:rsidRPr="00BA313C">
        <w:rPr>
          <w:rFonts w:ascii="Times New Roman" w:hAnsi="Times New Roman" w:cs="Times New Roman"/>
        </w:rPr>
        <w:t>, p. 51, l. 11-23)</w:t>
      </w:r>
    </w:p>
  </w:footnote>
  <w:footnote w:id="54">
    <w:p w14:paraId="15797725" w14:textId="77777777" w:rsidR="00DA435F" w:rsidRPr="00BA313C" w:rsidRDefault="00DA435F"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L’expression apparaît au singulier dans </w:t>
      </w:r>
      <w:r w:rsidRPr="00BA313C">
        <w:rPr>
          <w:rFonts w:ascii="Times New Roman" w:hAnsi="Times New Roman" w:cs="Times New Roman"/>
          <w:i/>
          <w:iCs/>
        </w:rPr>
        <w:t>Et si les œuvres changeaient d’auteurs ?</w:t>
      </w:r>
      <w:r w:rsidRPr="00BA313C">
        <w:rPr>
          <w:rFonts w:ascii="Times New Roman" w:hAnsi="Times New Roman" w:cs="Times New Roman"/>
        </w:rPr>
        <w:t xml:space="preserve">, </w:t>
      </w:r>
      <w:r w:rsidRPr="00BA313C">
        <w:rPr>
          <w:rFonts w:ascii="Times New Roman" w:hAnsi="Times New Roman" w:cs="Times New Roman"/>
          <w:i/>
          <w:iCs/>
        </w:rPr>
        <w:t>op. cit.</w:t>
      </w:r>
      <w:r w:rsidRPr="00BA313C">
        <w:rPr>
          <w:rFonts w:ascii="Times New Roman" w:hAnsi="Times New Roman" w:cs="Times New Roman"/>
        </w:rPr>
        <w:t>, p. 150.</w:t>
      </w:r>
    </w:p>
  </w:footnote>
  <w:footnote w:id="55">
    <w:p w14:paraId="6FDC7545" w14:textId="77777777" w:rsidR="00177C25" w:rsidRPr="00BA313C" w:rsidRDefault="00177C25"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w:t>
      </w:r>
      <w:r w:rsidRPr="00BA313C">
        <w:rPr>
          <w:rFonts w:ascii="Times New Roman" w:hAnsi="Times New Roman" w:cs="Times New Roman"/>
          <w:i/>
          <w:iCs/>
        </w:rPr>
        <w:t>Évangile selon Jean</w:t>
      </w:r>
      <w:r w:rsidRPr="00BA313C">
        <w:rPr>
          <w:rFonts w:ascii="Times New Roman" w:hAnsi="Times New Roman" w:cs="Times New Roman"/>
        </w:rPr>
        <w:t xml:space="preserve"> 1, 1-2. </w:t>
      </w:r>
    </w:p>
  </w:footnote>
  <w:footnote w:id="56">
    <w:p w14:paraId="778BC60F" w14:textId="77777777" w:rsidR="00951C59" w:rsidRPr="00BA313C" w:rsidRDefault="00951C59"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w:t>
      </w:r>
      <w:r w:rsidRPr="00BA313C">
        <w:rPr>
          <w:rFonts w:ascii="Times New Roman" w:hAnsi="Times New Roman" w:cs="Times New Roman"/>
          <w:i/>
          <w:iCs/>
        </w:rPr>
        <w:t>La Bible. Traduction œcuménique</w:t>
      </w:r>
      <w:r w:rsidRPr="00BA313C">
        <w:rPr>
          <w:rFonts w:ascii="Times New Roman" w:hAnsi="Times New Roman" w:cs="Times New Roman"/>
        </w:rPr>
        <w:t>, trad. collective, Paris, Éditions du Cerf et Société Biblique Française Bibli’O, 2010.</w:t>
      </w:r>
    </w:p>
  </w:footnote>
  <w:footnote w:id="57">
    <w:p w14:paraId="483A202A" w14:textId="77777777" w:rsidR="00951C59" w:rsidRPr="00BA313C" w:rsidRDefault="00951C59"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Sur cet intertexte, </w:t>
      </w:r>
      <w:r w:rsidRPr="00BA313C">
        <w:rPr>
          <w:rFonts w:ascii="Times New Roman" w:hAnsi="Times New Roman" w:cs="Times New Roman"/>
          <w:i/>
          <w:iCs/>
        </w:rPr>
        <w:t>cf.</w:t>
      </w:r>
      <w:r w:rsidRPr="00BA313C">
        <w:rPr>
          <w:rFonts w:ascii="Times New Roman" w:hAnsi="Times New Roman" w:cs="Times New Roman"/>
        </w:rPr>
        <w:t xml:space="preserve"> notamment Bernard Pautrat, </w:t>
      </w:r>
      <w:r w:rsidRPr="00BA313C">
        <w:rPr>
          <w:rFonts w:ascii="Times New Roman" w:hAnsi="Times New Roman" w:cs="Times New Roman"/>
          <w:i/>
          <w:iCs/>
        </w:rPr>
        <w:t>Évangile de saint Jean</w:t>
      </w:r>
      <w:r w:rsidRPr="00BA313C">
        <w:rPr>
          <w:rFonts w:ascii="Times New Roman" w:hAnsi="Times New Roman" w:cs="Times New Roman"/>
        </w:rPr>
        <w:t>, Paris, Éditions Payot, coll. « Rivages poche », 2000, préface.</w:t>
      </w:r>
    </w:p>
  </w:footnote>
  <w:footnote w:id="58">
    <w:p w14:paraId="78F0C8B1" w14:textId="77777777" w:rsidR="00951C59" w:rsidRPr="00BA313C" w:rsidRDefault="00951C59"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w:t>
      </w:r>
      <w:r w:rsidR="00EC4829" w:rsidRPr="00BA313C">
        <w:rPr>
          <w:rFonts w:ascii="Times New Roman" w:hAnsi="Times New Roman" w:cs="Times New Roman"/>
        </w:rPr>
        <w:t>André Chouraqui traduit d’ailleurs l’expression par « Entête » (</w:t>
      </w:r>
      <w:r w:rsidR="00EC4829" w:rsidRPr="00BA313C">
        <w:rPr>
          <w:rFonts w:ascii="Times New Roman" w:hAnsi="Times New Roman" w:cs="Times New Roman"/>
          <w:i/>
          <w:iCs/>
          <w:lang w:eastAsia="fr-FR"/>
        </w:rPr>
        <w:t>La Bible</w:t>
      </w:r>
      <w:r w:rsidR="00EC4829" w:rsidRPr="00BA313C">
        <w:rPr>
          <w:rFonts w:ascii="Times New Roman" w:hAnsi="Times New Roman" w:cs="Times New Roman"/>
          <w:lang w:eastAsia="fr-FR"/>
        </w:rPr>
        <w:t>, trad. André Chouraqui, Paris, Desclée De Brouwer, 1985).</w:t>
      </w:r>
    </w:p>
  </w:footnote>
  <w:footnote w:id="59">
    <w:p w14:paraId="48501B8C" w14:textId="77777777" w:rsidR="00E7159A" w:rsidRPr="00BA313C" w:rsidRDefault="00E7159A" w:rsidP="00BA313C">
      <w:pPr>
        <w:pStyle w:val="Notedebasdepage"/>
        <w:jc w:val="both"/>
        <w:rPr>
          <w:rFonts w:ascii="Times New Roman" w:hAnsi="Times New Roman" w:cs="Times New Roman"/>
        </w:rPr>
      </w:pPr>
      <w:r w:rsidRPr="00BA313C">
        <w:rPr>
          <w:rStyle w:val="Appelnotedebasdep"/>
          <w:rFonts w:ascii="Times New Roman" w:hAnsi="Times New Roman" w:cs="Times New Roman"/>
        </w:rPr>
        <w:footnoteRef/>
      </w:r>
      <w:r w:rsidRPr="00BA313C">
        <w:rPr>
          <w:rFonts w:ascii="Times New Roman" w:hAnsi="Times New Roman" w:cs="Times New Roman"/>
        </w:rPr>
        <w:t xml:space="preserve"> Sur l’expression de la possession dans le grec du Nouveau Testament, </w:t>
      </w:r>
      <w:r w:rsidRPr="00BA313C">
        <w:rPr>
          <w:rFonts w:ascii="Times New Roman" w:hAnsi="Times New Roman" w:cs="Times New Roman"/>
          <w:i/>
          <w:iCs/>
        </w:rPr>
        <w:t xml:space="preserve">cf. </w:t>
      </w:r>
      <w:r w:rsidRPr="00BA313C">
        <w:rPr>
          <w:rFonts w:ascii="Times New Roman" w:hAnsi="Times New Roman" w:cs="Times New Roman"/>
        </w:rPr>
        <w:t xml:space="preserve">Chiara Gianollo, « External Possession in New Testament Greek », dans Gualtiero Calboli et Pierluigi Cuzzolin (dir.), </w:t>
      </w:r>
      <w:r w:rsidRPr="00BA313C">
        <w:rPr>
          <w:rFonts w:ascii="Times New Roman" w:hAnsi="Times New Roman" w:cs="Times New Roman"/>
          <w:i/>
          <w:iCs/>
        </w:rPr>
        <w:t>Papers on grammar. Vol. 11</w:t>
      </w:r>
      <w:r w:rsidRPr="00BA313C">
        <w:rPr>
          <w:rFonts w:ascii="Times New Roman" w:hAnsi="Times New Roman" w:cs="Times New Roman"/>
        </w:rPr>
        <w:t xml:space="preserve">, Rome, Herder, 2010, p. 101-129. Sur la présence ou l’absence des articles définis dans le même corpus, </w:t>
      </w:r>
      <w:r w:rsidRPr="00BA313C">
        <w:rPr>
          <w:rFonts w:ascii="Times New Roman" w:hAnsi="Times New Roman" w:cs="Times New Roman"/>
          <w:i/>
          <w:iCs/>
        </w:rPr>
        <w:t>cf.</w:t>
      </w:r>
      <w:r w:rsidRPr="00BA313C">
        <w:rPr>
          <w:rFonts w:ascii="Times New Roman" w:hAnsi="Times New Roman" w:cs="Times New Roman"/>
        </w:rPr>
        <w:t xml:space="preserve"> les mises au point – partielles dans les deux cas – de E</w:t>
      </w:r>
      <w:r w:rsidR="00E33C42" w:rsidRPr="00BA313C">
        <w:rPr>
          <w:rFonts w:ascii="Times New Roman" w:hAnsi="Times New Roman" w:cs="Times New Roman"/>
        </w:rPr>
        <w:t>rnest</w:t>
      </w:r>
      <w:r w:rsidRPr="00BA313C">
        <w:rPr>
          <w:rFonts w:ascii="Times New Roman" w:hAnsi="Times New Roman" w:cs="Times New Roman"/>
        </w:rPr>
        <w:t xml:space="preserve"> C</w:t>
      </w:r>
      <w:r w:rsidR="00E33C42" w:rsidRPr="00BA313C">
        <w:rPr>
          <w:rFonts w:ascii="Times New Roman" w:hAnsi="Times New Roman" w:cs="Times New Roman"/>
        </w:rPr>
        <w:t xml:space="preserve">adman </w:t>
      </w:r>
      <w:r w:rsidRPr="00BA313C">
        <w:rPr>
          <w:rFonts w:ascii="Times New Roman" w:hAnsi="Times New Roman" w:cs="Times New Roman"/>
        </w:rPr>
        <w:t xml:space="preserve">Colwell (« A Definite Rule for the Use of the Article in the Greek New Testament », </w:t>
      </w:r>
      <w:r w:rsidRPr="00BA313C">
        <w:rPr>
          <w:rFonts w:ascii="Times New Roman" w:hAnsi="Times New Roman" w:cs="Times New Roman"/>
          <w:i/>
          <w:iCs/>
        </w:rPr>
        <w:t>Journal of Biblical Literature</w:t>
      </w:r>
      <w:r w:rsidRPr="00BA313C">
        <w:rPr>
          <w:rFonts w:ascii="Times New Roman" w:hAnsi="Times New Roman" w:cs="Times New Roman"/>
        </w:rPr>
        <w:t>, 52, 1933, p. 12-21) et J</w:t>
      </w:r>
      <w:r w:rsidR="00E33C42" w:rsidRPr="00BA313C">
        <w:rPr>
          <w:rFonts w:ascii="Times New Roman" w:hAnsi="Times New Roman" w:cs="Times New Roman"/>
        </w:rPr>
        <w:t xml:space="preserve">acob </w:t>
      </w:r>
      <w:r w:rsidRPr="00BA313C">
        <w:rPr>
          <w:rFonts w:ascii="Times New Roman" w:hAnsi="Times New Roman" w:cs="Times New Roman"/>
        </w:rPr>
        <w:t xml:space="preserve">Harold Greenlee (« The Greek Definite Article », </w:t>
      </w:r>
      <w:r w:rsidRPr="00BA313C">
        <w:rPr>
          <w:rFonts w:ascii="Times New Roman" w:hAnsi="Times New Roman" w:cs="Times New Roman"/>
          <w:i/>
          <w:iCs/>
        </w:rPr>
        <w:t>The Asbury Seminarian</w:t>
      </w:r>
      <w:r w:rsidRPr="00BA313C">
        <w:rPr>
          <w:rFonts w:ascii="Times New Roman" w:hAnsi="Times New Roman" w:cs="Times New Roman"/>
        </w:rPr>
        <w:t>, 5, 2, 1950, p. 59-60).</w:t>
      </w:r>
    </w:p>
  </w:footnote>
  <w:footnote w:id="60">
    <w:p w14:paraId="443D9D41" w14:textId="77777777" w:rsidR="00E14A9A" w:rsidRPr="007C3D4B" w:rsidRDefault="00E14A9A" w:rsidP="007C3D4B">
      <w:pPr>
        <w:pStyle w:val="Notedebasdepage"/>
        <w:jc w:val="both"/>
        <w:rPr>
          <w:rFonts w:ascii="Times New Roman" w:hAnsi="Times New Roman" w:cs="Times New Roman"/>
        </w:rPr>
      </w:pPr>
      <w:r w:rsidRPr="007C3D4B">
        <w:rPr>
          <w:rStyle w:val="Appelnotedebasdep"/>
          <w:rFonts w:ascii="Times New Roman" w:hAnsi="Times New Roman" w:cs="Times New Roman"/>
        </w:rPr>
        <w:footnoteRef/>
      </w:r>
      <w:r w:rsidRPr="007C3D4B">
        <w:rPr>
          <w:rFonts w:ascii="Times New Roman" w:hAnsi="Times New Roman" w:cs="Times New Roman"/>
        </w:rPr>
        <w:t xml:space="preserve"> </w:t>
      </w:r>
      <w:r w:rsidRPr="007C3D4B">
        <w:rPr>
          <w:rFonts w:ascii="Times New Roman" w:hAnsi="Times New Roman" w:cs="Times New Roman"/>
          <w:i/>
          <w:iCs/>
        </w:rPr>
        <w:t xml:space="preserve">Cf. </w:t>
      </w:r>
      <w:r w:rsidRPr="007C3D4B">
        <w:rPr>
          <w:rFonts w:ascii="Times New Roman" w:hAnsi="Times New Roman" w:cs="Times New Roman"/>
        </w:rPr>
        <w:t xml:space="preserve">l’emploi de ce terme, par exemple, dans Hérodote, </w:t>
      </w:r>
      <w:r w:rsidRPr="007C3D4B">
        <w:rPr>
          <w:rFonts w:ascii="Times New Roman" w:hAnsi="Times New Roman" w:cs="Times New Roman"/>
          <w:i/>
          <w:iCs/>
        </w:rPr>
        <w:t>Histoires</w:t>
      </w:r>
      <w:r w:rsidRPr="007C3D4B">
        <w:rPr>
          <w:rFonts w:ascii="Times New Roman" w:hAnsi="Times New Roman" w:cs="Times New Roman"/>
        </w:rPr>
        <w:t xml:space="preserve">, 1, 141 et l’expression οἱ τοῦ Αἰσώπου λόγοι pour désigner « les fables d’Ésope » dans Platon, </w:t>
      </w:r>
      <w:r w:rsidRPr="007C3D4B">
        <w:rPr>
          <w:rFonts w:ascii="Times New Roman" w:hAnsi="Times New Roman" w:cs="Times New Roman"/>
          <w:i/>
          <w:iCs/>
        </w:rPr>
        <w:t>Phédon</w:t>
      </w:r>
      <w:r w:rsidRPr="007C3D4B">
        <w:rPr>
          <w:rFonts w:ascii="Times New Roman" w:hAnsi="Times New Roman" w:cs="Times New Roman"/>
        </w:rPr>
        <w:t>, 60d</w:t>
      </w:r>
      <w:r w:rsidR="004D4894" w:rsidRPr="007C3D4B">
        <w:rPr>
          <w:rFonts w:ascii="Times New Roman" w:hAnsi="Times New Roman" w:cs="Times New Roman"/>
        </w:rPr>
        <w:t xml:space="preserve"> (</w:t>
      </w:r>
      <w:r w:rsidR="004D4894" w:rsidRPr="007C3D4B">
        <w:rPr>
          <w:rFonts w:ascii="Times New Roman" w:hAnsi="Times New Roman" w:cs="Times New Roman"/>
          <w:i/>
          <w:iCs/>
        </w:rPr>
        <w:t>cf.</w:t>
      </w:r>
      <w:r w:rsidR="004D4894" w:rsidRPr="007C3D4B">
        <w:rPr>
          <w:rFonts w:ascii="Times New Roman" w:hAnsi="Times New Roman" w:cs="Times New Roman"/>
        </w:rPr>
        <w:t xml:space="preserve"> les textes édités, respectivement, par Philippe Alexandre Ernest Félix Legrand dans Hérodote, </w:t>
      </w:r>
      <w:r w:rsidR="004D4894" w:rsidRPr="007C3D4B">
        <w:rPr>
          <w:rFonts w:ascii="Times New Roman" w:hAnsi="Times New Roman" w:cs="Times New Roman"/>
          <w:i/>
          <w:iCs/>
        </w:rPr>
        <w:t xml:space="preserve">Histoires. 1. Livre </w:t>
      </w:r>
      <w:r w:rsidR="004D4894" w:rsidRPr="007C3D4B">
        <w:rPr>
          <w:rFonts w:ascii="Times New Roman" w:hAnsi="Times New Roman" w:cs="Times New Roman"/>
          <w:i/>
          <w:iCs/>
          <w:smallCaps/>
        </w:rPr>
        <w:t>i</w:t>
      </w:r>
      <w:r w:rsidR="004D4894" w:rsidRPr="007C3D4B">
        <w:rPr>
          <w:rFonts w:ascii="Times New Roman" w:hAnsi="Times New Roman" w:cs="Times New Roman"/>
          <w:i/>
          <w:iCs/>
        </w:rPr>
        <w:t>. Clio</w:t>
      </w:r>
      <w:r w:rsidR="004D4894" w:rsidRPr="007C3D4B">
        <w:rPr>
          <w:rFonts w:ascii="Times New Roman" w:hAnsi="Times New Roman" w:cs="Times New Roman"/>
        </w:rPr>
        <w:t xml:space="preserve">, Paris, Les Belles Lettres, coll. « Collection des universités de France. Série grecque », 1932 et par Paul Vicaire dans Platon, </w:t>
      </w:r>
      <w:r w:rsidR="004D4894" w:rsidRPr="007C3D4B">
        <w:rPr>
          <w:rFonts w:ascii="Times New Roman" w:hAnsi="Times New Roman" w:cs="Times New Roman"/>
          <w:i/>
          <w:iCs/>
        </w:rPr>
        <w:t>Œuvres complètes. 4/1. Phédon</w:t>
      </w:r>
      <w:r w:rsidR="004D4894" w:rsidRPr="007C3D4B">
        <w:rPr>
          <w:rFonts w:ascii="Times New Roman" w:hAnsi="Times New Roman" w:cs="Times New Roman"/>
        </w:rPr>
        <w:t>, Paris, Les Belles Lettres, coll. « Collection des universités de France. Série grecque », 1983).</w:t>
      </w:r>
    </w:p>
  </w:footnote>
  <w:footnote w:id="61">
    <w:p w14:paraId="0AC6A6D3" w14:textId="77777777" w:rsidR="00076234" w:rsidRPr="007C3D4B" w:rsidRDefault="00076234" w:rsidP="007C3D4B">
      <w:pPr>
        <w:pStyle w:val="Notedebasdepage"/>
        <w:jc w:val="both"/>
        <w:rPr>
          <w:rFonts w:ascii="Times New Roman" w:hAnsi="Times New Roman" w:cs="Times New Roman"/>
        </w:rPr>
      </w:pPr>
      <w:r w:rsidRPr="007C3D4B">
        <w:rPr>
          <w:rStyle w:val="Appelnotedebasdep"/>
          <w:rFonts w:ascii="Times New Roman" w:hAnsi="Times New Roman" w:cs="Times New Roman"/>
        </w:rPr>
        <w:footnoteRef/>
      </w:r>
      <w:r w:rsidRPr="007C3D4B">
        <w:rPr>
          <w:rFonts w:ascii="Times New Roman" w:hAnsi="Times New Roman" w:cs="Times New Roman"/>
        </w:rPr>
        <w:t xml:space="preserve"> La première formulation de cette théorie des deux sources apparaît dans Christian Hermann Weisse, </w:t>
      </w:r>
      <w:r w:rsidRPr="007C3D4B">
        <w:rPr>
          <w:rFonts w:ascii="Times New Roman" w:hAnsi="Times New Roman" w:cs="Times New Roman"/>
          <w:i/>
          <w:iCs/>
        </w:rPr>
        <w:t>Die evangelische Geschichte, kritisch und philosophisch bearbeitet</w:t>
      </w:r>
      <w:r w:rsidRPr="007C3D4B">
        <w:rPr>
          <w:rFonts w:ascii="Times New Roman" w:hAnsi="Times New Roman" w:cs="Times New Roman"/>
        </w:rPr>
        <w:t>, Wiesbaden, Breitkopf und Härtel, 1838.</w:t>
      </w:r>
    </w:p>
  </w:footnote>
  <w:footnote w:id="62">
    <w:p w14:paraId="01FAA8D3" w14:textId="77777777" w:rsidR="00076234" w:rsidRPr="007C3D4B" w:rsidRDefault="00076234" w:rsidP="007C3D4B">
      <w:pPr>
        <w:pStyle w:val="Notedebasdepage"/>
        <w:jc w:val="both"/>
        <w:rPr>
          <w:rFonts w:ascii="Times New Roman" w:hAnsi="Times New Roman" w:cs="Times New Roman"/>
        </w:rPr>
      </w:pPr>
      <w:r w:rsidRPr="007C3D4B">
        <w:rPr>
          <w:rStyle w:val="Appelnotedebasdep"/>
          <w:rFonts w:ascii="Times New Roman" w:hAnsi="Times New Roman" w:cs="Times New Roman"/>
        </w:rPr>
        <w:footnoteRef/>
      </w:r>
      <w:r w:rsidRPr="007C3D4B">
        <w:rPr>
          <w:rFonts w:ascii="Times New Roman" w:hAnsi="Times New Roman" w:cs="Times New Roman"/>
        </w:rPr>
        <w:t xml:space="preserve"> Cette source Q a même fait l’objet d’une édition critique – compilant essentiellement les passages communs à </w:t>
      </w:r>
      <w:r w:rsidRPr="007C3D4B">
        <w:rPr>
          <w:rFonts w:ascii="Times New Roman" w:hAnsi="Times New Roman" w:cs="Times New Roman"/>
          <w:i/>
          <w:iCs/>
        </w:rPr>
        <w:t xml:space="preserve">Matthieu </w:t>
      </w:r>
      <w:r w:rsidRPr="007C3D4B">
        <w:rPr>
          <w:rFonts w:ascii="Times New Roman" w:hAnsi="Times New Roman" w:cs="Times New Roman"/>
        </w:rPr>
        <w:t xml:space="preserve">et </w:t>
      </w:r>
      <w:r w:rsidRPr="007C3D4B">
        <w:rPr>
          <w:rFonts w:ascii="Times New Roman" w:hAnsi="Times New Roman" w:cs="Times New Roman"/>
          <w:i/>
          <w:iCs/>
        </w:rPr>
        <w:t>Luc</w:t>
      </w:r>
      <w:r w:rsidRPr="007C3D4B">
        <w:rPr>
          <w:rFonts w:ascii="Times New Roman" w:hAnsi="Times New Roman" w:cs="Times New Roman"/>
        </w:rPr>
        <w:t xml:space="preserve"> et absents de </w:t>
      </w:r>
      <w:r w:rsidRPr="007C3D4B">
        <w:rPr>
          <w:rFonts w:ascii="Times New Roman" w:hAnsi="Times New Roman" w:cs="Times New Roman"/>
          <w:i/>
          <w:iCs/>
        </w:rPr>
        <w:t>Marc</w:t>
      </w:r>
      <w:r w:rsidRPr="007C3D4B">
        <w:rPr>
          <w:rFonts w:ascii="Times New Roman" w:hAnsi="Times New Roman" w:cs="Times New Roman"/>
        </w:rPr>
        <w:t xml:space="preserve"> : James M. Robinson, Paul Hoffmann, John S. Kloppenborg et Milton C. Moreland, </w:t>
      </w:r>
      <w:r w:rsidRPr="007C3D4B">
        <w:rPr>
          <w:rFonts w:ascii="Times New Roman" w:hAnsi="Times New Roman" w:cs="Times New Roman"/>
          <w:i/>
          <w:iCs/>
        </w:rPr>
        <w:t>The Critical Edition of Q. Synopsis Including the Gospels of Matthew and Luke, Mark and Thomas with English, German, and French Translations of Q and Thomas</w:t>
      </w:r>
      <w:r w:rsidRPr="007C3D4B">
        <w:rPr>
          <w:rFonts w:ascii="Times New Roman" w:hAnsi="Times New Roman" w:cs="Times New Roman"/>
        </w:rPr>
        <w:t>, Louvain, Peeters, 2000.</w:t>
      </w:r>
    </w:p>
  </w:footnote>
  <w:footnote w:id="63">
    <w:p w14:paraId="082B54A9" w14:textId="77777777" w:rsidR="00205219" w:rsidRPr="007C3D4B" w:rsidRDefault="00205219" w:rsidP="007C3D4B">
      <w:pPr>
        <w:pStyle w:val="Notedebasdepage"/>
        <w:jc w:val="both"/>
        <w:rPr>
          <w:rFonts w:ascii="Times New Roman" w:hAnsi="Times New Roman" w:cs="Times New Roman"/>
        </w:rPr>
      </w:pPr>
      <w:r w:rsidRPr="007C3D4B">
        <w:rPr>
          <w:rStyle w:val="Appelnotedebasdep"/>
          <w:rFonts w:ascii="Times New Roman" w:hAnsi="Times New Roman" w:cs="Times New Roman"/>
        </w:rPr>
        <w:footnoteRef/>
      </w:r>
      <w:r w:rsidRPr="007C3D4B">
        <w:rPr>
          <w:rFonts w:ascii="Times New Roman" w:hAnsi="Times New Roman" w:cs="Times New Roman"/>
        </w:rPr>
        <w:t xml:space="preserve"> Sur les circonstances de cette découverte, </w:t>
      </w:r>
      <w:r w:rsidRPr="007C3D4B">
        <w:rPr>
          <w:rFonts w:ascii="Times New Roman" w:hAnsi="Times New Roman" w:cs="Times New Roman"/>
          <w:i/>
          <w:iCs/>
        </w:rPr>
        <w:t>cf.</w:t>
      </w:r>
      <w:r w:rsidRPr="007C3D4B">
        <w:rPr>
          <w:rFonts w:ascii="Times New Roman" w:hAnsi="Times New Roman" w:cs="Times New Roman"/>
        </w:rPr>
        <w:t xml:space="preserve"> </w:t>
      </w:r>
      <w:r w:rsidRPr="007C3D4B">
        <w:rPr>
          <w:rFonts w:ascii="Times New Roman" w:hAnsi="Times New Roman" w:cs="Times New Roman"/>
          <w:kern w:val="0"/>
        </w:rPr>
        <w:t xml:space="preserve">Morton Smith, </w:t>
      </w:r>
      <w:r w:rsidRPr="007C3D4B">
        <w:rPr>
          <w:rFonts w:ascii="Times New Roman" w:hAnsi="Times New Roman" w:cs="Times New Roman"/>
          <w:i/>
          <w:iCs/>
          <w:kern w:val="0"/>
        </w:rPr>
        <w:t>Clement of Alexandria and a Secret Gospel of Mark</w:t>
      </w:r>
      <w:r w:rsidRPr="007C3D4B">
        <w:rPr>
          <w:rFonts w:ascii="Times New Roman" w:hAnsi="Times New Roman" w:cs="Times New Roman"/>
          <w:kern w:val="0"/>
        </w:rPr>
        <w:t>, Harvard, Harvard University Press, 1973, p. 1.</w:t>
      </w:r>
    </w:p>
  </w:footnote>
  <w:footnote w:id="64">
    <w:p w14:paraId="015B9F1B" w14:textId="77777777" w:rsidR="00205219" w:rsidRPr="007C3D4B" w:rsidRDefault="00205219" w:rsidP="007C3D4B">
      <w:pPr>
        <w:pStyle w:val="Notedebasdepage"/>
        <w:jc w:val="both"/>
        <w:rPr>
          <w:rFonts w:ascii="Times New Roman" w:hAnsi="Times New Roman" w:cs="Times New Roman"/>
          <w:lang w:val="en-US"/>
        </w:rPr>
      </w:pPr>
      <w:r w:rsidRPr="007C3D4B">
        <w:rPr>
          <w:rStyle w:val="Appelnotedebasdep"/>
          <w:rFonts w:ascii="Times New Roman" w:hAnsi="Times New Roman" w:cs="Times New Roman"/>
        </w:rPr>
        <w:footnoteRef/>
      </w:r>
      <w:r w:rsidRPr="007C3D4B">
        <w:rPr>
          <w:rFonts w:ascii="Times New Roman" w:hAnsi="Times New Roman" w:cs="Times New Roman"/>
          <w:lang w:val="en-US"/>
        </w:rPr>
        <w:t xml:space="preserve"> </w:t>
      </w:r>
      <w:r w:rsidRPr="007C3D4B">
        <w:rPr>
          <w:rFonts w:ascii="Times New Roman" w:hAnsi="Times New Roman" w:cs="Times New Roman"/>
          <w:kern w:val="0"/>
          <w:lang w:val="en-US"/>
        </w:rPr>
        <w:t xml:space="preserve">Morton Smith, </w:t>
      </w:r>
      <w:r w:rsidRPr="007C3D4B">
        <w:rPr>
          <w:rFonts w:ascii="Times New Roman" w:hAnsi="Times New Roman" w:cs="Times New Roman"/>
          <w:i/>
          <w:iCs/>
          <w:kern w:val="0"/>
          <w:lang w:val="en-US"/>
        </w:rPr>
        <w:t>Clement of Alexandria and a Secret Gospel of Mark</w:t>
      </w:r>
      <w:r w:rsidRPr="007C3D4B">
        <w:rPr>
          <w:rFonts w:ascii="Times New Roman" w:hAnsi="Times New Roman" w:cs="Times New Roman"/>
          <w:kern w:val="0"/>
          <w:lang w:val="en-US"/>
        </w:rPr>
        <w:t xml:space="preserve">, </w:t>
      </w:r>
      <w:r w:rsidRPr="007C3D4B">
        <w:rPr>
          <w:rFonts w:ascii="Times New Roman" w:hAnsi="Times New Roman" w:cs="Times New Roman"/>
          <w:i/>
          <w:iCs/>
          <w:kern w:val="0"/>
          <w:lang w:val="en-US"/>
        </w:rPr>
        <w:t>op. cit</w:t>
      </w:r>
      <w:r w:rsidRPr="007C3D4B">
        <w:rPr>
          <w:rFonts w:ascii="Times New Roman" w:hAnsi="Times New Roman" w:cs="Times New Roman"/>
          <w:kern w:val="0"/>
          <w:lang w:val="en-US"/>
        </w:rPr>
        <w:t>., p. 2, 20 – 3, 17.</w:t>
      </w:r>
    </w:p>
  </w:footnote>
  <w:footnote w:id="65">
    <w:p w14:paraId="32F392C3" w14:textId="77777777" w:rsidR="004430E3" w:rsidRPr="007C3D4B" w:rsidRDefault="004430E3" w:rsidP="007C3D4B">
      <w:pPr>
        <w:autoSpaceDE w:val="0"/>
        <w:autoSpaceDN w:val="0"/>
        <w:adjustRightInd w:val="0"/>
        <w:jc w:val="both"/>
        <w:rPr>
          <w:rFonts w:ascii="Times New Roman" w:hAnsi="Times New Roman" w:cs="Times New Roman"/>
          <w:kern w:val="0"/>
          <w:sz w:val="20"/>
          <w:szCs w:val="20"/>
        </w:rPr>
      </w:pPr>
      <w:r w:rsidRPr="007C3D4B">
        <w:rPr>
          <w:rStyle w:val="Appelnotedebasdep"/>
          <w:rFonts w:ascii="Times New Roman" w:hAnsi="Times New Roman" w:cs="Times New Roman"/>
          <w:sz w:val="20"/>
          <w:szCs w:val="20"/>
        </w:rPr>
        <w:footnoteRef/>
      </w:r>
      <w:r w:rsidRPr="007C3D4B">
        <w:rPr>
          <w:rFonts w:ascii="Times New Roman" w:hAnsi="Times New Roman" w:cs="Times New Roman"/>
          <w:sz w:val="20"/>
          <w:szCs w:val="20"/>
          <w:lang w:val="en-US"/>
        </w:rPr>
        <w:t xml:space="preserve"> </w:t>
      </w:r>
      <w:r w:rsidRPr="007C3D4B">
        <w:rPr>
          <w:rFonts w:ascii="Times New Roman" w:hAnsi="Times New Roman" w:cs="Times New Roman"/>
          <w:kern w:val="0"/>
          <w:sz w:val="20"/>
          <w:szCs w:val="20"/>
        </w:rPr>
        <w:t>πνευματικώτερον</w:t>
      </w:r>
      <w:r w:rsidRPr="007C3D4B">
        <w:rPr>
          <w:rFonts w:ascii="Times New Roman" w:hAnsi="Times New Roman" w:cs="Times New Roman"/>
          <w:kern w:val="0"/>
          <w:sz w:val="20"/>
          <w:szCs w:val="20"/>
          <w:lang w:val="en-US"/>
        </w:rPr>
        <w:t xml:space="preserve"> </w:t>
      </w:r>
      <w:r w:rsidRPr="007C3D4B">
        <w:rPr>
          <w:rFonts w:ascii="Times New Roman" w:hAnsi="Times New Roman" w:cs="Times New Roman"/>
          <w:kern w:val="0"/>
          <w:sz w:val="20"/>
          <w:szCs w:val="20"/>
        </w:rPr>
        <w:t>εὐαγγέλιον</w:t>
      </w:r>
      <w:r w:rsidRPr="007C3D4B">
        <w:rPr>
          <w:rFonts w:ascii="Times New Roman" w:hAnsi="Times New Roman" w:cs="Times New Roman"/>
          <w:kern w:val="0"/>
          <w:sz w:val="20"/>
          <w:szCs w:val="20"/>
          <w:lang w:val="en-US"/>
        </w:rPr>
        <w:t xml:space="preserve"> (</w:t>
      </w:r>
      <w:r w:rsidRPr="007C3D4B">
        <w:rPr>
          <w:rFonts w:ascii="Times New Roman" w:hAnsi="Times New Roman" w:cs="Times New Roman"/>
          <w:i/>
          <w:iCs/>
          <w:kern w:val="0"/>
          <w:sz w:val="20"/>
          <w:szCs w:val="20"/>
          <w:lang w:val="en-US"/>
        </w:rPr>
        <w:t>Lettre à Théodore</w:t>
      </w:r>
      <w:r w:rsidRPr="007C3D4B">
        <w:rPr>
          <w:rFonts w:ascii="Times New Roman" w:hAnsi="Times New Roman" w:cs="Times New Roman"/>
          <w:kern w:val="0"/>
          <w:sz w:val="20"/>
          <w:szCs w:val="20"/>
          <w:lang w:val="en-US"/>
        </w:rPr>
        <w:t xml:space="preserve"> p. 1, 21-22</w:t>
      </w:r>
      <w:r w:rsidR="00205219" w:rsidRPr="007C3D4B">
        <w:rPr>
          <w:rFonts w:ascii="Times New Roman" w:hAnsi="Times New Roman" w:cs="Times New Roman"/>
          <w:kern w:val="0"/>
          <w:sz w:val="20"/>
          <w:szCs w:val="20"/>
          <w:lang w:val="en-US"/>
        </w:rPr>
        <w:t xml:space="preserve">. Je reprends le texte édité par Morton Smith dans Morton Smith, </w:t>
      </w:r>
      <w:r w:rsidR="00205219" w:rsidRPr="007C3D4B">
        <w:rPr>
          <w:rFonts w:ascii="Times New Roman" w:hAnsi="Times New Roman" w:cs="Times New Roman"/>
          <w:i/>
          <w:iCs/>
          <w:kern w:val="0"/>
          <w:sz w:val="20"/>
          <w:szCs w:val="20"/>
          <w:lang w:val="en-US"/>
        </w:rPr>
        <w:t>Clement of Alexandria and a Secret Gospel of Mark</w:t>
      </w:r>
      <w:r w:rsidR="00205219" w:rsidRPr="007C3D4B">
        <w:rPr>
          <w:rFonts w:ascii="Times New Roman" w:hAnsi="Times New Roman" w:cs="Times New Roman"/>
          <w:kern w:val="0"/>
          <w:sz w:val="20"/>
          <w:szCs w:val="20"/>
          <w:lang w:val="en-US"/>
        </w:rPr>
        <w:t xml:space="preserve">, </w:t>
      </w:r>
      <w:r w:rsidR="00205219" w:rsidRPr="007C3D4B">
        <w:rPr>
          <w:rFonts w:ascii="Times New Roman" w:hAnsi="Times New Roman" w:cs="Times New Roman"/>
          <w:i/>
          <w:iCs/>
          <w:kern w:val="0"/>
          <w:sz w:val="20"/>
          <w:szCs w:val="20"/>
          <w:lang w:val="en-US"/>
        </w:rPr>
        <w:t>op. cit</w:t>
      </w:r>
      <w:r w:rsidR="00205219" w:rsidRPr="007C3D4B">
        <w:rPr>
          <w:rFonts w:ascii="Times New Roman" w:hAnsi="Times New Roman" w:cs="Times New Roman"/>
          <w:kern w:val="0"/>
          <w:sz w:val="20"/>
          <w:szCs w:val="20"/>
          <w:lang w:val="en-US"/>
        </w:rPr>
        <w:t xml:space="preserve">. </w:t>
      </w:r>
      <w:r w:rsidR="00205219" w:rsidRPr="007C3D4B">
        <w:rPr>
          <w:rFonts w:ascii="Times New Roman" w:hAnsi="Times New Roman" w:cs="Times New Roman"/>
          <w:kern w:val="0"/>
          <w:sz w:val="20"/>
          <w:szCs w:val="20"/>
        </w:rPr>
        <w:t xml:space="preserve">Pour les citations de la </w:t>
      </w:r>
      <w:r w:rsidR="00205219" w:rsidRPr="007C3D4B">
        <w:rPr>
          <w:rFonts w:ascii="Times New Roman" w:hAnsi="Times New Roman" w:cs="Times New Roman"/>
          <w:i/>
          <w:iCs/>
          <w:kern w:val="0"/>
          <w:sz w:val="20"/>
          <w:szCs w:val="20"/>
        </w:rPr>
        <w:t>Lettre</w:t>
      </w:r>
      <w:r w:rsidR="00205219" w:rsidRPr="007C3D4B">
        <w:rPr>
          <w:rFonts w:ascii="Times New Roman" w:hAnsi="Times New Roman" w:cs="Times New Roman"/>
          <w:kern w:val="0"/>
          <w:sz w:val="20"/>
          <w:szCs w:val="20"/>
        </w:rPr>
        <w:t>, je donne à chaque fois la page et la ou les lignes correspondantes dans le seul témoin du texte.</w:t>
      </w:r>
    </w:p>
  </w:footnote>
  <w:footnote w:id="66">
    <w:p w14:paraId="455203C2" w14:textId="77777777" w:rsidR="00205219" w:rsidRPr="007C3D4B" w:rsidRDefault="00205219" w:rsidP="007C3D4B">
      <w:pPr>
        <w:pStyle w:val="Notedebasdepage"/>
        <w:jc w:val="both"/>
        <w:rPr>
          <w:rFonts w:ascii="Times New Roman" w:hAnsi="Times New Roman" w:cs="Times New Roman"/>
          <w:lang w:val="en-US"/>
        </w:rPr>
      </w:pPr>
      <w:r w:rsidRPr="007C3D4B">
        <w:rPr>
          <w:rStyle w:val="Appelnotedebasdep"/>
          <w:rFonts w:ascii="Times New Roman" w:hAnsi="Times New Roman" w:cs="Times New Roman"/>
        </w:rPr>
        <w:footnoteRef/>
      </w:r>
      <w:r w:rsidRPr="007C3D4B">
        <w:rPr>
          <w:rFonts w:ascii="Times New Roman" w:hAnsi="Times New Roman" w:cs="Times New Roman"/>
          <w:lang w:val="en-US"/>
        </w:rPr>
        <w:t xml:space="preserve"> </w:t>
      </w:r>
      <w:r w:rsidRPr="007C3D4B">
        <w:rPr>
          <w:rFonts w:ascii="Times New Roman" w:hAnsi="Times New Roman" w:cs="Times New Roman"/>
          <w:kern w:val="0"/>
          <w:lang w:val="en-US"/>
        </w:rPr>
        <w:t xml:space="preserve">Morton Smith, </w:t>
      </w:r>
      <w:r w:rsidRPr="007C3D4B">
        <w:rPr>
          <w:rFonts w:ascii="Times New Roman" w:hAnsi="Times New Roman" w:cs="Times New Roman"/>
          <w:i/>
          <w:iCs/>
          <w:kern w:val="0"/>
          <w:lang w:val="en-US"/>
        </w:rPr>
        <w:t>Clement of Alexandria and a Secret Gospel of Mark</w:t>
      </w:r>
      <w:r w:rsidRPr="007C3D4B">
        <w:rPr>
          <w:rFonts w:ascii="Times New Roman" w:hAnsi="Times New Roman" w:cs="Times New Roman"/>
          <w:kern w:val="0"/>
          <w:lang w:val="en-US"/>
        </w:rPr>
        <w:t xml:space="preserve">, </w:t>
      </w:r>
      <w:r w:rsidRPr="007C3D4B">
        <w:rPr>
          <w:rFonts w:ascii="Times New Roman" w:hAnsi="Times New Roman" w:cs="Times New Roman"/>
          <w:i/>
          <w:iCs/>
          <w:kern w:val="0"/>
          <w:lang w:val="en-US"/>
        </w:rPr>
        <w:t>op. cit</w:t>
      </w:r>
      <w:r w:rsidRPr="007C3D4B">
        <w:rPr>
          <w:rFonts w:ascii="Times New Roman" w:hAnsi="Times New Roman" w:cs="Times New Roman"/>
          <w:kern w:val="0"/>
          <w:lang w:val="en-US"/>
        </w:rPr>
        <w:t>., p. 1, 12 – 2, 2.</w:t>
      </w:r>
    </w:p>
  </w:footnote>
  <w:footnote w:id="67">
    <w:p w14:paraId="7666FB68" w14:textId="77777777" w:rsidR="00076234" w:rsidRPr="0023760D" w:rsidRDefault="00076234" w:rsidP="0023760D">
      <w:pPr>
        <w:pStyle w:val="Notedebasdepage"/>
        <w:jc w:val="both"/>
        <w:rPr>
          <w:rFonts w:ascii="Times New Roman" w:hAnsi="Times New Roman" w:cs="Times New Roman"/>
          <w:lang w:val="en-US"/>
        </w:rPr>
      </w:pPr>
      <w:r w:rsidRPr="007C3D4B">
        <w:rPr>
          <w:rStyle w:val="Appelnotedebasdep"/>
          <w:rFonts w:ascii="Times New Roman" w:hAnsi="Times New Roman" w:cs="Times New Roman"/>
        </w:rPr>
        <w:footnoteRef/>
      </w:r>
      <w:r w:rsidRPr="007C3D4B">
        <w:rPr>
          <w:rFonts w:ascii="Times New Roman" w:hAnsi="Times New Roman" w:cs="Times New Roman"/>
          <w:lang w:val="en-US"/>
        </w:rPr>
        <w:t xml:space="preserve"> </w:t>
      </w:r>
      <w:r w:rsidRPr="007C3D4B">
        <w:rPr>
          <w:rFonts w:ascii="Times New Roman" w:hAnsi="Times New Roman" w:cs="Times New Roman"/>
        </w:rPr>
        <w:t>Καὶ</w:t>
      </w:r>
      <w:r w:rsidRPr="007C3D4B">
        <w:rPr>
          <w:rFonts w:ascii="Times New Roman" w:hAnsi="Times New Roman" w:cs="Times New Roman"/>
          <w:lang w:val="en-US"/>
        </w:rPr>
        <w:t xml:space="preserve"> </w:t>
      </w:r>
      <w:r w:rsidRPr="007C3D4B">
        <w:rPr>
          <w:rFonts w:ascii="Times New Roman" w:hAnsi="Times New Roman" w:cs="Times New Roman"/>
        </w:rPr>
        <w:t>ἔρχονται</w:t>
      </w:r>
      <w:r w:rsidRPr="007C3D4B">
        <w:rPr>
          <w:rFonts w:ascii="Times New Roman" w:hAnsi="Times New Roman" w:cs="Times New Roman"/>
          <w:lang w:val="en-US"/>
        </w:rPr>
        <w:t xml:space="preserve"> </w:t>
      </w:r>
      <w:r w:rsidRPr="007C3D4B">
        <w:rPr>
          <w:rFonts w:ascii="Times New Roman" w:hAnsi="Times New Roman" w:cs="Times New Roman"/>
        </w:rPr>
        <w:t>εἰς</w:t>
      </w:r>
      <w:r w:rsidRPr="007C3D4B">
        <w:rPr>
          <w:rFonts w:ascii="Times New Roman" w:hAnsi="Times New Roman" w:cs="Times New Roman"/>
          <w:lang w:val="en-US"/>
        </w:rPr>
        <w:t xml:space="preserve"> </w:t>
      </w:r>
      <w:r w:rsidRPr="007C3D4B">
        <w:rPr>
          <w:rFonts w:ascii="Times New Roman" w:hAnsi="Times New Roman" w:cs="Times New Roman"/>
        </w:rPr>
        <w:t>Ἰεριχώ</w:t>
      </w:r>
      <w:r w:rsidRPr="007C3D4B">
        <w:rPr>
          <w:rFonts w:ascii="Times New Roman" w:hAnsi="Times New Roman" w:cs="Times New Roman"/>
          <w:lang w:val="en-US"/>
        </w:rPr>
        <w:t xml:space="preserve"> </w:t>
      </w:r>
      <w:r w:rsidRPr="007C3D4B">
        <w:rPr>
          <w:rFonts w:ascii="Times New Roman" w:hAnsi="Times New Roman" w:cs="Times New Roman"/>
        </w:rPr>
        <w:t>·</w:t>
      </w:r>
      <w:r w:rsidRPr="007C3D4B">
        <w:rPr>
          <w:rFonts w:ascii="Times New Roman" w:hAnsi="Times New Roman" w:cs="Times New Roman"/>
          <w:lang w:val="en-US"/>
        </w:rPr>
        <w:t xml:space="preserve"> </w:t>
      </w:r>
      <w:r w:rsidRPr="007C3D4B">
        <w:rPr>
          <w:rFonts w:ascii="Times New Roman" w:hAnsi="Times New Roman" w:cs="Times New Roman"/>
        </w:rPr>
        <w:t>καὶ</w:t>
      </w:r>
      <w:r w:rsidRPr="007C3D4B">
        <w:rPr>
          <w:rFonts w:ascii="Times New Roman" w:hAnsi="Times New Roman" w:cs="Times New Roman"/>
          <w:lang w:val="en-US"/>
        </w:rPr>
        <w:t xml:space="preserve"> </w:t>
      </w:r>
      <w:r w:rsidRPr="0023760D">
        <w:rPr>
          <w:rFonts w:ascii="Times New Roman" w:hAnsi="Times New Roman" w:cs="Times New Roman"/>
        </w:rPr>
        <w:t>ἐκπορευομένου</w:t>
      </w:r>
      <w:r w:rsidRPr="0023760D">
        <w:rPr>
          <w:rFonts w:ascii="Times New Roman" w:hAnsi="Times New Roman" w:cs="Times New Roman"/>
          <w:lang w:val="en-US"/>
        </w:rPr>
        <w:t xml:space="preserve"> </w:t>
      </w:r>
      <w:r w:rsidRPr="0023760D">
        <w:rPr>
          <w:rFonts w:ascii="Times New Roman" w:hAnsi="Times New Roman" w:cs="Times New Roman"/>
        </w:rPr>
        <w:t>αὐτοῦ</w:t>
      </w:r>
      <w:r w:rsidRPr="0023760D">
        <w:rPr>
          <w:rFonts w:ascii="Times New Roman" w:hAnsi="Times New Roman" w:cs="Times New Roman"/>
          <w:lang w:val="en-US"/>
        </w:rPr>
        <w:t xml:space="preserve"> </w:t>
      </w:r>
      <w:r w:rsidRPr="0023760D">
        <w:rPr>
          <w:rFonts w:ascii="Times New Roman" w:hAnsi="Times New Roman" w:cs="Times New Roman"/>
        </w:rPr>
        <w:t>ἀπὸ</w:t>
      </w:r>
      <w:r w:rsidRPr="0023760D">
        <w:rPr>
          <w:rFonts w:ascii="Times New Roman" w:hAnsi="Times New Roman" w:cs="Times New Roman"/>
          <w:lang w:val="en-US"/>
        </w:rPr>
        <w:t xml:space="preserve"> </w:t>
      </w:r>
      <w:r w:rsidRPr="0023760D">
        <w:rPr>
          <w:rFonts w:ascii="Times New Roman" w:hAnsi="Times New Roman" w:cs="Times New Roman"/>
        </w:rPr>
        <w:t>Ἰεριχώ</w:t>
      </w:r>
      <w:r w:rsidRPr="0023760D">
        <w:rPr>
          <w:rFonts w:ascii="Times New Roman" w:hAnsi="Times New Roman" w:cs="Times New Roman"/>
          <w:lang w:val="en-US"/>
        </w:rPr>
        <w:t xml:space="preserve"> (</w:t>
      </w:r>
      <w:r w:rsidRPr="0023760D">
        <w:rPr>
          <w:rFonts w:ascii="Times New Roman" w:hAnsi="Times New Roman" w:cs="Times New Roman"/>
          <w:i/>
          <w:iCs/>
          <w:lang w:val="en-US"/>
        </w:rPr>
        <w:t>Évangile selon Marc</w:t>
      </w:r>
      <w:r w:rsidRPr="0023760D">
        <w:rPr>
          <w:rFonts w:ascii="Times New Roman" w:hAnsi="Times New Roman" w:cs="Times New Roman"/>
          <w:lang w:val="en-US"/>
        </w:rPr>
        <w:t xml:space="preserve"> 10, 46).</w:t>
      </w:r>
    </w:p>
  </w:footnote>
  <w:footnote w:id="68">
    <w:p w14:paraId="67C7C9C7" w14:textId="77777777" w:rsidR="004430E3" w:rsidRPr="0023760D" w:rsidRDefault="004430E3" w:rsidP="0023760D">
      <w:pPr>
        <w:autoSpaceDE w:val="0"/>
        <w:autoSpaceDN w:val="0"/>
        <w:adjustRightInd w:val="0"/>
        <w:jc w:val="both"/>
        <w:rPr>
          <w:rFonts w:ascii="Times New Roman" w:hAnsi="Times New Roman" w:cs="Times New Roman"/>
          <w:kern w:val="0"/>
          <w:sz w:val="20"/>
          <w:szCs w:val="20"/>
          <w:lang w:val="en-US"/>
        </w:rPr>
      </w:pPr>
      <w:r w:rsidRPr="0023760D">
        <w:rPr>
          <w:rStyle w:val="Appelnotedebasdep"/>
          <w:rFonts w:ascii="Times New Roman" w:hAnsi="Times New Roman" w:cs="Times New Roman"/>
          <w:sz w:val="20"/>
          <w:szCs w:val="20"/>
        </w:rPr>
        <w:footnoteRef/>
      </w:r>
      <w:r w:rsidRPr="0023760D">
        <w:rPr>
          <w:rFonts w:ascii="Times New Roman" w:hAnsi="Times New Roman" w:cs="Times New Roman"/>
          <w:sz w:val="20"/>
          <w:szCs w:val="20"/>
          <w:lang w:val="en-US"/>
        </w:rPr>
        <w:t xml:space="preserve"> </w:t>
      </w:r>
      <w:r w:rsidRPr="0023760D">
        <w:rPr>
          <w:rFonts w:ascii="Times New Roman" w:hAnsi="Times New Roman" w:cs="Times New Roman"/>
          <w:kern w:val="0"/>
          <w:sz w:val="20"/>
          <w:szCs w:val="20"/>
        </w:rPr>
        <w:t>καὶ</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ἦσαν</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ἐκεῖ</w:t>
      </w:r>
      <w:r w:rsidRPr="0023760D">
        <w:rPr>
          <w:rFonts w:ascii="Times New Roman" w:hAnsi="Times New Roman" w:cs="Times New Roman"/>
          <w:kern w:val="0"/>
          <w:sz w:val="20"/>
          <w:szCs w:val="20"/>
          <w:lang w:val="en-US"/>
        </w:rPr>
        <w:t>_</w:t>
      </w:r>
      <w:r w:rsidRPr="0023760D">
        <w:rPr>
          <w:rFonts w:ascii="Times New Roman" w:hAnsi="Times New Roman" w:cs="Times New Roman"/>
          <w:kern w:val="0"/>
          <w:sz w:val="20"/>
          <w:szCs w:val="20"/>
        </w:rPr>
        <w:t>ἡ</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ἀδελφὴ</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τοῦ</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νεανίσκου</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ὃν</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ἠγάπα</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αὐτὸν</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ὁ</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Ἰησοῦς</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καὶ</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ἡ</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μήτηρ</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αὐτοῦ</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καὶ</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Σαλώμη</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καὶ</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οὐκ</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ἀπεδέξατο</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αὐτὰς</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ὁ</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kern w:val="0"/>
          <w:sz w:val="20"/>
          <w:szCs w:val="20"/>
        </w:rPr>
        <w:t>Ἰησοῦς</w:t>
      </w:r>
      <w:r w:rsidRPr="0023760D">
        <w:rPr>
          <w:rFonts w:ascii="Times New Roman" w:hAnsi="Times New Roman" w:cs="Times New Roman"/>
          <w:kern w:val="0"/>
          <w:sz w:val="20"/>
          <w:szCs w:val="20"/>
          <w:lang w:val="en-US"/>
        </w:rPr>
        <w:t xml:space="preserve"> (</w:t>
      </w:r>
      <w:r w:rsidRPr="0023760D">
        <w:rPr>
          <w:rFonts w:ascii="Times New Roman" w:hAnsi="Times New Roman" w:cs="Times New Roman"/>
          <w:i/>
          <w:iCs/>
          <w:kern w:val="0"/>
          <w:sz w:val="20"/>
          <w:szCs w:val="20"/>
          <w:lang w:val="en-US"/>
        </w:rPr>
        <w:t>Lettre à Théodore</w:t>
      </w:r>
      <w:r w:rsidRPr="0023760D">
        <w:rPr>
          <w:rFonts w:ascii="Times New Roman" w:hAnsi="Times New Roman" w:cs="Times New Roman"/>
          <w:kern w:val="0"/>
          <w:sz w:val="20"/>
          <w:szCs w:val="20"/>
          <w:lang w:val="en-US"/>
        </w:rPr>
        <w:t xml:space="preserve"> p. 3, 14-16).</w:t>
      </w:r>
      <w:r w:rsidR="00205219" w:rsidRPr="0023760D">
        <w:rPr>
          <w:rFonts w:ascii="Times New Roman" w:hAnsi="Times New Roman" w:cs="Times New Roman"/>
          <w:kern w:val="0"/>
          <w:sz w:val="20"/>
          <w:szCs w:val="20"/>
          <w:lang w:val="en-US"/>
        </w:rPr>
        <w:t xml:space="preserve"> </w:t>
      </w:r>
      <w:r w:rsidR="00205219" w:rsidRPr="0023760D">
        <w:rPr>
          <w:rFonts w:ascii="Times New Roman" w:hAnsi="Times New Roman" w:cs="Times New Roman"/>
          <w:kern w:val="0"/>
          <w:sz w:val="20"/>
          <w:szCs w:val="20"/>
        </w:rPr>
        <w:t>Pour cette raison entre autres, l’</w:t>
      </w:r>
      <w:r w:rsidR="00205219" w:rsidRPr="0023760D">
        <w:rPr>
          <w:rFonts w:ascii="Times New Roman" w:hAnsi="Times New Roman" w:cs="Times New Roman"/>
          <w:i/>
          <w:iCs/>
          <w:kern w:val="0"/>
          <w:sz w:val="20"/>
          <w:szCs w:val="20"/>
        </w:rPr>
        <w:t>Évangile plus spirituel de Marc</w:t>
      </w:r>
      <w:r w:rsidR="00205219" w:rsidRPr="0023760D">
        <w:rPr>
          <w:rFonts w:ascii="Times New Roman" w:hAnsi="Times New Roman" w:cs="Times New Roman"/>
          <w:kern w:val="0"/>
          <w:sz w:val="20"/>
          <w:szCs w:val="20"/>
        </w:rPr>
        <w:t xml:space="preserve"> a été intégré par Helmut Köster dans l’histoire de la composition de l’</w:t>
      </w:r>
      <w:r w:rsidR="00205219" w:rsidRPr="0023760D">
        <w:rPr>
          <w:rFonts w:ascii="Times New Roman" w:hAnsi="Times New Roman" w:cs="Times New Roman"/>
          <w:i/>
          <w:iCs/>
          <w:kern w:val="0"/>
          <w:sz w:val="20"/>
          <w:szCs w:val="20"/>
        </w:rPr>
        <w:t>Évangile selon Marc</w:t>
      </w:r>
      <w:r w:rsidR="00205219" w:rsidRPr="0023760D">
        <w:rPr>
          <w:rFonts w:ascii="Times New Roman" w:hAnsi="Times New Roman" w:cs="Times New Roman"/>
          <w:kern w:val="0"/>
          <w:sz w:val="20"/>
          <w:szCs w:val="20"/>
        </w:rPr>
        <w:t xml:space="preserve"> </w:t>
      </w:r>
      <w:r w:rsidR="009E67CF" w:rsidRPr="0023760D">
        <w:rPr>
          <w:rFonts w:ascii="Times New Roman" w:hAnsi="Times New Roman" w:cs="Times New Roman"/>
          <w:kern w:val="0"/>
          <w:sz w:val="20"/>
          <w:szCs w:val="20"/>
        </w:rPr>
        <w:t xml:space="preserve">(Helmut Köster, « History and Development of Mark’s Gospel (From Mark to Secret Mark and "Canonical" Mark) » dans Bruce Corley (dir.), </w:t>
      </w:r>
      <w:r w:rsidR="009E67CF" w:rsidRPr="0023760D">
        <w:rPr>
          <w:rFonts w:ascii="Times New Roman" w:hAnsi="Times New Roman" w:cs="Times New Roman"/>
          <w:i/>
          <w:iCs/>
          <w:kern w:val="0"/>
          <w:sz w:val="20"/>
          <w:szCs w:val="20"/>
        </w:rPr>
        <w:t xml:space="preserve">Colloquy on New Testament Studies. </w:t>
      </w:r>
      <w:r w:rsidR="009E67CF" w:rsidRPr="0023760D">
        <w:rPr>
          <w:rFonts w:ascii="Times New Roman" w:hAnsi="Times New Roman" w:cs="Times New Roman"/>
          <w:i/>
          <w:iCs/>
          <w:kern w:val="0"/>
          <w:sz w:val="20"/>
          <w:szCs w:val="20"/>
          <w:lang w:val="en-US"/>
        </w:rPr>
        <w:t>A Time for Reapparaisal and Fresh Approaches</w:t>
      </w:r>
      <w:r w:rsidR="009E67CF" w:rsidRPr="0023760D">
        <w:rPr>
          <w:rFonts w:ascii="Times New Roman" w:hAnsi="Times New Roman" w:cs="Times New Roman"/>
          <w:kern w:val="0"/>
          <w:sz w:val="20"/>
          <w:szCs w:val="20"/>
          <w:lang w:val="en-US"/>
        </w:rPr>
        <w:t>, Macon, Mercer University Press, 1983, p. 35-57).</w:t>
      </w:r>
    </w:p>
  </w:footnote>
  <w:footnote w:id="69">
    <w:p w14:paraId="7694C104" w14:textId="77777777" w:rsidR="009E67CF" w:rsidRPr="0023760D" w:rsidRDefault="009E67CF" w:rsidP="0023760D">
      <w:pPr>
        <w:autoSpaceDE w:val="0"/>
        <w:autoSpaceDN w:val="0"/>
        <w:adjustRightInd w:val="0"/>
        <w:jc w:val="both"/>
        <w:rPr>
          <w:rFonts w:ascii="Times New Roman" w:hAnsi="Times New Roman" w:cs="Times New Roman"/>
          <w:kern w:val="0"/>
          <w:sz w:val="20"/>
          <w:szCs w:val="20"/>
          <w:lang w:val="en-US"/>
        </w:rPr>
      </w:pPr>
      <w:r w:rsidRPr="0023760D">
        <w:rPr>
          <w:rStyle w:val="Appelnotedebasdep"/>
          <w:rFonts w:ascii="Times New Roman" w:hAnsi="Times New Roman" w:cs="Times New Roman"/>
          <w:sz w:val="20"/>
          <w:szCs w:val="20"/>
        </w:rPr>
        <w:footnoteRef/>
      </w:r>
      <w:r w:rsidRPr="0023760D">
        <w:rPr>
          <w:rFonts w:ascii="Times New Roman" w:hAnsi="Times New Roman" w:cs="Times New Roman"/>
          <w:sz w:val="20"/>
          <w:szCs w:val="20"/>
          <w:lang w:val="en-US"/>
        </w:rPr>
        <w:t xml:space="preserve"> </w:t>
      </w:r>
      <w:r w:rsidRPr="0023760D">
        <w:rPr>
          <w:rFonts w:ascii="Times New Roman" w:hAnsi="Times New Roman" w:cs="Times New Roman"/>
          <w:kern w:val="0"/>
          <w:sz w:val="20"/>
          <w:szCs w:val="20"/>
          <w:lang w:val="en-US"/>
        </w:rPr>
        <w:t xml:space="preserve">Quentin Quesnell, « The Mar Saba Clementine: A Question of Evidence », </w:t>
      </w:r>
      <w:r w:rsidRPr="0023760D">
        <w:rPr>
          <w:rFonts w:ascii="Times New Roman" w:hAnsi="Times New Roman" w:cs="Times New Roman"/>
          <w:i/>
          <w:iCs/>
          <w:kern w:val="0"/>
          <w:sz w:val="20"/>
          <w:szCs w:val="20"/>
          <w:lang w:val="en-US"/>
        </w:rPr>
        <w:t>Catholic Biblical Quarterly</w:t>
      </w:r>
      <w:r w:rsidRPr="0023760D">
        <w:rPr>
          <w:rFonts w:ascii="Times New Roman" w:hAnsi="Times New Roman" w:cs="Times New Roman"/>
          <w:kern w:val="0"/>
          <w:sz w:val="20"/>
          <w:szCs w:val="20"/>
          <w:lang w:val="en-US"/>
        </w:rPr>
        <w:t>, 37,</w:t>
      </w:r>
    </w:p>
    <w:p w14:paraId="43BD9B9B" w14:textId="77777777" w:rsidR="009E67CF" w:rsidRPr="00486174" w:rsidRDefault="009E67CF" w:rsidP="0023760D">
      <w:pPr>
        <w:pStyle w:val="Notedebasdepage"/>
        <w:jc w:val="both"/>
        <w:rPr>
          <w:rFonts w:ascii="Times New Roman" w:hAnsi="Times New Roman" w:cs="Times New Roman"/>
          <w:lang w:val="en-US"/>
        </w:rPr>
      </w:pPr>
      <w:r w:rsidRPr="00486174">
        <w:rPr>
          <w:rFonts w:ascii="Times New Roman" w:hAnsi="Times New Roman" w:cs="Times New Roman"/>
          <w:kern w:val="0"/>
          <w:lang w:val="en-US"/>
        </w:rPr>
        <w:t>1975, p. 48–67.</w:t>
      </w:r>
    </w:p>
  </w:footnote>
  <w:footnote w:id="70">
    <w:p w14:paraId="5C076B63" w14:textId="77777777" w:rsidR="007C3D4B" w:rsidRPr="0023760D" w:rsidRDefault="009E67CF" w:rsidP="0023760D">
      <w:pPr>
        <w:pStyle w:val="Notedebasdepage"/>
        <w:jc w:val="both"/>
        <w:rPr>
          <w:rFonts w:ascii="Times New Roman" w:hAnsi="Times New Roman" w:cs="Times New Roman"/>
          <w:lang w:val="en-US"/>
        </w:rPr>
      </w:pPr>
      <w:r w:rsidRPr="0023760D">
        <w:rPr>
          <w:rStyle w:val="Appelnotedebasdep"/>
          <w:rFonts w:ascii="Times New Roman" w:hAnsi="Times New Roman" w:cs="Times New Roman"/>
        </w:rPr>
        <w:footnoteRef/>
      </w:r>
      <w:r w:rsidRPr="0023760D">
        <w:rPr>
          <w:rFonts w:ascii="Times New Roman" w:hAnsi="Times New Roman" w:cs="Times New Roman"/>
          <w:lang w:val="en-US"/>
        </w:rPr>
        <w:t xml:space="preserve"> </w:t>
      </w:r>
      <w:r w:rsidR="007C3D4B" w:rsidRPr="0023760D">
        <w:rPr>
          <w:rFonts w:ascii="Times New Roman" w:hAnsi="Times New Roman" w:cs="Times New Roman"/>
          <w:lang w:val="en-US"/>
        </w:rPr>
        <w:t xml:space="preserve">Stephen C. Carlson, </w:t>
      </w:r>
      <w:r w:rsidR="007C3D4B" w:rsidRPr="0023760D">
        <w:rPr>
          <w:rFonts w:ascii="Times New Roman" w:hAnsi="Times New Roman" w:cs="Times New Roman"/>
          <w:i/>
          <w:iCs/>
          <w:lang w:val="en-US"/>
        </w:rPr>
        <w:t>The Gospel Hoax, Morton Smith’s invention of Secret Mark</w:t>
      </w:r>
      <w:r w:rsidR="007C3D4B" w:rsidRPr="0023760D">
        <w:rPr>
          <w:rFonts w:ascii="Times New Roman" w:hAnsi="Times New Roman" w:cs="Times New Roman"/>
          <w:lang w:val="en-US"/>
        </w:rPr>
        <w:t>, Waco, Baylor University Press,</w:t>
      </w:r>
    </w:p>
    <w:p w14:paraId="23AFAC41" w14:textId="77777777" w:rsidR="009E67CF" w:rsidRPr="0023760D" w:rsidRDefault="007C3D4B" w:rsidP="0023760D">
      <w:pPr>
        <w:pStyle w:val="Notedebasdepage"/>
        <w:jc w:val="both"/>
        <w:rPr>
          <w:rFonts w:ascii="Times New Roman" w:hAnsi="Times New Roman" w:cs="Times New Roman"/>
        </w:rPr>
      </w:pPr>
      <w:r w:rsidRPr="0023760D">
        <w:rPr>
          <w:rFonts w:ascii="Times New Roman" w:hAnsi="Times New Roman" w:cs="Times New Roman"/>
        </w:rPr>
        <w:t xml:space="preserve">2005. </w:t>
      </w:r>
    </w:p>
  </w:footnote>
  <w:footnote w:id="71">
    <w:p w14:paraId="256FF3AF" w14:textId="77777777" w:rsidR="007C3D4B" w:rsidRPr="0023760D" w:rsidRDefault="007C3D4B" w:rsidP="0023760D">
      <w:pPr>
        <w:pStyle w:val="Notedebasdepage"/>
        <w:jc w:val="both"/>
        <w:rPr>
          <w:rFonts w:ascii="Times New Roman" w:hAnsi="Times New Roman" w:cs="Times New Roman"/>
        </w:rPr>
      </w:pPr>
      <w:r w:rsidRPr="0023760D">
        <w:rPr>
          <w:rStyle w:val="Appelnotedebasdep"/>
          <w:rFonts w:ascii="Times New Roman" w:hAnsi="Times New Roman" w:cs="Times New Roman"/>
        </w:rPr>
        <w:footnoteRef/>
      </w:r>
      <w:r w:rsidRPr="0023760D">
        <w:rPr>
          <w:rFonts w:ascii="Times New Roman" w:hAnsi="Times New Roman" w:cs="Times New Roman"/>
        </w:rPr>
        <w:t xml:space="preserve"> Pierluigi Piovanelli, « "Une certaine « </w:t>
      </w:r>
      <w:r w:rsidRPr="0023760D">
        <w:rPr>
          <w:rFonts w:ascii="Times New Roman" w:hAnsi="Times New Roman" w:cs="Times New Roman"/>
          <w:i/>
          <w:iCs/>
        </w:rPr>
        <w:t>Keckheit, Kühnheit und Grandiosität</w:t>
      </w:r>
      <w:r w:rsidRPr="0023760D">
        <w:rPr>
          <w:rFonts w:ascii="Times New Roman" w:hAnsi="Times New Roman" w:cs="Times New Roman"/>
        </w:rPr>
        <w:t xml:space="preserve"> »…" La correspondance entre Morton Smith et Gershom Scholem (1945-1982). Notes critiques », </w:t>
      </w:r>
      <w:r w:rsidRPr="0023760D">
        <w:rPr>
          <w:rFonts w:ascii="Times New Roman" w:hAnsi="Times New Roman" w:cs="Times New Roman"/>
          <w:i/>
          <w:iCs/>
        </w:rPr>
        <w:t>Revue de l’histoire des religions</w:t>
      </w:r>
      <w:r w:rsidRPr="0023760D">
        <w:rPr>
          <w:rFonts w:ascii="Times New Roman" w:hAnsi="Times New Roman" w:cs="Times New Roman"/>
        </w:rPr>
        <w:t xml:space="preserve">, 3, 2011, p. 403-429. La façon dont Clément commente la première citation de la </w:t>
      </w:r>
      <w:r w:rsidRPr="0023760D">
        <w:rPr>
          <w:rFonts w:ascii="Times New Roman" w:hAnsi="Times New Roman" w:cs="Times New Roman"/>
          <w:i/>
          <w:iCs/>
        </w:rPr>
        <w:t>Lettre</w:t>
      </w:r>
      <w:r w:rsidRPr="0023760D">
        <w:rPr>
          <w:rFonts w:ascii="Times New Roman" w:hAnsi="Times New Roman" w:cs="Times New Roman"/>
        </w:rPr>
        <w:t xml:space="preserve"> va dans le sens de cette hypothèse. </w:t>
      </w:r>
    </w:p>
  </w:footnote>
  <w:footnote w:id="72">
    <w:p w14:paraId="52E451A5" w14:textId="77777777" w:rsidR="0023760D" w:rsidRPr="00D36E78" w:rsidRDefault="0023760D" w:rsidP="00D36E78">
      <w:pPr>
        <w:pStyle w:val="Notedebasdepage"/>
        <w:jc w:val="both"/>
        <w:rPr>
          <w:rFonts w:ascii="Times New Roman" w:hAnsi="Times New Roman" w:cs="Times New Roman"/>
        </w:rPr>
      </w:pPr>
      <w:r w:rsidRPr="0023760D">
        <w:rPr>
          <w:rStyle w:val="Appelnotedebasdep"/>
          <w:rFonts w:ascii="Times New Roman" w:hAnsi="Times New Roman" w:cs="Times New Roman"/>
        </w:rPr>
        <w:footnoteRef/>
      </w:r>
      <w:r w:rsidRPr="0023760D">
        <w:rPr>
          <w:rFonts w:ascii="Times New Roman" w:hAnsi="Times New Roman" w:cs="Times New Roman"/>
        </w:rPr>
        <w:t xml:space="preserve"> Après que Dieu a décidé d’épargner la ville, Jonas s’enferme dans un refus boudeur. Dieu fait alors pousser un arbre pour le protéger du soleil puis envoie un ver détruire la plante et s’adresse au prophète en comparant Ninive à cet arbre : « Le SEIGNEUR lui dit : “Toi, tu as pitié de cette plante pour laquelle tu n'as pas peiné et que tu n'as pas fait croître ; fille d'une nuit, elle a disparu âgée d'une nuit. Et moi, je n'aurais pas pitié de Ninive la grande ville où il y a plus de cent vingt mille êtres humains qui ne savent distinguer leur droite de leur gauche, et des bêtes sans </w:t>
      </w:r>
      <w:r w:rsidRPr="00D36E78">
        <w:rPr>
          <w:rFonts w:ascii="Times New Roman" w:hAnsi="Times New Roman" w:cs="Times New Roman"/>
        </w:rPr>
        <w:t>nombre !” » (</w:t>
      </w:r>
      <w:r w:rsidRPr="00D36E78">
        <w:rPr>
          <w:rFonts w:ascii="Times New Roman" w:hAnsi="Times New Roman" w:cs="Times New Roman"/>
          <w:i/>
          <w:iCs/>
        </w:rPr>
        <w:t>Jonas</w:t>
      </w:r>
      <w:r w:rsidRPr="00D36E78">
        <w:rPr>
          <w:rFonts w:ascii="Times New Roman" w:hAnsi="Times New Roman" w:cs="Times New Roman"/>
        </w:rPr>
        <w:t xml:space="preserve"> 4, 10-11 dans la </w:t>
      </w:r>
      <w:r w:rsidRPr="00D36E78">
        <w:rPr>
          <w:rFonts w:ascii="Times New Roman" w:hAnsi="Times New Roman" w:cs="Times New Roman"/>
          <w:i/>
          <w:iCs/>
        </w:rPr>
        <w:t>Traduction Œcuménique de la Bible</w:t>
      </w:r>
      <w:r w:rsidRPr="00D36E78">
        <w:rPr>
          <w:rFonts w:ascii="Times New Roman" w:hAnsi="Times New Roman" w:cs="Times New Roman"/>
        </w:rPr>
        <w:t xml:space="preserve">, </w:t>
      </w:r>
      <w:r w:rsidRPr="00D36E78">
        <w:rPr>
          <w:rFonts w:ascii="Times New Roman" w:hAnsi="Times New Roman" w:cs="Times New Roman"/>
          <w:i/>
          <w:iCs/>
        </w:rPr>
        <w:t>op. cit.</w:t>
      </w:r>
      <w:r w:rsidRPr="00D36E78">
        <w:rPr>
          <w:rFonts w:ascii="Times New Roman" w:hAnsi="Times New Roman" w:cs="Times New Roman"/>
        </w:rPr>
        <w:t>)</w:t>
      </w:r>
    </w:p>
  </w:footnote>
  <w:footnote w:id="73">
    <w:p w14:paraId="1C1D1550" w14:textId="77777777" w:rsidR="0025009D" w:rsidRPr="00D36E78" w:rsidRDefault="0025009D" w:rsidP="00D36E78">
      <w:pPr>
        <w:pStyle w:val="Notedebasdepage"/>
        <w:jc w:val="both"/>
        <w:rPr>
          <w:rFonts w:ascii="Times New Roman" w:hAnsi="Times New Roman" w:cs="Times New Roman"/>
        </w:rPr>
      </w:pPr>
      <w:r w:rsidRPr="00D36E78">
        <w:rPr>
          <w:rStyle w:val="Appelnotedebasdep"/>
          <w:rFonts w:ascii="Times New Roman" w:hAnsi="Times New Roman" w:cs="Times New Roman"/>
        </w:rPr>
        <w:footnoteRef/>
      </w:r>
      <w:r w:rsidRPr="00D36E78">
        <w:rPr>
          <w:rFonts w:ascii="Times New Roman" w:hAnsi="Times New Roman" w:cs="Times New Roman"/>
        </w:rPr>
        <w:t xml:space="preserve"> Eusèbe de Césarée, </w:t>
      </w:r>
      <w:r w:rsidRPr="00D36E78">
        <w:rPr>
          <w:rFonts w:ascii="Times New Roman" w:hAnsi="Times New Roman" w:cs="Times New Roman"/>
          <w:i/>
          <w:iCs/>
        </w:rPr>
        <w:t>Histoire ecclésiastique</w:t>
      </w:r>
      <w:r w:rsidRPr="00D36E78">
        <w:rPr>
          <w:rFonts w:ascii="Times New Roman" w:hAnsi="Times New Roman" w:cs="Times New Roman"/>
        </w:rPr>
        <w:t>, 12, 1, 2.</w:t>
      </w:r>
    </w:p>
  </w:footnote>
  <w:footnote w:id="74">
    <w:p w14:paraId="22C766E5" w14:textId="77777777" w:rsidR="00736133" w:rsidRPr="00D36E78" w:rsidRDefault="00736133" w:rsidP="00D36E78">
      <w:pPr>
        <w:pStyle w:val="Notedebasdepage"/>
        <w:jc w:val="both"/>
        <w:rPr>
          <w:rFonts w:ascii="Times New Roman" w:hAnsi="Times New Roman" w:cs="Times New Roman"/>
        </w:rPr>
      </w:pPr>
      <w:r w:rsidRPr="00D36E78">
        <w:rPr>
          <w:rStyle w:val="Appelnotedebasdep"/>
          <w:rFonts w:ascii="Times New Roman" w:hAnsi="Times New Roman" w:cs="Times New Roman"/>
        </w:rPr>
        <w:footnoteRef/>
      </w:r>
      <w:r w:rsidRPr="00D36E78">
        <w:rPr>
          <w:rFonts w:ascii="Times New Roman" w:hAnsi="Times New Roman" w:cs="Times New Roman"/>
        </w:rPr>
        <w:t xml:space="preserve"> Pierre Bayard, </w:t>
      </w:r>
      <w:r w:rsidRPr="00D36E78">
        <w:rPr>
          <w:rFonts w:ascii="Times New Roman" w:hAnsi="Times New Roman" w:cs="Times New Roman"/>
          <w:i/>
          <w:iCs/>
        </w:rPr>
        <w:t>Comment améliorer les œuvres ratées ?</w:t>
      </w:r>
      <w:r w:rsidRPr="00D36E78">
        <w:rPr>
          <w:rFonts w:ascii="Times New Roman" w:hAnsi="Times New Roman" w:cs="Times New Roman"/>
        </w:rPr>
        <w:t>, Paris, Éditions de Minuit, coll. « Paradoxe », 2000, p. 161.</w:t>
      </w:r>
    </w:p>
  </w:footnote>
  <w:footnote w:id="75">
    <w:p w14:paraId="56C327F2" w14:textId="77777777" w:rsidR="00A34490" w:rsidRPr="00D36E78" w:rsidRDefault="00A34490" w:rsidP="00D36E78">
      <w:pPr>
        <w:pStyle w:val="Notedebasdepage"/>
        <w:jc w:val="both"/>
        <w:rPr>
          <w:rFonts w:ascii="Times New Roman" w:hAnsi="Times New Roman" w:cs="Times New Roman"/>
        </w:rPr>
      </w:pPr>
      <w:r w:rsidRPr="00D36E78">
        <w:rPr>
          <w:rStyle w:val="Appelnotedebasdep"/>
          <w:rFonts w:ascii="Times New Roman" w:hAnsi="Times New Roman" w:cs="Times New Roman"/>
        </w:rPr>
        <w:footnoteRef/>
      </w:r>
      <w:r w:rsidRPr="00D36E78">
        <w:rPr>
          <w:rFonts w:ascii="Times New Roman" w:hAnsi="Times New Roman" w:cs="Times New Roman"/>
        </w:rPr>
        <w:t xml:space="preserve"> Les thèses de Pierre Bayard suppose ainsi un comparatisme tel que celui défend Adrian Marino, à savoir le comparatisme le plus vaste possible car fondé sur un « universalisme réel » (Adrian Marino, </w:t>
      </w:r>
      <w:r w:rsidRPr="00D36E78">
        <w:rPr>
          <w:rFonts w:ascii="Times New Roman" w:hAnsi="Times New Roman" w:cs="Times New Roman"/>
          <w:i/>
          <w:iCs/>
        </w:rPr>
        <w:t>Comparatisme et théorie de la littérature</w:t>
      </w:r>
      <w:r w:rsidRPr="00D36E78">
        <w:rPr>
          <w:rFonts w:ascii="Times New Roman" w:hAnsi="Times New Roman" w:cs="Times New Roman"/>
        </w:rPr>
        <w:t>, Paris, Presses Universitaires de France, coll. « Écriture », 1998 ; p. 190 pour l’expression citée).</w:t>
      </w:r>
    </w:p>
  </w:footnote>
  <w:footnote w:id="76">
    <w:p w14:paraId="17E05711" w14:textId="77777777" w:rsidR="00016B41" w:rsidRPr="00D36E78" w:rsidRDefault="00016B41" w:rsidP="00D36E78">
      <w:pPr>
        <w:pStyle w:val="Notedebasdepage"/>
        <w:jc w:val="both"/>
        <w:rPr>
          <w:rFonts w:ascii="Times New Roman" w:hAnsi="Times New Roman" w:cs="Times New Roman"/>
        </w:rPr>
      </w:pPr>
      <w:r w:rsidRPr="00D36E78">
        <w:rPr>
          <w:rStyle w:val="Appelnotedebasdep"/>
          <w:rFonts w:ascii="Times New Roman" w:hAnsi="Times New Roman" w:cs="Times New Roman"/>
        </w:rPr>
        <w:footnoteRef/>
      </w:r>
      <w:r w:rsidRPr="00D36E78">
        <w:rPr>
          <w:rFonts w:ascii="Times New Roman" w:hAnsi="Times New Roman" w:cs="Times New Roman"/>
        </w:rPr>
        <w:t xml:space="preserve"> Le copte permet les deux interprétations.</w:t>
      </w:r>
    </w:p>
  </w:footnote>
  <w:footnote w:id="77">
    <w:p w14:paraId="1478ED16" w14:textId="77777777" w:rsidR="00016B41" w:rsidRPr="00486174" w:rsidRDefault="00016B41" w:rsidP="005362FA">
      <w:pPr>
        <w:pStyle w:val="Notedebasdepage"/>
        <w:jc w:val="both"/>
        <w:rPr>
          <w:rFonts w:ascii="Times New Roman" w:hAnsi="Times New Roman" w:cs="Times New Roman"/>
          <w:lang w:val="en-US"/>
        </w:rPr>
      </w:pPr>
      <w:r w:rsidRPr="005362FA">
        <w:rPr>
          <w:rStyle w:val="Appelnotedebasdep"/>
          <w:rFonts w:ascii="Times New Roman" w:hAnsi="Times New Roman" w:cs="Times New Roman"/>
        </w:rPr>
        <w:footnoteRef/>
      </w:r>
      <w:r w:rsidRPr="005362FA">
        <w:rPr>
          <w:rFonts w:ascii="Times New Roman" w:hAnsi="Times New Roman" w:cs="Times New Roman"/>
        </w:rPr>
        <w:t xml:space="preserve"> </w:t>
      </w:r>
      <w:r w:rsidRPr="005362FA">
        <w:rPr>
          <w:rFonts w:ascii="Times New Roman" w:hAnsi="Times New Roman" w:cs="Times New Roman"/>
          <w:i/>
          <w:iCs/>
        </w:rPr>
        <w:t>Lettre apocryphe de Jacques</w:t>
      </w:r>
      <w:r w:rsidRPr="005362FA">
        <w:rPr>
          <w:rFonts w:ascii="Times New Roman" w:hAnsi="Times New Roman" w:cs="Times New Roman"/>
        </w:rPr>
        <w:t xml:space="preserve"> p. 2, 7-17. Je traduis le texte établi par </w:t>
      </w:r>
      <w:r w:rsidR="00760E08" w:rsidRPr="005362FA">
        <w:rPr>
          <w:rFonts w:ascii="Times New Roman" w:hAnsi="Times New Roman" w:cs="Times New Roman"/>
        </w:rPr>
        <w:t xml:space="preserve">Donald Rouleau dans Donald Rouleau, « L’Épître apocryphe de Jacques (NH I, 2) », dans Donald Rouleau et Louise Roy (dir.), </w:t>
      </w:r>
      <w:r w:rsidR="00760E08" w:rsidRPr="005362FA">
        <w:rPr>
          <w:rFonts w:ascii="Times New Roman" w:hAnsi="Times New Roman" w:cs="Times New Roman"/>
          <w:i/>
          <w:iCs/>
        </w:rPr>
        <w:t>L’Épître apocryphe de Jacques (NH I, 2). L’Acte de Pierre (BG 4)</w:t>
      </w:r>
      <w:r w:rsidR="00760E08" w:rsidRPr="005362FA">
        <w:rPr>
          <w:rFonts w:ascii="Times New Roman" w:hAnsi="Times New Roman" w:cs="Times New Roman"/>
        </w:rPr>
        <w:t xml:space="preserve">, Québec, Presses de l’Université Laval, coll. </w:t>
      </w:r>
      <w:r w:rsidR="00760E08" w:rsidRPr="00486174">
        <w:rPr>
          <w:rFonts w:ascii="Times New Roman" w:hAnsi="Times New Roman" w:cs="Times New Roman"/>
          <w:lang w:val="en-US"/>
        </w:rPr>
        <w:t>« Bilbiothèque copte de Nag Hammadi. Section textes », 1987.</w:t>
      </w:r>
    </w:p>
  </w:footnote>
  <w:footnote w:id="78">
    <w:p w14:paraId="7E2C2A86" w14:textId="77777777" w:rsidR="00D36E78" w:rsidRPr="005362FA" w:rsidRDefault="00D36E78" w:rsidP="005362FA">
      <w:pPr>
        <w:pStyle w:val="Notedebasdepage"/>
        <w:jc w:val="both"/>
        <w:rPr>
          <w:rFonts w:ascii="Times New Roman" w:hAnsi="Times New Roman" w:cs="Times New Roman"/>
          <w:lang w:val="en-US"/>
        </w:rPr>
      </w:pPr>
      <w:r w:rsidRPr="005362FA">
        <w:rPr>
          <w:rStyle w:val="Appelnotedebasdep"/>
          <w:rFonts w:ascii="Times New Roman" w:hAnsi="Times New Roman" w:cs="Times New Roman"/>
        </w:rPr>
        <w:footnoteRef/>
      </w:r>
      <w:r w:rsidRPr="005362FA">
        <w:rPr>
          <w:rFonts w:ascii="Times New Roman" w:hAnsi="Times New Roman" w:cs="Times New Roman"/>
          <w:lang w:val="en-US"/>
        </w:rPr>
        <w:t xml:space="preserve"> « Still, I wonder if we shall ever be put into songs or tales. We’re in one, of course; </w:t>
      </w:r>
      <w:r w:rsidR="004917FF" w:rsidRPr="005362FA">
        <w:rPr>
          <w:rFonts w:ascii="Times New Roman" w:hAnsi="Times New Roman" w:cs="Times New Roman"/>
          <w:lang w:val="en-US"/>
        </w:rPr>
        <w:t>[</w:t>
      </w:r>
      <w:r w:rsidRPr="005362FA">
        <w:rPr>
          <w:rFonts w:ascii="Times New Roman" w:hAnsi="Times New Roman" w:cs="Times New Roman"/>
          <w:lang w:val="en-US"/>
        </w:rPr>
        <w:t>…</w:t>
      </w:r>
      <w:r w:rsidR="004917FF" w:rsidRPr="005362FA">
        <w:rPr>
          <w:rFonts w:ascii="Times New Roman" w:hAnsi="Times New Roman" w:cs="Times New Roman"/>
          <w:lang w:val="en-US"/>
        </w:rPr>
        <w:t>]</w:t>
      </w:r>
      <w:r w:rsidRPr="005362FA">
        <w:rPr>
          <w:rFonts w:ascii="Times New Roman" w:hAnsi="Times New Roman" w:cs="Times New Roman"/>
          <w:lang w:val="en-US"/>
        </w:rPr>
        <w:t xml:space="preserve"> people will say: ‘‘Let’s hear about Frodo and the Ring!’’ And they’ll say: ‘‘Yes, that’s one of my favourite stories.</w:t>
      </w:r>
      <w:r w:rsidR="004917FF" w:rsidRPr="005362FA">
        <w:rPr>
          <w:rFonts w:ascii="Times New Roman" w:hAnsi="Times New Roman" w:cs="Times New Roman"/>
          <w:lang w:val="en-US"/>
        </w:rPr>
        <w:t xml:space="preserve"> […]”</w:t>
      </w:r>
      <w:r w:rsidRPr="005362FA">
        <w:rPr>
          <w:rFonts w:ascii="Times New Roman" w:hAnsi="Times New Roman" w:cs="Times New Roman"/>
          <w:lang w:val="en-US"/>
        </w:rPr>
        <w:t> » (</w:t>
      </w:r>
      <w:r w:rsidR="007E0B2C" w:rsidRPr="005362FA">
        <w:rPr>
          <w:rFonts w:ascii="Times New Roman" w:hAnsi="Times New Roman" w:cs="Times New Roman"/>
          <w:lang w:val="en-US"/>
        </w:rPr>
        <w:t xml:space="preserve">John R. R. Tolkien, </w:t>
      </w:r>
      <w:r w:rsidR="007E0B2C" w:rsidRPr="005362FA">
        <w:rPr>
          <w:rFonts w:ascii="Times New Roman" w:hAnsi="Times New Roman" w:cs="Times New Roman"/>
          <w:i/>
          <w:iCs/>
          <w:lang w:val="en-US"/>
        </w:rPr>
        <w:t xml:space="preserve">The Lord of the Rings </w:t>
      </w:r>
      <w:r w:rsidR="007E0B2C" w:rsidRPr="005362FA">
        <w:rPr>
          <w:rFonts w:ascii="Times New Roman" w:hAnsi="Times New Roman" w:cs="Times New Roman"/>
          <w:lang w:val="en-US"/>
        </w:rPr>
        <w:t>(édition intégrale dite 50</w:t>
      </w:r>
      <w:r w:rsidR="007E0B2C" w:rsidRPr="005362FA">
        <w:rPr>
          <w:rFonts w:ascii="Times New Roman" w:hAnsi="Times New Roman" w:cs="Times New Roman"/>
          <w:vertAlign w:val="superscript"/>
          <w:lang w:val="en-US"/>
        </w:rPr>
        <w:t>th</w:t>
      </w:r>
      <w:r w:rsidR="007E0B2C" w:rsidRPr="005362FA">
        <w:rPr>
          <w:rFonts w:ascii="Times New Roman" w:hAnsi="Times New Roman" w:cs="Times New Roman"/>
          <w:lang w:val="en-US"/>
        </w:rPr>
        <w:t xml:space="preserve"> anniversary edition), New York, HarperCollins Publishers, 2004, p. </w:t>
      </w:r>
      <w:r w:rsidR="004917FF" w:rsidRPr="005362FA">
        <w:rPr>
          <w:rFonts w:ascii="Times New Roman" w:hAnsi="Times New Roman" w:cs="Times New Roman"/>
          <w:lang w:val="en-US"/>
        </w:rPr>
        <w:t>712).</w:t>
      </w:r>
    </w:p>
  </w:footnote>
  <w:footnote w:id="79">
    <w:p w14:paraId="7F684618" w14:textId="77777777" w:rsidR="00614F1E" w:rsidRPr="005362FA" w:rsidRDefault="00614F1E" w:rsidP="005362FA">
      <w:pPr>
        <w:pStyle w:val="Notedebasdepage"/>
        <w:jc w:val="both"/>
        <w:rPr>
          <w:rFonts w:ascii="Times New Roman" w:hAnsi="Times New Roman" w:cs="Times New Roman"/>
        </w:rPr>
      </w:pPr>
      <w:r w:rsidRPr="005362FA">
        <w:rPr>
          <w:rStyle w:val="Appelnotedebasdep"/>
          <w:rFonts w:ascii="Times New Roman" w:hAnsi="Times New Roman" w:cs="Times New Roman"/>
        </w:rPr>
        <w:footnoteRef/>
      </w:r>
      <w:r w:rsidRPr="005362FA">
        <w:rPr>
          <w:rFonts w:ascii="Times New Roman" w:hAnsi="Times New Roman" w:cs="Times New Roman"/>
        </w:rPr>
        <w:t xml:space="preserve"> Pierre Bayard situe ainsi sa compréhension des « faits qui ne se sont pas produits » dans le champ de la « crédulité humaine » en général (Pierre Bayard, </w:t>
      </w:r>
      <w:r w:rsidRPr="005362FA">
        <w:rPr>
          <w:rFonts w:ascii="Times New Roman" w:hAnsi="Times New Roman" w:cs="Times New Roman"/>
          <w:i/>
          <w:iCs/>
        </w:rPr>
        <w:t>Comment parler des faits qui ne se sont pas produits ?</w:t>
      </w:r>
      <w:r w:rsidRPr="005362FA">
        <w:rPr>
          <w:rFonts w:ascii="Times New Roman" w:hAnsi="Times New Roman" w:cs="Times New Roman"/>
        </w:rPr>
        <w:t xml:space="preserve">, </w:t>
      </w:r>
      <w:r w:rsidRPr="005362FA">
        <w:rPr>
          <w:rFonts w:ascii="Times New Roman" w:hAnsi="Times New Roman" w:cs="Times New Roman"/>
          <w:i/>
          <w:iCs/>
        </w:rPr>
        <w:t>op. cit.</w:t>
      </w:r>
      <w:r w:rsidRPr="005362FA">
        <w:rPr>
          <w:rFonts w:ascii="Times New Roman" w:hAnsi="Times New Roman" w:cs="Times New Roman"/>
        </w:rPr>
        <w:t xml:space="preserve">, p. 27). </w:t>
      </w:r>
    </w:p>
  </w:footnote>
  <w:footnote w:id="80">
    <w:p w14:paraId="5E560AD1" w14:textId="77777777" w:rsidR="00625BA7" w:rsidRPr="005362FA" w:rsidRDefault="00625BA7" w:rsidP="005362FA">
      <w:pPr>
        <w:pStyle w:val="Notedebasdepage"/>
        <w:jc w:val="both"/>
        <w:rPr>
          <w:rFonts w:ascii="Times New Roman" w:hAnsi="Times New Roman" w:cs="Times New Roman"/>
        </w:rPr>
      </w:pPr>
      <w:r w:rsidRPr="005362FA">
        <w:rPr>
          <w:rStyle w:val="Appelnotedebasdep"/>
          <w:rFonts w:ascii="Times New Roman" w:hAnsi="Times New Roman" w:cs="Times New Roman"/>
        </w:rPr>
        <w:footnoteRef/>
      </w:r>
      <w:r w:rsidRPr="005362FA">
        <w:rPr>
          <w:rFonts w:ascii="Times New Roman" w:hAnsi="Times New Roman" w:cs="Times New Roman"/>
        </w:rPr>
        <w:t xml:space="preserve"> </w:t>
      </w:r>
      <w:r w:rsidRPr="005362FA">
        <w:rPr>
          <w:rFonts w:ascii="Times New Roman" w:hAnsi="Times New Roman" w:cs="Times New Roman"/>
          <w:i/>
          <w:iCs/>
        </w:rPr>
        <w:t>Cf. supra</w:t>
      </w:r>
      <w:r w:rsidRPr="005362FA">
        <w:rPr>
          <w:rFonts w:ascii="Times New Roman" w:hAnsi="Times New Roman" w:cs="Times New Roman"/>
        </w:rPr>
        <w:t>.</w:t>
      </w:r>
    </w:p>
  </w:footnote>
  <w:footnote w:id="81">
    <w:p w14:paraId="25E9D6C2" w14:textId="77777777" w:rsidR="00625BA7" w:rsidRPr="005362FA" w:rsidRDefault="00625BA7" w:rsidP="005362FA">
      <w:pPr>
        <w:pStyle w:val="Notedebasdepage"/>
        <w:jc w:val="both"/>
        <w:rPr>
          <w:rFonts w:ascii="Times New Roman" w:hAnsi="Times New Roman" w:cs="Times New Roman"/>
        </w:rPr>
      </w:pPr>
      <w:r w:rsidRPr="005362FA">
        <w:rPr>
          <w:rStyle w:val="Appelnotedebasdep"/>
          <w:rFonts w:ascii="Times New Roman" w:hAnsi="Times New Roman" w:cs="Times New Roman"/>
        </w:rPr>
        <w:footnoteRef/>
      </w:r>
      <w:r w:rsidRPr="005362FA">
        <w:rPr>
          <w:rFonts w:ascii="Times New Roman" w:hAnsi="Times New Roman" w:cs="Times New Roman"/>
        </w:rPr>
        <w:t xml:space="preserve"> </w:t>
      </w:r>
      <w:r w:rsidRPr="005362FA">
        <w:rPr>
          <w:rFonts w:ascii="Times New Roman" w:hAnsi="Times New Roman" w:cs="Times New Roman"/>
          <w:i/>
          <w:iCs/>
        </w:rPr>
        <w:t>Évangile selon Marc</w:t>
      </w:r>
      <w:r w:rsidRPr="005362FA">
        <w:rPr>
          <w:rFonts w:ascii="Times New Roman" w:hAnsi="Times New Roman" w:cs="Times New Roman"/>
        </w:rPr>
        <w:t xml:space="preserve"> 16, 8.</w:t>
      </w:r>
    </w:p>
  </w:footnote>
  <w:footnote w:id="82">
    <w:p w14:paraId="16E09A5C" w14:textId="77777777" w:rsidR="00625BA7" w:rsidRPr="005362FA" w:rsidRDefault="00625BA7" w:rsidP="005362FA">
      <w:pPr>
        <w:autoSpaceDE w:val="0"/>
        <w:autoSpaceDN w:val="0"/>
        <w:adjustRightInd w:val="0"/>
        <w:jc w:val="both"/>
        <w:rPr>
          <w:rFonts w:ascii="Times New Roman" w:hAnsi="Times New Roman" w:cs="Times New Roman"/>
          <w:kern w:val="0"/>
          <w:sz w:val="20"/>
          <w:szCs w:val="20"/>
          <w:lang w:val="en-US"/>
        </w:rPr>
      </w:pPr>
      <w:r w:rsidRPr="005362FA">
        <w:rPr>
          <w:rStyle w:val="Appelnotedebasdep"/>
          <w:rFonts w:ascii="Times New Roman" w:hAnsi="Times New Roman" w:cs="Times New Roman"/>
          <w:sz w:val="20"/>
          <w:szCs w:val="20"/>
        </w:rPr>
        <w:footnoteRef/>
      </w:r>
      <w:r w:rsidRPr="005362FA">
        <w:rPr>
          <w:rFonts w:ascii="Times New Roman" w:hAnsi="Times New Roman" w:cs="Times New Roman"/>
          <w:sz w:val="20"/>
          <w:szCs w:val="20"/>
          <w:lang w:val="en-US"/>
        </w:rPr>
        <w:t xml:space="preserve"> C’est l’interprétation, par exemple, proposée dans </w:t>
      </w:r>
      <w:r w:rsidRPr="005362FA">
        <w:rPr>
          <w:rFonts w:ascii="Times New Roman" w:hAnsi="Times New Roman" w:cs="Times New Roman"/>
          <w:kern w:val="0"/>
          <w:sz w:val="20"/>
          <w:szCs w:val="20"/>
          <w:lang w:val="en-US"/>
        </w:rPr>
        <w:t xml:space="preserve">Norman R. Petersen, « When is the end not the end? Literary Reflections on the Ending of Mark’s Narrative », </w:t>
      </w:r>
      <w:r w:rsidRPr="005362FA">
        <w:rPr>
          <w:rFonts w:ascii="Times New Roman" w:hAnsi="Times New Roman" w:cs="Times New Roman"/>
          <w:i/>
          <w:iCs/>
          <w:kern w:val="0"/>
          <w:sz w:val="20"/>
          <w:szCs w:val="20"/>
          <w:lang w:val="en-US"/>
        </w:rPr>
        <w:t>Interpretation</w:t>
      </w:r>
      <w:r w:rsidRPr="005362FA">
        <w:rPr>
          <w:rFonts w:ascii="Times New Roman" w:hAnsi="Times New Roman" w:cs="Times New Roman"/>
          <w:kern w:val="0"/>
          <w:sz w:val="20"/>
          <w:szCs w:val="20"/>
          <w:lang w:val="en-US"/>
        </w:rPr>
        <w:t>, 34, 1980, p. 151-166.</w:t>
      </w:r>
    </w:p>
  </w:footnote>
  <w:footnote w:id="83">
    <w:p w14:paraId="418E72A5" w14:textId="77777777" w:rsidR="005362FA" w:rsidRPr="005362FA" w:rsidRDefault="005362FA" w:rsidP="005362FA">
      <w:pPr>
        <w:pStyle w:val="Notedebasdepage"/>
        <w:jc w:val="both"/>
      </w:pPr>
      <w:r w:rsidRPr="005362FA">
        <w:rPr>
          <w:rStyle w:val="Appelnotedebasdep"/>
          <w:rFonts w:ascii="Times New Roman" w:hAnsi="Times New Roman" w:cs="Times New Roman"/>
        </w:rPr>
        <w:footnoteRef/>
      </w:r>
      <w:r w:rsidRPr="005362FA">
        <w:rPr>
          <w:rFonts w:ascii="Times New Roman" w:hAnsi="Times New Roman" w:cs="Times New Roman"/>
        </w:rPr>
        <w:t xml:space="preserve"> Pierre Bayard, </w:t>
      </w:r>
      <w:r w:rsidRPr="005362FA">
        <w:rPr>
          <w:rFonts w:ascii="Times New Roman" w:hAnsi="Times New Roman" w:cs="Times New Roman"/>
          <w:i/>
          <w:iCs/>
        </w:rPr>
        <w:t>Et si les œuvres changeaient d’auteurs ?</w:t>
      </w:r>
      <w:r w:rsidRPr="005362FA">
        <w:rPr>
          <w:rFonts w:ascii="Times New Roman" w:hAnsi="Times New Roman" w:cs="Times New Roman"/>
        </w:rPr>
        <w:t xml:space="preserve">, </w:t>
      </w:r>
      <w:r w:rsidRPr="005362FA">
        <w:rPr>
          <w:rFonts w:ascii="Times New Roman" w:hAnsi="Times New Roman" w:cs="Times New Roman"/>
          <w:i/>
          <w:iCs/>
        </w:rPr>
        <w:t>op. cit.</w:t>
      </w:r>
      <w:r w:rsidRPr="005362FA">
        <w:rPr>
          <w:rFonts w:ascii="Times New Roman" w:hAnsi="Times New Roman" w:cs="Times New Roman"/>
        </w:rPr>
        <w:t>, p. 135-136.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42C"/>
    <w:rsid w:val="000150FC"/>
    <w:rsid w:val="00016B41"/>
    <w:rsid w:val="00017316"/>
    <w:rsid w:val="00023621"/>
    <w:rsid w:val="00052C2F"/>
    <w:rsid w:val="00055597"/>
    <w:rsid w:val="00064E3D"/>
    <w:rsid w:val="00076234"/>
    <w:rsid w:val="000779D9"/>
    <w:rsid w:val="000968DE"/>
    <w:rsid w:val="000A1043"/>
    <w:rsid w:val="000B17FC"/>
    <w:rsid w:val="000B7294"/>
    <w:rsid w:val="000D6E58"/>
    <w:rsid w:val="000E4F54"/>
    <w:rsid w:val="001003F5"/>
    <w:rsid w:val="001130B6"/>
    <w:rsid w:val="00161092"/>
    <w:rsid w:val="00177C25"/>
    <w:rsid w:val="00181B30"/>
    <w:rsid w:val="00190141"/>
    <w:rsid w:val="0019334C"/>
    <w:rsid w:val="001A7CC3"/>
    <w:rsid w:val="001D1904"/>
    <w:rsid w:val="001D5D85"/>
    <w:rsid w:val="001D75F0"/>
    <w:rsid w:val="001E5DD4"/>
    <w:rsid w:val="00202022"/>
    <w:rsid w:val="00205219"/>
    <w:rsid w:val="00216AFC"/>
    <w:rsid w:val="0023760D"/>
    <w:rsid w:val="00244C50"/>
    <w:rsid w:val="0025009D"/>
    <w:rsid w:val="00257A96"/>
    <w:rsid w:val="00261785"/>
    <w:rsid w:val="00267E5E"/>
    <w:rsid w:val="0028497B"/>
    <w:rsid w:val="00286C35"/>
    <w:rsid w:val="002959D7"/>
    <w:rsid w:val="002A173B"/>
    <w:rsid w:val="002A24E6"/>
    <w:rsid w:val="002B2B50"/>
    <w:rsid w:val="002E40E6"/>
    <w:rsid w:val="002F0600"/>
    <w:rsid w:val="002F1BAF"/>
    <w:rsid w:val="002F3585"/>
    <w:rsid w:val="00333394"/>
    <w:rsid w:val="003528EB"/>
    <w:rsid w:val="00380FB7"/>
    <w:rsid w:val="00396F22"/>
    <w:rsid w:val="003A2FA2"/>
    <w:rsid w:val="003E3748"/>
    <w:rsid w:val="003F2389"/>
    <w:rsid w:val="003F43C2"/>
    <w:rsid w:val="004430E3"/>
    <w:rsid w:val="00451E47"/>
    <w:rsid w:val="004667EE"/>
    <w:rsid w:val="00467A13"/>
    <w:rsid w:val="00486174"/>
    <w:rsid w:val="004917FF"/>
    <w:rsid w:val="004D4894"/>
    <w:rsid w:val="004E38EC"/>
    <w:rsid w:val="005121FE"/>
    <w:rsid w:val="00520BB5"/>
    <w:rsid w:val="00532595"/>
    <w:rsid w:val="005362FA"/>
    <w:rsid w:val="005459AD"/>
    <w:rsid w:val="00551875"/>
    <w:rsid w:val="005607F2"/>
    <w:rsid w:val="00570EEA"/>
    <w:rsid w:val="00582CCC"/>
    <w:rsid w:val="005C384A"/>
    <w:rsid w:val="005D0164"/>
    <w:rsid w:val="005D30A8"/>
    <w:rsid w:val="005E04F4"/>
    <w:rsid w:val="005E4DB8"/>
    <w:rsid w:val="005E6BD8"/>
    <w:rsid w:val="005F04B3"/>
    <w:rsid w:val="00613962"/>
    <w:rsid w:val="00614F1E"/>
    <w:rsid w:val="00625BA7"/>
    <w:rsid w:val="00646268"/>
    <w:rsid w:val="0065742C"/>
    <w:rsid w:val="00661D8B"/>
    <w:rsid w:val="00672E09"/>
    <w:rsid w:val="0068236C"/>
    <w:rsid w:val="006A730F"/>
    <w:rsid w:val="006B784B"/>
    <w:rsid w:val="006C40DC"/>
    <w:rsid w:val="006C7133"/>
    <w:rsid w:val="006F4E8D"/>
    <w:rsid w:val="006F71F0"/>
    <w:rsid w:val="0071335D"/>
    <w:rsid w:val="00736133"/>
    <w:rsid w:val="00760E08"/>
    <w:rsid w:val="00766B61"/>
    <w:rsid w:val="007876E5"/>
    <w:rsid w:val="007924AD"/>
    <w:rsid w:val="007A2295"/>
    <w:rsid w:val="007C3D4B"/>
    <w:rsid w:val="007E0B2C"/>
    <w:rsid w:val="007E1A60"/>
    <w:rsid w:val="008114F9"/>
    <w:rsid w:val="00814258"/>
    <w:rsid w:val="008151C6"/>
    <w:rsid w:val="00821899"/>
    <w:rsid w:val="00845012"/>
    <w:rsid w:val="00853FCF"/>
    <w:rsid w:val="008640DE"/>
    <w:rsid w:val="008832DD"/>
    <w:rsid w:val="00895C36"/>
    <w:rsid w:val="008A5021"/>
    <w:rsid w:val="008B1F7B"/>
    <w:rsid w:val="008C3DFA"/>
    <w:rsid w:val="008C64F3"/>
    <w:rsid w:val="008D1E6C"/>
    <w:rsid w:val="008E2063"/>
    <w:rsid w:val="008F3BB8"/>
    <w:rsid w:val="0090571F"/>
    <w:rsid w:val="00910B08"/>
    <w:rsid w:val="00923C60"/>
    <w:rsid w:val="00951C59"/>
    <w:rsid w:val="009A1AAC"/>
    <w:rsid w:val="009A6353"/>
    <w:rsid w:val="009C0C7E"/>
    <w:rsid w:val="009E67CF"/>
    <w:rsid w:val="00A01CB7"/>
    <w:rsid w:val="00A243B3"/>
    <w:rsid w:val="00A254A8"/>
    <w:rsid w:val="00A34490"/>
    <w:rsid w:val="00A55D79"/>
    <w:rsid w:val="00A57D3D"/>
    <w:rsid w:val="00A70C2F"/>
    <w:rsid w:val="00A93788"/>
    <w:rsid w:val="00A95153"/>
    <w:rsid w:val="00AA24CE"/>
    <w:rsid w:val="00AA4A7E"/>
    <w:rsid w:val="00AE67EF"/>
    <w:rsid w:val="00B21DF5"/>
    <w:rsid w:val="00B27A4D"/>
    <w:rsid w:val="00B33A13"/>
    <w:rsid w:val="00B5542E"/>
    <w:rsid w:val="00B73003"/>
    <w:rsid w:val="00B77BA3"/>
    <w:rsid w:val="00BA313C"/>
    <w:rsid w:val="00BA5AA3"/>
    <w:rsid w:val="00BA75F1"/>
    <w:rsid w:val="00BB1FCB"/>
    <w:rsid w:val="00BC3EC2"/>
    <w:rsid w:val="00BC4D4A"/>
    <w:rsid w:val="00BD6602"/>
    <w:rsid w:val="00C06EC8"/>
    <w:rsid w:val="00C16C4E"/>
    <w:rsid w:val="00C17715"/>
    <w:rsid w:val="00C44668"/>
    <w:rsid w:val="00C67555"/>
    <w:rsid w:val="00C701C2"/>
    <w:rsid w:val="00C864ED"/>
    <w:rsid w:val="00C91C3D"/>
    <w:rsid w:val="00CB5470"/>
    <w:rsid w:val="00CC3EB0"/>
    <w:rsid w:val="00CD5BBD"/>
    <w:rsid w:val="00CE3E51"/>
    <w:rsid w:val="00CE7C8D"/>
    <w:rsid w:val="00D011BC"/>
    <w:rsid w:val="00D36E78"/>
    <w:rsid w:val="00D605A5"/>
    <w:rsid w:val="00D74C6A"/>
    <w:rsid w:val="00D86F4C"/>
    <w:rsid w:val="00D93A8E"/>
    <w:rsid w:val="00DA1053"/>
    <w:rsid w:val="00DA1F69"/>
    <w:rsid w:val="00DA435F"/>
    <w:rsid w:val="00DF274E"/>
    <w:rsid w:val="00DF369C"/>
    <w:rsid w:val="00E03247"/>
    <w:rsid w:val="00E06DA1"/>
    <w:rsid w:val="00E14A9A"/>
    <w:rsid w:val="00E23165"/>
    <w:rsid w:val="00E30C13"/>
    <w:rsid w:val="00E313A6"/>
    <w:rsid w:val="00E3293E"/>
    <w:rsid w:val="00E33C42"/>
    <w:rsid w:val="00E442F7"/>
    <w:rsid w:val="00E4575F"/>
    <w:rsid w:val="00E65D45"/>
    <w:rsid w:val="00E7159A"/>
    <w:rsid w:val="00E722F4"/>
    <w:rsid w:val="00EA0D5A"/>
    <w:rsid w:val="00EB4C0F"/>
    <w:rsid w:val="00EC4829"/>
    <w:rsid w:val="00F17292"/>
    <w:rsid w:val="00F33081"/>
    <w:rsid w:val="00F36F48"/>
    <w:rsid w:val="00F4094B"/>
    <w:rsid w:val="00F62711"/>
    <w:rsid w:val="00F6780D"/>
    <w:rsid w:val="00F855CB"/>
    <w:rsid w:val="00F8623A"/>
    <w:rsid w:val="00FC235C"/>
    <w:rsid w:val="00FC2EC9"/>
    <w:rsid w:val="00FC62B5"/>
    <w:rsid w:val="00FD1A2E"/>
    <w:rsid w:val="00FD2D5F"/>
    <w:rsid w:val="00FD75E4"/>
    <w:rsid w:val="00FE1635"/>
    <w:rsid w:val="00FE25B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3912C03B"/>
  <w15:chartTrackingRefBased/>
  <w15:docId w15:val="{B9F8CFBB-AAE9-264C-AF8B-7839972C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3A1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rsid w:val="0065742C"/>
  </w:style>
  <w:style w:type="paragraph" w:styleId="Notedebasdepage">
    <w:name w:val="footnote text"/>
    <w:aliases w:val="Note de bas de page Car Car Car"/>
    <w:basedOn w:val="Normal"/>
    <w:link w:val="NotedebasdepageCar"/>
    <w:uiPriority w:val="99"/>
    <w:unhideWhenUsed/>
    <w:qFormat/>
    <w:rsid w:val="00333394"/>
    <w:rPr>
      <w:sz w:val="20"/>
      <w:szCs w:val="20"/>
    </w:rPr>
  </w:style>
  <w:style w:type="character" w:customStyle="1" w:styleId="NotedebasdepageCar">
    <w:name w:val="Note de bas de page Car"/>
    <w:aliases w:val="Note de bas de page Car Car Car Car"/>
    <w:basedOn w:val="Policepardfaut"/>
    <w:link w:val="Notedebasdepage"/>
    <w:uiPriority w:val="99"/>
    <w:rsid w:val="00333394"/>
    <w:rPr>
      <w:sz w:val="20"/>
      <w:szCs w:val="20"/>
    </w:rPr>
  </w:style>
  <w:style w:type="character" w:styleId="Appelnotedebasdep">
    <w:name w:val="footnote reference"/>
    <w:aliases w:val="Marque note bas de page-RdA"/>
    <w:basedOn w:val="Policepardfaut"/>
    <w:uiPriority w:val="99"/>
    <w:unhideWhenUsed/>
    <w:rsid w:val="00333394"/>
    <w:rPr>
      <w:vertAlign w:val="superscript"/>
    </w:rPr>
  </w:style>
  <w:style w:type="paragraph" w:customStyle="1" w:styleId="Titredeloeuvre">
    <w:name w:val="Titre de l'oeuvre"/>
    <w:basedOn w:val="Normal"/>
    <w:link w:val="TitredeloeuvreCar"/>
    <w:autoRedefine/>
    <w:qFormat/>
    <w:rsid w:val="00FD2D5F"/>
    <w:pPr>
      <w:spacing w:line="360" w:lineRule="auto"/>
      <w:ind w:firstLine="708"/>
      <w:jc w:val="both"/>
    </w:pPr>
    <w:rPr>
      <w:rFonts w:ascii="Times New Roman" w:eastAsia="Times New Roman" w:hAnsi="Times New Roman" w:cs="Times New Roman"/>
      <w:i/>
      <w:kern w:val="0"/>
      <w:lang w:eastAsia="fr-FR"/>
      <w14:ligatures w14:val="none"/>
    </w:rPr>
  </w:style>
  <w:style w:type="character" w:customStyle="1" w:styleId="TitredeloeuvreCar">
    <w:name w:val="Titre de l'oeuvre Car"/>
    <w:basedOn w:val="Policepardfaut"/>
    <w:link w:val="Titredeloeuvre"/>
    <w:rsid w:val="00FD2D5F"/>
    <w:rPr>
      <w:rFonts w:ascii="Times New Roman" w:eastAsia="Times New Roman" w:hAnsi="Times New Roman" w:cs="Times New Roman"/>
      <w:i/>
      <w:kern w:val="0"/>
      <w:lang w:eastAsia="fr-FR"/>
      <w14:ligatures w14:val="none"/>
    </w:rPr>
  </w:style>
  <w:style w:type="paragraph" w:styleId="NormalWeb">
    <w:name w:val="Normal (Web)"/>
    <w:basedOn w:val="Normal"/>
    <w:uiPriority w:val="99"/>
    <w:unhideWhenUsed/>
    <w:rsid w:val="00672E09"/>
    <w:pPr>
      <w:spacing w:before="100" w:beforeAutospacing="1" w:after="100" w:afterAutospacing="1"/>
    </w:pPr>
    <w:rPr>
      <w:rFonts w:ascii="Times New Roman" w:eastAsia="Times New Roman" w:hAnsi="Times New Roman" w:cs="Times New Roman"/>
      <w:kern w:val="0"/>
      <w:lang w:eastAsia="fr-FR"/>
      <w14:ligatures w14:val="none"/>
    </w:rPr>
  </w:style>
  <w:style w:type="character" w:styleId="Lienhypertexte">
    <w:name w:val="Hyperlink"/>
    <w:basedOn w:val="Policepardfaut"/>
    <w:uiPriority w:val="99"/>
    <w:unhideWhenUsed/>
    <w:rsid w:val="00582CCC"/>
    <w:rPr>
      <w:color w:val="0563C1" w:themeColor="hyperlink"/>
      <w:u w:val="single"/>
    </w:rPr>
  </w:style>
  <w:style w:type="character" w:styleId="Mentionnonrsolue">
    <w:name w:val="Unresolved Mention"/>
    <w:basedOn w:val="Policepardfaut"/>
    <w:uiPriority w:val="99"/>
    <w:semiHidden/>
    <w:unhideWhenUsed/>
    <w:rsid w:val="00582CCC"/>
    <w:rPr>
      <w:color w:val="605E5C"/>
      <w:shd w:val="clear" w:color="auto" w:fill="E1DFDD"/>
    </w:rPr>
  </w:style>
  <w:style w:type="character" w:styleId="Lienhypertextesuivivisit">
    <w:name w:val="FollowedHyperlink"/>
    <w:basedOn w:val="Policepardfaut"/>
    <w:uiPriority w:val="99"/>
    <w:semiHidden/>
    <w:unhideWhenUsed/>
    <w:rsid w:val="000B17F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841923">
      <w:bodyDiv w:val="1"/>
      <w:marLeft w:val="0"/>
      <w:marRight w:val="0"/>
      <w:marTop w:val="0"/>
      <w:marBottom w:val="0"/>
      <w:divBdr>
        <w:top w:val="none" w:sz="0" w:space="0" w:color="auto"/>
        <w:left w:val="none" w:sz="0" w:space="0" w:color="auto"/>
        <w:bottom w:val="none" w:sz="0" w:space="0" w:color="auto"/>
        <w:right w:val="none" w:sz="0" w:space="0" w:color="auto"/>
      </w:divBdr>
    </w:div>
    <w:div w:id="127430784">
      <w:bodyDiv w:val="1"/>
      <w:marLeft w:val="0"/>
      <w:marRight w:val="0"/>
      <w:marTop w:val="0"/>
      <w:marBottom w:val="0"/>
      <w:divBdr>
        <w:top w:val="none" w:sz="0" w:space="0" w:color="auto"/>
        <w:left w:val="none" w:sz="0" w:space="0" w:color="auto"/>
        <w:bottom w:val="none" w:sz="0" w:space="0" w:color="auto"/>
        <w:right w:val="none" w:sz="0" w:space="0" w:color="auto"/>
      </w:divBdr>
    </w:div>
    <w:div w:id="288510388">
      <w:bodyDiv w:val="1"/>
      <w:marLeft w:val="0"/>
      <w:marRight w:val="0"/>
      <w:marTop w:val="0"/>
      <w:marBottom w:val="0"/>
      <w:divBdr>
        <w:top w:val="none" w:sz="0" w:space="0" w:color="auto"/>
        <w:left w:val="none" w:sz="0" w:space="0" w:color="auto"/>
        <w:bottom w:val="none" w:sz="0" w:space="0" w:color="auto"/>
        <w:right w:val="none" w:sz="0" w:space="0" w:color="auto"/>
      </w:divBdr>
    </w:div>
    <w:div w:id="311373408">
      <w:bodyDiv w:val="1"/>
      <w:marLeft w:val="0"/>
      <w:marRight w:val="0"/>
      <w:marTop w:val="0"/>
      <w:marBottom w:val="0"/>
      <w:divBdr>
        <w:top w:val="none" w:sz="0" w:space="0" w:color="auto"/>
        <w:left w:val="none" w:sz="0" w:space="0" w:color="auto"/>
        <w:bottom w:val="none" w:sz="0" w:space="0" w:color="auto"/>
        <w:right w:val="none" w:sz="0" w:space="0" w:color="auto"/>
      </w:divBdr>
    </w:div>
    <w:div w:id="314115693">
      <w:bodyDiv w:val="1"/>
      <w:marLeft w:val="0"/>
      <w:marRight w:val="0"/>
      <w:marTop w:val="0"/>
      <w:marBottom w:val="0"/>
      <w:divBdr>
        <w:top w:val="none" w:sz="0" w:space="0" w:color="auto"/>
        <w:left w:val="none" w:sz="0" w:space="0" w:color="auto"/>
        <w:bottom w:val="none" w:sz="0" w:space="0" w:color="auto"/>
        <w:right w:val="none" w:sz="0" w:space="0" w:color="auto"/>
      </w:divBdr>
    </w:div>
    <w:div w:id="415322245">
      <w:bodyDiv w:val="1"/>
      <w:marLeft w:val="0"/>
      <w:marRight w:val="0"/>
      <w:marTop w:val="0"/>
      <w:marBottom w:val="0"/>
      <w:divBdr>
        <w:top w:val="none" w:sz="0" w:space="0" w:color="auto"/>
        <w:left w:val="none" w:sz="0" w:space="0" w:color="auto"/>
        <w:bottom w:val="none" w:sz="0" w:space="0" w:color="auto"/>
        <w:right w:val="none" w:sz="0" w:space="0" w:color="auto"/>
      </w:divBdr>
    </w:div>
    <w:div w:id="420490367">
      <w:bodyDiv w:val="1"/>
      <w:marLeft w:val="0"/>
      <w:marRight w:val="0"/>
      <w:marTop w:val="0"/>
      <w:marBottom w:val="0"/>
      <w:divBdr>
        <w:top w:val="none" w:sz="0" w:space="0" w:color="auto"/>
        <w:left w:val="none" w:sz="0" w:space="0" w:color="auto"/>
        <w:bottom w:val="none" w:sz="0" w:space="0" w:color="auto"/>
        <w:right w:val="none" w:sz="0" w:space="0" w:color="auto"/>
      </w:divBdr>
      <w:divsChild>
        <w:div w:id="853299770">
          <w:marLeft w:val="0"/>
          <w:marRight w:val="0"/>
          <w:marTop w:val="0"/>
          <w:marBottom w:val="0"/>
          <w:divBdr>
            <w:top w:val="none" w:sz="0" w:space="0" w:color="auto"/>
            <w:left w:val="none" w:sz="0" w:space="0" w:color="auto"/>
            <w:bottom w:val="none" w:sz="0" w:space="0" w:color="auto"/>
            <w:right w:val="none" w:sz="0" w:space="0" w:color="auto"/>
          </w:divBdr>
          <w:divsChild>
            <w:div w:id="1762289182">
              <w:marLeft w:val="0"/>
              <w:marRight w:val="0"/>
              <w:marTop w:val="0"/>
              <w:marBottom w:val="0"/>
              <w:divBdr>
                <w:top w:val="none" w:sz="0" w:space="0" w:color="auto"/>
                <w:left w:val="none" w:sz="0" w:space="0" w:color="auto"/>
                <w:bottom w:val="none" w:sz="0" w:space="0" w:color="auto"/>
                <w:right w:val="none" w:sz="0" w:space="0" w:color="auto"/>
              </w:divBdr>
              <w:divsChild>
                <w:div w:id="66913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713875">
      <w:bodyDiv w:val="1"/>
      <w:marLeft w:val="0"/>
      <w:marRight w:val="0"/>
      <w:marTop w:val="0"/>
      <w:marBottom w:val="0"/>
      <w:divBdr>
        <w:top w:val="none" w:sz="0" w:space="0" w:color="auto"/>
        <w:left w:val="none" w:sz="0" w:space="0" w:color="auto"/>
        <w:bottom w:val="none" w:sz="0" w:space="0" w:color="auto"/>
        <w:right w:val="none" w:sz="0" w:space="0" w:color="auto"/>
      </w:divBdr>
    </w:div>
    <w:div w:id="601231534">
      <w:bodyDiv w:val="1"/>
      <w:marLeft w:val="0"/>
      <w:marRight w:val="0"/>
      <w:marTop w:val="0"/>
      <w:marBottom w:val="0"/>
      <w:divBdr>
        <w:top w:val="none" w:sz="0" w:space="0" w:color="auto"/>
        <w:left w:val="none" w:sz="0" w:space="0" w:color="auto"/>
        <w:bottom w:val="none" w:sz="0" w:space="0" w:color="auto"/>
        <w:right w:val="none" w:sz="0" w:space="0" w:color="auto"/>
      </w:divBdr>
    </w:div>
    <w:div w:id="607200514">
      <w:bodyDiv w:val="1"/>
      <w:marLeft w:val="0"/>
      <w:marRight w:val="0"/>
      <w:marTop w:val="0"/>
      <w:marBottom w:val="0"/>
      <w:divBdr>
        <w:top w:val="none" w:sz="0" w:space="0" w:color="auto"/>
        <w:left w:val="none" w:sz="0" w:space="0" w:color="auto"/>
        <w:bottom w:val="none" w:sz="0" w:space="0" w:color="auto"/>
        <w:right w:val="none" w:sz="0" w:space="0" w:color="auto"/>
      </w:divBdr>
    </w:div>
    <w:div w:id="736903212">
      <w:bodyDiv w:val="1"/>
      <w:marLeft w:val="0"/>
      <w:marRight w:val="0"/>
      <w:marTop w:val="0"/>
      <w:marBottom w:val="0"/>
      <w:divBdr>
        <w:top w:val="none" w:sz="0" w:space="0" w:color="auto"/>
        <w:left w:val="none" w:sz="0" w:space="0" w:color="auto"/>
        <w:bottom w:val="none" w:sz="0" w:space="0" w:color="auto"/>
        <w:right w:val="none" w:sz="0" w:space="0" w:color="auto"/>
      </w:divBdr>
    </w:div>
    <w:div w:id="758133932">
      <w:bodyDiv w:val="1"/>
      <w:marLeft w:val="0"/>
      <w:marRight w:val="0"/>
      <w:marTop w:val="0"/>
      <w:marBottom w:val="0"/>
      <w:divBdr>
        <w:top w:val="none" w:sz="0" w:space="0" w:color="auto"/>
        <w:left w:val="none" w:sz="0" w:space="0" w:color="auto"/>
        <w:bottom w:val="none" w:sz="0" w:space="0" w:color="auto"/>
        <w:right w:val="none" w:sz="0" w:space="0" w:color="auto"/>
      </w:divBdr>
    </w:div>
    <w:div w:id="863398218">
      <w:bodyDiv w:val="1"/>
      <w:marLeft w:val="0"/>
      <w:marRight w:val="0"/>
      <w:marTop w:val="0"/>
      <w:marBottom w:val="0"/>
      <w:divBdr>
        <w:top w:val="none" w:sz="0" w:space="0" w:color="auto"/>
        <w:left w:val="none" w:sz="0" w:space="0" w:color="auto"/>
        <w:bottom w:val="none" w:sz="0" w:space="0" w:color="auto"/>
        <w:right w:val="none" w:sz="0" w:space="0" w:color="auto"/>
      </w:divBdr>
      <w:divsChild>
        <w:div w:id="410278002">
          <w:marLeft w:val="0"/>
          <w:marRight w:val="0"/>
          <w:marTop w:val="0"/>
          <w:marBottom w:val="0"/>
          <w:divBdr>
            <w:top w:val="none" w:sz="0" w:space="0" w:color="auto"/>
            <w:left w:val="none" w:sz="0" w:space="0" w:color="auto"/>
            <w:bottom w:val="none" w:sz="0" w:space="0" w:color="auto"/>
            <w:right w:val="none" w:sz="0" w:space="0" w:color="auto"/>
          </w:divBdr>
        </w:div>
      </w:divsChild>
    </w:div>
    <w:div w:id="876434199">
      <w:bodyDiv w:val="1"/>
      <w:marLeft w:val="0"/>
      <w:marRight w:val="0"/>
      <w:marTop w:val="0"/>
      <w:marBottom w:val="0"/>
      <w:divBdr>
        <w:top w:val="none" w:sz="0" w:space="0" w:color="auto"/>
        <w:left w:val="none" w:sz="0" w:space="0" w:color="auto"/>
        <w:bottom w:val="none" w:sz="0" w:space="0" w:color="auto"/>
        <w:right w:val="none" w:sz="0" w:space="0" w:color="auto"/>
      </w:divBdr>
    </w:div>
    <w:div w:id="905845154">
      <w:bodyDiv w:val="1"/>
      <w:marLeft w:val="0"/>
      <w:marRight w:val="0"/>
      <w:marTop w:val="0"/>
      <w:marBottom w:val="0"/>
      <w:divBdr>
        <w:top w:val="none" w:sz="0" w:space="0" w:color="auto"/>
        <w:left w:val="none" w:sz="0" w:space="0" w:color="auto"/>
        <w:bottom w:val="none" w:sz="0" w:space="0" w:color="auto"/>
        <w:right w:val="none" w:sz="0" w:space="0" w:color="auto"/>
      </w:divBdr>
    </w:div>
    <w:div w:id="1160468641">
      <w:bodyDiv w:val="1"/>
      <w:marLeft w:val="0"/>
      <w:marRight w:val="0"/>
      <w:marTop w:val="0"/>
      <w:marBottom w:val="0"/>
      <w:divBdr>
        <w:top w:val="none" w:sz="0" w:space="0" w:color="auto"/>
        <w:left w:val="none" w:sz="0" w:space="0" w:color="auto"/>
        <w:bottom w:val="none" w:sz="0" w:space="0" w:color="auto"/>
        <w:right w:val="none" w:sz="0" w:space="0" w:color="auto"/>
      </w:divBdr>
    </w:div>
    <w:div w:id="1215432464">
      <w:bodyDiv w:val="1"/>
      <w:marLeft w:val="0"/>
      <w:marRight w:val="0"/>
      <w:marTop w:val="0"/>
      <w:marBottom w:val="0"/>
      <w:divBdr>
        <w:top w:val="none" w:sz="0" w:space="0" w:color="auto"/>
        <w:left w:val="none" w:sz="0" w:space="0" w:color="auto"/>
        <w:bottom w:val="none" w:sz="0" w:space="0" w:color="auto"/>
        <w:right w:val="none" w:sz="0" w:space="0" w:color="auto"/>
      </w:divBdr>
    </w:div>
    <w:div w:id="1330671780">
      <w:bodyDiv w:val="1"/>
      <w:marLeft w:val="0"/>
      <w:marRight w:val="0"/>
      <w:marTop w:val="0"/>
      <w:marBottom w:val="0"/>
      <w:divBdr>
        <w:top w:val="none" w:sz="0" w:space="0" w:color="auto"/>
        <w:left w:val="none" w:sz="0" w:space="0" w:color="auto"/>
        <w:bottom w:val="none" w:sz="0" w:space="0" w:color="auto"/>
        <w:right w:val="none" w:sz="0" w:space="0" w:color="auto"/>
      </w:divBdr>
    </w:div>
    <w:div w:id="1421952506">
      <w:bodyDiv w:val="1"/>
      <w:marLeft w:val="0"/>
      <w:marRight w:val="0"/>
      <w:marTop w:val="0"/>
      <w:marBottom w:val="0"/>
      <w:divBdr>
        <w:top w:val="none" w:sz="0" w:space="0" w:color="auto"/>
        <w:left w:val="none" w:sz="0" w:space="0" w:color="auto"/>
        <w:bottom w:val="none" w:sz="0" w:space="0" w:color="auto"/>
        <w:right w:val="none" w:sz="0" w:space="0" w:color="auto"/>
      </w:divBdr>
    </w:div>
    <w:div w:id="1540698971">
      <w:bodyDiv w:val="1"/>
      <w:marLeft w:val="0"/>
      <w:marRight w:val="0"/>
      <w:marTop w:val="0"/>
      <w:marBottom w:val="0"/>
      <w:divBdr>
        <w:top w:val="none" w:sz="0" w:space="0" w:color="auto"/>
        <w:left w:val="none" w:sz="0" w:space="0" w:color="auto"/>
        <w:bottom w:val="none" w:sz="0" w:space="0" w:color="auto"/>
        <w:right w:val="none" w:sz="0" w:space="0" w:color="auto"/>
      </w:divBdr>
      <w:divsChild>
        <w:div w:id="1865435390">
          <w:marLeft w:val="0"/>
          <w:marRight w:val="0"/>
          <w:marTop w:val="0"/>
          <w:marBottom w:val="0"/>
          <w:divBdr>
            <w:top w:val="none" w:sz="0" w:space="0" w:color="auto"/>
            <w:left w:val="none" w:sz="0" w:space="0" w:color="auto"/>
            <w:bottom w:val="none" w:sz="0" w:space="0" w:color="auto"/>
            <w:right w:val="none" w:sz="0" w:space="0" w:color="auto"/>
          </w:divBdr>
        </w:div>
      </w:divsChild>
    </w:div>
    <w:div w:id="1581329328">
      <w:bodyDiv w:val="1"/>
      <w:marLeft w:val="0"/>
      <w:marRight w:val="0"/>
      <w:marTop w:val="0"/>
      <w:marBottom w:val="0"/>
      <w:divBdr>
        <w:top w:val="none" w:sz="0" w:space="0" w:color="auto"/>
        <w:left w:val="none" w:sz="0" w:space="0" w:color="auto"/>
        <w:bottom w:val="none" w:sz="0" w:space="0" w:color="auto"/>
        <w:right w:val="none" w:sz="0" w:space="0" w:color="auto"/>
      </w:divBdr>
    </w:div>
    <w:div w:id="1591113582">
      <w:bodyDiv w:val="1"/>
      <w:marLeft w:val="0"/>
      <w:marRight w:val="0"/>
      <w:marTop w:val="0"/>
      <w:marBottom w:val="0"/>
      <w:divBdr>
        <w:top w:val="none" w:sz="0" w:space="0" w:color="auto"/>
        <w:left w:val="none" w:sz="0" w:space="0" w:color="auto"/>
        <w:bottom w:val="none" w:sz="0" w:space="0" w:color="auto"/>
        <w:right w:val="none" w:sz="0" w:space="0" w:color="auto"/>
      </w:divBdr>
    </w:div>
    <w:div w:id="1740011195">
      <w:bodyDiv w:val="1"/>
      <w:marLeft w:val="0"/>
      <w:marRight w:val="0"/>
      <w:marTop w:val="0"/>
      <w:marBottom w:val="0"/>
      <w:divBdr>
        <w:top w:val="none" w:sz="0" w:space="0" w:color="auto"/>
        <w:left w:val="none" w:sz="0" w:space="0" w:color="auto"/>
        <w:bottom w:val="none" w:sz="0" w:space="0" w:color="auto"/>
        <w:right w:val="none" w:sz="0" w:space="0" w:color="auto"/>
      </w:divBdr>
      <w:divsChild>
        <w:div w:id="258952363">
          <w:marLeft w:val="0"/>
          <w:marRight w:val="0"/>
          <w:marTop w:val="0"/>
          <w:marBottom w:val="0"/>
          <w:divBdr>
            <w:top w:val="none" w:sz="0" w:space="0" w:color="auto"/>
            <w:left w:val="none" w:sz="0" w:space="0" w:color="auto"/>
            <w:bottom w:val="none" w:sz="0" w:space="0" w:color="auto"/>
            <w:right w:val="none" w:sz="0" w:space="0" w:color="auto"/>
          </w:divBdr>
        </w:div>
      </w:divsChild>
    </w:div>
    <w:div w:id="1873297317">
      <w:bodyDiv w:val="1"/>
      <w:marLeft w:val="0"/>
      <w:marRight w:val="0"/>
      <w:marTop w:val="0"/>
      <w:marBottom w:val="0"/>
      <w:divBdr>
        <w:top w:val="none" w:sz="0" w:space="0" w:color="auto"/>
        <w:left w:val="none" w:sz="0" w:space="0" w:color="auto"/>
        <w:bottom w:val="none" w:sz="0" w:space="0" w:color="auto"/>
        <w:right w:val="none" w:sz="0" w:space="0" w:color="auto"/>
      </w:divBdr>
    </w:div>
    <w:div w:id="1955138162">
      <w:bodyDiv w:val="1"/>
      <w:marLeft w:val="0"/>
      <w:marRight w:val="0"/>
      <w:marTop w:val="0"/>
      <w:marBottom w:val="0"/>
      <w:divBdr>
        <w:top w:val="none" w:sz="0" w:space="0" w:color="auto"/>
        <w:left w:val="none" w:sz="0" w:space="0" w:color="auto"/>
        <w:bottom w:val="none" w:sz="0" w:space="0" w:color="auto"/>
        <w:right w:val="none" w:sz="0" w:space="0" w:color="auto"/>
      </w:divBdr>
    </w:div>
    <w:div w:id="1962223114">
      <w:bodyDiv w:val="1"/>
      <w:marLeft w:val="0"/>
      <w:marRight w:val="0"/>
      <w:marTop w:val="0"/>
      <w:marBottom w:val="0"/>
      <w:divBdr>
        <w:top w:val="none" w:sz="0" w:space="0" w:color="auto"/>
        <w:left w:val="none" w:sz="0" w:space="0" w:color="auto"/>
        <w:bottom w:val="none" w:sz="0" w:space="0" w:color="auto"/>
        <w:right w:val="none" w:sz="0" w:space="0" w:color="auto"/>
      </w:divBdr>
      <w:divsChild>
        <w:div w:id="2077892700">
          <w:marLeft w:val="0"/>
          <w:marRight w:val="0"/>
          <w:marTop w:val="0"/>
          <w:marBottom w:val="0"/>
          <w:divBdr>
            <w:top w:val="none" w:sz="0" w:space="0" w:color="auto"/>
            <w:left w:val="none" w:sz="0" w:space="0" w:color="auto"/>
            <w:bottom w:val="none" w:sz="0" w:space="0" w:color="auto"/>
            <w:right w:val="none" w:sz="0" w:space="0" w:color="auto"/>
          </w:divBdr>
          <w:divsChild>
            <w:div w:id="633029096">
              <w:marLeft w:val="0"/>
              <w:marRight w:val="0"/>
              <w:marTop w:val="0"/>
              <w:marBottom w:val="0"/>
              <w:divBdr>
                <w:top w:val="none" w:sz="0" w:space="0" w:color="auto"/>
                <w:left w:val="none" w:sz="0" w:space="0" w:color="auto"/>
                <w:bottom w:val="none" w:sz="0" w:space="0" w:color="auto"/>
                <w:right w:val="none" w:sz="0" w:space="0" w:color="auto"/>
              </w:divBdr>
              <w:divsChild>
                <w:div w:id="146781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450768">
      <w:bodyDiv w:val="1"/>
      <w:marLeft w:val="0"/>
      <w:marRight w:val="0"/>
      <w:marTop w:val="0"/>
      <w:marBottom w:val="0"/>
      <w:divBdr>
        <w:top w:val="none" w:sz="0" w:space="0" w:color="auto"/>
        <w:left w:val="none" w:sz="0" w:space="0" w:color="auto"/>
        <w:bottom w:val="none" w:sz="0" w:space="0" w:color="auto"/>
        <w:right w:val="none" w:sz="0" w:space="0" w:color="auto"/>
      </w:divBdr>
    </w:div>
    <w:div w:id="2100364072">
      <w:bodyDiv w:val="1"/>
      <w:marLeft w:val="0"/>
      <w:marRight w:val="0"/>
      <w:marTop w:val="0"/>
      <w:marBottom w:val="0"/>
      <w:divBdr>
        <w:top w:val="none" w:sz="0" w:space="0" w:color="auto"/>
        <w:left w:val="none" w:sz="0" w:space="0" w:color="auto"/>
        <w:bottom w:val="none" w:sz="0" w:space="0" w:color="auto"/>
        <w:right w:val="none" w:sz="0" w:space="0" w:color="auto"/>
      </w:divBdr>
    </w:div>
    <w:div w:id="2105564238">
      <w:bodyDiv w:val="1"/>
      <w:marLeft w:val="0"/>
      <w:marRight w:val="0"/>
      <w:marTop w:val="0"/>
      <w:marBottom w:val="0"/>
      <w:divBdr>
        <w:top w:val="none" w:sz="0" w:space="0" w:color="auto"/>
        <w:left w:val="none" w:sz="0" w:space="0" w:color="auto"/>
        <w:bottom w:val="none" w:sz="0" w:space="0" w:color="auto"/>
        <w:right w:val="none" w:sz="0" w:space="0" w:color="auto"/>
      </w:divBdr>
    </w:div>
    <w:div w:id="2127382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www.naghammadi.org/sites/naghammadi.org/files/uploads/traductions/NH-I-1-Pri%C3%A8re-de-lap%C3%B4tre-Paul.pdf" TargetMode="External"/><Relationship Id="rId2" Type="http://schemas.openxmlformats.org/officeDocument/2006/relationships/hyperlink" Target="https://journals.openedition.org/cerri/869" TargetMode="External"/><Relationship Id="rId1" Type="http://schemas.openxmlformats.org/officeDocument/2006/relationships/hyperlink" Target="https://www.rfpsy.fr/le-jumeau-paraphrenique-ou-aux-confins-de-lidentit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4312</Words>
  <Characters>21823</Characters>
  <Application>Microsoft Office Word</Application>
  <DocSecurity>0</DocSecurity>
  <Lines>325</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Antoine Paris</cp:lastModifiedBy>
  <cp:revision>2</cp:revision>
  <dcterms:created xsi:type="dcterms:W3CDTF">2026-06-18T22:49:00Z</dcterms:created>
  <dcterms:modified xsi:type="dcterms:W3CDTF">2026-06-18T22:49:00Z</dcterms:modified>
</cp:coreProperties>
</file>