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5FB745" w14:textId="4943B340" w:rsidR="004039B0" w:rsidRDefault="006545F3" w:rsidP="006545F3">
      <w:pPr>
        <w:jc w:val="both"/>
      </w:pPr>
      <w:r w:rsidRPr="003074E5">
        <w:rPr>
          <w:i/>
        </w:rPr>
        <w:t>Colloque international « En 500 après Martin Luther. Réception et conflits d’interprétation (1517-2017) »</w:t>
      </w:r>
      <w:r>
        <w:t xml:space="preserve"> (Institut </w:t>
      </w:r>
      <w:r w:rsidR="008778D8">
        <w:t>C</w:t>
      </w:r>
      <w:r>
        <w:t>atholique de Toulouse, 17-19 octobre 2017)</w:t>
      </w:r>
    </w:p>
    <w:p w14:paraId="72068D8F" w14:textId="77777777" w:rsidR="006545F3" w:rsidRDefault="006545F3" w:rsidP="006545F3">
      <w:pPr>
        <w:jc w:val="both"/>
      </w:pPr>
    </w:p>
    <w:p w14:paraId="00718956" w14:textId="152CDC30" w:rsidR="006545F3" w:rsidRDefault="00A752E7" w:rsidP="001D398F">
      <w:pPr>
        <w:spacing w:line="360" w:lineRule="auto"/>
        <w:ind w:firstLine="284"/>
        <w:jc w:val="both"/>
      </w:pPr>
      <w:r>
        <w:t xml:space="preserve">Du 17 au 19 octobre 2017, </w:t>
      </w:r>
      <w:r w:rsidR="001457F3">
        <w:t>Sté</w:t>
      </w:r>
      <w:r w:rsidR="008778D8">
        <w:t xml:space="preserve">phane-Marie Morgain (Institut Catholique de Toulouse), en collaboration avec Grégory Woimbée (Institut Catholique de Toulouse) et André Birmelé (Centre </w:t>
      </w:r>
      <w:r w:rsidR="00B85298">
        <w:t>d’études œ</w:t>
      </w:r>
      <w:r w:rsidR="008778D8">
        <w:t>cuméniqu</w:t>
      </w:r>
      <w:r w:rsidR="00D04801">
        <w:t>e</w:t>
      </w:r>
      <w:r w:rsidR="00B85298">
        <w:t>s</w:t>
      </w:r>
      <w:r w:rsidR="008778D8">
        <w:t xml:space="preserve"> de</w:t>
      </w:r>
      <w:r w:rsidR="0009572E">
        <w:t xml:space="preserve"> Strasbourg), </w:t>
      </w:r>
      <w:r w:rsidR="007E046D">
        <w:t xml:space="preserve">a organisé </w:t>
      </w:r>
      <w:r w:rsidR="00C457D6">
        <w:t xml:space="preserve">dans son institution universitaire </w:t>
      </w:r>
      <w:r w:rsidR="007E046D">
        <w:t>un colloque</w:t>
      </w:r>
      <w:r w:rsidR="00834CBA">
        <w:t xml:space="preserve"> au titre original</w:t>
      </w:r>
      <w:r w:rsidR="00997236">
        <w:t xml:space="preserve"> (parmi tant et tant de colloques en cette année anniversaire)</w:t>
      </w:r>
      <w:r w:rsidR="00113480">
        <w:t xml:space="preserve"> : </w:t>
      </w:r>
      <w:r w:rsidR="00FE2CF7">
        <w:t>« En 500 après Martin Luther</w:t>
      </w:r>
      <w:r w:rsidR="005A3C1A">
        <w:t xml:space="preserve"> », posant Luther comme </w:t>
      </w:r>
      <w:r w:rsidR="00113480">
        <w:t>un commencement décisif pour notre époque, alors que d’habitude on le situe par rapport à l’époque actuelle</w:t>
      </w:r>
      <w:r w:rsidR="00251A60">
        <w:t xml:space="preserve">. Précisément, </w:t>
      </w:r>
      <w:r w:rsidR="00C457D6">
        <w:t>le sous-titre indique l’angle d’approche spécifique : réception et conflits d’interprétation</w:t>
      </w:r>
      <w:r w:rsidR="00EB2004">
        <w:t xml:space="preserve"> de Luther depuis 500 ans</w:t>
      </w:r>
      <w:r w:rsidR="00997236">
        <w:t>.</w:t>
      </w:r>
      <w:r w:rsidR="00C24914">
        <w:t xml:space="preserve"> Cette thématique d’ensemble a été déclinée </w:t>
      </w:r>
      <w:r w:rsidR="003F44CA">
        <w:t>en trois sous-thèmes, un par journée de colloque.</w:t>
      </w:r>
    </w:p>
    <w:p w14:paraId="4B4E23CA" w14:textId="231308CD" w:rsidR="003F44CA" w:rsidRDefault="003F44CA" w:rsidP="001D398F">
      <w:pPr>
        <w:spacing w:line="360" w:lineRule="auto"/>
        <w:ind w:firstLine="284"/>
        <w:jc w:val="both"/>
      </w:pPr>
      <w:r>
        <w:t>Premier sous-thème : genèse et premiers conflits d’interprétation</w:t>
      </w:r>
      <w:r w:rsidR="00F72A6A">
        <w:t xml:space="preserve">. </w:t>
      </w:r>
      <w:r w:rsidR="00DB4C90">
        <w:t>Dans ce cadre, Nicole Lemaitre (Université Paris I-Panthéon-Sorbonne) pass</w:t>
      </w:r>
      <w:r w:rsidR="00EC5885">
        <w:t>a</w:t>
      </w:r>
      <w:r w:rsidR="00DB4C90">
        <w:t xml:space="preserve"> en revue l’historiographie à propos de Luther, de Lucien Febvre à nos jours. Marc Lienhard (Université de Strasbourg)</w:t>
      </w:r>
      <w:r w:rsidR="00FD6796">
        <w:t xml:space="preserve"> </w:t>
      </w:r>
      <w:r w:rsidR="004570C9">
        <w:t>évoqu</w:t>
      </w:r>
      <w:r w:rsidR="00EC5885">
        <w:t>a</w:t>
      </w:r>
      <w:r w:rsidR="00FD6796">
        <w:t xml:space="preserve"> les </w:t>
      </w:r>
      <w:r w:rsidR="004570C9">
        <w:t xml:space="preserve">nombreuses </w:t>
      </w:r>
      <w:r w:rsidR="00FD6796">
        <w:t>controverses</w:t>
      </w:r>
      <w:r w:rsidR="004570C9">
        <w:t xml:space="preserve"> (</w:t>
      </w:r>
      <w:r w:rsidR="004570C9" w:rsidRPr="004570C9">
        <w:rPr>
          <w:i/>
        </w:rPr>
        <w:t>adiaphora</w:t>
      </w:r>
      <w:r w:rsidR="004570C9">
        <w:t>, foi et œuvres</w:t>
      </w:r>
      <w:r w:rsidR="002D13FB">
        <w:t>, prédestination, Cène…)</w:t>
      </w:r>
      <w:r w:rsidR="00FD6796">
        <w:t xml:space="preserve"> entre les théologiens luthériens après la mort de Luther.</w:t>
      </w:r>
      <w:r w:rsidR="00A07822">
        <w:t xml:space="preserve"> </w:t>
      </w:r>
      <w:r w:rsidR="00FF01EF">
        <w:t>Gregory Woimbée</w:t>
      </w:r>
      <w:r w:rsidR="00793D79">
        <w:t xml:space="preserve"> s’arrête à un événement particulier, la guerre des paysans (1525), </w:t>
      </w:r>
      <w:r w:rsidR="00954184">
        <w:t>qui permet d’interpréter</w:t>
      </w:r>
      <w:r w:rsidR="007479B1">
        <w:t xml:space="preserve"> la liberté de conscience</w:t>
      </w:r>
      <w:r w:rsidR="00954184">
        <w:t xml:space="preserve"> selon Luther</w:t>
      </w:r>
      <w:r w:rsidR="00C9210E">
        <w:t xml:space="preserve"> (celui-ci reproche à M</w:t>
      </w:r>
      <w:r w:rsidR="00271009">
        <w:t>ü</w:t>
      </w:r>
      <w:r w:rsidR="00C9210E">
        <w:t>ntzer sa confusion entre spirituel et temporel</w:t>
      </w:r>
      <w:r w:rsidR="00271009">
        <w:t xml:space="preserve">, ainsi que son recours </w:t>
      </w:r>
      <w:r w:rsidR="00C000B2">
        <w:t>à la révolte</w:t>
      </w:r>
      <w:r w:rsidR="00271009">
        <w:t xml:space="preserve"> armé</w:t>
      </w:r>
      <w:r w:rsidR="00D9416E">
        <w:t>e</w:t>
      </w:r>
      <w:r w:rsidR="00C9210E">
        <w:t>)</w:t>
      </w:r>
      <w:r w:rsidR="007479B1">
        <w:t>.</w:t>
      </w:r>
      <w:r w:rsidR="002D5A97">
        <w:t xml:space="preserve"> Marc Vial (Université de Strasbourg)</w:t>
      </w:r>
      <w:r w:rsidR="003949A1">
        <w:t xml:space="preserve"> analys</w:t>
      </w:r>
      <w:r w:rsidR="00C033EF">
        <w:t>a</w:t>
      </w:r>
      <w:r w:rsidR="003949A1">
        <w:t xml:space="preserve"> les séquelles contemporaines d’un ancien conflit entre Luther, Calvin et Zwingli à propos de la présence du Christ pendant la célébration de la Cène</w:t>
      </w:r>
      <w:r w:rsidR="001D34A3">
        <w:t xml:space="preserve"> : </w:t>
      </w:r>
      <w:r w:rsidR="005022AD">
        <w:t>si différentes conceptions de la Cène subsistent aujourd’hui, l’acte de donation du Christ y est premier par rapport à la modalité de sa présence</w:t>
      </w:r>
      <w:r w:rsidR="006B4A78">
        <w:t>, ce qui rend possible le partage eucharistique de tous les membres de la Concorde de Leuenberg.</w:t>
      </w:r>
      <w:r w:rsidR="002E73BA">
        <w:t xml:space="preserve"> </w:t>
      </w:r>
      <w:r w:rsidR="004B5596">
        <w:t xml:space="preserve">Le pasteur suisse </w:t>
      </w:r>
      <w:r w:rsidR="002E73BA">
        <w:t>Jean-Denis Kraege</w:t>
      </w:r>
      <w:r w:rsidR="004B5596">
        <w:t xml:space="preserve"> </w:t>
      </w:r>
      <w:r w:rsidR="00034EB4">
        <w:t>présent</w:t>
      </w:r>
      <w:r w:rsidR="00C033EF">
        <w:t>a</w:t>
      </w:r>
      <w:r w:rsidR="00034EB4">
        <w:t xml:space="preserve"> l’herméneutique scripturaire de Martin Luther telle que la relit Gerhard Ebeling</w:t>
      </w:r>
      <w:r w:rsidR="00445AB6">
        <w:t> : le Réformateur interprète l’Écriture de sorte que le Christ lui devienne contemporain</w:t>
      </w:r>
      <w:r w:rsidR="0062494A">
        <w:t xml:space="preserve"> (sens littéral spirituel</w:t>
      </w:r>
      <w:r w:rsidR="001E7D10">
        <w:t xml:space="preserve"> faisant vivre le texte</w:t>
      </w:r>
      <w:r w:rsidR="00FF6788">
        <w:t>, dans une distinction/dialectique entre lettre et esprit</w:t>
      </w:r>
      <w:r w:rsidR="001E7D10">
        <w:t>)</w:t>
      </w:r>
      <w:r w:rsidR="003E0168">
        <w:t>. Neal Blough (Faculté Libre Évangélique de Vaux sur Seine) se demand</w:t>
      </w:r>
      <w:r w:rsidR="00C033EF">
        <w:t>a</w:t>
      </w:r>
      <w:r w:rsidR="003E0168">
        <w:t xml:space="preserve"> si Luther est le père involontaire de la dissidence protestante et de l’</w:t>
      </w:r>
      <w:r w:rsidR="006165CA">
        <w:t>anabaptisme</w:t>
      </w:r>
      <w:r w:rsidR="001A6075">
        <w:t> : quel dissident, en effet, n’a-t-il pas reçu un minimum d’influence de Luther</w:t>
      </w:r>
      <w:r w:rsidR="00E8053F">
        <w:t xml:space="preserve">, que ce soit le mouvement paysan pour le choix du pasteur par la paroisse ou l’anabaptisme pour </w:t>
      </w:r>
      <w:r w:rsidR="008779C5">
        <w:t>le rejet du pédobaptisme (insistance luthérienne sur la foi propre) ?</w:t>
      </w:r>
    </w:p>
    <w:p w14:paraId="1B8052D3" w14:textId="2709044F" w:rsidR="008779C5" w:rsidRDefault="008779C5" w:rsidP="001D398F">
      <w:pPr>
        <w:spacing w:line="360" w:lineRule="auto"/>
        <w:ind w:firstLine="284"/>
        <w:jc w:val="both"/>
      </w:pPr>
      <w:r>
        <w:lastRenderedPageBreak/>
        <w:t xml:space="preserve">Deuxième sous-thème : Martin Luther dans la théologie catholique. </w:t>
      </w:r>
      <w:r w:rsidR="00DB5601">
        <w:t>La pasteure Anne-Cathy Graber (Communauté du Chemin Neuf) discern</w:t>
      </w:r>
      <w:r w:rsidR="00C033EF">
        <w:t>a</w:t>
      </w:r>
      <w:r w:rsidR="00DB5601">
        <w:t xml:space="preserve"> </w:t>
      </w:r>
      <w:r w:rsidR="000E65F6">
        <w:t xml:space="preserve">finement </w:t>
      </w:r>
      <w:r w:rsidR="00DB5601">
        <w:t xml:space="preserve">une certaine convergence spirituelle entre Luther et Ignace de Loyola </w:t>
      </w:r>
      <w:r w:rsidR="009A11F1">
        <w:t>(</w:t>
      </w:r>
      <w:r w:rsidR="008830B3">
        <w:t>théologie relationnelle et existentielle</w:t>
      </w:r>
      <w:r w:rsidR="00662965">
        <w:t>, souci des âmes</w:t>
      </w:r>
      <w:r w:rsidR="008830B3">
        <w:t>)</w:t>
      </w:r>
      <w:r w:rsidR="00DB5601">
        <w:t>, alors qu’apparemment tout les oppose</w:t>
      </w:r>
      <w:r w:rsidR="00434B53">
        <w:t xml:space="preserve"> (</w:t>
      </w:r>
      <w:r w:rsidR="00816B01">
        <w:t>en tout cas</w:t>
      </w:r>
      <w:r w:rsidR="004A681E">
        <w:t xml:space="preserve">, </w:t>
      </w:r>
      <w:r w:rsidR="00434B53">
        <w:t>une inc</w:t>
      </w:r>
      <w:r w:rsidR="00E505C5">
        <w:t>ompatibilité ecclésiologique su</w:t>
      </w:r>
      <w:r w:rsidR="00434B53">
        <w:t>bsiste).</w:t>
      </w:r>
      <w:r w:rsidR="00BF1519">
        <w:t xml:space="preserve"> Stéphane-Marie Morgain analys</w:t>
      </w:r>
      <w:r w:rsidR="00C033EF">
        <w:t>a</w:t>
      </w:r>
      <w:r w:rsidR="00BF1519">
        <w:t xml:space="preserve"> la méthode de Richelieu </w:t>
      </w:r>
      <w:r w:rsidR="00E668B2">
        <w:t>dans le cadre du souci des catholiques français de convertir les dissidents</w:t>
      </w:r>
      <w:r w:rsidR="006050ED">
        <w:t> : le cardinal marie à la fois onciliation (désir d’union) et persuasion</w:t>
      </w:r>
      <w:r w:rsidR="00806B4C">
        <w:t xml:space="preserve"> (discours de raison</w:t>
      </w:r>
      <w:r w:rsidR="00A31B2E">
        <w:t>).</w:t>
      </w:r>
      <w:r w:rsidR="00822C9B">
        <w:t xml:space="preserve"> Hélène Michon (Université François-Rabelais de Tours</w:t>
      </w:r>
      <w:r w:rsidR="0080669A">
        <w:t xml:space="preserve">) </w:t>
      </w:r>
      <w:r w:rsidR="00E403DC">
        <w:t>observ</w:t>
      </w:r>
      <w:r w:rsidR="006C07D1">
        <w:t>a</w:t>
      </w:r>
      <w:r w:rsidR="00E403DC">
        <w:t xml:space="preserve"> une angoisse similaire chez Pascal et Luther, une impossible sécurité de la foi</w:t>
      </w:r>
      <w:r w:rsidR="00EF31B2">
        <w:t>, qui les rapproche via Augustin. Philippe Vallin (Université de Strasbourg)</w:t>
      </w:r>
      <w:r w:rsidR="008F55CF">
        <w:t xml:space="preserve"> questionn</w:t>
      </w:r>
      <w:r w:rsidR="00EF2698">
        <w:t>a</w:t>
      </w:r>
      <w:r w:rsidR="008F55CF">
        <w:t xml:space="preserve"> l’</w:t>
      </w:r>
      <w:r w:rsidR="008F55CF" w:rsidRPr="008F55CF">
        <w:rPr>
          <w:i/>
        </w:rPr>
        <w:t>Histoire des variations doctrinales</w:t>
      </w:r>
      <w:r w:rsidR="008F55CF">
        <w:t xml:space="preserve"> (1688) de Bossuet et les inculturations catholiques de la variation doctrinale</w:t>
      </w:r>
      <w:r w:rsidR="005C09CD">
        <w:t xml:space="preserve"> (très liée au pouvoir politique)</w:t>
      </w:r>
      <w:r w:rsidR="008F55CF">
        <w:t> :</w:t>
      </w:r>
      <w:r w:rsidR="00003283">
        <w:t xml:space="preserve"> tout en étant un des plus respectueux parmi les évêques français</w:t>
      </w:r>
      <w:r w:rsidR="00D16AA0">
        <w:t xml:space="preserve"> de ce temps</w:t>
      </w:r>
      <w:r w:rsidR="00F227FF">
        <w:t>, il se dit stupéfait de l’« improvisation protestante ».</w:t>
      </w:r>
      <w:r w:rsidR="00DD6F76">
        <w:t xml:space="preserve"> </w:t>
      </w:r>
      <w:r w:rsidR="00D131C6">
        <w:t>Philippe Molac (Comité mixte catholique-orthodoxe de France) abord</w:t>
      </w:r>
      <w:r w:rsidR="00EF2698">
        <w:t>a</w:t>
      </w:r>
      <w:r w:rsidR="00D131C6">
        <w:t xml:space="preserve"> </w:t>
      </w:r>
      <w:r w:rsidR="003859E7">
        <w:t>l’apport</w:t>
      </w:r>
      <w:r w:rsidR="00D131C6">
        <w:t xml:space="preserve"> de Johann Georg Hamann, contemporain de Kant</w:t>
      </w:r>
      <w:r w:rsidR="003859E7">
        <w:t>, au renouveau du luthéranisme</w:t>
      </w:r>
      <w:r w:rsidR="00D131C6">
        <w:t xml:space="preserve"> : </w:t>
      </w:r>
      <w:r w:rsidR="00791FDF">
        <w:t xml:space="preserve">le </w:t>
      </w:r>
      <w:r w:rsidR="00791FDF" w:rsidRPr="00791FDF">
        <w:rPr>
          <w:i/>
        </w:rPr>
        <w:t>philologus Crucis</w:t>
      </w:r>
      <w:r w:rsidR="00791FDF">
        <w:t>, comme on l’a surnommé,</w:t>
      </w:r>
      <w:r w:rsidR="00681D12">
        <w:t xml:space="preserve"> fut aussi le « philosophe » du luthéranisme au sens de Clément d’Alexandrie, celui qui crie vers Dieu</w:t>
      </w:r>
      <w:r w:rsidR="003736E4">
        <w:t> ; son plus fidèle disciple, on ne s’en étonnera pas, fut Kierkegaard.</w:t>
      </w:r>
      <w:r w:rsidR="009C4328">
        <w:t xml:space="preserve"> Bruno Gautier (Institut Catholique de Toulouse)</w:t>
      </w:r>
      <w:r w:rsidR="004975B2">
        <w:t xml:space="preserve"> m</w:t>
      </w:r>
      <w:r w:rsidR="00EF2698">
        <w:t>i</w:t>
      </w:r>
      <w:r w:rsidR="004975B2">
        <w:t>t Balthasar en dialogue avec Luther sous l’angle de la théologie de la contradiction</w:t>
      </w:r>
      <w:r w:rsidR="0038192E">
        <w:t> : faut-il, comme ce dernier, introduire la contradiction au sein même de Dieu ?</w:t>
      </w:r>
      <w:r w:rsidR="00B51EE7">
        <w:t xml:space="preserve"> Si Luther a posé les bonnes questions, ses réponses ne satisfont </w:t>
      </w:r>
      <w:r w:rsidR="00760D75">
        <w:t>pas Balthasar, qui situe le lieu même de la contradiction</w:t>
      </w:r>
      <w:r w:rsidR="00F52144">
        <w:t xml:space="preserve"> intra-divine (et de son dépassement) le Samedi-Saint, </w:t>
      </w:r>
      <w:r w:rsidR="00760D75">
        <w:t>et non le Vendredi</w:t>
      </w:r>
      <w:r w:rsidR="00F52144">
        <w:t>-Saint</w:t>
      </w:r>
      <w:r w:rsidR="00760D75">
        <w:t>.</w:t>
      </w:r>
      <w:r w:rsidR="0020462A">
        <w:t xml:space="preserve"> Joseph Famerée (Université catholique de Louvain)</w:t>
      </w:r>
      <w:r w:rsidR="006013D2">
        <w:t xml:space="preserve"> montr</w:t>
      </w:r>
      <w:r w:rsidR="00EF2698">
        <w:t>a</w:t>
      </w:r>
      <w:r w:rsidR="006013D2">
        <w:t xml:space="preserve"> comment Yves Congar fut un grand lecteur de Luther (dans le texte original) dès les années 1930 et comment, en fonction de l’évolution de l’historiographie, il sut réviser ses premiers jugements sur celui-ci</w:t>
      </w:r>
      <w:r w:rsidR="00010045">
        <w:t xml:space="preserve"> et lui rendre justice en saisissant bien la nouveauté de so</w:t>
      </w:r>
      <w:r w:rsidR="00D07261">
        <w:t>n acte théologique et spirituel : « retrouver le Christ dans l’Écriture et les Pères ».</w:t>
      </w:r>
      <w:r w:rsidR="00361115">
        <w:t xml:space="preserve"> Bertrand Lesoing (Communauté Saint-Martin) évalu</w:t>
      </w:r>
      <w:r w:rsidR="00EF2698">
        <w:t>a</w:t>
      </w:r>
      <w:r w:rsidR="00361115">
        <w:t xml:space="preserve"> l’héritage luthérien</w:t>
      </w:r>
      <w:r w:rsidR="00984A66">
        <w:t xml:space="preserve"> dans l’œuvre de Louis Bouyer</w:t>
      </w:r>
      <w:r w:rsidR="00D1761F">
        <w:t> : une théologie partant de la Parole et retournant à la Parole ; une vision de la Sagesse comme Parole dans la Croix du Christ.</w:t>
      </w:r>
    </w:p>
    <w:p w14:paraId="1C40F08E" w14:textId="63015C1C" w:rsidR="00D1761F" w:rsidRDefault="00D1761F" w:rsidP="001D398F">
      <w:pPr>
        <w:spacing w:line="360" w:lineRule="auto"/>
        <w:ind w:firstLine="284"/>
        <w:jc w:val="both"/>
      </w:pPr>
      <w:r>
        <w:t>Troisième sous-thème : la réception de Martin Luther dans la théologie luthérienne et le dialogue œcuménique contemporain</w:t>
      </w:r>
      <w:r w:rsidR="006904D0">
        <w:t>. Frédéric Chavel (Institut Protestant de Théologie, Paris) envisag</w:t>
      </w:r>
      <w:r w:rsidR="00EF2698">
        <w:t>ea</w:t>
      </w:r>
      <w:r w:rsidR="006904D0">
        <w:t xml:space="preserve"> l’évolution du rapport entre les Églises de confession luthérienne et la théologie de Luther, éclairée par le document luthéro-catholique </w:t>
      </w:r>
      <w:r w:rsidR="006904D0" w:rsidRPr="006904D0">
        <w:rPr>
          <w:i/>
        </w:rPr>
        <w:t>Du conflit à la communion</w:t>
      </w:r>
      <w:r w:rsidR="006057C6">
        <w:t>. Il en tir</w:t>
      </w:r>
      <w:r w:rsidR="00EF2698">
        <w:t>a</w:t>
      </w:r>
      <w:r w:rsidR="006057C6">
        <w:t xml:space="preserve"> trois thèses ecclésiologiques : que chaque Église renonce à sa primauté quant à l’interprétation de sa propre tradition ; pas de concordisme entre Luther et luthéranisme ; </w:t>
      </w:r>
      <w:r w:rsidR="0090479E">
        <w:t>pour les 500 ans de la Réforme, se situer entre commémoration et célébration, entre repentance et absolution.</w:t>
      </w:r>
      <w:r w:rsidR="00B85298">
        <w:t xml:space="preserve"> André Birmelé</w:t>
      </w:r>
      <w:r w:rsidR="00AA627D">
        <w:t xml:space="preserve"> retra</w:t>
      </w:r>
      <w:r w:rsidR="00EF2698">
        <w:t>ça</w:t>
      </w:r>
      <w:r w:rsidR="00AA627D">
        <w:t xml:space="preserve"> la méthodologie mise en œuvre par le dialogue international catholique/luthérien depuis s</w:t>
      </w:r>
      <w:r w:rsidR="00D75D6C">
        <w:t>es</w:t>
      </w:r>
      <w:r w:rsidR="00AA627D">
        <w:t xml:space="preserve"> début</w:t>
      </w:r>
      <w:r w:rsidR="00D75D6C">
        <w:t>s</w:t>
      </w:r>
      <w:r w:rsidR="00AA627D">
        <w:t xml:space="preserve"> en 1967</w:t>
      </w:r>
      <w:r w:rsidR="00942438">
        <w:t xml:space="preserve"> et l’illustr</w:t>
      </w:r>
      <w:r w:rsidR="00EF2698">
        <w:t>a</w:t>
      </w:r>
      <w:r w:rsidR="00942438">
        <w:t xml:space="preserve">, de manière particulièrement avertie, par l’exemple de la </w:t>
      </w:r>
      <w:r w:rsidR="00942438" w:rsidRPr="00942438">
        <w:rPr>
          <w:i/>
        </w:rPr>
        <w:t>Déclaration commune sur la doctrine de la justification</w:t>
      </w:r>
      <w:r w:rsidR="00942438">
        <w:t xml:space="preserve"> (1999).</w:t>
      </w:r>
      <w:r w:rsidR="0067195D">
        <w:t xml:space="preserve"> Finalement, </w:t>
      </w:r>
      <w:r w:rsidR="000F7AB6">
        <w:t xml:space="preserve">le cardinal Kurt Koch, président du Conseil pontifical pour l’Unité des chrétiens, </w:t>
      </w:r>
      <w:r w:rsidR="009E3009">
        <w:t>expos</w:t>
      </w:r>
      <w:r w:rsidR="00EF2698">
        <w:t>a</w:t>
      </w:r>
      <w:bookmarkStart w:id="0" w:name="_GoBack"/>
      <w:bookmarkEnd w:id="0"/>
      <w:r w:rsidR="009E3009">
        <w:t xml:space="preserve"> les implications personnelles des papes Jean-Paul II et Benoît XVI</w:t>
      </w:r>
      <w:r w:rsidR="00501B75">
        <w:t xml:space="preserve"> dans le dialogue avec les luthériens.</w:t>
      </w:r>
    </w:p>
    <w:p w14:paraId="725DE296" w14:textId="62FE6222" w:rsidR="00501B75" w:rsidRDefault="00501B75" w:rsidP="001D398F">
      <w:pPr>
        <w:spacing w:line="360" w:lineRule="auto"/>
        <w:ind w:firstLine="284"/>
        <w:jc w:val="both"/>
      </w:pPr>
      <w:r>
        <w:t xml:space="preserve">Voilà un colloque bien conçu, </w:t>
      </w:r>
      <w:r w:rsidR="00034689">
        <w:t>unifié autour de la question de la réception</w:t>
      </w:r>
      <w:r w:rsidR="0077135D">
        <w:t xml:space="preserve"> multiforme et conflictuelle de Martin Luther depuis 500 ans.</w:t>
      </w:r>
    </w:p>
    <w:p w14:paraId="59E5E13A" w14:textId="77777777" w:rsidR="0077135D" w:rsidRDefault="0077135D" w:rsidP="001D398F">
      <w:pPr>
        <w:spacing w:line="360" w:lineRule="auto"/>
        <w:ind w:firstLine="284"/>
        <w:jc w:val="both"/>
      </w:pPr>
    </w:p>
    <w:p w14:paraId="54079A0D" w14:textId="42ADCD8C" w:rsidR="0077135D" w:rsidRPr="006545F3" w:rsidRDefault="0077135D" w:rsidP="0077135D">
      <w:pPr>
        <w:spacing w:line="360" w:lineRule="auto"/>
        <w:ind w:firstLine="284"/>
        <w:jc w:val="right"/>
      </w:pPr>
      <w:r>
        <w:t>Joseph F</w:t>
      </w:r>
      <w:r w:rsidRPr="0077135D">
        <w:rPr>
          <w:smallCaps/>
        </w:rPr>
        <w:t>amerée</w:t>
      </w:r>
      <w:r>
        <w:tab/>
      </w:r>
    </w:p>
    <w:sectPr w:rsidR="0077135D" w:rsidRPr="006545F3" w:rsidSect="000E65F6">
      <w:headerReference w:type="even" r:id="rId6"/>
      <w:headerReference w:type="default" r:id="rId7"/>
      <w:pgSz w:w="11900" w:h="16840"/>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75BDEE" w14:textId="77777777" w:rsidR="002C0418" w:rsidRDefault="002C0418" w:rsidP="006545F3">
      <w:r>
        <w:separator/>
      </w:r>
    </w:p>
  </w:endnote>
  <w:endnote w:type="continuationSeparator" w:id="0">
    <w:p w14:paraId="197C14FB" w14:textId="77777777" w:rsidR="002C0418" w:rsidRDefault="002C0418" w:rsidP="006545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A8097C" w14:textId="77777777" w:rsidR="002C0418" w:rsidRDefault="002C0418" w:rsidP="006545F3">
      <w:r>
        <w:separator/>
      </w:r>
    </w:p>
  </w:footnote>
  <w:footnote w:type="continuationSeparator" w:id="0">
    <w:p w14:paraId="60E398BD" w14:textId="77777777" w:rsidR="002C0418" w:rsidRDefault="002C0418" w:rsidP="006545F3">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38EF34" w14:textId="77777777" w:rsidR="000E65F6" w:rsidRDefault="000E65F6" w:rsidP="0061524C">
    <w:pPr>
      <w:pStyle w:val="En-tte"/>
      <w:framePr w:wrap="none"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14:paraId="7375BF4D" w14:textId="77777777" w:rsidR="000E65F6" w:rsidRDefault="000E65F6" w:rsidP="000E65F6">
    <w:pPr>
      <w:pStyle w:val="En-tte"/>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454EBC" w14:textId="77777777" w:rsidR="000E65F6" w:rsidRDefault="000E65F6" w:rsidP="0061524C">
    <w:pPr>
      <w:pStyle w:val="En-tte"/>
      <w:framePr w:wrap="none"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sidR="00EF2698">
      <w:rPr>
        <w:rStyle w:val="Numrodepage"/>
        <w:noProof/>
      </w:rPr>
      <w:t>3</w:t>
    </w:r>
    <w:r>
      <w:rPr>
        <w:rStyle w:val="Numrodepage"/>
      </w:rPr>
      <w:fldChar w:fldCharType="end"/>
    </w:r>
  </w:p>
  <w:p w14:paraId="7FA6E8FE" w14:textId="77777777" w:rsidR="000E65F6" w:rsidRDefault="000E65F6" w:rsidP="000E65F6">
    <w:pPr>
      <w:pStyle w:val="En-tte"/>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1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45F3"/>
    <w:rsid w:val="00003283"/>
    <w:rsid w:val="00010045"/>
    <w:rsid w:val="00034689"/>
    <w:rsid w:val="00034EB4"/>
    <w:rsid w:val="0009572E"/>
    <w:rsid w:val="000A7F85"/>
    <w:rsid w:val="000E65F6"/>
    <w:rsid w:val="000F7AB6"/>
    <w:rsid w:val="00113480"/>
    <w:rsid w:val="00134E60"/>
    <w:rsid w:val="001457F3"/>
    <w:rsid w:val="001A6075"/>
    <w:rsid w:val="001D34A3"/>
    <w:rsid w:val="001D398F"/>
    <w:rsid w:val="001E7D10"/>
    <w:rsid w:val="0020355A"/>
    <w:rsid w:val="0020462A"/>
    <w:rsid w:val="00251A60"/>
    <w:rsid w:val="00267743"/>
    <w:rsid w:val="00271009"/>
    <w:rsid w:val="002C0418"/>
    <w:rsid w:val="002D13FB"/>
    <w:rsid w:val="002D5A97"/>
    <w:rsid w:val="002E73BA"/>
    <w:rsid w:val="003074E5"/>
    <w:rsid w:val="0033218D"/>
    <w:rsid w:val="00361115"/>
    <w:rsid w:val="003736E4"/>
    <w:rsid w:val="0038192E"/>
    <w:rsid w:val="003859E7"/>
    <w:rsid w:val="003949A1"/>
    <w:rsid w:val="003E0168"/>
    <w:rsid w:val="003F44CA"/>
    <w:rsid w:val="00434B53"/>
    <w:rsid w:val="00445AB6"/>
    <w:rsid w:val="004570C9"/>
    <w:rsid w:val="004975B2"/>
    <w:rsid w:val="004A681E"/>
    <w:rsid w:val="004B5596"/>
    <w:rsid w:val="00501B75"/>
    <w:rsid w:val="005022AD"/>
    <w:rsid w:val="005A3C1A"/>
    <w:rsid w:val="005C09CD"/>
    <w:rsid w:val="006013D2"/>
    <w:rsid w:val="006050ED"/>
    <w:rsid w:val="006057C6"/>
    <w:rsid w:val="006165CA"/>
    <w:rsid w:val="0062494A"/>
    <w:rsid w:val="006545F3"/>
    <w:rsid w:val="00662965"/>
    <w:rsid w:val="0067195D"/>
    <w:rsid w:val="00681D12"/>
    <w:rsid w:val="006904D0"/>
    <w:rsid w:val="006B4A78"/>
    <w:rsid w:val="006C07D1"/>
    <w:rsid w:val="007479B1"/>
    <w:rsid w:val="00760D75"/>
    <w:rsid w:val="0077135D"/>
    <w:rsid w:val="00791FDF"/>
    <w:rsid w:val="00793D79"/>
    <w:rsid w:val="007E046D"/>
    <w:rsid w:val="0080669A"/>
    <w:rsid w:val="00806B4C"/>
    <w:rsid w:val="00816B01"/>
    <w:rsid w:val="00822C9B"/>
    <w:rsid w:val="00834CBA"/>
    <w:rsid w:val="008778D8"/>
    <w:rsid w:val="008779C5"/>
    <w:rsid w:val="008830B3"/>
    <w:rsid w:val="008F55CF"/>
    <w:rsid w:val="0090479E"/>
    <w:rsid w:val="00917159"/>
    <w:rsid w:val="00942438"/>
    <w:rsid w:val="00954184"/>
    <w:rsid w:val="00984A66"/>
    <w:rsid w:val="00997236"/>
    <w:rsid w:val="009A11F1"/>
    <w:rsid w:val="009C1B0D"/>
    <w:rsid w:val="009C4328"/>
    <w:rsid w:val="009E3009"/>
    <w:rsid w:val="00A07822"/>
    <w:rsid w:val="00A31B2E"/>
    <w:rsid w:val="00A752E7"/>
    <w:rsid w:val="00AA627D"/>
    <w:rsid w:val="00AE5FFD"/>
    <w:rsid w:val="00B51EE7"/>
    <w:rsid w:val="00B85298"/>
    <w:rsid w:val="00BF1519"/>
    <w:rsid w:val="00C000B2"/>
    <w:rsid w:val="00C033EF"/>
    <w:rsid w:val="00C24914"/>
    <w:rsid w:val="00C457D6"/>
    <w:rsid w:val="00C9210E"/>
    <w:rsid w:val="00D04801"/>
    <w:rsid w:val="00D07261"/>
    <w:rsid w:val="00D131C6"/>
    <w:rsid w:val="00D16AA0"/>
    <w:rsid w:val="00D1761F"/>
    <w:rsid w:val="00D75D6C"/>
    <w:rsid w:val="00D9416E"/>
    <w:rsid w:val="00DB4C90"/>
    <w:rsid w:val="00DB5601"/>
    <w:rsid w:val="00DD6F76"/>
    <w:rsid w:val="00E403DC"/>
    <w:rsid w:val="00E505C5"/>
    <w:rsid w:val="00E668B2"/>
    <w:rsid w:val="00E8053F"/>
    <w:rsid w:val="00EB2004"/>
    <w:rsid w:val="00EB7692"/>
    <w:rsid w:val="00EC5885"/>
    <w:rsid w:val="00EF2698"/>
    <w:rsid w:val="00EF31B2"/>
    <w:rsid w:val="00F227FF"/>
    <w:rsid w:val="00F52144"/>
    <w:rsid w:val="00F72A6A"/>
    <w:rsid w:val="00FD6796"/>
    <w:rsid w:val="00FE2CF7"/>
    <w:rsid w:val="00FF01EF"/>
    <w:rsid w:val="00FF6788"/>
  </w:rsids>
  <m:mathPr>
    <m:mathFont m:val="Cambria Math"/>
    <m:brkBin m:val="before"/>
    <m:brkBinSub m:val="--"/>
    <m:smallFrac m:val="0"/>
    <m:dispDef/>
    <m:lMargin m:val="0"/>
    <m:rMargin m:val="0"/>
    <m:defJc m:val="centerGroup"/>
    <m:wrapIndent m:val="1440"/>
    <m:intLim m:val="subSup"/>
    <m:naryLim m:val="undOvr"/>
  </m:mathPr>
  <w:themeFontLang w:val="fr-FR"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4711BD1F"/>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6545F3"/>
    <w:pPr>
      <w:tabs>
        <w:tab w:val="center" w:pos="4536"/>
        <w:tab w:val="right" w:pos="9072"/>
      </w:tabs>
    </w:pPr>
  </w:style>
  <w:style w:type="character" w:customStyle="1" w:styleId="En-tteCar">
    <w:name w:val="En-tête Car"/>
    <w:basedOn w:val="Policepardfaut"/>
    <w:link w:val="En-tte"/>
    <w:uiPriority w:val="99"/>
    <w:rsid w:val="006545F3"/>
  </w:style>
  <w:style w:type="paragraph" w:styleId="Pieddepage">
    <w:name w:val="footer"/>
    <w:basedOn w:val="Normal"/>
    <w:link w:val="PieddepageCar"/>
    <w:uiPriority w:val="99"/>
    <w:unhideWhenUsed/>
    <w:rsid w:val="006545F3"/>
    <w:pPr>
      <w:tabs>
        <w:tab w:val="center" w:pos="4536"/>
        <w:tab w:val="right" w:pos="9072"/>
      </w:tabs>
    </w:pPr>
  </w:style>
  <w:style w:type="character" w:customStyle="1" w:styleId="PieddepageCar">
    <w:name w:val="Pied de page Car"/>
    <w:basedOn w:val="Policepardfaut"/>
    <w:link w:val="Pieddepage"/>
    <w:uiPriority w:val="99"/>
    <w:rsid w:val="006545F3"/>
  </w:style>
  <w:style w:type="character" w:styleId="Numrodepage">
    <w:name w:val="page number"/>
    <w:basedOn w:val="Policepardfaut"/>
    <w:uiPriority w:val="99"/>
    <w:semiHidden/>
    <w:unhideWhenUsed/>
    <w:rsid w:val="000E65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Bureau">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293</TotalTime>
  <Pages>3</Pages>
  <Words>1006</Words>
  <Characters>5533</Characters>
  <Application>Microsoft Macintosh Word</Application>
  <DocSecurity>0</DocSecurity>
  <Lines>46</Lines>
  <Paragraphs>13</Paragraphs>
  <ScaleCrop>false</ScaleCrop>
  <HeadingPairs>
    <vt:vector size="2" baseType="variant">
      <vt:variant>
        <vt:lpstr>Titre</vt:lpstr>
      </vt:variant>
      <vt:variant>
        <vt:i4>1</vt:i4>
      </vt:variant>
    </vt:vector>
  </HeadingPairs>
  <TitlesOfParts>
    <vt:vector size="1" baseType="lpstr">
      <vt:lpstr/>
    </vt:vector>
  </TitlesOfParts>
  <LinksUpToDate>false</LinksUpToDate>
  <CharactersWithSpaces>6526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Joseph Famerée</dc:creator>
  <cp:keywords/>
  <dc:description/>
  <cp:lastModifiedBy>Joseph Famerée</cp:lastModifiedBy>
  <cp:revision>24</cp:revision>
  <dcterms:created xsi:type="dcterms:W3CDTF">2017-12-03T20:37:00Z</dcterms:created>
  <dcterms:modified xsi:type="dcterms:W3CDTF">2017-12-13T21:35:00Z</dcterms:modified>
</cp:coreProperties>
</file>