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B914" w14:textId="6C72CC96" w:rsidR="00E25D96" w:rsidRPr="0064303F" w:rsidRDefault="00654247" w:rsidP="00F26851">
      <w:pPr>
        <w:jc w:val="center"/>
        <w:rPr>
          <w:smallCaps/>
        </w:rPr>
      </w:pPr>
      <w:r>
        <w:rPr>
          <w:smallCaps/>
        </w:rPr>
        <w:t>De Lubac à l’UCLouvain</w:t>
      </w:r>
    </w:p>
    <w:p w14:paraId="38FB3D2C" w14:textId="77777777" w:rsidR="0064303F" w:rsidRDefault="0064303F" w:rsidP="005544BE"/>
    <w:p w14:paraId="1957F30B" w14:textId="77777777" w:rsidR="00BD3353" w:rsidRDefault="00B04C21" w:rsidP="00E0116E">
      <w:r>
        <w:t>Q</w:t>
      </w:r>
      <w:r w:rsidR="00E0116E">
        <w:t>ue dire de la présence de la pensée d’H. de Lubac à l’UCLouvain</w:t>
      </w:r>
      <w:r w:rsidR="00FB04FD">
        <w:t> ?</w:t>
      </w:r>
      <w:r w:rsidR="00792B82">
        <w:rPr>
          <w:rStyle w:val="Appelnotedebasdep"/>
        </w:rPr>
        <w:footnoteReference w:id="1"/>
      </w:r>
      <w:r w:rsidR="00FB04FD">
        <w:t xml:space="preserve"> Par UCLouvain on désigne l</w:t>
      </w:r>
      <w:r w:rsidR="00E0116E">
        <w:t>a co-héritière, avec la KULeuven, de l’université de Louvain qui célèbrera en 2025 le sixième centenaire de sa fondation</w:t>
      </w:r>
      <w:r w:rsidR="00FB04FD">
        <w:t> ; elle s’est établie dans le Brabant wallon</w:t>
      </w:r>
      <w:r>
        <w:t xml:space="preserve"> à Louvain-la-Neuve</w:t>
      </w:r>
      <w:r w:rsidR="00FB04FD">
        <w:t xml:space="preserve"> après l’expulsion des francophones de Louvain, alors devenue exclusivement néerlandophone à la fin des </w:t>
      </w:r>
      <w:r w:rsidR="00FB04FD">
        <w:rPr>
          <w:i/>
          <w:iCs/>
        </w:rPr>
        <w:t>Sixties</w:t>
      </w:r>
      <w:r w:rsidR="00FB04FD">
        <w:t xml:space="preserve">. </w:t>
      </w:r>
    </w:p>
    <w:p w14:paraId="458CD66B" w14:textId="777051B9" w:rsidR="00B529F3" w:rsidRDefault="00E0116E" w:rsidP="00E0116E">
      <w:r>
        <w:t xml:space="preserve">Il n’est pas inutile </w:t>
      </w:r>
      <w:r w:rsidR="00BD3353">
        <w:t>de proposer</w:t>
      </w:r>
      <w:r>
        <w:t xml:space="preserve"> </w:t>
      </w:r>
      <w:r w:rsidR="00BD3353">
        <w:t xml:space="preserve">l’événement conciliaire </w:t>
      </w:r>
      <w:r>
        <w:t>en arrière-fond</w:t>
      </w:r>
      <w:r w:rsidR="00BD3353">
        <w:t xml:space="preserve"> de ce récit</w:t>
      </w:r>
      <w:r>
        <w:t xml:space="preserve">, et ce sera notre première étape, avant de se situer dans l’après-concile </w:t>
      </w:r>
      <w:r w:rsidR="00C00456">
        <w:t>en</w:t>
      </w:r>
      <w:r>
        <w:t xml:space="preserve"> une deuxième étape, </w:t>
      </w:r>
      <w:r w:rsidR="00C81EC5">
        <w:t>puis</w:t>
      </w:r>
      <w:r>
        <w:t xml:space="preserve"> </w:t>
      </w:r>
      <w:r w:rsidR="009A3E71">
        <w:t>d’envisager,</w:t>
      </w:r>
      <w:r w:rsidR="00C81EC5">
        <w:t xml:space="preserve"> à titre </w:t>
      </w:r>
      <w:r w:rsidR="00FB04FD">
        <w:t>de conclusion</w:t>
      </w:r>
      <w:r w:rsidR="009A3E71">
        <w:t>, des développements à venir</w:t>
      </w:r>
      <w:r w:rsidR="00C81EC5">
        <w:t>.</w:t>
      </w:r>
    </w:p>
    <w:p w14:paraId="7B93B101" w14:textId="6E1E6AC8" w:rsidR="00B529F3" w:rsidRDefault="00B04C21" w:rsidP="006D72C3">
      <w:pPr>
        <w:pStyle w:val="Paragraphedeliste"/>
        <w:numPr>
          <w:ilvl w:val="0"/>
          <w:numId w:val="5"/>
        </w:numPr>
      </w:pPr>
      <w:r>
        <w:t>L</w:t>
      </w:r>
      <w:r w:rsidR="00C81EC5">
        <w:t>es Louvanistes</w:t>
      </w:r>
      <w:r>
        <w:t xml:space="preserve"> et Lubac</w:t>
      </w:r>
      <w:r w:rsidR="00C81EC5">
        <w:t xml:space="preserve"> </w:t>
      </w:r>
      <w:r w:rsidR="009B04EE">
        <w:t>au concile Vatican II</w:t>
      </w:r>
      <w:r w:rsidR="00C81EC5">
        <w:t xml:space="preserve"> : des alliés à distance </w:t>
      </w:r>
    </w:p>
    <w:p w14:paraId="7C3D2C55" w14:textId="2D4B424E" w:rsidR="00750396" w:rsidRDefault="00E10064" w:rsidP="00E10064">
      <w:r>
        <w:t>On sait que les évêques ainsi que les théologiens belges</w:t>
      </w:r>
      <w:r w:rsidR="00B04C21">
        <w:t xml:space="preserve">, qui constituent la fameuse </w:t>
      </w:r>
      <w:r w:rsidR="00B04C21">
        <w:rPr>
          <w:i/>
          <w:iCs/>
        </w:rPr>
        <w:t>squadra belga</w:t>
      </w:r>
      <w:r w:rsidR="00B04C21">
        <w:t>,</w:t>
      </w:r>
      <w:r>
        <w:t xml:space="preserve"> ont joué un rôle significatif dans le déroulement du concile Vatican II</w:t>
      </w:r>
      <w:r w:rsidR="006D72C3">
        <w:rPr>
          <w:rStyle w:val="Appelnotedebasdep"/>
        </w:rPr>
        <w:footnoteReference w:id="2"/>
      </w:r>
      <w:r>
        <w:t xml:space="preserve">. Certaines raisons sont </w:t>
      </w:r>
      <w:r w:rsidR="004A693D">
        <w:t>circonstancielles</w:t>
      </w:r>
      <w:r>
        <w:t xml:space="preserve">. Ainsi la localisation </w:t>
      </w:r>
      <w:r w:rsidR="004A693D">
        <w:t xml:space="preserve">du </w:t>
      </w:r>
      <w:r w:rsidR="004A693D" w:rsidRPr="00703736">
        <w:rPr>
          <w:i/>
          <w:iCs/>
        </w:rPr>
        <w:t>Pontificio collegio belga</w:t>
      </w:r>
      <w:r>
        <w:t>, résidence de la délégation belge,</w:t>
      </w:r>
      <w:r w:rsidR="004A693D">
        <w:t xml:space="preserve"> à un endroit stratégique : </w:t>
      </w:r>
      <w:r w:rsidR="004A693D" w:rsidRPr="004A693D">
        <w:t>Via del Quirinale 26</w:t>
      </w:r>
      <w:r w:rsidR="004A693D">
        <w:t>, tout près de la Grégorienne et derrière le Quirinale</w:t>
      </w:r>
      <w:r w:rsidR="00750396">
        <w:t xml:space="preserve"> ; à 10 mn du </w:t>
      </w:r>
      <w:r w:rsidR="00750396" w:rsidRPr="00750396">
        <w:t xml:space="preserve">Collège hongrois-germanique (où se trouvaient notamment le cardinal Döpfner, modérateur comme Suenens, et le </w:t>
      </w:r>
      <w:r>
        <w:t>très</w:t>
      </w:r>
      <w:r w:rsidR="00750396" w:rsidRPr="00750396">
        <w:t xml:space="preserve"> influent Karl Rahner)</w:t>
      </w:r>
      <w:r>
        <w:t xml:space="preserve">. D’autres raisons sont structurelles. </w:t>
      </w:r>
      <w:r w:rsidR="00750396">
        <w:t>En effet l’université de Louvain comptait</w:t>
      </w:r>
      <w:r>
        <w:t xml:space="preserve"> alors</w:t>
      </w:r>
      <w:r w:rsidR="00750396">
        <w:t xml:space="preserve"> </w:t>
      </w:r>
      <w:r>
        <w:t>au sein de</w:t>
      </w:r>
      <w:r w:rsidR="00750396">
        <w:t xml:space="preserve"> sa Faculté de théologie des artisans</w:t>
      </w:r>
      <w:r w:rsidR="004A693D">
        <w:t xml:space="preserve"> </w:t>
      </w:r>
      <w:r w:rsidR="00B04C21">
        <w:t>d</w:t>
      </w:r>
      <w:r w:rsidR="004A693D">
        <w:t xml:space="preserve">u renouveau biblique, patristique, liturgique et théologique </w:t>
      </w:r>
      <w:r>
        <w:t>qui avaient sur le</w:t>
      </w:r>
      <w:r w:rsidR="004A693D">
        <w:t>s théologiens français</w:t>
      </w:r>
      <w:r w:rsidRPr="00E10064">
        <w:t xml:space="preserve"> </w:t>
      </w:r>
      <w:r>
        <w:t xml:space="preserve">comme Congar, de Lubac et Chenu, </w:t>
      </w:r>
      <w:r w:rsidR="00FB04FD">
        <w:t xml:space="preserve">l’avantage </w:t>
      </w:r>
      <w:r>
        <w:t>de n’avoir connu aucune condamnation</w:t>
      </w:r>
      <w:r w:rsidR="004A693D">
        <w:t xml:space="preserve">. </w:t>
      </w:r>
      <w:r>
        <w:t>D’où pour les</w:t>
      </w:r>
      <w:r w:rsidR="00750396">
        <w:t xml:space="preserve"> Aubert, Cerfaux</w:t>
      </w:r>
      <w:r>
        <w:t xml:space="preserve">, Delhaye, Descamps, </w:t>
      </w:r>
      <w:r w:rsidR="00FB04FD">
        <w:t xml:space="preserve">Dupont, Philips,Thils, </w:t>
      </w:r>
      <w:r>
        <w:t>expert</w:t>
      </w:r>
      <w:r w:rsidR="00FB04FD">
        <w:t>s</w:t>
      </w:r>
      <w:r>
        <w:t xml:space="preserve"> aux côtés des évêques belges (Smedt, Charue, Suenens notamment), une marge de manœuvre plus large aux yeux de la Curie</w:t>
      </w:r>
      <w:r w:rsidR="00750396">
        <w:t>.</w:t>
      </w:r>
      <w:r>
        <w:t xml:space="preserve"> Les </w:t>
      </w:r>
      <w:r>
        <w:rPr>
          <w:i/>
          <w:iCs/>
        </w:rPr>
        <w:t xml:space="preserve">periti </w:t>
      </w:r>
      <w:r>
        <w:t>louvanistes sont aussi</w:t>
      </w:r>
      <w:r w:rsidR="00750396">
        <w:t xml:space="preserve"> polyglottes</w:t>
      </w:r>
      <w:r>
        <w:t xml:space="preserve"> et</w:t>
      </w:r>
      <w:r w:rsidR="00750396">
        <w:t xml:space="preserve"> </w:t>
      </w:r>
      <w:r>
        <w:t>aptes au travail collaboratif – ce qui s’est révélé décisif</w:t>
      </w:r>
      <w:r w:rsidR="00750396">
        <w:t xml:space="preserve">. </w:t>
      </w:r>
      <w:r w:rsidR="00FB04FD">
        <w:t>R</w:t>
      </w:r>
      <w:r w:rsidR="00750396">
        <w:t>ésolument favorables à l’</w:t>
      </w:r>
      <w:r w:rsidR="00750396" w:rsidRPr="00E10064">
        <w:rPr>
          <w:i/>
          <w:iCs/>
        </w:rPr>
        <w:t>Aggiornamento</w:t>
      </w:r>
      <w:r w:rsidR="00750396">
        <w:t>,</w:t>
      </w:r>
      <w:r w:rsidR="0083797A">
        <w:t xml:space="preserve"> </w:t>
      </w:r>
      <w:r w:rsidR="001B61AD">
        <w:t>désireux de</w:t>
      </w:r>
      <w:r w:rsidR="0083797A">
        <w:t xml:space="preserve"> dégager les textes conciliaires de la scolastique traditionnelle des milieux curiaux</w:t>
      </w:r>
      <w:r w:rsidR="001B61AD">
        <w:t xml:space="preserve">, </w:t>
      </w:r>
      <w:r w:rsidR="00FB04FD">
        <w:t xml:space="preserve">tout </w:t>
      </w:r>
      <w:r w:rsidR="001B61AD">
        <w:t>en maintenant u</w:t>
      </w:r>
      <w:r w:rsidR="0083797A">
        <w:t>n esprit de conciliation</w:t>
      </w:r>
      <w:r w:rsidR="001B61AD">
        <w:t>, les théologiens de Louvain avaient tout pour trouver grâce auprès du père de Lubac</w:t>
      </w:r>
      <w:r w:rsidR="0083797A">
        <w:t xml:space="preserve">. </w:t>
      </w:r>
    </w:p>
    <w:p w14:paraId="7D949E1A" w14:textId="02B9D2AE" w:rsidR="00CC146F" w:rsidRDefault="00AD4A21" w:rsidP="00CC146F">
      <w:r>
        <w:t>Ce n’est pas tout à fait ce qui affleure</w:t>
      </w:r>
      <w:r w:rsidR="00490C9C">
        <w:t xml:space="preserve"> des dires mêmes de Lubac</w:t>
      </w:r>
      <w:r w:rsidR="00B04C21">
        <w:t xml:space="preserve"> </w:t>
      </w:r>
      <w:r w:rsidR="00490C9C">
        <w:t>exprim</w:t>
      </w:r>
      <w:r w:rsidR="00B04C21">
        <w:t>ant</w:t>
      </w:r>
      <w:r w:rsidR="00490C9C">
        <w:t xml:space="preserve"> des réserves </w:t>
      </w:r>
      <w:r w:rsidR="00FB04FD">
        <w:t>à l’endroit</w:t>
      </w:r>
      <w:r w:rsidR="00490C9C">
        <w:t xml:space="preserve"> des Belges au Concile. Il se déclare même méfiant</w:t>
      </w:r>
      <w:r>
        <w:rPr>
          <w:rStyle w:val="Appelnotedebasdep"/>
        </w:rPr>
        <w:footnoteReference w:id="3"/>
      </w:r>
      <w:r w:rsidR="00CC146F">
        <w:t xml:space="preserve">. </w:t>
      </w:r>
      <w:r w:rsidR="00B04C21">
        <w:t>Il n’en reste pas moins que</w:t>
      </w:r>
      <w:r w:rsidR="00CC146F">
        <w:t xml:space="preserve"> Lubac, voyant Philips dans ses œuvres, ne peut qu’être admiratif de l’ancien sénateur belge, passé maître d</w:t>
      </w:r>
      <w:r w:rsidR="00B04C21">
        <w:t>ans la</w:t>
      </w:r>
      <w:r w:rsidR="00CC146F">
        <w:t xml:space="preserve"> spécialité de la vie politique belge : l’art du compromis.</w:t>
      </w:r>
      <w:r w:rsidR="00CC146F" w:rsidRPr="00CC146F">
        <w:t xml:space="preserve"> </w:t>
      </w:r>
      <w:r w:rsidR="00CC146F" w:rsidRPr="004A693D">
        <w:t xml:space="preserve">Dans ses </w:t>
      </w:r>
      <w:r w:rsidR="00CC146F" w:rsidRPr="00CC146F">
        <w:rPr>
          <w:i/>
          <w:iCs/>
        </w:rPr>
        <w:t>Carnets du Concile</w:t>
      </w:r>
      <w:r w:rsidR="00CC146F" w:rsidRPr="004A693D">
        <w:t xml:space="preserve">, H. de Lubac note, le 3 avril 1965, </w:t>
      </w:r>
      <w:r w:rsidR="00CC146F">
        <w:t>relativement aux</w:t>
      </w:r>
      <w:r w:rsidR="00CC146F" w:rsidRPr="004A693D">
        <w:t xml:space="preserve"> débats de la commission mixte: «</w:t>
      </w:r>
      <w:r w:rsidR="00CC146F">
        <w:t> </w:t>
      </w:r>
      <w:r w:rsidR="00CC146F" w:rsidRPr="004A693D">
        <w:t>Philips, noie tous les poissons admirablement</w:t>
      </w:r>
      <w:r w:rsidR="00CC146F">
        <w:t> </w:t>
      </w:r>
      <w:r w:rsidR="00CC146F" w:rsidRPr="004A693D">
        <w:t>»</w:t>
      </w:r>
      <w:r w:rsidR="00CC146F">
        <w:rPr>
          <w:rStyle w:val="Appelnotedebasdep"/>
        </w:rPr>
        <w:footnoteReference w:id="4"/>
      </w:r>
      <w:r w:rsidR="00CC146F" w:rsidRPr="004A693D">
        <w:t>.</w:t>
      </w:r>
    </w:p>
    <w:p w14:paraId="685DF35B" w14:textId="77777777" w:rsidR="00C71A12" w:rsidRDefault="00C71A12" w:rsidP="00CC146F"/>
    <w:p w14:paraId="00738623" w14:textId="0F3C9987" w:rsidR="009B04EE" w:rsidRDefault="00CC146F" w:rsidP="00CC146F">
      <w:pPr>
        <w:pStyle w:val="Paragraphedeliste"/>
        <w:numPr>
          <w:ilvl w:val="0"/>
          <w:numId w:val="5"/>
        </w:numPr>
      </w:pPr>
      <w:r>
        <w:lastRenderedPageBreak/>
        <w:t>Dans l’après Concile</w:t>
      </w:r>
      <w:r w:rsidR="004E7E57" w:rsidRPr="004E7E57">
        <w:t xml:space="preserve"> </w:t>
      </w:r>
      <w:r w:rsidR="004E7E57">
        <w:t>à Louvain-la-Neuve</w:t>
      </w:r>
      <w:r>
        <w:t xml:space="preserve">, un enseignement de l’estime </w:t>
      </w:r>
      <w:r w:rsidR="004E7E57">
        <w:t>vis-à-vis de Lubac</w:t>
      </w:r>
      <w:r>
        <w:t>, unanime ou presque</w:t>
      </w:r>
    </w:p>
    <w:p w14:paraId="6B47FA34" w14:textId="77777777" w:rsidR="00920D0E" w:rsidRDefault="00330EDC" w:rsidP="00285F49">
      <w:r>
        <w:t>En théologie dogmatique et fondamentale, l’</w:t>
      </w:r>
      <w:r w:rsidR="00283224">
        <w:t xml:space="preserve">apologétique </w:t>
      </w:r>
      <w:r>
        <w:t xml:space="preserve">de teneur </w:t>
      </w:r>
      <w:r w:rsidR="00283224">
        <w:t>littéraire</w:t>
      </w:r>
      <w:r>
        <w:t xml:space="preserve"> et</w:t>
      </w:r>
      <w:r w:rsidR="00283224">
        <w:t xml:space="preserve"> culturelle</w:t>
      </w:r>
      <w:r>
        <w:t xml:space="preserve"> d’un Adolphe Gesché a pu trouver en Lubac une source d’inspiration.</w:t>
      </w:r>
      <w:r w:rsidR="00863393">
        <w:t xml:space="preserve"> </w:t>
      </w:r>
      <w:r>
        <w:t xml:space="preserve">On peut le repérer </w:t>
      </w:r>
      <w:r w:rsidR="004E7E57">
        <w:t xml:space="preserve">dans les œuvres publiées et le confirmer </w:t>
      </w:r>
      <w:r w:rsidR="001412CF">
        <w:t>par</w:t>
      </w:r>
      <w:r>
        <w:t xml:space="preserve"> le fichier numérisé</w:t>
      </w:r>
      <w:r w:rsidR="002165F2">
        <w:rPr>
          <w:rStyle w:val="Appelnotedebasdep"/>
        </w:rPr>
        <w:footnoteReference w:id="5"/>
      </w:r>
      <w:r>
        <w:t>.</w:t>
      </w:r>
      <w:r w:rsidR="00285F49">
        <w:t xml:space="preserve"> </w:t>
      </w:r>
    </w:p>
    <w:p w14:paraId="27D802E6" w14:textId="783247FA" w:rsidR="0013263C" w:rsidRDefault="00285F49" w:rsidP="00285F49">
      <w:r>
        <w:t xml:space="preserve">Dans la série </w:t>
      </w:r>
      <w:r>
        <w:rPr>
          <w:i/>
          <w:iCs/>
        </w:rPr>
        <w:t>Dieu pour penser</w:t>
      </w:r>
      <w:r>
        <w:t xml:space="preserve">, Gesché cite Lubac relativement à quatre matières. La première renvoie à la passion d’amour du Père que mentionne Lubac </w:t>
      </w:r>
      <w:r w:rsidR="002165F2">
        <w:t>en citant O</w:t>
      </w:r>
      <w:r>
        <w:t>rigène</w:t>
      </w:r>
      <w:r w:rsidR="0014720F">
        <w:t> </w:t>
      </w:r>
      <w:r w:rsidR="002165F2">
        <w:t>: « le</w:t>
      </w:r>
      <w:r>
        <w:t xml:space="preserve"> </w:t>
      </w:r>
      <w:r w:rsidR="005769AE">
        <w:t>Père lui-même souffre une passion, la passion d’amour »</w:t>
      </w:r>
      <w:r w:rsidR="002165F2">
        <w:rPr>
          <w:rStyle w:val="Appelnotedebasdep"/>
        </w:rPr>
        <w:footnoteReference w:id="6"/>
      </w:r>
      <w:r w:rsidR="002165F2">
        <w:t>. Le théologien louvaniste revient à plusieurs reprises sur cette idée dans ses différents volumes</w:t>
      </w:r>
      <w:r w:rsidR="002165F2">
        <w:rPr>
          <w:rStyle w:val="Appelnotedebasdep"/>
        </w:rPr>
        <w:footnoteReference w:id="7"/>
      </w:r>
      <w:r w:rsidR="0014720F">
        <w:t> </w:t>
      </w:r>
      <w:r w:rsidR="002165F2">
        <w:t>; elle fait logiquement l’objet d’une fiche</w:t>
      </w:r>
      <w:r w:rsidR="002165F2">
        <w:rPr>
          <w:rStyle w:val="Appelnotedebasdep"/>
        </w:rPr>
        <w:footnoteReference w:id="8"/>
      </w:r>
      <w:r w:rsidR="00AC1C4B">
        <w:t>. Le deuxième thème est celui de la dim</w:t>
      </w:r>
      <w:r w:rsidR="005769AE">
        <w:t>ension sociale des dogmes,</w:t>
      </w:r>
      <w:r w:rsidR="00AC1C4B">
        <w:t xml:space="preserve"> dont témoigne le titre et la teneur de </w:t>
      </w:r>
      <w:r w:rsidR="00AC1C4B">
        <w:rPr>
          <w:i/>
          <w:iCs/>
        </w:rPr>
        <w:t>Catholicisme</w:t>
      </w:r>
      <w:r w:rsidR="00AC1C4B">
        <w:rPr>
          <w:rStyle w:val="Appelnotedebasdep"/>
          <w:i/>
          <w:iCs/>
        </w:rPr>
        <w:footnoteReference w:id="9"/>
      </w:r>
      <w:r w:rsidR="005769AE">
        <w:t>.</w:t>
      </w:r>
      <w:r w:rsidR="00AC1C4B">
        <w:t xml:space="preserve"> Le troisième thème faisant l’objet d’un renvoi à la contribution de Lubac est celui de </w:t>
      </w:r>
      <w:r w:rsidR="001412CF">
        <w:t>l’</w:t>
      </w:r>
      <w:r w:rsidR="00AC1C4B">
        <w:t>affinité</w:t>
      </w:r>
      <w:r w:rsidR="00441CD1">
        <w:t xml:space="preserve"> de la grâce avec la nature</w:t>
      </w:r>
      <w:r w:rsidR="00AC1C4B">
        <w:t xml:space="preserve">, dans la ligne de </w:t>
      </w:r>
      <w:r w:rsidR="00AC1C4B">
        <w:rPr>
          <w:i/>
          <w:iCs/>
        </w:rPr>
        <w:t>Surnaturel</w:t>
      </w:r>
      <w:r w:rsidR="0014720F">
        <w:rPr>
          <w:i/>
          <w:iCs/>
        </w:rPr>
        <w:t> </w:t>
      </w:r>
      <w:r w:rsidR="00AC1C4B">
        <w:t>: « </w:t>
      </w:r>
      <w:r w:rsidR="001412CF">
        <w:t>Un simple extrinsécisme de la grâce par rapport à la nature – les études de H. de Lubac après les difficiles approches de Le Roy et de Blondel l’ont bien montré – ne suffit pas à la logique chrétienne de la création et de l’Incarnation. La grâce trouve complicité dans la nature.</w:t>
      </w:r>
      <w:r w:rsidR="001412CF">
        <w:rPr>
          <w:rStyle w:val="Appelnotedebasdep"/>
        </w:rPr>
        <w:footnoteReference w:id="10"/>
      </w:r>
      <w:r w:rsidR="001412CF">
        <w:t xml:space="preserve"> » Une quatrième </w:t>
      </w:r>
      <w:r w:rsidR="00920D0E">
        <w:t>référence</w:t>
      </w:r>
      <w:r w:rsidR="001412CF">
        <w:t xml:space="preserve"> a trait à </w:t>
      </w:r>
      <w:r>
        <w:t>Dieu réduit par la philosophie à un principe d’explication du monde</w:t>
      </w:r>
      <w:r w:rsidR="001412CF">
        <w:t xml:space="preserve">. Cette fois Gesché cite explicitement </w:t>
      </w:r>
      <w:r>
        <w:t>H. de Lubac</w:t>
      </w:r>
      <w:r w:rsidR="001412CF">
        <w:t xml:space="preserve"> pour déplorer avec lui cette réduction de Dieu à un rôle d’utilité</w:t>
      </w:r>
      <w:r w:rsidR="001412CF">
        <w:rPr>
          <w:rStyle w:val="Appelnotedebasdep"/>
        </w:rPr>
        <w:footnoteReference w:id="11"/>
      </w:r>
      <w:r w:rsidR="001412CF">
        <w:t xml:space="preserve">. Il conviendrait pour être exhaustif d’élargir l’enquête à l’ensemble de la production publiée du théologien louvaniste. On peut se contenter ici de mentionner deux autres points d’intérêt dont témoigne une fiche de 1961 citant </w:t>
      </w:r>
      <w:r w:rsidR="001412CF">
        <w:rPr>
          <w:i/>
          <w:iCs/>
        </w:rPr>
        <w:t>Sur les chemins de Dieu</w:t>
      </w:r>
      <w:r w:rsidR="0014720F">
        <w:rPr>
          <w:i/>
          <w:iCs/>
        </w:rPr>
        <w:t> </w:t>
      </w:r>
      <w:r w:rsidR="001412CF">
        <w:t>:  « Et tous les grands esprits qui ont parlé de Dieu demeurent toujours contemporains</w:t>
      </w:r>
      <w:r w:rsidR="0013263C">
        <w:t>.</w:t>
      </w:r>
      <w:r w:rsidR="00920D0E" w:rsidRPr="00920D0E">
        <w:rPr>
          <w:rStyle w:val="Appelnotedebasdep"/>
        </w:rPr>
        <w:t xml:space="preserve"> </w:t>
      </w:r>
      <w:r w:rsidR="00920D0E">
        <w:rPr>
          <w:rStyle w:val="Appelnotedebasdep"/>
        </w:rPr>
        <w:footnoteReference w:id="12"/>
      </w:r>
      <w:r w:rsidR="001412CF">
        <w:t>»</w:t>
      </w:r>
      <w:r w:rsidR="00920D0E">
        <w:t xml:space="preserve"> </w:t>
      </w:r>
      <w:r w:rsidR="0013263C">
        <w:t xml:space="preserve">Et enfin l’intérêt que Gesché a pris de la lecture de </w:t>
      </w:r>
      <w:r w:rsidR="0013263C">
        <w:rPr>
          <w:i/>
          <w:iCs/>
        </w:rPr>
        <w:t>Le</w:t>
      </w:r>
      <w:r w:rsidR="0013263C">
        <w:t xml:space="preserve"> </w:t>
      </w:r>
      <w:r w:rsidR="0013263C" w:rsidRPr="0013263C">
        <w:rPr>
          <w:i/>
        </w:rPr>
        <w:t>drame de l’humanisme athée</w:t>
      </w:r>
      <w:r w:rsidR="0013263C">
        <w:t xml:space="preserve"> en reprenant la citation suivante</w:t>
      </w:r>
      <w:r w:rsidR="0014720F">
        <w:t> </w:t>
      </w:r>
      <w:r w:rsidR="0013263C">
        <w:t xml:space="preserve">: </w:t>
      </w:r>
    </w:p>
    <w:p w14:paraId="5C121921" w14:textId="3F74D9D1" w:rsidR="00285F49" w:rsidRDefault="0013263C" w:rsidP="0013263C">
      <w:pPr>
        <w:pStyle w:val="Citation"/>
      </w:pPr>
      <w:r>
        <w:t xml:space="preserve">« Feuerbach avait d’abord voulu donner comme titre à </w:t>
      </w:r>
      <w:r>
        <w:rPr>
          <w:i/>
          <w:iCs w:val="0"/>
        </w:rPr>
        <w:t>L’essence du christianisme</w:t>
      </w:r>
      <w:r>
        <w:t>, qui est le premier de ses ouvrages où il exprime son idée essentielle</w:t>
      </w:r>
      <w:r w:rsidR="0014720F">
        <w:t> </w:t>
      </w:r>
      <w:r>
        <w:t xml:space="preserve">: </w:t>
      </w:r>
      <w:r w:rsidRPr="0013263C">
        <w:rPr>
          <w:i/>
          <w:iCs w:val="0"/>
        </w:rPr>
        <w:t>G</w:t>
      </w:r>
      <w:r>
        <w:rPr>
          <w:i/>
          <w:iCs w:val="0"/>
        </w:rPr>
        <w:t>ne</w:t>
      </w:r>
      <w:r w:rsidRPr="0013263C">
        <w:rPr>
          <w:i/>
          <w:iCs w:val="0"/>
        </w:rPr>
        <w:t>thi seauton</w:t>
      </w:r>
      <w:r>
        <w:t>. Détail vraiment symbolique. Son humanisme athée prenait donc comme drapeau le vieux précepte que les Pères de l’Église avaient jadis fait leur. Révéler à l’homme son essence, pour lui donner foi en lui-même</w:t>
      </w:r>
      <w:r w:rsidR="0014720F">
        <w:t> </w:t>
      </w:r>
      <w:r>
        <w:t>: tel était son unique but</w:t>
      </w:r>
      <w:r w:rsidR="005F08D2">
        <w:t>.</w:t>
      </w:r>
      <w:r>
        <w:t> »</w:t>
      </w:r>
      <w:r w:rsidR="005F08D2">
        <w:rPr>
          <w:rStyle w:val="Appelnotedebasdep"/>
        </w:rPr>
        <w:footnoteReference w:id="13"/>
      </w:r>
    </w:p>
    <w:p w14:paraId="068FF762" w14:textId="69FE07CD" w:rsidR="00285F49" w:rsidRDefault="00412966" w:rsidP="00654247">
      <w:r>
        <w:lastRenderedPageBreak/>
        <w:t xml:space="preserve">Dans la théologie de Gesché, ce type d’approche consistant à interroger les sources chrétiennes pour en déployer la sagesse anthropologique </w:t>
      </w:r>
      <w:r w:rsidR="00E06973">
        <w:t>occupe</w:t>
      </w:r>
      <w:r>
        <w:t xml:space="preserve"> une</w:t>
      </w:r>
      <w:r w:rsidR="00E06973">
        <w:t xml:space="preserve"> grande</w:t>
      </w:r>
      <w:r>
        <w:t xml:space="preserve"> place. On peut donc conclure que l’influence</w:t>
      </w:r>
      <w:r w:rsidR="00C73A97">
        <w:t xml:space="preserve"> de Lubac</w:t>
      </w:r>
      <w:r>
        <w:t xml:space="preserve"> est réelle</w:t>
      </w:r>
      <w:r w:rsidR="00863393">
        <w:t>,</w:t>
      </w:r>
      <w:r>
        <w:t xml:space="preserve"> sans être très étendue</w:t>
      </w:r>
      <w:r w:rsidR="007317F6">
        <w:rPr>
          <w:rStyle w:val="Appelnotedebasdep"/>
        </w:rPr>
        <w:footnoteReference w:id="14"/>
      </w:r>
      <w:r>
        <w:t>.</w:t>
      </w:r>
    </w:p>
    <w:p w14:paraId="01079311" w14:textId="263DB266" w:rsidR="00253794" w:rsidRDefault="00920D0E" w:rsidP="00283224">
      <w:r>
        <w:t>S’agissant d’</w:t>
      </w:r>
      <w:r w:rsidR="00FE1E69">
        <w:t>Émilio Brito</w:t>
      </w:r>
      <w:r w:rsidR="00F85E62">
        <w:t xml:space="preserve"> s.j., </w:t>
      </w:r>
      <w:r w:rsidR="00FE1E69">
        <w:t xml:space="preserve">professeur de théologie </w:t>
      </w:r>
      <w:r>
        <w:t>à la Faculté de théologie de l’UCLouvain</w:t>
      </w:r>
      <w:r w:rsidR="00FE1E69">
        <w:t>,</w:t>
      </w:r>
      <w:r>
        <w:t xml:space="preserve"> et de ses nombreuses et monumentales publications, </w:t>
      </w:r>
      <w:r w:rsidR="00F85E62">
        <w:t>notamment</w:t>
      </w:r>
      <w:r>
        <w:t xml:space="preserve"> dans la collection </w:t>
      </w:r>
      <w:r w:rsidRPr="00253794">
        <w:rPr>
          <w:i/>
          <w:iCs/>
        </w:rPr>
        <w:t>Bibliotheca Ephemeridum Theologicarum Lovaniensium</w:t>
      </w:r>
      <w:r>
        <w:t xml:space="preserve"> (Peeters),</w:t>
      </w:r>
      <w:r w:rsidR="00F85E62">
        <w:t xml:space="preserve"> </w:t>
      </w:r>
      <w:r w:rsidR="00253794">
        <w:t>il serait intéressant d’établir le cadastre des références à l’œuvre d’H. de Lubac. Des sections entières lui sont consacrées, dans un éventail très large de matières théologiques. Au vu de l’abondance de ces renvois, il est impossible ici ne serait-ce que d’en synthétiser les occurrences</w:t>
      </w:r>
      <w:r w:rsidR="00F85E62">
        <w:t>, mais l’estime du professeur louvaniste pour son compagnon français doit être fortement souligné, eu égard à l’autorité et à la culture théologique incomparable du père Brito.</w:t>
      </w:r>
    </w:p>
    <w:p w14:paraId="50A5F8DC" w14:textId="0340F6C5" w:rsidR="00283224" w:rsidRDefault="00253794" w:rsidP="00283224">
      <w:r>
        <w:t>S’agissant de la théologie fondamentale et dogmatique,</w:t>
      </w:r>
      <w:r w:rsidR="00E93951">
        <w:t xml:space="preserve"> il convient de mentionner l’exception dans l’estime accordée par les professeurs de Louvain à l’œuvre de Lubac, </w:t>
      </w:r>
      <w:r>
        <w:t xml:space="preserve"> on versera au dossier une </w:t>
      </w:r>
      <w:r w:rsidR="00283224">
        <w:t>recension critique de Philippe Weber</w:t>
      </w:r>
      <w:r>
        <w:t>, professeur</w:t>
      </w:r>
      <w:r w:rsidR="00E93951">
        <w:t xml:space="preserve"> d’ecclésiologie</w:t>
      </w:r>
      <w:r>
        <w:t xml:space="preserve"> à la Faculté, parue dans la revue de la Faculté,</w:t>
      </w:r>
      <w:r w:rsidR="00283224">
        <w:t xml:space="preserve"> à l’occasion de la publication dans les </w:t>
      </w:r>
      <w:r w:rsidR="00283224">
        <w:rPr>
          <w:i/>
          <w:iCs/>
        </w:rPr>
        <w:t xml:space="preserve">Œuvres complètes </w:t>
      </w:r>
      <w:r w:rsidR="00283224">
        <w:t xml:space="preserve">de </w:t>
      </w:r>
      <w:r w:rsidR="00283224" w:rsidRPr="00AB2FE3">
        <w:rPr>
          <w:i/>
          <w:iCs/>
        </w:rPr>
        <w:t>Paradoxe et Mystère de l’Église</w:t>
      </w:r>
      <w:r w:rsidR="00283224">
        <w:t xml:space="preserve">, suivi de </w:t>
      </w:r>
      <w:r w:rsidR="00283224" w:rsidRPr="00AB2FE3">
        <w:rPr>
          <w:i/>
          <w:iCs/>
        </w:rPr>
        <w:t>L’Église dans la crise actuelle</w:t>
      </w:r>
      <w:r w:rsidR="00283224">
        <w:t xml:space="preserve"> (2010)</w:t>
      </w:r>
      <w:r w:rsidR="00E93951">
        <w:t>. Weber écrit</w:t>
      </w:r>
      <w:r w:rsidR="0014720F">
        <w:t> </w:t>
      </w:r>
      <w:r w:rsidR="00E93951">
        <w:t>:</w:t>
      </w:r>
      <w:r w:rsidR="00283224">
        <w:t xml:space="preserve"> </w:t>
      </w:r>
    </w:p>
    <w:p w14:paraId="0A48E259" w14:textId="4E239F84" w:rsidR="00283224" w:rsidRDefault="00283224" w:rsidP="000C19C9">
      <w:pPr>
        <w:pStyle w:val="Citation"/>
      </w:pPr>
      <w:r>
        <w:t>« </w:t>
      </w:r>
      <w:r w:rsidRPr="00AB2FE3">
        <w:t xml:space="preserve">Cet ouvrage marque un jalon important sinon incontournable dans la compréhension d’une pensée à la fois éclairée et robuste. On déplorera pourtant qu’à partir de 1969 et malgré d’édifiantes envolées spirituelles, l’A. n’a cessé d’émailler ses écrits de pronostics alarmistes et d’attaques contre </w:t>
      </w:r>
      <w:r w:rsidR="00253794">
        <w:t>“</w:t>
      </w:r>
      <w:r w:rsidRPr="00AB2FE3">
        <w:t>des</w:t>
      </w:r>
      <w:r w:rsidR="00253794">
        <w:t>”</w:t>
      </w:r>
      <w:r w:rsidRPr="00AB2FE3">
        <w:t xml:space="preserve"> théologiens qu’il s’abstenait courageusement de citer par leurs noms. Serait-ce le fruit de la sénescence ou/et, comme d’autres, l’incapacité d’accepter que ce grand œuvre que fut le concile, puisse s’ouvrir à des interprétations innovantes</w:t>
      </w:r>
      <w:r w:rsidR="0014720F">
        <w:t> </w:t>
      </w:r>
      <w:r w:rsidRPr="00AB2FE3">
        <w:t xml:space="preserve">? L’A. évoque souvent et avec force la tradition </w:t>
      </w:r>
      <w:r w:rsidR="00253794">
        <w:t>“</w:t>
      </w:r>
      <w:r w:rsidRPr="00AB2FE3">
        <w:t>vivante</w:t>
      </w:r>
      <w:r w:rsidR="00253794">
        <w:t>”</w:t>
      </w:r>
      <w:r w:rsidRPr="00AB2FE3">
        <w:t xml:space="preserve"> de l’Église. À le lire, on croirait parfois que cette </w:t>
      </w:r>
      <w:r w:rsidR="00253794">
        <w:t>“</w:t>
      </w:r>
      <w:r w:rsidRPr="00AB2FE3">
        <w:t>vie</w:t>
      </w:r>
      <w:r w:rsidR="00253794">
        <w:t>”</w:t>
      </w:r>
      <w:r w:rsidRPr="00AB2FE3">
        <w:t xml:space="preserve"> s’arrête ou s’achève avec Vatican</w:t>
      </w:r>
      <w:r w:rsidR="00253794">
        <w:t> </w:t>
      </w:r>
      <w:r w:rsidRPr="00AB2FE3">
        <w:t>II.</w:t>
      </w:r>
      <w:r w:rsidR="00253794">
        <w:rPr>
          <w:rStyle w:val="Appelnotedebasdep"/>
        </w:rPr>
        <w:footnoteReference w:id="15"/>
      </w:r>
      <w:r>
        <w:t> »</w:t>
      </w:r>
    </w:p>
    <w:p w14:paraId="748DEA04" w14:textId="17127CBB" w:rsidR="00253794" w:rsidRDefault="00253794" w:rsidP="00283224">
      <w:r>
        <w:t xml:space="preserve">L’auteur de cette recension polémique, coutumier </w:t>
      </w:r>
      <w:r w:rsidR="00757417">
        <w:t>de semblable</w:t>
      </w:r>
      <w:r>
        <w:t xml:space="preserve"> ton acerbe, </w:t>
      </w:r>
      <w:r w:rsidR="005C664F">
        <w:t>fait au père de Lubac</w:t>
      </w:r>
      <w:r>
        <w:t xml:space="preserve"> un procès d’intention</w:t>
      </w:r>
      <w:r w:rsidR="0014720F">
        <w:t> </w:t>
      </w:r>
      <w:r w:rsidR="005C664F">
        <w:t>;</w:t>
      </w:r>
      <w:r w:rsidR="00757417">
        <w:t xml:space="preserve"> au lieu de rendre compte des ouvrages examinés,</w:t>
      </w:r>
      <w:r w:rsidR="005C664F">
        <w:t xml:space="preserve"> </w:t>
      </w:r>
      <w:r w:rsidR="00757417">
        <w:t>Weber</w:t>
      </w:r>
      <w:r>
        <w:t xml:space="preserve"> pose sur </w:t>
      </w:r>
      <w:r w:rsidR="00757417">
        <w:t>l’</w:t>
      </w:r>
      <w:r>
        <w:t>orientation</w:t>
      </w:r>
      <w:r w:rsidR="00757417">
        <w:t xml:space="preserve"> postconciliaire</w:t>
      </w:r>
      <w:r>
        <w:t xml:space="preserve"> </w:t>
      </w:r>
      <w:r w:rsidR="00757417">
        <w:t xml:space="preserve">du père de Lubac </w:t>
      </w:r>
      <w:r>
        <w:t>un diagnostic</w:t>
      </w:r>
      <w:r w:rsidR="005C664F">
        <w:t xml:space="preserve"> aussi </w:t>
      </w:r>
      <w:r w:rsidR="00757417">
        <w:t>global</w:t>
      </w:r>
      <w:r w:rsidR="005C664F">
        <w:t xml:space="preserve"> que peu </w:t>
      </w:r>
      <w:r>
        <w:t>étayé. Ce jugement à l’emporte-pièce n’engage que son auteur et ne reflète assurément pas le contenu de l’enseignement à la Faculté de théologie.</w:t>
      </w:r>
    </w:p>
    <w:p w14:paraId="27457A34" w14:textId="4A47EC02" w:rsidR="001D7AE1" w:rsidRDefault="0014720F" w:rsidP="0014720F">
      <w:pPr>
        <w:jc w:val="center"/>
      </w:pPr>
      <w:r>
        <w:t>***</w:t>
      </w:r>
    </w:p>
    <w:p w14:paraId="6DE0F839" w14:textId="68EFEFBF" w:rsidR="00283224" w:rsidRDefault="001D7AE1" w:rsidP="00283224">
      <w:r>
        <w:t xml:space="preserve">S’agissant </w:t>
      </w:r>
      <w:r w:rsidR="004D27CB">
        <w:t xml:space="preserve">de la patristique et </w:t>
      </w:r>
      <w:r>
        <w:t xml:space="preserve">de l’édition des versions de la Bible, on peut mentionner les grands noms qui se sont illustrés à Louvain-la-Neuve, et leur estime de l’œuvre du Père de Lubac : Pierre-Maurice </w:t>
      </w:r>
      <w:r w:rsidR="00283224">
        <w:t xml:space="preserve">Bogaert (LXX, Bible latine), </w:t>
      </w:r>
      <w:r>
        <w:t xml:space="preserve">Roger </w:t>
      </w:r>
      <w:r w:rsidR="00283224">
        <w:t>Gryson (</w:t>
      </w:r>
      <w:r w:rsidR="00283224" w:rsidRPr="001D7AE1">
        <w:rPr>
          <w:i/>
          <w:iCs/>
        </w:rPr>
        <w:t>Vetus Latina</w:t>
      </w:r>
      <w:r w:rsidR="00283224">
        <w:t>), Jean-Claude Haelewyck</w:t>
      </w:r>
      <w:r w:rsidR="004D1D3C">
        <w:t>. L’estime quasi-unanime de l’œuvre du père de Lubac parmi les professeurs de Louvain a trouvé à s’exprimer récemment sous la plume d</w:t>
      </w:r>
      <w:r w:rsidR="004D27CB">
        <w:t>u professeur</w:t>
      </w:r>
      <w:r w:rsidR="004D1D3C">
        <w:t xml:space="preserve"> </w:t>
      </w:r>
      <w:r w:rsidR="00283224">
        <w:t>Jean-Marie Auwers</w:t>
      </w:r>
      <w:r w:rsidR="00FB2C99" w:rsidRPr="00FB2C99">
        <w:t xml:space="preserve"> </w:t>
      </w:r>
      <w:r w:rsidR="00FB2C99">
        <w:t>dans un article important. Pour saluer la parution d’</w:t>
      </w:r>
      <w:r w:rsidR="00FB2C99">
        <w:rPr>
          <w:i/>
          <w:iCs/>
        </w:rPr>
        <w:t>Histoire et Esprit</w:t>
      </w:r>
      <w:r w:rsidR="00FB2C99">
        <w:t xml:space="preserve"> dans les </w:t>
      </w:r>
      <w:r w:rsidR="00FB2C99">
        <w:rPr>
          <w:i/>
          <w:iCs/>
        </w:rPr>
        <w:t>Œuvres complètes</w:t>
      </w:r>
      <w:r w:rsidR="00FB2C99">
        <w:t xml:space="preserve">, il écrit </w:t>
      </w:r>
      <w:r w:rsidR="004D1D3C">
        <w:t>:</w:t>
      </w:r>
      <w:r w:rsidR="00FB2C99">
        <w:t xml:space="preserve"> « S’il ne fallait lire qu’un seul ouvrage sur l’exégèse patristique, c’est à coup sûr </w:t>
      </w:r>
      <w:r w:rsidR="00FB2C99" w:rsidRPr="00FB2C99">
        <w:rPr>
          <w:i/>
          <w:iCs/>
        </w:rPr>
        <w:t>Histoire et Esprit</w:t>
      </w:r>
      <w:r w:rsidR="00FB2C99">
        <w:t xml:space="preserve"> d’Henri de Lubac qu’il faudrait privilégier. Il s’agit d’un de ces maîtres-ouvrages qu’on regrette toujours </w:t>
      </w:r>
      <w:r w:rsidR="00FB2C99">
        <w:lastRenderedPageBreak/>
        <w:t>de ne pas avoir lus plus tôt et auxquels on revient sans cesse une fois qu’on les a lus. »</w:t>
      </w:r>
      <w:r w:rsidR="00FB2C99" w:rsidRPr="00FB2C99">
        <w:rPr>
          <w:rStyle w:val="Appelnotedebasdep"/>
        </w:rPr>
        <w:t xml:space="preserve"> </w:t>
      </w:r>
      <w:r w:rsidR="00FB2C99">
        <w:rPr>
          <w:rStyle w:val="Appelnotedebasdep"/>
        </w:rPr>
        <w:footnoteReference w:id="16"/>
      </w:r>
      <w:r w:rsidR="00FB2C99">
        <w:t> Auwers commence d’ailleurs son bulletin par une longue citation d’</w:t>
      </w:r>
      <w:r w:rsidR="00FB2C99">
        <w:rPr>
          <w:i/>
          <w:iCs/>
        </w:rPr>
        <w:t>Exégèse médiéval</w:t>
      </w:r>
      <w:r w:rsidR="00FB2C99">
        <w:rPr>
          <w:i/>
        </w:rPr>
        <w:t>e</w:t>
      </w:r>
      <w:r w:rsidR="00FB2C99">
        <w:rPr>
          <w:iCs/>
        </w:rPr>
        <w:t xml:space="preserve"> où il voit l’inspiration principale de l’orientation actuelle des études patristiques, à savoir leur herméneutique scripturaire :</w:t>
      </w:r>
    </w:p>
    <w:p w14:paraId="718E982F" w14:textId="5A8BD82B" w:rsidR="007569ED" w:rsidRDefault="007569ED" w:rsidP="004D1D3C">
      <w:pPr>
        <w:pStyle w:val="Citation"/>
      </w:pPr>
      <w:r>
        <w:t>«Cet “acte complet” qu</w:t>
      </w:r>
      <w:r w:rsidR="009B04EE">
        <w:t>’</w:t>
      </w:r>
      <w:r>
        <w:t>est l</w:t>
      </w:r>
      <w:r w:rsidR="009B04EE">
        <w:t>’</w:t>
      </w:r>
      <w:r>
        <w:t>ancienne exégèse chrétienne est une très grande chose. À mesure qu</w:t>
      </w:r>
      <w:r w:rsidR="009B04EE">
        <w:t>’</w:t>
      </w:r>
      <w:r>
        <w:t>on l</w:t>
      </w:r>
      <w:r w:rsidR="009B04EE">
        <w:t>’</w:t>
      </w:r>
      <w:r>
        <w:t>étudié, on s</w:t>
      </w:r>
      <w:r w:rsidR="009B04EE">
        <w:t>’</w:t>
      </w:r>
      <w:r>
        <w:t>aperçoit de l</w:t>
      </w:r>
      <w:r w:rsidR="009B04EE">
        <w:t>’</w:t>
      </w:r>
      <w:r>
        <w:t>ampleur de son champ, de la complexité de ses implications, de la profondeur de sessoubassements, de l</w:t>
      </w:r>
      <w:r w:rsidR="009B04EE">
        <w:t>’</w:t>
      </w:r>
      <w:r>
        <w:t>originalité de sa structure. Avec des nuances “variées, elle fait ressortir la nouveauté religieuse du Fait chrétien”. Elle met en œuvre une dialectique, souvent subtile, de l</w:t>
      </w:r>
      <w:r w:rsidR="009B04EE">
        <w:t>’</w:t>
      </w:r>
      <w:r>
        <w:t>avant et de l</w:t>
      </w:r>
      <w:r w:rsidR="009B04EE">
        <w:t>’</w:t>
      </w:r>
      <w:r>
        <w:t>après</w:t>
      </w:r>
      <w:r w:rsidR="009B04EE">
        <w:t> </w:t>
      </w:r>
      <w:r>
        <w:t>; elle définit les rapports de la réalité historique et de la réalité spirituelle, de la société et de l</w:t>
      </w:r>
      <w:r w:rsidR="009B04EE">
        <w:t>’</w:t>
      </w:r>
      <w:r>
        <w:t>individu, du temps et de l</w:t>
      </w:r>
      <w:r w:rsidR="009B04EE">
        <w:t>’</w:t>
      </w:r>
      <w:r>
        <w:t>éternité</w:t>
      </w:r>
      <w:r w:rsidR="009B04EE">
        <w:t> </w:t>
      </w:r>
      <w:r>
        <w:t>; elle contient, comme on dirait aujourd</w:t>
      </w:r>
      <w:r w:rsidR="009B04EE">
        <w:t>’</w:t>
      </w:r>
      <w:r>
        <w:t>hui, toute une théologie de l</w:t>
      </w:r>
      <w:r w:rsidR="009B04EE">
        <w:t>’</w:t>
      </w:r>
      <w:r>
        <w:t>histoire, en connexion avec une théologie de l</w:t>
      </w:r>
      <w:r w:rsidR="009B04EE">
        <w:t>’</w:t>
      </w:r>
      <w:r>
        <w:t>Écriture. Elle organise toute la Révélation autour d</w:t>
      </w:r>
      <w:r w:rsidR="009B04EE">
        <w:t>’</w:t>
      </w:r>
      <w:r>
        <w:t>un centre concret, marqué dans l</w:t>
      </w:r>
      <w:r w:rsidR="009B04EE">
        <w:t>’</w:t>
      </w:r>
      <w:r>
        <w:t>espace et dans le temps par la Croix de Jésus-Christ. Elle est elle-même une dogmatique et une spiritualité complètes, et complètement unifiées. Elle s</w:t>
      </w:r>
      <w:r w:rsidR="009B04EE">
        <w:t>’</w:t>
      </w:r>
      <w:r>
        <w:t>est exprimée non seulement dans la littérature, mais dans l</w:t>
      </w:r>
      <w:r w:rsidR="009B04EE">
        <w:t>’</w:t>
      </w:r>
      <w:r>
        <w:t xml:space="preserve">art avec une force et une profusion merveilleuses. Bref, cette ancienne </w:t>
      </w:r>
      <w:r w:rsidRPr="007569ED">
        <w:t>exégèse chrétienne est bien autre chose qu</w:t>
      </w:r>
      <w:r w:rsidR="009B04EE">
        <w:t>’</w:t>
      </w:r>
      <w:r w:rsidRPr="007569ED">
        <w:t>une ancienne forme d</w:t>
      </w:r>
      <w:r w:rsidR="009B04EE">
        <w:t>’</w:t>
      </w:r>
      <w:r w:rsidRPr="007569ED">
        <w:t>exégèse. C</w:t>
      </w:r>
      <w:r w:rsidR="009B04EE">
        <w:t>’</w:t>
      </w:r>
      <w:r w:rsidRPr="007569ED">
        <w:t xml:space="preserve">est la </w:t>
      </w:r>
      <w:r>
        <w:t>“</w:t>
      </w:r>
      <w:r w:rsidRPr="007569ED">
        <w:t>trame</w:t>
      </w:r>
      <w:r>
        <w:t>”</w:t>
      </w:r>
      <w:r w:rsidRPr="007569ED">
        <w:t xml:space="preserve"> de la littérature chrétienne et de l</w:t>
      </w:r>
      <w:r w:rsidR="009B04EE">
        <w:t>’</w:t>
      </w:r>
      <w:r w:rsidRPr="007569ED">
        <w:t>art chrétien. C</w:t>
      </w:r>
      <w:r w:rsidR="009B04EE">
        <w:t>’</w:t>
      </w:r>
      <w:r w:rsidRPr="007569ED">
        <w:t>est, sous l</w:t>
      </w:r>
      <w:r w:rsidR="009B04EE">
        <w:t>’</w:t>
      </w:r>
      <w:r w:rsidRPr="007569ED">
        <w:t>un de ses aspects essentiels, l</w:t>
      </w:r>
      <w:r w:rsidR="009B04EE">
        <w:t>’</w:t>
      </w:r>
      <w:r w:rsidRPr="007569ED">
        <w:t>ancienne pensée chrétienne. C</w:t>
      </w:r>
      <w:r w:rsidR="009B04EE">
        <w:t>’</w:t>
      </w:r>
      <w:r w:rsidRPr="007569ED">
        <w:t>est la forme principale qu</w:t>
      </w:r>
      <w:r w:rsidR="009B04EE">
        <w:t>’</w:t>
      </w:r>
      <w:r w:rsidRPr="007569ED">
        <w:t>a longtemps revêtue la synthèse chrétienne. C</w:t>
      </w:r>
      <w:r w:rsidR="009B04EE">
        <w:t>’</w:t>
      </w:r>
      <w:r w:rsidRPr="007569ED">
        <w:t>est au moins l</w:t>
      </w:r>
      <w:r w:rsidR="009B04EE">
        <w:t>’</w:t>
      </w:r>
      <w:r w:rsidRPr="007569ED">
        <w:t>instrument qui lui a permis de se construire, et c</w:t>
      </w:r>
      <w:r w:rsidR="009B04EE">
        <w:t>’</w:t>
      </w:r>
      <w:r w:rsidRPr="007569ED">
        <w:t>est aujourd</w:t>
      </w:r>
      <w:r w:rsidR="009B04EE">
        <w:t>’</w:t>
      </w:r>
      <w:r w:rsidRPr="007569ED">
        <w:t>hui l</w:t>
      </w:r>
      <w:r w:rsidR="009B04EE">
        <w:t>’</w:t>
      </w:r>
      <w:r w:rsidRPr="007569ED">
        <w:t>un des biais par où on peut le plus utilement l</w:t>
      </w:r>
      <w:r w:rsidR="009B04EE">
        <w:t>’</w:t>
      </w:r>
      <w:r w:rsidRPr="007569ED">
        <w:t>aborder</w:t>
      </w:r>
      <w:r>
        <w:t> </w:t>
      </w:r>
      <w:r w:rsidRPr="007569ED">
        <w:t>»</w:t>
      </w:r>
      <w:r>
        <w:t xml:space="preserve"> </w:t>
      </w:r>
      <w:r w:rsidRPr="007569ED">
        <w:t xml:space="preserve">H. de Lubac, </w:t>
      </w:r>
      <w:r w:rsidRPr="007569ED">
        <w:rPr>
          <w:i/>
        </w:rPr>
        <w:t>Exégèse médiévale</w:t>
      </w:r>
      <w:r w:rsidRPr="007569ED">
        <w:t>, 1/1, Paris, 1959 (réimpr. 1993), p. 16-17.</w:t>
      </w:r>
      <w:r w:rsidR="00FB2C99">
        <w:rPr>
          <w:rStyle w:val="Appelnotedebasdep"/>
        </w:rPr>
        <w:footnoteReference w:id="17"/>
      </w:r>
    </w:p>
    <w:p w14:paraId="7F5BA067" w14:textId="47012A63" w:rsidR="004D27CB" w:rsidRPr="0003268A" w:rsidRDefault="004D27CB" w:rsidP="00E53623">
      <w:r>
        <w:t xml:space="preserve">La citation </w:t>
      </w:r>
      <w:r w:rsidR="00491CA7">
        <w:t>recèle effectivement un potentiel</w:t>
      </w:r>
      <w:r>
        <w:t xml:space="preserve"> considérable</w:t>
      </w:r>
      <w:r w:rsidR="0037106D">
        <w:t>. L’acte théologique des Pères de l’Église couvre tout l’arc herméneutique compris entre la source scripturaire et la compréhension actuelle</w:t>
      </w:r>
      <w:r w:rsidR="00491CA7">
        <w:t xml:space="preserve">, assimilable par </w:t>
      </w:r>
      <w:r w:rsidR="0037106D">
        <w:t>la communauté croyante</w:t>
      </w:r>
      <w:r w:rsidR="00491CA7">
        <w:t>,</w:t>
      </w:r>
      <w:r w:rsidR="0037106D">
        <w:t xml:space="preserve"> du mystère de la foi selon l’expression multiforme du témoignage qu’elle doit rendre au Christ : parole doctrinale, exhortation morale, actions concrètes d’assistance, enseignement spirituel, œuvre artistique. Depuis le témoignage écrit de la tradition apostolique, le geste des Pères embrasse toute la connaissance et l’action chrétiennes. L’acte théologique, envisagé dans toute son amplitude, recouvre son unité, que la spécialisation</w:t>
      </w:r>
      <w:r w:rsidR="0014720F">
        <w:t xml:space="preserve"> moderne</w:t>
      </w:r>
      <w:r w:rsidR="0037106D">
        <w:t xml:space="preserve"> des disciplines théologique</w:t>
      </w:r>
      <w:r w:rsidR="0014720F">
        <w:t xml:space="preserve">s </w:t>
      </w:r>
      <w:r w:rsidR="0037106D">
        <w:t xml:space="preserve">lui </w:t>
      </w:r>
      <w:r w:rsidR="00491CA7">
        <w:t>a</w:t>
      </w:r>
      <w:r w:rsidR="0037106D">
        <w:t xml:space="preserve"> fait perdre. </w:t>
      </w:r>
      <w:r w:rsidR="0003268A">
        <w:t>Déjà Blaise Pascal remarquait en plein XVII</w:t>
      </w:r>
      <w:r w:rsidR="0003268A">
        <w:rPr>
          <w:vertAlign w:val="superscript"/>
        </w:rPr>
        <w:t>e</w:t>
      </w:r>
      <w:r w:rsidR="0003268A">
        <w:t xml:space="preserve"> siècle : « </w:t>
      </w:r>
      <w:r w:rsidR="00491CA7" w:rsidRPr="00491CA7">
        <w:t>La théologie est une science, mais en même temps combien est-ce de sciences ?</w:t>
      </w:r>
      <w:r w:rsidR="0014720F" w:rsidRPr="0014720F">
        <w:rPr>
          <w:rStyle w:val="Appelnotedebasdep"/>
        </w:rPr>
        <w:t xml:space="preserve"> </w:t>
      </w:r>
      <w:r w:rsidR="0014720F">
        <w:rPr>
          <w:rStyle w:val="Appelnotedebasdep"/>
        </w:rPr>
        <w:footnoteReference w:id="18"/>
      </w:r>
      <w:r w:rsidR="00491CA7" w:rsidRPr="00491CA7">
        <w:t>»</w:t>
      </w:r>
      <w:r w:rsidR="00491CA7">
        <w:t xml:space="preserve"> À partir de la perspective unifiée des Pères de l’Église, la théologie peut valablement réfléchir à l’intégration des exigences</w:t>
      </w:r>
      <w:r w:rsidR="004539F3">
        <w:t xml:space="preserve"> souvent divergentes</w:t>
      </w:r>
      <w:r w:rsidR="00491CA7">
        <w:t xml:space="preserve"> </w:t>
      </w:r>
      <w:r w:rsidR="004539F3">
        <w:t>de ses axes respectivement</w:t>
      </w:r>
      <w:r w:rsidR="00491CA7">
        <w:t xml:space="preserve"> positi</w:t>
      </w:r>
      <w:r w:rsidR="004539F3">
        <w:t>f</w:t>
      </w:r>
      <w:r w:rsidR="00491CA7">
        <w:t>, spéculati</w:t>
      </w:r>
      <w:r w:rsidR="004539F3">
        <w:t>f</w:t>
      </w:r>
      <w:r w:rsidR="00491CA7">
        <w:t xml:space="preserve"> et</w:t>
      </w:r>
      <w:r w:rsidR="004539F3">
        <w:t xml:space="preserve"> </w:t>
      </w:r>
      <w:r w:rsidR="00491CA7">
        <w:t>pratique.</w:t>
      </w:r>
    </w:p>
    <w:p w14:paraId="5D38FD30" w14:textId="038A122E" w:rsidR="00E53623" w:rsidRDefault="00075D8F" w:rsidP="00E53623">
      <w:r>
        <w:lastRenderedPageBreak/>
        <w:t>Du point de vue de la direction d’études, on notera que le</w:t>
      </w:r>
      <w:r w:rsidR="00316BFF">
        <w:t xml:space="preserve"> répertoire du</w:t>
      </w:r>
      <w:r>
        <w:t xml:space="preserve"> réseau doctoral THEODOC</w:t>
      </w:r>
      <w:r w:rsidR="00316BFF">
        <w:rPr>
          <w:rStyle w:val="Appelnotedebasdep"/>
        </w:rPr>
        <w:footnoteReference w:id="19"/>
      </w:r>
      <w:r w:rsidR="00316BFF">
        <w:t xml:space="preserve"> mentionne</w:t>
      </w:r>
      <w:r>
        <w:t xml:space="preserve"> </w:t>
      </w:r>
      <w:r w:rsidR="00F9119C">
        <w:t>9 thèses défendues</w:t>
      </w:r>
      <w:r w:rsidR="00316BFF">
        <w:t>,</w:t>
      </w:r>
      <w:r w:rsidR="00F9119C">
        <w:t xml:space="preserve"> dont une en cours</w:t>
      </w:r>
      <w:r w:rsidR="00316BFF">
        <w:t>,</w:t>
      </w:r>
      <w:r w:rsidR="00F9119C">
        <w:t xml:space="preserve"> sur </w:t>
      </w:r>
      <w:r w:rsidR="00316BFF">
        <w:t xml:space="preserve">l’œuvre du père </w:t>
      </w:r>
      <w:r w:rsidR="00F9119C">
        <w:t>de Lubac</w:t>
      </w:r>
      <w:r w:rsidR="00316BFF">
        <w:t>,</w:t>
      </w:r>
      <w:r w:rsidR="00F9119C">
        <w:t xml:space="preserve"> entre 2009 et aujourd’hui</w:t>
      </w:r>
      <w:r w:rsidR="00316BFF">
        <w:t xml:space="preserve">. </w:t>
      </w:r>
      <w:r w:rsidR="00E53623">
        <w:t xml:space="preserve">On en compte </w:t>
      </w:r>
      <w:r w:rsidR="00F9119C">
        <w:t>6 à l’ICP, 2 à l’U</w:t>
      </w:r>
      <w:r w:rsidR="006D7AFF">
        <w:t>niversité de S</w:t>
      </w:r>
      <w:r w:rsidR="00F9119C">
        <w:t>trasbourg, 1 aux Facultés Loyola</w:t>
      </w:r>
      <w:r w:rsidR="00E53623">
        <w:t xml:space="preserve"> et a</w:t>
      </w:r>
      <w:r w:rsidR="006D7AFF">
        <w:t>ucune à l’UCLouvain.</w:t>
      </w:r>
      <w:r w:rsidR="006B7EDC">
        <w:t xml:space="preserve"> À titre de comparaison, sur un total de 1684 thèses</w:t>
      </w:r>
      <w:r w:rsidR="00312012">
        <w:t xml:space="preserve"> répertoriées</w:t>
      </w:r>
      <w:r w:rsidR="006B7EDC">
        <w:t>, 14 sont consacrées à Balthasar, 12 à Congar, 8 à Barth, 7 à Chenu et 7 à Rahner.</w:t>
      </w:r>
      <w:r w:rsidR="00E53623">
        <w:t xml:space="preserve"> Pour apprécier le plus ou moins grand intérêt autour d’une œuvre</w:t>
      </w:r>
      <w:r w:rsidR="00312012">
        <w:t xml:space="preserve"> dans telle Faculté</w:t>
      </w:r>
      <w:r w:rsidR="00E53623">
        <w:t>, il faut</w:t>
      </w:r>
      <w:r w:rsidR="00312012">
        <w:t xml:space="preserve"> bien évidemment</w:t>
      </w:r>
      <w:r w:rsidR="00E53623">
        <w:t xml:space="preserve"> faire la part de contingence liée aux auteurs de prédilection et à l’idiosyncrasie des professeurs de la Faculté. </w:t>
      </w:r>
    </w:p>
    <w:p w14:paraId="298B33FB" w14:textId="7C9CAC1F" w:rsidR="00F9119C" w:rsidRDefault="00E53623" w:rsidP="00E53623">
      <w:pPr>
        <w:pStyle w:val="Paragraphedeliste"/>
        <w:numPr>
          <w:ilvl w:val="0"/>
          <w:numId w:val="5"/>
        </w:numPr>
      </w:pPr>
      <w:r>
        <w:t>Que peut-on attendre à l’avenir</w:t>
      </w:r>
      <w:r w:rsidR="00312012">
        <w:t xml:space="preserve"> à l’UCLouvain s’agissant des études lubaciennes</w:t>
      </w:r>
      <w:r>
        <w:t> ?</w:t>
      </w:r>
    </w:p>
    <w:p w14:paraId="567DFA5B" w14:textId="77777777" w:rsidR="0014720F" w:rsidRDefault="00E53623" w:rsidP="00E53623">
      <w:r>
        <w:t>O</w:t>
      </w:r>
      <w:r w:rsidR="009B04EE">
        <w:t xml:space="preserve">n peut </w:t>
      </w:r>
      <w:r>
        <w:t xml:space="preserve">légitimement </w:t>
      </w:r>
      <w:r w:rsidR="009B04EE">
        <w:t>espérer un renouveau de l’intérêt autour de la figure et de la théologie du père de Lubac.</w:t>
      </w:r>
      <w:r>
        <w:t xml:space="preserve"> En effet, des liens se sont tissés entre des chercheurs de l’UCLouvain et des spécialistes de l’œuvre de Lubac. </w:t>
      </w:r>
    </w:p>
    <w:p w14:paraId="3D083AC0" w14:textId="36A797F9" w:rsidR="009B04EE" w:rsidRDefault="00E53623" w:rsidP="00E53623">
      <w:r>
        <w:t>On signalera en particulier la j</w:t>
      </w:r>
      <w:r w:rsidRPr="00654247">
        <w:t xml:space="preserve">ournée </w:t>
      </w:r>
      <w:r>
        <w:t>s</w:t>
      </w:r>
      <w:r w:rsidRPr="00654247">
        <w:t>cientifique</w:t>
      </w:r>
      <w:r w:rsidR="00312012">
        <w:t xml:space="preserve"> du 25 février 2021 à Louvain-la-Neuve</w:t>
      </w:r>
      <w:r>
        <w:t xml:space="preserve"> intitulée « </w:t>
      </w:r>
      <w:r w:rsidRPr="00654247">
        <w:t>Henri de Lubac</w:t>
      </w:r>
      <w:r>
        <w:t> </w:t>
      </w:r>
      <w:r w:rsidRPr="00654247">
        <w:t>: nature, grâce, Écriture</w:t>
      </w:r>
      <w:r>
        <w:t xml:space="preserve"> », </w:t>
      </w:r>
      <w:r w:rsidR="00247343">
        <w:t xml:space="preserve">organisée </w:t>
      </w:r>
      <w:r>
        <w:t xml:space="preserve">dans le cadre d’un groupe de recherche </w:t>
      </w:r>
      <w:r w:rsidRPr="00654247">
        <w:t>« Écriture, Philosophie, Théologie »</w:t>
      </w:r>
      <w:r>
        <w:t xml:space="preserve"> (</w:t>
      </w:r>
      <w:r w:rsidR="00312012">
        <w:t xml:space="preserve">animé par les professeurs </w:t>
      </w:r>
      <w:r>
        <w:t>B. Bourgine</w:t>
      </w:r>
      <w:r w:rsidR="00A44DDC">
        <w:t xml:space="preserve"> et</w:t>
      </w:r>
      <w:r>
        <w:t xml:space="preserve"> R. Burnet).</w:t>
      </w:r>
      <w:r w:rsidR="00A44DDC">
        <w:t xml:space="preserve"> Les conférencières suivantes ont nourri la réflexion commune :</w:t>
      </w:r>
      <w:r>
        <w:t> </w:t>
      </w:r>
      <w:r w:rsidR="00A44DDC">
        <w:t xml:space="preserve">le professeur </w:t>
      </w:r>
      <w:r w:rsidR="009B04EE" w:rsidRPr="00654247">
        <w:t>Ilaria Morali (</w:t>
      </w:r>
      <w:r w:rsidR="00283224">
        <w:t xml:space="preserve">Grégorienne, </w:t>
      </w:r>
      <w:r w:rsidR="009B04EE" w:rsidRPr="00654247">
        <w:t>Rome),</w:t>
      </w:r>
      <w:r w:rsidR="00283224">
        <w:t xml:space="preserve"> nouvellement nommée à l’Académie théologique pontificale,</w:t>
      </w:r>
      <w:r w:rsidR="009B04EE" w:rsidRPr="00654247">
        <w:t xml:space="preserve"> </w:t>
      </w:r>
      <w:r w:rsidR="00A44DDC">
        <w:t xml:space="preserve">Mme </w:t>
      </w:r>
      <w:r w:rsidR="009B04EE" w:rsidRPr="00654247">
        <w:t>Marie-Gabrielle Lemaire</w:t>
      </w:r>
      <w:r w:rsidR="009B04EE">
        <w:t xml:space="preserve"> </w:t>
      </w:r>
      <w:r w:rsidR="009B04EE" w:rsidRPr="00654247">
        <w:t>(Namur)</w:t>
      </w:r>
      <w:r w:rsidR="009B04EE">
        <w:t xml:space="preserve"> et</w:t>
      </w:r>
      <w:r w:rsidR="009B04EE" w:rsidRPr="00654247">
        <w:t xml:space="preserve"> </w:t>
      </w:r>
      <w:r w:rsidR="00A44DDC">
        <w:t xml:space="preserve"> sœur Marie de l’Assomption, alias </w:t>
      </w:r>
      <w:r w:rsidR="009B04EE" w:rsidRPr="00654247">
        <w:t>Émilie de Vigouroux d’Arvieu (Paris)</w:t>
      </w:r>
      <w:r>
        <w:t>. Leurs contri</w:t>
      </w:r>
      <w:r w:rsidR="009B04EE">
        <w:t xml:space="preserve">butions </w:t>
      </w:r>
      <w:r>
        <w:t>sont en cours de</w:t>
      </w:r>
      <w:r w:rsidR="009B04EE">
        <w:t xml:space="preserve"> publication.</w:t>
      </w:r>
    </w:p>
    <w:p w14:paraId="2E90325B" w14:textId="4D6D4E1F" w:rsidR="00E64B4A" w:rsidRDefault="00E64B4A" w:rsidP="009B04EE">
      <w:r>
        <w:t xml:space="preserve">Grâce à </w:t>
      </w:r>
      <w:r w:rsidR="00E53623">
        <w:t xml:space="preserve">Mme </w:t>
      </w:r>
      <w:r>
        <w:t>Marie-Gabrielle Lemaire</w:t>
      </w:r>
      <w:r w:rsidR="00E53623">
        <w:t>,</w:t>
      </w:r>
      <w:r>
        <w:t xml:space="preserve"> qui accepte une collaboration ponctuelle avec professeurs et étudiants de l’UCLouvain</w:t>
      </w:r>
      <w:r w:rsidR="00E53623">
        <w:t>, on peut raisonnable</w:t>
      </w:r>
      <w:r w:rsidR="00C5377A">
        <w:t>ment</w:t>
      </w:r>
      <w:r w:rsidR="00E53623">
        <w:t xml:space="preserve"> espérer des développements </w:t>
      </w:r>
      <w:r w:rsidR="00C5377A">
        <w:t>selon</w:t>
      </w:r>
      <w:r w:rsidR="00E53623">
        <w:t xml:space="preserve"> </w:t>
      </w:r>
      <w:r w:rsidR="00C5377A">
        <w:t>quatre</w:t>
      </w:r>
      <w:r w:rsidR="00E53623">
        <w:t xml:space="preserve"> orientations</w:t>
      </w:r>
      <w:r w:rsidR="00C5377A">
        <w:t xml:space="preserve">. En premier lieu, </w:t>
      </w:r>
      <w:r w:rsidR="00E53623">
        <w:t>la question de l’athéisme</w:t>
      </w:r>
      <w:r w:rsidR="000B33A7">
        <w:t xml:space="preserve">, et fort probablement dans le sens de l’article inspirant dans la </w:t>
      </w:r>
      <w:r w:rsidR="000B33A7">
        <w:rPr>
          <w:i/>
          <w:iCs/>
        </w:rPr>
        <w:t>Nouvelle revue théologique</w:t>
      </w:r>
      <w:r w:rsidR="000B33A7" w:rsidRPr="000B33A7">
        <w:rPr>
          <w:rStyle w:val="Appelnotedebasdep"/>
        </w:rPr>
        <w:footnoteReference w:id="20"/>
      </w:r>
      <w:r w:rsidR="000B33A7">
        <w:t xml:space="preserve">. En deuxième lieu, </w:t>
      </w:r>
      <w:r w:rsidR="00C5377A">
        <w:t>la question de l’affirmation de Dieu</w:t>
      </w:r>
      <w:r w:rsidR="00E53623">
        <w:t xml:space="preserve"> </w:t>
      </w:r>
      <w:r w:rsidR="000B33A7">
        <w:t xml:space="preserve">devrait sans doute connaître des prolongements </w:t>
      </w:r>
      <w:r w:rsidR="00247343">
        <w:t xml:space="preserve">susceptibles d’explorer </w:t>
      </w:r>
      <w:r w:rsidR="000B33A7">
        <w:t>une nouvelle relation entre philosophie et théologie. On lit dans une thèse récemment publiée</w:t>
      </w:r>
      <w:r w:rsidR="00247343">
        <w:t xml:space="preserve"> dans la collection des Études Lubaciennes</w:t>
      </w:r>
      <w:r w:rsidR="000B33A7">
        <w:t> :</w:t>
      </w:r>
    </w:p>
    <w:p w14:paraId="227852C8" w14:textId="0B403675" w:rsidR="000B33A7" w:rsidRDefault="000B33A7" w:rsidP="000B33A7">
      <w:pPr>
        <w:pStyle w:val="Citation"/>
      </w:pPr>
      <w:r>
        <w:t xml:space="preserve">« Ainsi Lubac ne fait pas qu’appliquer en théologie les données philosophiques de Maurice Blondel : la prologation théologique des résultas blondéliens appelle </w:t>
      </w:r>
      <w:r w:rsidRPr="00247343">
        <w:rPr>
          <w:i/>
          <w:iCs w:val="0"/>
        </w:rPr>
        <w:t>une unification plus grande encore entre la théologie et la philosophie</w:t>
      </w:r>
      <w:r>
        <w:t>. Son souci est bien d’introduire une vision de la théologie dans laquelle celle-ci ne soit plus seulement la science de vérités révélées mais la science de tout le réel compris à la lumière de la foi »</w:t>
      </w:r>
      <w:r w:rsidR="00BE1303">
        <w:rPr>
          <w:rStyle w:val="Appelnotedebasdep"/>
        </w:rPr>
        <w:footnoteReference w:id="21"/>
      </w:r>
      <w:r>
        <w:t>.</w:t>
      </w:r>
    </w:p>
    <w:p w14:paraId="6BD8BFD5" w14:textId="34DFC896" w:rsidR="00BE1303" w:rsidRDefault="00BE1303" w:rsidP="00BE1303">
      <w:r>
        <w:t xml:space="preserve">De ce point de vue, on peut penser que la triade Marion, Lacoste, Chrétien pointe vers la construction d’une anthropologie foncièrement ouverte à la transcendance, qu’il s’agisse de la lumière du phénomène saturé chez Marion, ou bien de la nuit du non-événement de la liturgie </w:t>
      </w:r>
      <w:r>
        <w:lastRenderedPageBreak/>
        <w:t xml:space="preserve">chez Lacoste, ou encore de « l’inouï de la promesse depuis notre humaine défaillance où excès et fragilité se répondent » (Gramont) chez Chrétien. </w:t>
      </w:r>
      <w:r w:rsidR="004E3DDC">
        <w:t>C’est bien à une relation nouvelle entre philosophie, phénoménologie en l’occurrence, et théologie que concourrent ces trois œuvres</w:t>
      </w:r>
      <w:r w:rsidR="00EC6D69">
        <w:t xml:space="preserve"> véritablement significatives. C’est bien tout le réel, et d’abord le mystère </w:t>
      </w:r>
      <w:r w:rsidR="006F2628">
        <w:t>de l’homme</w:t>
      </w:r>
      <w:r w:rsidR="00EC6D69">
        <w:t>, que ces pensées s’attellent à dé</w:t>
      </w:r>
      <w:r w:rsidR="006F2628">
        <w:t>chiffrer</w:t>
      </w:r>
      <w:r w:rsidR="00496F52">
        <w:t xml:space="preserve"> à l’ombre du Dieu qui vient en Jésus-Christ.</w:t>
      </w:r>
    </w:p>
    <w:p w14:paraId="615B41A9" w14:textId="3A07EF5F" w:rsidR="00FD29AB" w:rsidRDefault="00BE1303" w:rsidP="00FD29AB">
      <w:r>
        <w:t>En troisième lieu, on peut espérer que soit prolon</w:t>
      </w:r>
      <w:r w:rsidR="00247343">
        <w:t>g</w:t>
      </w:r>
      <w:r>
        <w:t>é</w:t>
      </w:r>
      <w:r w:rsidR="0014720F">
        <w:t>e l’intuition lubacienne d’une</w:t>
      </w:r>
      <w:r w:rsidR="00674E66">
        <w:t xml:space="preserve"> théologie biblique</w:t>
      </w:r>
      <w:r w:rsidR="0014720F">
        <w:t xml:space="preserve"> associée à</w:t>
      </w:r>
      <w:r w:rsidR="00674E66">
        <w:t xml:space="preserve"> ses réceptions patristiques</w:t>
      </w:r>
      <w:r w:rsidR="00CB4C2E">
        <w:t xml:space="preserve"> en vue de recouvrer toute l’amplitude de l’acte théologique</w:t>
      </w:r>
      <w:r w:rsidR="0014720F">
        <w:t>. L</w:t>
      </w:r>
      <w:r w:rsidR="00C557B2">
        <w:t>’intelligence spirituelle de l’Écriture</w:t>
      </w:r>
      <w:r w:rsidR="0014720F">
        <w:t xml:space="preserve"> est le ressort d’une théologie véritablement traditionnelle et perpétuellement innovante</w:t>
      </w:r>
      <w:r w:rsidR="00C557B2">
        <w:t>.</w:t>
      </w:r>
      <w:r w:rsidR="0014720F">
        <w:t xml:space="preserve"> L’intuition se déploie bien évidemment largement dans </w:t>
      </w:r>
      <w:r w:rsidR="0014720F">
        <w:rPr>
          <w:i/>
          <w:iCs/>
        </w:rPr>
        <w:t>Histoire et Esprit </w:t>
      </w:r>
      <w:r w:rsidR="0014720F">
        <w:t xml:space="preserve">et </w:t>
      </w:r>
      <w:r w:rsidR="0014720F">
        <w:rPr>
          <w:i/>
          <w:iCs/>
        </w:rPr>
        <w:t>Exégèse médiévale</w:t>
      </w:r>
      <w:r w:rsidR="0014720F">
        <w:t xml:space="preserve">. Observons qu’elle est déjà présente dans le chapitre sixième de </w:t>
      </w:r>
      <w:r w:rsidR="00674E66">
        <w:rPr>
          <w:i/>
          <w:iCs/>
        </w:rPr>
        <w:t>Catholicisme</w:t>
      </w:r>
      <w:r w:rsidR="0014720F">
        <w:t xml:space="preserve"> consacré à « </w:t>
      </w:r>
      <w:r w:rsidR="00674E66">
        <w:t>L’interprétation de l’Écriture</w:t>
      </w:r>
      <w:r w:rsidR="0014720F">
        <w:t> ».</w:t>
      </w:r>
      <w:r w:rsidR="004966AA">
        <w:t xml:space="preserve"> L’intelligence spirituelle qui se cherche dans l</w:t>
      </w:r>
      <w:r w:rsidR="00497357">
        <w:t>e rapport des deux Testaments</w:t>
      </w:r>
      <w:r w:rsidR="00FD29AB">
        <w:t xml:space="preserve"> est précisément décrites dans les lignes suivantes (p. 36)</w:t>
      </w:r>
      <w:r w:rsidR="00497357">
        <w:t xml:space="preserve"> : </w:t>
      </w:r>
    </w:p>
    <w:p w14:paraId="48BE228E" w14:textId="0A62000F" w:rsidR="00674E66" w:rsidRDefault="00C557B2" w:rsidP="00FD29AB">
      <w:pPr>
        <w:pStyle w:val="Citation"/>
      </w:pPr>
      <w:r>
        <w:t xml:space="preserve">« … la réalité dont l’AT – et le Nouveau même – contient les types n’est pas seulement spirituelle mais incarnée ; elle n’est pas seulement éternelle, mais historique encore. Car le Verbe se fait chair et il plante sa tente au milieu de nous. Le sens spirituel est donc répandu partout, non pas seulement ni surtout dans un livre, mais d’abord et essentiellement </w:t>
      </w:r>
      <w:r>
        <w:rPr>
          <w:i/>
        </w:rPr>
        <w:t>dans la réalité elle-même</w:t>
      </w:r>
      <w:r>
        <w:t> ».</w:t>
      </w:r>
      <w:r w:rsidR="00674E66">
        <w:t xml:space="preserve"> </w:t>
      </w:r>
    </w:p>
    <w:p w14:paraId="2CDEB1E9" w14:textId="39BEEC10" w:rsidR="00885364" w:rsidRDefault="00FD29AB" w:rsidP="00674E66">
      <w:r>
        <w:t xml:space="preserve">Au-delà des débats sur l’analogie, l’allégorie ou la typologie, Lubac prend la mesure </w:t>
      </w:r>
      <w:r w:rsidR="00914FAB">
        <w:t>du fait</w:t>
      </w:r>
      <w:r>
        <w:t xml:space="preserve"> que l’Écriture fait accéder à un mystère réel, celui du Verbe fait chair : la lettre du texte révélé fait accéder à l’Esprit de Celui qui l’inspire.</w:t>
      </w:r>
      <w:r w:rsidR="008316D3">
        <w:t xml:space="preserve"> </w:t>
      </w:r>
      <w:r w:rsidR="001577E4">
        <w:t>Cette considération recèle en elle-même le principe d’une théologie véritablement enracinée dans la source normative de la tradition apostolique telle que l’atteste l’Écriture. De la Bible, la théologie reçoit la double mission du Fils et de l’Esprit. D’une part, « Le Christ a pris en quelque sorte l’Écriture entre ses mains, et il l’a remplie de lui-même, par les mystères de son incarnation, de sa passion et de sa résurrection » (p. 148). D’autre part, « l’Écriture tout entière devenait nouvelle, de la perpétuelle nouveauté de l’Esprit » écrit le père de Lubac à la page 144.</w:t>
      </w:r>
      <w:r w:rsidR="00885364" w:rsidRPr="00885364">
        <w:t xml:space="preserve"> </w:t>
      </w:r>
      <w:r w:rsidR="00914FAB">
        <w:t>En se laissant ainsi déterminer,</w:t>
      </w:r>
      <w:r w:rsidR="00885364">
        <w:t xml:space="preserve"> la théologie catholique peut sortir de sa léthargie moderne, post-réformatrice,</w:t>
      </w:r>
      <w:r w:rsidR="009E2DAB">
        <w:t xml:space="preserve"> causée par</w:t>
      </w:r>
      <w:r w:rsidR="00885364">
        <w:t xml:space="preserve"> la mise à distance de </w:t>
      </w:r>
      <w:r w:rsidR="009E2DAB">
        <w:t>l’Écriture</w:t>
      </w:r>
      <w:r w:rsidR="00885364">
        <w:t xml:space="preserve"> en tant qu’attestation </w:t>
      </w:r>
      <w:r w:rsidR="009E2DAB">
        <w:t xml:space="preserve">écrite </w:t>
      </w:r>
      <w:r w:rsidR="00885364">
        <w:t xml:space="preserve">de la tradition apostolique, source première et ultime de la foi et de la théologie. </w:t>
      </w:r>
    </w:p>
    <w:p w14:paraId="48E563EB" w14:textId="077C7268" w:rsidR="00497357" w:rsidRDefault="00885364" w:rsidP="00674E66">
      <w:r>
        <w:t xml:space="preserve">Penser de nouveau à partir de la Bible, à l’école des Pères de l’Église, suivant la continuité bimillénaire de la Tradition de l’Église – telle est sans doute l’intuition la plus puissante léguée par l’œuvre du père de Lubac. </w:t>
      </w:r>
      <w:r w:rsidR="008316D3">
        <w:t>Aux</w:t>
      </w:r>
      <w:r w:rsidR="00C557B2">
        <w:t xml:space="preserve"> pages 158-159</w:t>
      </w:r>
      <w:r w:rsidR="008316D3">
        <w:t>, on admirera aussi comment Lubac aperçoit le potentiel constitué par les homélies et commentaires d’Augustin sur les Psaumes. Depuis lors, l’</w:t>
      </w:r>
      <w:r w:rsidR="00C557B2">
        <w:t xml:space="preserve">extraordinaire littérature </w:t>
      </w:r>
      <w:r w:rsidR="008316D3">
        <w:t>consacrée à</w:t>
      </w:r>
      <w:r w:rsidR="00C557B2">
        <w:t xml:space="preserve"> l’exégèse des Psaumes par Augustin</w:t>
      </w:r>
      <w:r w:rsidR="008316D3">
        <w:t xml:space="preserve"> confirme le bien-fondé</w:t>
      </w:r>
      <w:r w:rsidR="005D5BD6">
        <w:t xml:space="preserve"> de ce jugement. Que l’on pense dans le monde francophone à </w:t>
      </w:r>
      <w:r w:rsidR="008316D3">
        <w:t xml:space="preserve">l’impressionnante entreprise de l’Institut d’Études Augustiniennes que représente l’édition des </w:t>
      </w:r>
      <w:r w:rsidR="008316D3">
        <w:rPr>
          <w:i/>
          <w:iCs/>
        </w:rPr>
        <w:t>Enarrationes in Psalmos</w:t>
      </w:r>
      <w:r w:rsidR="005D5BD6">
        <w:rPr>
          <w:rStyle w:val="Appelnotedebasdep"/>
          <w:i/>
          <w:iCs/>
        </w:rPr>
        <w:footnoteReference w:id="22"/>
      </w:r>
      <w:r w:rsidR="008316D3">
        <w:t>.</w:t>
      </w:r>
      <w:r w:rsidR="003C35A5">
        <w:t xml:space="preserve"> On notera ensuite les somptueux développements auxquels </w:t>
      </w:r>
      <w:r w:rsidR="001577E4">
        <w:t>a pu</w:t>
      </w:r>
      <w:r w:rsidR="003C35A5">
        <w:t xml:space="preserve"> donn</w:t>
      </w:r>
      <w:r w:rsidR="001577E4">
        <w:t>er</w:t>
      </w:r>
      <w:r w:rsidR="003C35A5">
        <w:t xml:space="preserve"> lieu la remarque de Lubac à la page 143 du même ouvrage sur le concept de </w:t>
      </w:r>
      <w:r w:rsidR="00497357" w:rsidRPr="00497357">
        <w:rPr>
          <w:i/>
          <w:iCs/>
        </w:rPr>
        <w:t>symphonia</w:t>
      </w:r>
      <w:r w:rsidR="00497357">
        <w:t xml:space="preserve">, </w:t>
      </w:r>
      <w:r w:rsidR="001577E4">
        <w:t xml:space="preserve">à savoir la force de vérité que l’on attache dans l’Antiquité gréco-romaine à la </w:t>
      </w:r>
      <w:r w:rsidR="00497357">
        <w:t>concorde entre textes et doctrine</w:t>
      </w:r>
      <w:r w:rsidR="001577E4">
        <w:rPr>
          <w:rStyle w:val="Appelnotedebasdep"/>
        </w:rPr>
        <w:footnoteReference w:id="23"/>
      </w:r>
      <w:r w:rsidR="001577E4">
        <w:t>.</w:t>
      </w:r>
    </w:p>
    <w:p w14:paraId="48CBFE09" w14:textId="6A30B96B" w:rsidR="009B04EE" w:rsidRPr="00E6381A" w:rsidRDefault="00914FAB" w:rsidP="00541F42">
      <w:r>
        <w:lastRenderedPageBreak/>
        <w:t>En quatrième lieu, on peut aussi penser au rôle dévolu au</w:t>
      </w:r>
      <w:r w:rsidR="00E40D6B">
        <w:t xml:space="preserve"> peuple juif</w:t>
      </w:r>
      <w:r>
        <w:t xml:space="preserve">. Toujours dans </w:t>
      </w:r>
      <w:r w:rsidR="00E40D6B">
        <w:t> </w:t>
      </w:r>
      <w:r>
        <w:rPr>
          <w:i/>
          <w:iCs/>
        </w:rPr>
        <w:t>Catholicisme </w:t>
      </w:r>
      <w:r>
        <w:t xml:space="preserve">(p. 37), le père de Lubac mentionne la </w:t>
      </w:r>
      <w:r>
        <w:rPr>
          <w:i/>
          <w:iCs/>
        </w:rPr>
        <w:t>gens prophetica</w:t>
      </w:r>
      <w:r>
        <w:t>, Israël tout entier, au principe de l’Église</w:t>
      </w:r>
      <w:r w:rsidR="004D3FF2">
        <w:t> : « l’idée de l’Église vient surtout des Juifs »</w:t>
      </w:r>
      <w:r>
        <w:t>. L’Église « ne permet pas qu’on déchire l’unique Écriture du Christ (…). Elle vénère l’Ancien Testament à l’égal du Nouveau (…). Mais seule aussi, réalisation vivante de ce que l’Ancien Testament contenait en figure, elle permet de le comprendre et, en le lisant dans l’Esprit du Nouveau, de l’éterniser »</w:t>
      </w:r>
      <w:r w:rsidR="004D3FF2">
        <w:t xml:space="preserve"> (p. 37, note 1)</w:t>
      </w:r>
      <w:r>
        <w:t xml:space="preserve">. </w:t>
      </w:r>
      <w:r w:rsidR="0058750E">
        <w:t xml:space="preserve">On pourra trouver </w:t>
      </w:r>
      <w:r w:rsidR="00541F42">
        <w:t xml:space="preserve">dans la théologie magistérielle postconciliaire, plus que dans </w:t>
      </w:r>
      <w:r w:rsidR="00541F42">
        <w:rPr>
          <w:i/>
          <w:iCs/>
        </w:rPr>
        <w:t>Nostra Aetate</w:t>
      </w:r>
      <w:r w:rsidR="00541F42">
        <w:t>, un approfondissement remarquable des relations entre l’Église et le peuple juif, sous l’impulsion de Jean-Paul II et de Benoît XVI</w:t>
      </w:r>
      <w:r w:rsidR="00541F42">
        <w:rPr>
          <w:rStyle w:val="Appelnotedebasdep"/>
        </w:rPr>
        <w:footnoteReference w:id="24"/>
      </w:r>
      <w:r w:rsidR="00541F42">
        <w:t>.</w:t>
      </w:r>
    </w:p>
    <w:sectPr w:rsidR="009B04EE" w:rsidRPr="00E6381A">
      <w:footerReference w:type="default" r:id="rId8"/>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26638" w14:textId="77777777" w:rsidR="00300678" w:rsidRDefault="00300678" w:rsidP="00C2074D">
      <w:pPr>
        <w:spacing w:before="0" w:after="0"/>
      </w:pPr>
      <w:r>
        <w:separator/>
      </w:r>
    </w:p>
  </w:endnote>
  <w:endnote w:type="continuationSeparator" w:id="0">
    <w:p w14:paraId="53A99E0C" w14:textId="77777777" w:rsidR="00300678" w:rsidRDefault="00300678" w:rsidP="00C2074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962584"/>
      <w:docPartObj>
        <w:docPartGallery w:val="Page Numbers (Bottom of Page)"/>
        <w:docPartUnique/>
      </w:docPartObj>
    </w:sdtPr>
    <w:sdtContent>
      <w:p w14:paraId="10C978B3" w14:textId="4AE1E421" w:rsidR="002C582C" w:rsidRDefault="002C582C">
        <w:pPr>
          <w:pStyle w:val="Pieddepage"/>
          <w:jc w:val="right"/>
        </w:pPr>
        <w:r>
          <w:fldChar w:fldCharType="begin"/>
        </w:r>
        <w:r>
          <w:instrText>PAGE   \* MERGEFORMAT</w:instrText>
        </w:r>
        <w:r>
          <w:fldChar w:fldCharType="separate"/>
        </w:r>
        <w:r>
          <w:rPr>
            <w:lang w:val="fr-FR"/>
          </w:rPr>
          <w:t>2</w:t>
        </w:r>
        <w:r>
          <w:fldChar w:fldCharType="end"/>
        </w:r>
      </w:p>
    </w:sdtContent>
  </w:sdt>
  <w:p w14:paraId="4714FCC8" w14:textId="77777777" w:rsidR="002C582C" w:rsidRDefault="002C582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F4285" w14:textId="77777777" w:rsidR="00300678" w:rsidRDefault="00300678" w:rsidP="00C2074D">
      <w:pPr>
        <w:spacing w:before="0" w:after="0"/>
      </w:pPr>
      <w:r>
        <w:separator/>
      </w:r>
    </w:p>
  </w:footnote>
  <w:footnote w:type="continuationSeparator" w:id="0">
    <w:p w14:paraId="6BE9F760" w14:textId="77777777" w:rsidR="00300678" w:rsidRDefault="00300678" w:rsidP="00C2074D">
      <w:pPr>
        <w:spacing w:before="0" w:after="0"/>
      </w:pPr>
      <w:r>
        <w:continuationSeparator/>
      </w:r>
    </w:p>
  </w:footnote>
  <w:footnote w:id="1">
    <w:p w14:paraId="55CCA987" w14:textId="37998FB7" w:rsidR="00792B82" w:rsidRDefault="00792B82">
      <w:pPr>
        <w:pStyle w:val="Notedebasdepage"/>
      </w:pPr>
      <w:r>
        <w:rPr>
          <w:rStyle w:val="Appelnotedebasdep"/>
        </w:rPr>
        <w:footnoteRef/>
      </w:r>
      <w:r>
        <w:t xml:space="preserve"> Ouvrier de la onzième heure dans la vigne lubacienne, je dois à l’invitation généreuse de l’association H. de Lubac d’avoir pris part le vendredi 31 mai 2024 à l’Institut catholique de Paris à </w:t>
      </w:r>
      <w:r w:rsidR="002A70A9">
        <w:t>s</w:t>
      </w:r>
      <w:r>
        <w:t>a journée annuelle. Que Marie-Gabrielle Lemaire, Bertrand Dumas</w:t>
      </w:r>
      <w:r w:rsidR="009A4780">
        <w:t xml:space="preserve">, </w:t>
      </w:r>
      <w:r>
        <w:t>Brigitte Cholvy</w:t>
      </w:r>
      <w:r w:rsidR="009A4780">
        <w:t xml:space="preserve"> et Michel Fédou</w:t>
      </w:r>
      <w:r>
        <w:t xml:space="preserve"> en soient remerciés.</w:t>
      </w:r>
    </w:p>
  </w:footnote>
  <w:footnote w:id="2">
    <w:p w14:paraId="69BF3180" w14:textId="454C68A2" w:rsidR="006D72C3" w:rsidRDefault="006D72C3">
      <w:pPr>
        <w:pStyle w:val="Notedebasdepage"/>
      </w:pPr>
      <w:r>
        <w:rPr>
          <w:rStyle w:val="Appelnotedebasdep"/>
        </w:rPr>
        <w:footnoteRef/>
      </w:r>
      <w:r>
        <w:t xml:space="preserve"> </w:t>
      </w:r>
      <w:r w:rsidR="00FB04FD">
        <w:t>Voir</w:t>
      </w:r>
      <w:r w:rsidR="00E10064">
        <w:t xml:space="preserve"> </w:t>
      </w:r>
      <w:r w:rsidRPr="006D72C3">
        <w:t xml:space="preserve">Mathijs </w:t>
      </w:r>
      <w:r w:rsidRPr="006D72C3">
        <w:rPr>
          <w:smallCaps/>
        </w:rPr>
        <w:t>Lamberigts</w:t>
      </w:r>
      <w:r w:rsidRPr="006D72C3">
        <w:t xml:space="preserve"> &amp; Leo </w:t>
      </w:r>
      <w:r w:rsidRPr="006D72C3">
        <w:rPr>
          <w:smallCaps/>
        </w:rPr>
        <w:t>Declerck</w:t>
      </w:r>
      <w:r w:rsidRPr="006D72C3">
        <w:t>, «</w:t>
      </w:r>
      <w:r w:rsidR="00E10064">
        <w:t> </w:t>
      </w:r>
      <w:r w:rsidRPr="006D72C3">
        <w:t xml:space="preserve">La contribution de la </w:t>
      </w:r>
      <w:r>
        <w:rPr>
          <w:rFonts w:cs="Times New Roman"/>
        </w:rPr>
        <w:t>“</w:t>
      </w:r>
      <w:r w:rsidRPr="006D72C3">
        <w:t>squadra belga</w:t>
      </w:r>
      <w:r>
        <w:rPr>
          <w:rFonts w:cs="Times New Roman"/>
        </w:rPr>
        <w:t>”</w:t>
      </w:r>
      <w:r w:rsidRPr="006D72C3">
        <w:t xml:space="preserve"> au Concile Vatican</w:t>
      </w:r>
      <w:r>
        <w:t> </w:t>
      </w:r>
      <w:r w:rsidRPr="006D72C3">
        <w:t>II », </w:t>
      </w:r>
      <w:r w:rsidRPr="006D72C3">
        <w:rPr>
          <w:i/>
          <w:iCs/>
        </w:rPr>
        <w:t>Anuario de Historia de la Iglesia</w:t>
      </w:r>
      <w:r>
        <w:t xml:space="preserve"> </w:t>
      </w:r>
      <w:r w:rsidRPr="006D72C3">
        <w:t>21 (2012) 157-183</w:t>
      </w:r>
      <w:r w:rsidR="00AD4A21">
        <w:t>.</w:t>
      </w:r>
    </w:p>
  </w:footnote>
  <w:footnote w:id="3">
    <w:p w14:paraId="21388E1B" w14:textId="362AFB9C" w:rsidR="00AD4A21" w:rsidRDefault="00AD4A21">
      <w:pPr>
        <w:pStyle w:val="Notedebasdepage"/>
      </w:pPr>
      <w:r>
        <w:rPr>
          <w:rStyle w:val="Appelnotedebasdep"/>
        </w:rPr>
        <w:footnoteRef/>
      </w:r>
      <w:r>
        <w:t xml:space="preserve"> </w:t>
      </w:r>
      <w:r w:rsidRPr="00AD4A21">
        <w:t xml:space="preserve">Bernard </w:t>
      </w:r>
      <w:r w:rsidRPr="00CC146F">
        <w:rPr>
          <w:smallCaps/>
        </w:rPr>
        <w:t>Joassart</w:t>
      </w:r>
      <w:r w:rsidRPr="00AD4A21">
        <w:t xml:space="preserve">, « Chronique lubacienne », </w:t>
      </w:r>
      <w:r w:rsidRPr="00AD4A21">
        <w:rPr>
          <w:i/>
          <w:iCs/>
        </w:rPr>
        <w:t>NRT</w:t>
      </w:r>
      <w:r w:rsidRPr="00AD4A21">
        <w:t xml:space="preserve"> 130-4 (2008), p. 802-810</w:t>
      </w:r>
      <w:r w:rsidR="00CC146F">
        <w:t>, ici p. 809</w:t>
      </w:r>
      <w:r w:rsidR="00490C9C">
        <w:t xml:space="preserve"> où il recense les deux volumes des </w:t>
      </w:r>
      <w:r w:rsidR="00490C9C">
        <w:rPr>
          <w:i/>
          <w:iCs/>
        </w:rPr>
        <w:t>Carnets du concile</w:t>
      </w:r>
      <w:r w:rsidRPr="00AD4A21">
        <w:t>.</w:t>
      </w:r>
    </w:p>
  </w:footnote>
  <w:footnote w:id="4">
    <w:p w14:paraId="1C8F14AD" w14:textId="7A18281B" w:rsidR="00CC146F" w:rsidRDefault="00CC146F">
      <w:pPr>
        <w:pStyle w:val="Notedebasdepage"/>
      </w:pPr>
      <w:r>
        <w:rPr>
          <w:rStyle w:val="Appelnotedebasdep"/>
        </w:rPr>
        <w:footnoteRef/>
      </w:r>
      <w:r>
        <w:t xml:space="preserve"> H. de </w:t>
      </w:r>
      <w:r w:rsidRPr="00CC146F">
        <w:rPr>
          <w:smallCaps/>
        </w:rPr>
        <w:t>Lubac</w:t>
      </w:r>
      <w:r>
        <w:t xml:space="preserve">, </w:t>
      </w:r>
      <w:r>
        <w:rPr>
          <w:i/>
          <w:iCs/>
        </w:rPr>
        <w:t>Carnets du concile</w:t>
      </w:r>
      <w:r>
        <w:t>, t. 2</w:t>
      </w:r>
      <w:r w:rsidRPr="00CC146F">
        <w:t>, Paris, 2007, p. 369</w:t>
      </w:r>
      <w:r>
        <w:t>.</w:t>
      </w:r>
    </w:p>
  </w:footnote>
  <w:footnote w:id="5">
    <w:p w14:paraId="032947A6" w14:textId="392603AE" w:rsidR="002165F2" w:rsidRDefault="002165F2">
      <w:pPr>
        <w:pStyle w:val="Notedebasdepage"/>
      </w:pPr>
      <w:r>
        <w:rPr>
          <w:rStyle w:val="Appelnotedebasdep"/>
        </w:rPr>
        <w:footnoteRef/>
      </w:r>
      <w:r>
        <w:t xml:space="preserve"> </w:t>
      </w:r>
      <w:r w:rsidR="00863393">
        <w:t>Le fichier numérisé qui témoigne de ses lectures et de son travail de documentation révèle que Gesché avait fait une lecture attentive des ouvrages</w:t>
      </w:r>
      <w:r w:rsidR="00920D0E">
        <w:t xml:space="preserve"> du jésuite français</w:t>
      </w:r>
      <w:r w:rsidR="00863393">
        <w:t xml:space="preserve">. </w:t>
      </w:r>
      <w:r>
        <w:t xml:space="preserve">Sur ce fichier qui atteste cinq décennies de lecture, de commentaire et de réflexion, on peut voir </w:t>
      </w:r>
      <w:hyperlink r:id="rId1" w:history="1">
        <w:r w:rsidRPr="00E07493">
          <w:rPr>
            <w:rStyle w:val="Lienhypertexte"/>
          </w:rPr>
          <w:t>https://uclouvain.be/fr/instituts-recherche/rscs/rrag-le-fichier.html</w:t>
        </w:r>
      </w:hyperlink>
      <w:r>
        <w:t>. Avec un accès possible au fichier sur demande.</w:t>
      </w:r>
    </w:p>
  </w:footnote>
  <w:footnote w:id="6">
    <w:p w14:paraId="6673EFE9" w14:textId="66F1C2F3" w:rsidR="002165F2" w:rsidRPr="002165F2" w:rsidRDefault="002165F2">
      <w:pPr>
        <w:pStyle w:val="Notedebasdepage"/>
      </w:pPr>
      <w:r>
        <w:rPr>
          <w:rStyle w:val="Appelnotedebasdep"/>
        </w:rPr>
        <w:footnoteRef/>
      </w:r>
      <w:r>
        <w:t xml:space="preserve"> Origène, </w:t>
      </w:r>
      <w:r>
        <w:rPr>
          <w:i/>
          <w:iCs/>
        </w:rPr>
        <w:t>Homélies sur Ézéchiel</w:t>
      </w:r>
      <w:r>
        <w:t xml:space="preserve"> 6,6 ; cité dans H. de </w:t>
      </w:r>
      <w:r w:rsidRPr="002165F2">
        <w:rPr>
          <w:smallCaps/>
        </w:rPr>
        <w:t>Lubac</w:t>
      </w:r>
      <w:r>
        <w:t xml:space="preserve">, </w:t>
      </w:r>
      <w:r w:rsidRPr="00395BE0">
        <w:rPr>
          <w:i/>
          <w:iCs/>
        </w:rPr>
        <w:t>Histoire et Esprit. L’intelligence de l’Écriture selon Origène</w:t>
      </w:r>
      <w:r>
        <w:t xml:space="preserve">, Paris, 1950, p. 241. Voir </w:t>
      </w:r>
      <w:r>
        <w:rPr>
          <w:i/>
          <w:iCs/>
        </w:rPr>
        <w:t xml:space="preserve">Sources Chrétiennes </w:t>
      </w:r>
      <w:r>
        <w:t>352, Paris, Cerf, 1989, p. 229-231.</w:t>
      </w:r>
    </w:p>
  </w:footnote>
  <w:footnote w:id="7">
    <w:p w14:paraId="18A01CDA" w14:textId="55EBD67C" w:rsidR="002165F2" w:rsidRDefault="002165F2">
      <w:pPr>
        <w:pStyle w:val="Notedebasdepage"/>
      </w:pPr>
      <w:r>
        <w:rPr>
          <w:rStyle w:val="Appelnotedebasdep"/>
        </w:rPr>
        <w:footnoteRef/>
      </w:r>
      <w:r>
        <w:t xml:space="preserve"> </w:t>
      </w:r>
      <w:r w:rsidRPr="002165F2">
        <w:t xml:space="preserve">Adolphe </w:t>
      </w:r>
      <w:r w:rsidRPr="002165F2">
        <w:rPr>
          <w:smallCaps/>
        </w:rPr>
        <w:t>Gesché</w:t>
      </w:r>
      <w:r w:rsidRPr="002165F2">
        <w:t xml:space="preserve">, </w:t>
      </w:r>
      <w:r w:rsidRPr="002165F2">
        <w:rPr>
          <w:i/>
          <w:iCs/>
        </w:rPr>
        <w:t>Le mal</w:t>
      </w:r>
      <w:r w:rsidRPr="002165F2">
        <w:t>, Dieu pour penser 1, Paris, Cerf, 2002, p. 95</w:t>
      </w:r>
      <w:r>
        <w:t> ;</w:t>
      </w:r>
      <w:r w:rsidRPr="002165F2">
        <w:t xml:space="preserve"> </w:t>
      </w:r>
      <w:r w:rsidRPr="002165F2">
        <w:rPr>
          <w:smallCaps/>
        </w:rPr>
        <w:t>Gesché</w:t>
      </w:r>
      <w:r w:rsidRPr="002165F2">
        <w:t xml:space="preserve">, </w:t>
      </w:r>
      <w:r w:rsidRPr="002165F2">
        <w:rPr>
          <w:i/>
          <w:iCs/>
        </w:rPr>
        <w:t>Le Christ</w:t>
      </w:r>
      <w:r w:rsidRPr="002165F2">
        <w:t>, Dieu pour penser 6, 2001, p. 35</w:t>
      </w:r>
      <w:r>
        <w:t xml:space="preserve"> ; </w:t>
      </w:r>
      <w:r w:rsidRPr="00AC1C4B">
        <w:rPr>
          <w:smallCaps/>
        </w:rPr>
        <w:t>Gesché</w:t>
      </w:r>
      <w:r w:rsidRPr="002165F2">
        <w:t xml:space="preserve">, </w:t>
      </w:r>
      <w:r w:rsidRPr="002165F2">
        <w:rPr>
          <w:i/>
          <w:iCs/>
        </w:rPr>
        <w:t>Dieu</w:t>
      </w:r>
      <w:r w:rsidRPr="002165F2">
        <w:t>, Dieu pour penser 3, 2002, p. 80.81.</w:t>
      </w:r>
    </w:p>
  </w:footnote>
  <w:footnote w:id="8">
    <w:p w14:paraId="0799D144" w14:textId="4AF2DB2E" w:rsidR="002165F2" w:rsidRDefault="002165F2" w:rsidP="002165F2">
      <w:pPr>
        <w:pStyle w:val="Notedebasdepage"/>
      </w:pPr>
      <w:r>
        <w:rPr>
          <w:rStyle w:val="Appelnotedebasdep"/>
        </w:rPr>
        <w:footnoteRef/>
      </w:r>
      <w:r>
        <w:t xml:space="preserve"> </w:t>
      </w:r>
      <w:r w:rsidRPr="002165F2">
        <w:t>be.uclouvain.fichiergesche.curdeushomo_5</w:t>
      </w:r>
    </w:p>
  </w:footnote>
  <w:footnote w:id="9">
    <w:p w14:paraId="5F374918" w14:textId="21DFD347" w:rsidR="00AC1C4B" w:rsidRDefault="00AC1C4B">
      <w:pPr>
        <w:pStyle w:val="Notedebasdepage"/>
      </w:pPr>
      <w:r>
        <w:rPr>
          <w:rStyle w:val="Appelnotedebasdep"/>
        </w:rPr>
        <w:footnoteRef/>
      </w:r>
      <w:r>
        <w:t xml:space="preserve"> Adolphe </w:t>
      </w:r>
      <w:r w:rsidRPr="00AC1C4B">
        <w:rPr>
          <w:smallCaps/>
        </w:rPr>
        <w:t>Gesché</w:t>
      </w:r>
      <w:r>
        <w:t xml:space="preserve">, </w:t>
      </w:r>
      <w:r>
        <w:rPr>
          <w:i/>
          <w:iCs/>
        </w:rPr>
        <w:t>La destinée</w:t>
      </w:r>
      <w:r>
        <w:t>, Dieu pour penser 5, Paris, Cerf, 2004, p. 177.</w:t>
      </w:r>
    </w:p>
  </w:footnote>
  <w:footnote w:id="10">
    <w:p w14:paraId="2C5C24B4" w14:textId="26DB1932" w:rsidR="001412CF" w:rsidRDefault="001412CF">
      <w:pPr>
        <w:pStyle w:val="Notedebasdepage"/>
      </w:pPr>
      <w:r>
        <w:rPr>
          <w:rStyle w:val="Appelnotedebasdep"/>
        </w:rPr>
        <w:footnoteRef/>
      </w:r>
      <w:r>
        <w:t xml:space="preserve"> </w:t>
      </w:r>
      <w:r w:rsidRPr="001412CF">
        <w:t xml:space="preserve">Adolphe </w:t>
      </w:r>
      <w:r w:rsidRPr="001412CF">
        <w:rPr>
          <w:smallCaps/>
        </w:rPr>
        <w:t>Gesché</w:t>
      </w:r>
      <w:r w:rsidRPr="001412CF">
        <w:t xml:space="preserve">, </w:t>
      </w:r>
      <w:r w:rsidRPr="001412CF">
        <w:rPr>
          <w:i/>
          <w:iCs/>
        </w:rPr>
        <w:t>Le cosmos</w:t>
      </w:r>
      <w:r w:rsidRPr="001412CF">
        <w:t>, Dieu pour penser 4, Paris, Cerf, 2004, p. 185-186.</w:t>
      </w:r>
    </w:p>
  </w:footnote>
  <w:footnote w:id="11">
    <w:p w14:paraId="33983466" w14:textId="6E5DD09B" w:rsidR="001412CF" w:rsidRDefault="001412CF">
      <w:pPr>
        <w:pStyle w:val="Notedebasdepage"/>
      </w:pPr>
      <w:r>
        <w:rPr>
          <w:rStyle w:val="Appelnotedebasdep"/>
        </w:rPr>
        <w:footnoteRef/>
      </w:r>
      <w:r>
        <w:t xml:space="preserve"> </w:t>
      </w:r>
      <w:r w:rsidR="00920D0E" w:rsidRPr="00920D0E">
        <w:rPr>
          <w:i/>
          <w:iCs/>
        </w:rPr>
        <w:t>Ibid.</w:t>
      </w:r>
      <w:r w:rsidRPr="001412CF">
        <w:t>, p. 67</w:t>
      </w:r>
      <w:r>
        <w:t xml:space="preserve">, citation de H. de </w:t>
      </w:r>
      <w:r w:rsidRPr="001412CF">
        <w:rPr>
          <w:smallCaps/>
        </w:rPr>
        <w:t>Lubac</w:t>
      </w:r>
      <w:r w:rsidRPr="001412CF">
        <w:t xml:space="preserve">, </w:t>
      </w:r>
      <w:r w:rsidRPr="001412CF">
        <w:rPr>
          <w:i/>
          <w:iCs/>
        </w:rPr>
        <w:t>Sur les chemins de Dieu</w:t>
      </w:r>
      <w:r w:rsidRPr="001412CF">
        <w:t>,</w:t>
      </w:r>
      <w:r>
        <w:t xml:space="preserve"> </w:t>
      </w:r>
      <w:r w:rsidRPr="001412CF">
        <w:t>p. 168-169</w:t>
      </w:r>
      <w:r>
        <w:t>.</w:t>
      </w:r>
    </w:p>
  </w:footnote>
  <w:footnote w:id="12">
    <w:p w14:paraId="1446D339" w14:textId="77777777" w:rsidR="00920D0E" w:rsidRDefault="00920D0E" w:rsidP="00920D0E">
      <w:pPr>
        <w:pStyle w:val="Notedebasdepage"/>
      </w:pPr>
      <w:r>
        <w:rPr>
          <w:rStyle w:val="Appelnotedebasdep"/>
        </w:rPr>
        <w:footnoteRef/>
      </w:r>
      <w:r>
        <w:t xml:space="preserve"> b</w:t>
      </w:r>
      <w:r w:rsidRPr="00F05A90">
        <w:t>e.uclouvain.fichiergesche.citations_79</w:t>
      </w:r>
      <w:r>
        <w:t xml:space="preserve"> citant </w:t>
      </w:r>
      <w:r w:rsidRPr="00F05A90">
        <w:rPr>
          <w:smallCaps/>
        </w:rPr>
        <w:t>Lubac</w:t>
      </w:r>
      <w:r>
        <w:t xml:space="preserve">, </w:t>
      </w:r>
      <w:r w:rsidRPr="00F05A90">
        <w:t xml:space="preserve"> </w:t>
      </w:r>
      <w:r w:rsidRPr="00F05A90">
        <w:rPr>
          <w:i/>
          <w:iCs/>
        </w:rPr>
        <w:t>Sur les chemins de Dieu</w:t>
      </w:r>
      <w:r w:rsidRPr="00F05A90">
        <w:t xml:space="preserve">, p. 76. </w:t>
      </w:r>
    </w:p>
  </w:footnote>
  <w:footnote w:id="13">
    <w:p w14:paraId="0CD8D44E" w14:textId="77CC6805" w:rsidR="005F08D2" w:rsidRPr="005F08D2" w:rsidRDefault="005F08D2">
      <w:pPr>
        <w:pStyle w:val="Notedebasdepage"/>
      </w:pPr>
      <w:r>
        <w:rPr>
          <w:rStyle w:val="Appelnotedebasdep"/>
        </w:rPr>
        <w:footnoteRef/>
      </w:r>
      <w:r>
        <w:t xml:space="preserve"> b</w:t>
      </w:r>
      <w:r w:rsidRPr="005F08D2">
        <w:t>e.uclouvain.fichiergesche.anthropologietheologale_328</w:t>
      </w:r>
      <w:r>
        <w:t xml:space="preserve"> citant H. de </w:t>
      </w:r>
      <w:r w:rsidRPr="00412966">
        <w:rPr>
          <w:smallCaps/>
        </w:rPr>
        <w:t>Lubac</w:t>
      </w:r>
      <w:r>
        <w:t xml:space="preserve">, </w:t>
      </w:r>
      <w:r>
        <w:rPr>
          <w:i/>
          <w:iCs/>
        </w:rPr>
        <w:t>Le drame de l’humanisme athée</w:t>
      </w:r>
      <w:r>
        <w:t xml:space="preserve">, </w:t>
      </w:r>
      <w:r w:rsidR="00412966">
        <w:t xml:space="preserve">Paris, Cerf, 1998, </w:t>
      </w:r>
      <w:r>
        <w:t>p. 29-30.</w:t>
      </w:r>
    </w:p>
  </w:footnote>
  <w:footnote w:id="14">
    <w:p w14:paraId="423F2451" w14:textId="74B563D0" w:rsidR="007317F6" w:rsidRDefault="007317F6">
      <w:pPr>
        <w:pStyle w:val="Notedebasdepage"/>
      </w:pPr>
      <w:r>
        <w:rPr>
          <w:rStyle w:val="Appelnotedebasdep"/>
        </w:rPr>
        <w:footnoteRef/>
      </w:r>
      <w:r>
        <w:t xml:space="preserve"> Nulle part l’ouvrage collectif </w:t>
      </w:r>
      <w:r w:rsidR="00357E54">
        <w:t xml:space="preserve">de référence </w:t>
      </w:r>
      <w:r>
        <w:t xml:space="preserve">consacré à l’œuvre de Gesché ne cite Lubac : </w:t>
      </w:r>
      <w:r w:rsidRPr="007317F6">
        <w:t xml:space="preserve">Benoît </w:t>
      </w:r>
      <w:r w:rsidRPr="007317F6">
        <w:rPr>
          <w:smallCaps/>
        </w:rPr>
        <w:t>Bourgine</w:t>
      </w:r>
      <w:r w:rsidRPr="007317F6">
        <w:t>,</w:t>
      </w:r>
      <w:r>
        <w:t xml:space="preserve"> </w:t>
      </w:r>
      <w:r w:rsidRPr="007317F6">
        <w:t xml:space="preserve">Paulo </w:t>
      </w:r>
      <w:r w:rsidRPr="007317F6">
        <w:rPr>
          <w:smallCaps/>
        </w:rPr>
        <w:t>Rodrigues</w:t>
      </w:r>
      <w:r w:rsidRPr="007317F6">
        <w:t xml:space="preserve">, Paul </w:t>
      </w:r>
      <w:r w:rsidRPr="007317F6">
        <w:rPr>
          <w:smallCaps/>
        </w:rPr>
        <w:t>Scolas</w:t>
      </w:r>
      <w:r>
        <w:rPr>
          <w:smallCaps/>
        </w:rPr>
        <w:t xml:space="preserve"> (</w:t>
      </w:r>
      <w:r w:rsidRPr="007317F6">
        <w:t xml:space="preserve">éd.), </w:t>
      </w:r>
      <w:r w:rsidRPr="007317F6">
        <w:rPr>
          <w:i/>
          <w:iCs/>
        </w:rPr>
        <w:t>La margelle du puits. Adolphe Gesché, une introduction</w:t>
      </w:r>
      <w:r w:rsidRPr="007317F6">
        <w:t>, Paris</w:t>
      </w:r>
      <w:r>
        <w:t>,</w:t>
      </w:r>
      <w:r w:rsidRPr="007317F6">
        <w:t xml:space="preserve"> Cerf</w:t>
      </w:r>
      <w:r>
        <w:t xml:space="preserve">, </w:t>
      </w:r>
      <w:r w:rsidRPr="007317F6">
        <w:t>2013.</w:t>
      </w:r>
    </w:p>
  </w:footnote>
  <w:footnote w:id="15">
    <w:p w14:paraId="5085CA06" w14:textId="507B3306" w:rsidR="00253794" w:rsidRDefault="00253794">
      <w:pPr>
        <w:pStyle w:val="Notedebasdepage"/>
      </w:pPr>
      <w:r>
        <w:rPr>
          <w:rStyle w:val="Appelnotedebasdep"/>
        </w:rPr>
        <w:footnoteRef/>
      </w:r>
      <w:r>
        <w:t xml:space="preserve"> </w:t>
      </w:r>
      <w:r w:rsidRPr="00AB2FE3">
        <w:rPr>
          <w:i/>
          <w:iCs/>
        </w:rPr>
        <w:t>Revue théologique de Louvain</w:t>
      </w:r>
      <w:r>
        <w:t xml:space="preserve"> </w:t>
      </w:r>
      <w:r w:rsidRPr="00AB2FE3">
        <w:t>43</w:t>
      </w:r>
      <w:r>
        <w:t>/</w:t>
      </w:r>
      <w:r w:rsidRPr="00AB2FE3">
        <w:t>2</w:t>
      </w:r>
      <w:r>
        <w:t xml:space="preserve"> (</w:t>
      </w:r>
      <w:r w:rsidRPr="00AB2FE3">
        <w:t>2012</w:t>
      </w:r>
      <w:r>
        <w:t xml:space="preserve">) </w:t>
      </w:r>
      <w:r w:rsidRPr="00AB2FE3">
        <w:t>293</w:t>
      </w:r>
      <w:r>
        <w:t>.</w:t>
      </w:r>
    </w:p>
  </w:footnote>
  <w:footnote w:id="16">
    <w:p w14:paraId="2C971B47" w14:textId="1D44238A" w:rsidR="00FB2C99" w:rsidRDefault="00FB2C99" w:rsidP="00FB2C99">
      <w:pPr>
        <w:pStyle w:val="Notedebasdepage"/>
      </w:pPr>
      <w:r>
        <w:rPr>
          <w:rStyle w:val="Appelnotedebasdep"/>
        </w:rPr>
        <w:footnoteRef/>
      </w:r>
      <w:r>
        <w:t xml:space="preserve"> </w:t>
      </w:r>
      <w:r w:rsidRPr="004D1D3C">
        <w:t xml:space="preserve">Jean-Marie </w:t>
      </w:r>
      <w:r w:rsidRPr="00316BFF">
        <w:rPr>
          <w:smallCaps/>
        </w:rPr>
        <w:t>Auwers</w:t>
      </w:r>
      <w:r w:rsidRPr="004D1D3C">
        <w:t xml:space="preserve">, « La Bible et les Pères. Chronique d’exégèse patristique » </w:t>
      </w:r>
      <w:r w:rsidRPr="004D1D3C">
        <w:rPr>
          <w:i/>
          <w:iCs/>
        </w:rPr>
        <w:t>Revue théologique de Louvain</w:t>
      </w:r>
      <w:r w:rsidRPr="004D1D3C">
        <w:t xml:space="preserve"> 34/2 (2003) 187-211</w:t>
      </w:r>
      <w:r>
        <w:t>, ici p. 192.</w:t>
      </w:r>
    </w:p>
  </w:footnote>
  <w:footnote w:id="17">
    <w:p w14:paraId="028C6275" w14:textId="4ED35A83" w:rsidR="00FB2C99" w:rsidRDefault="00FB2C99">
      <w:pPr>
        <w:pStyle w:val="Notedebasdepage"/>
      </w:pPr>
      <w:r>
        <w:rPr>
          <w:rStyle w:val="Appelnotedebasdep"/>
        </w:rPr>
        <w:footnoteRef/>
      </w:r>
      <w:r>
        <w:t xml:space="preserve"> </w:t>
      </w:r>
      <w:r w:rsidRPr="00316BFF">
        <w:rPr>
          <w:smallCaps/>
        </w:rPr>
        <w:t>Auwers</w:t>
      </w:r>
      <w:r w:rsidRPr="004D1D3C">
        <w:t>, « La Bible et les Pères</w:t>
      </w:r>
      <w:r>
        <w:t> », p. 187-188.</w:t>
      </w:r>
    </w:p>
  </w:footnote>
  <w:footnote w:id="18">
    <w:p w14:paraId="33F6F855" w14:textId="77777777" w:rsidR="0014720F" w:rsidRDefault="0014720F" w:rsidP="0014720F">
      <w:pPr>
        <w:pStyle w:val="Notedebasdepage"/>
      </w:pPr>
      <w:r>
        <w:rPr>
          <w:rStyle w:val="Appelnotedebasdep"/>
        </w:rPr>
        <w:footnoteRef/>
      </w:r>
      <w:r>
        <w:t xml:space="preserve"> </w:t>
      </w:r>
      <w:r w:rsidRPr="0003268A">
        <w:t xml:space="preserve">Blaise </w:t>
      </w:r>
      <w:r w:rsidRPr="00DE4DA4">
        <w:rPr>
          <w:smallCaps/>
        </w:rPr>
        <w:t>Pascal</w:t>
      </w:r>
      <w:r w:rsidRPr="0003268A">
        <w:t xml:space="preserve">, </w:t>
      </w:r>
      <w:r w:rsidRPr="0003268A">
        <w:rPr>
          <w:i/>
          <w:iCs/>
        </w:rPr>
        <w:t>Pensées</w:t>
      </w:r>
      <w:r w:rsidRPr="0003268A">
        <w:t xml:space="preserve">, Fragment 61 Le Guern, Recueil original 73, Brunschvicg 115, Lafuma 65 dans Id., </w:t>
      </w:r>
      <w:r w:rsidRPr="0003268A">
        <w:rPr>
          <w:i/>
          <w:iCs/>
        </w:rPr>
        <w:t>Œuvres complètes</w:t>
      </w:r>
      <w:r w:rsidRPr="0003268A">
        <w:t>, t. 2, Paris, Gallimard, Bibliothèque de la Pléiade, 2000, p. 562.</w:t>
      </w:r>
    </w:p>
  </w:footnote>
  <w:footnote w:id="19">
    <w:p w14:paraId="6E3D1F08" w14:textId="23983731" w:rsidR="00316BFF" w:rsidRDefault="00316BFF">
      <w:pPr>
        <w:pStyle w:val="Notedebasdepage"/>
      </w:pPr>
      <w:r>
        <w:rPr>
          <w:rStyle w:val="Appelnotedebasdep"/>
        </w:rPr>
        <w:footnoteRef/>
      </w:r>
      <w:r>
        <w:t xml:space="preserve"> Le réseau</w:t>
      </w:r>
      <w:r w:rsidR="00E53623">
        <w:t xml:space="preserve"> THEODOC</w:t>
      </w:r>
      <w:r>
        <w:t xml:space="preserve"> réunit les 9 écoles doctorales en théologie francophone les plus importantes</w:t>
      </w:r>
      <w:r w:rsidR="00E53623">
        <w:t xml:space="preserve"> numériquement</w:t>
      </w:r>
      <w:r w:rsidR="00491CA7">
        <w:t> : ICP, UCLouvain, Fribourg, UCLy, Strasbourg, Genève-Lausanne-Neuchâtel, IPT, Loyola Paris, Laval</w:t>
      </w:r>
      <w:r>
        <w:t>. Un répertoire recense les thèses défendues</w:t>
      </w:r>
      <w:r w:rsidR="00E53623">
        <w:t xml:space="preserve"> (1154)</w:t>
      </w:r>
      <w:r>
        <w:t xml:space="preserve"> et en cours</w:t>
      </w:r>
      <w:r w:rsidR="00E53623">
        <w:t xml:space="preserve"> (530).</w:t>
      </w:r>
    </w:p>
  </w:footnote>
  <w:footnote w:id="20">
    <w:p w14:paraId="5D2D3B62" w14:textId="17859F91" w:rsidR="000B33A7" w:rsidRDefault="000B33A7" w:rsidP="000B33A7">
      <w:pPr>
        <w:pStyle w:val="Notedebasdepage"/>
      </w:pPr>
      <w:r>
        <w:rPr>
          <w:rStyle w:val="Appelnotedebasdep"/>
        </w:rPr>
        <w:footnoteRef/>
      </w:r>
      <w:r>
        <w:t xml:space="preserve"> Marie-Gabrielle </w:t>
      </w:r>
      <w:r w:rsidRPr="000B33A7">
        <w:rPr>
          <w:smallCaps/>
        </w:rPr>
        <w:t>Lemaire</w:t>
      </w:r>
      <w:r>
        <w:t>, « </w:t>
      </w:r>
      <w:r w:rsidRPr="000B33A7">
        <w:t>Faut-il dédramatiser l’athéisme ?</w:t>
      </w:r>
      <w:r>
        <w:t xml:space="preserve"> », </w:t>
      </w:r>
      <w:r>
        <w:rPr>
          <w:i/>
          <w:iCs/>
        </w:rPr>
        <w:t>Nouvelle Revue Théologique</w:t>
      </w:r>
      <w:r w:rsidRPr="000B33A7">
        <w:t xml:space="preserve"> 141</w:t>
      </w:r>
      <w:r>
        <w:t>/</w:t>
      </w:r>
      <w:r w:rsidRPr="000B33A7">
        <w:t>2 (2019)</w:t>
      </w:r>
      <w:r>
        <w:t xml:space="preserve"> </w:t>
      </w:r>
      <w:r w:rsidRPr="000B33A7">
        <w:t>264-283</w:t>
      </w:r>
      <w:r>
        <w:t>.</w:t>
      </w:r>
    </w:p>
  </w:footnote>
  <w:footnote w:id="21">
    <w:p w14:paraId="3975DCC1" w14:textId="65E473A9" w:rsidR="00BE1303" w:rsidRDefault="00BE1303">
      <w:pPr>
        <w:pStyle w:val="Notedebasdepage"/>
      </w:pPr>
      <w:r>
        <w:rPr>
          <w:rStyle w:val="Appelnotedebasdep"/>
        </w:rPr>
        <w:footnoteRef/>
      </w:r>
      <w:r>
        <w:t xml:space="preserve"> Marie-Gabrielle </w:t>
      </w:r>
      <w:r w:rsidRPr="000B33A7">
        <w:rPr>
          <w:smallCaps/>
        </w:rPr>
        <w:t>Lemaire</w:t>
      </w:r>
      <w:r>
        <w:t>,</w:t>
      </w:r>
      <w:r w:rsidRPr="00BE1303">
        <w:t xml:space="preserve"> </w:t>
      </w:r>
      <w:r w:rsidRPr="00BE1303">
        <w:rPr>
          <w:i/>
          <w:iCs/>
        </w:rPr>
        <w:t>Prendre conscience du Christ. Du Surnaturel à l’intelligence spirituelle de l’Écriture : le mouvement de la conversion chez Henri de Lubac (coll. Études lubaciennes, XIII). Paris, Cerf, 2023</w:t>
      </w:r>
      <w:r w:rsidRPr="00BE1303">
        <w:t>, p.</w:t>
      </w:r>
      <w:r>
        <w:t> </w:t>
      </w:r>
      <w:r w:rsidRPr="00BE1303">
        <w:t>369</w:t>
      </w:r>
      <w:r>
        <w:t>.</w:t>
      </w:r>
      <w:r w:rsidR="00247343">
        <w:t xml:space="preserve"> C’est nous qui soulignons.</w:t>
      </w:r>
    </w:p>
  </w:footnote>
  <w:footnote w:id="22">
    <w:p w14:paraId="3B90D02D" w14:textId="46719247" w:rsidR="005D5BD6" w:rsidRDefault="005D5BD6" w:rsidP="005D5BD6">
      <w:pPr>
        <w:pStyle w:val="Notedebasdepage"/>
      </w:pPr>
      <w:r>
        <w:rPr>
          <w:rStyle w:val="Appelnotedebasdep"/>
        </w:rPr>
        <w:footnoteRef/>
      </w:r>
      <w:r>
        <w:t xml:space="preserve"> Anne-Isabelle </w:t>
      </w:r>
      <w:r w:rsidRPr="005D5BD6">
        <w:rPr>
          <w:smallCaps/>
        </w:rPr>
        <w:t>Bouton-Touboulic</w:t>
      </w:r>
      <w:r>
        <w:t xml:space="preserve">, « Éditer Augustin dans la </w:t>
      </w:r>
      <w:r>
        <w:rPr>
          <w:rFonts w:cs="Times New Roman"/>
        </w:rPr>
        <w:t>“</w:t>
      </w:r>
      <w:r>
        <w:t>Bibliothèque Augustinienne</w:t>
      </w:r>
      <w:r>
        <w:rPr>
          <w:rFonts w:cs="Times New Roman"/>
        </w:rPr>
        <w:t>”</w:t>
      </w:r>
      <w:r>
        <w:t xml:space="preserve"> : l’exemple des </w:t>
      </w:r>
      <w:r w:rsidRPr="005D5BD6">
        <w:rPr>
          <w:i/>
          <w:iCs/>
        </w:rPr>
        <w:t>Commentaires des Psaumes</w:t>
      </w:r>
      <w:r>
        <w:t xml:space="preserve"> », </w:t>
      </w:r>
      <w:r w:rsidRPr="005D5BD6">
        <w:rPr>
          <w:i/>
          <w:iCs/>
        </w:rPr>
        <w:t>Bulletin de l'Association Guillaume Budé</w:t>
      </w:r>
      <w:r>
        <w:t xml:space="preserve"> (2019/1) 114-131.</w:t>
      </w:r>
    </w:p>
  </w:footnote>
  <w:footnote w:id="23">
    <w:p w14:paraId="4E3DF61F" w14:textId="1DFFFEF7" w:rsidR="001577E4" w:rsidRDefault="001577E4">
      <w:pPr>
        <w:pStyle w:val="Notedebasdepage"/>
      </w:pPr>
      <w:r>
        <w:rPr>
          <w:rStyle w:val="Appelnotedebasdep"/>
        </w:rPr>
        <w:footnoteRef/>
      </w:r>
      <w:r>
        <w:t xml:space="preserve"> Voir par exemple </w:t>
      </w:r>
      <w:r w:rsidRPr="001577E4">
        <w:t>Sébastien</w:t>
      </w:r>
      <w:r>
        <w:t xml:space="preserve"> </w:t>
      </w:r>
      <w:r w:rsidRPr="001577E4">
        <w:rPr>
          <w:smallCaps/>
        </w:rPr>
        <w:t>Morlet</w:t>
      </w:r>
      <w:r w:rsidRPr="001577E4">
        <w:t xml:space="preserve">, </w:t>
      </w:r>
      <w:r w:rsidRPr="001577E4">
        <w:rPr>
          <w:i/>
          <w:iCs/>
        </w:rPr>
        <w:t>Symphonia. La concorde des textes et des doctrines dans la littérature grecque jusqu’à Origène</w:t>
      </w:r>
      <w:r w:rsidRPr="001577E4">
        <w:t>, Paris, Les Belles Lettres, 2019.</w:t>
      </w:r>
    </w:p>
  </w:footnote>
  <w:footnote w:id="24">
    <w:p w14:paraId="6A462186" w14:textId="1A1ECB3B" w:rsidR="00541F42" w:rsidRPr="00541F42" w:rsidRDefault="00541F42" w:rsidP="00541F42">
      <w:pPr>
        <w:pStyle w:val="Notedebasdepage"/>
      </w:pPr>
      <w:r>
        <w:rPr>
          <w:rStyle w:val="Appelnotedebasdep"/>
        </w:rPr>
        <w:footnoteRef/>
      </w:r>
      <w:r>
        <w:t xml:space="preserve"> L’ouvrage récent de Jean-Miguel Garrigues, </w:t>
      </w:r>
      <w:r>
        <w:rPr>
          <w:i/>
          <w:iCs/>
        </w:rPr>
        <w:t>L</w:t>
      </w:r>
      <w:r w:rsidRPr="00541F42">
        <w:rPr>
          <w:i/>
          <w:iCs/>
        </w:rPr>
        <w:t>’impossible substitutio</w:t>
      </w:r>
      <w:r>
        <w:rPr>
          <w:i/>
          <w:iCs/>
        </w:rPr>
        <w:t>n</w:t>
      </w:r>
      <w:r>
        <w:t>, Paris, Belles Lettres, 2023 donne la mesure des progrès réalisés en quelques décennies par la théologie catholique dans l’élucidation de la signification actuelle</w:t>
      </w:r>
      <w:r w:rsidR="00212E93">
        <w:t xml:space="preserve"> et future</w:t>
      </w:r>
      <w:r>
        <w:t xml:space="preserve"> du peuple juif au cœur du dessein divin de salut.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E3A4F"/>
    <w:multiLevelType w:val="hybridMultilevel"/>
    <w:tmpl w:val="6D1055F4"/>
    <w:lvl w:ilvl="0" w:tplc="FD126538">
      <w:start w:val="16"/>
      <w:numFmt w:val="bullet"/>
      <w:lvlText w:val="-"/>
      <w:lvlJc w:val="left"/>
      <w:pPr>
        <w:ind w:left="720" w:hanging="360"/>
      </w:pPr>
      <w:rPr>
        <w:rFonts w:ascii="Book Antiqua" w:eastAsiaTheme="minorHAnsi" w:hAnsi="Book Antiqua" w:cstheme="minorBidi"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EBB1AEC"/>
    <w:multiLevelType w:val="hybridMultilevel"/>
    <w:tmpl w:val="3CAAB81E"/>
    <w:lvl w:ilvl="0" w:tplc="100C010A">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5F23094A"/>
    <w:multiLevelType w:val="hybridMultilevel"/>
    <w:tmpl w:val="019CFF56"/>
    <w:lvl w:ilvl="0" w:tplc="3592AE1C">
      <w:start w:val="1"/>
      <w:numFmt w:val="bullet"/>
      <w:lvlText w:val="-"/>
      <w:lvlJc w:val="left"/>
      <w:pPr>
        <w:ind w:left="720" w:hanging="360"/>
      </w:pPr>
      <w:rPr>
        <w:rFonts w:ascii="Book Antiqua" w:eastAsiaTheme="minorHAnsi" w:hAnsi="Book Antiqua"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72CD7066"/>
    <w:multiLevelType w:val="hybridMultilevel"/>
    <w:tmpl w:val="A25C1FCA"/>
    <w:lvl w:ilvl="0" w:tplc="BDA04F74">
      <w:start w:val="1"/>
      <w:numFmt w:val="decimal"/>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4" w15:restartNumberingAfterBreak="0">
    <w:nsid w:val="745C34AB"/>
    <w:multiLevelType w:val="hybridMultilevel"/>
    <w:tmpl w:val="AE6CF8F2"/>
    <w:lvl w:ilvl="0" w:tplc="080C0017">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1990861282">
    <w:abstractNumId w:val="2"/>
  </w:num>
  <w:num w:numId="2" w16cid:durableId="1943603683">
    <w:abstractNumId w:val="0"/>
  </w:num>
  <w:num w:numId="3" w16cid:durableId="109207546">
    <w:abstractNumId w:val="4"/>
  </w:num>
  <w:num w:numId="4" w16cid:durableId="1588224082">
    <w:abstractNumId w:val="1"/>
  </w:num>
  <w:num w:numId="5" w16cid:durableId="6752290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4BE"/>
    <w:rsid w:val="000018B0"/>
    <w:rsid w:val="00024A36"/>
    <w:rsid w:val="0003268A"/>
    <w:rsid w:val="0004378A"/>
    <w:rsid w:val="00046EE1"/>
    <w:rsid w:val="00051CC7"/>
    <w:rsid w:val="000535E3"/>
    <w:rsid w:val="00075D8F"/>
    <w:rsid w:val="00091C7E"/>
    <w:rsid w:val="000A1D7A"/>
    <w:rsid w:val="000B33A7"/>
    <w:rsid w:val="000B6E6E"/>
    <w:rsid w:val="000C19C9"/>
    <w:rsid w:val="000D54B6"/>
    <w:rsid w:val="000D7748"/>
    <w:rsid w:val="000E3957"/>
    <w:rsid w:val="000E6D22"/>
    <w:rsid w:val="000F77CA"/>
    <w:rsid w:val="0010539D"/>
    <w:rsid w:val="00125AF4"/>
    <w:rsid w:val="0013263C"/>
    <w:rsid w:val="001365E1"/>
    <w:rsid w:val="001412CF"/>
    <w:rsid w:val="00146FED"/>
    <w:rsid w:val="0014720F"/>
    <w:rsid w:val="00152BD7"/>
    <w:rsid w:val="00152D00"/>
    <w:rsid w:val="001577E4"/>
    <w:rsid w:val="00175EDE"/>
    <w:rsid w:val="00185C0A"/>
    <w:rsid w:val="0019184F"/>
    <w:rsid w:val="00194144"/>
    <w:rsid w:val="00194FA6"/>
    <w:rsid w:val="001A59FC"/>
    <w:rsid w:val="001A60F2"/>
    <w:rsid w:val="001B0957"/>
    <w:rsid w:val="001B2B35"/>
    <w:rsid w:val="001B61AD"/>
    <w:rsid w:val="001B717F"/>
    <w:rsid w:val="001C5D29"/>
    <w:rsid w:val="001C6CF9"/>
    <w:rsid w:val="001D2542"/>
    <w:rsid w:val="001D3690"/>
    <w:rsid w:val="001D7AE1"/>
    <w:rsid w:val="001E72A5"/>
    <w:rsid w:val="001F4444"/>
    <w:rsid w:val="001F6D48"/>
    <w:rsid w:val="00204DB8"/>
    <w:rsid w:val="00212E93"/>
    <w:rsid w:val="002165F2"/>
    <w:rsid w:val="00223247"/>
    <w:rsid w:val="00247343"/>
    <w:rsid w:val="00251448"/>
    <w:rsid w:val="00253794"/>
    <w:rsid w:val="00255630"/>
    <w:rsid w:val="0026066F"/>
    <w:rsid w:val="00261658"/>
    <w:rsid w:val="00263D60"/>
    <w:rsid w:val="0027719C"/>
    <w:rsid w:val="00283224"/>
    <w:rsid w:val="00285F49"/>
    <w:rsid w:val="00290E7B"/>
    <w:rsid w:val="002A6ED3"/>
    <w:rsid w:val="002A70A9"/>
    <w:rsid w:val="002A7376"/>
    <w:rsid w:val="002B033C"/>
    <w:rsid w:val="002B7833"/>
    <w:rsid w:val="002C582C"/>
    <w:rsid w:val="002C7710"/>
    <w:rsid w:val="002D22D9"/>
    <w:rsid w:val="002E4A7E"/>
    <w:rsid w:val="002E5405"/>
    <w:rsid w:val="002E7430"/>
    <w:rsid w:val="002E7814"/>
    <w:rsid w:val="00300173"/>
    <w:rsid w:val="00300678"/>
    <w:rsid w:val="003013DC"/>
    <w:rsid w:val="00312012"/>
    <w:rsid w:val="00316BFF"/>
    <w:rsid w:val="00325924"/>
    <w:rsid w:val="00330EDC"/>
    <w:rsid w:val="00337B0A"/>
    <w:rsid w:val="00341F2F"/>
    <w:rsid w:val="00342D80"/>
    <w:rsid w:val="00346A50"/>
    <w:rsid w:val="00350B89"/>
    <w:rsid w:val="00357E54"/>
    <w:rsid w:val="00363457"/>
    <w:rsid w:val="00363BB8"/>
    <w:rsid w:val="0037106D"/>
    <w:rsid w:val="0037213A"/>
    <w:rsid w:val="003851C4"/>
    <w:rsid w:val="0039196A"/>
    <w:rsid w:val="00395BE0"/>
    <w:rsid w:val="003A1F20"/>
    <w:rsid w:val="003A7EBA"/>
    <w:rsid w:val="003B394F"/>
    <w:rsid w:val="003C19C9"/>
    <w:rsid w:val="003C35A5"/>
    <w:rsid w:val="003D0F94"/>
    <w:rsid w:val="003D7E01"/>
    <w:rsid w:val="003E1F68"/>
    <w:rsid w:val="003F2040"/>
    <w:rsid w:val="003F2849"/>
    <w:rsid w:val="0040310D"/>
    <w:rsid w:val="00404E07"/>
    <w:rsid w:val="00412966"/>
    <w:rsid w:val="00421171"/>
    <w:rsid w:val="00427947"/>
    <w:rsid w:val="004363B3"/>
    <w:rsid w:val="00441CD1"/>
    <w:rsid w:val="004426C2"/>
    <w:rsid w:val="004539F3"/>
    <w:rsid w:val="004635C4"/>
    <w:rsid w:val="004722A8"/>
    <w:rsid w:val="00473E81"/>
    <w:rsid w:val="00473FF2"/>
    <w:rsid w:val="00477998"/>
    <w:rsid w:val="004846B6"/>
    <w:rsid w:val="00486EEB"/>
    <w:rsid w:val="00490C9C"/>
    <w:rsid w:val="00491CA7"/>
    <w:rsid w:val="004966AA"/>
    <w:rsid w:val="00496F52"/>
    <w:rsid w:val="00497357"/>
    <w:rsid w:val="004A011A"/>
    <w:rsid w:val="004A38A9"/>
    <w:rsid w:val="004A425A"/>
    <w:rsid w:val="004A693D"/>
    <w:rsid w:val="004A6B85"/>
    <w:rsid w:val="004C6A7D"/>
    <w:rsid w:val="004D1638"/>
    <w:rsid w:val="004D1D3C"/>
    <w:rsid w:val="004D27CB"/>
    <w:rsid w:val="004D33E5"/>
    <w:rsid w:val="004D3FF2"/>
    <w:rsid w:val="004E3DDC"/>
    <w:rsid w:val="004E75F8"/>
    <w:rsid w:val="004E7E57"/>
    <w:rsid w:val="004F3B49"/>
    <w:rsid w:val="00506E6E"/>
    <w:rsid w:val="00513EDB"/>
    <w:rsid w:val="00524424"/>
    <w:rsid w:val="00532C45"/>
    <w:rsid w:val="005370B4"/>
    <w:rsid w:val="00541F42"/>
    <w:rsid w:val="0055267D"/>
    <w:rsid w:val="005544BE"/>
    <w:rsid w:val="005769AE"/>
    <w:rsid w:val="00586D96"/>
    <w:rsid w:val="0058750E"/>
    <w:rsid w:val="005B079A"/>
    <w:rsid w:val="005C664F"/>
    <w:rsid w:val="005D04A2"/>
    <w:rsid w:val="005D2934"/>
    <w:rsid w:val="005D5BD6"/>
    <w:rsid w:val="005E455B"/>
    <w:rsid w:val="005F0034"/>
    <w:rsid w:val="005F08D2"/>
    <w:rsid w:val="0060492A"/>
    <w:rsid w:val="00604C1E"/>
    <w:rsid w:val="00617627"/>
    <w:rsid w:val="006351F1"/>
    <w:rsid w:val="0064303F"/>
    <w:rsid w:val="0065153E"/>
    <w:rsid w:val="006540EA"/>
    <w:rsid w:val="00654247"/>
    <w:rsid w:val="006656E4"/>
    <w:rsid w:val="00674E66"/>
    <w:rsid w:val="00685B7F"/>
    <w:rsid w:val="00692DC0"/>
    <w:rsid w:val="00695FAE"/>
    <w:rsid w:val="00697BA4"/>
    <w:rsid w:val="006A1264"/>
    <w:rsid w:val="006A162C"/>
    <w:rsid w:val="006A557E"/>
    <w:rsid w:val="006A594D"/>
    <w:rsid w:val="006B1258"/>
    <w:rsid w:val="006B6EAB"/>
    <w:rsid w:val="006B7EDC"/>
    <w:rsid w:val="006C2964"/>
    <w:rsid w:val="006D72C3"/>
    <w:rsid w:val="006D7AFF"/>
    <w:rsid w:val="006E1B47"/>
    <w:rsid w:val="006E3272"/>
    <w:rsid w:val="006E46E9"/>
    <w:rsid w:val="006F03C3"/>
    <w:rsid w:val="006F2628"/>
    <w:rsid w:val="00703736"/>
    <w:rsid w:val="00705D37"/>
    <w:rsid w:val="00713622"/>
    <w:rsid w:val="007145F4"/>
    <w:rsid w:val="00717BCC"/>
    <w:rsid w:val="00723572"/>
    <w:rsid w:val="0072732E"/>
    <w:rsid w:val="00730DEE"/>
    <w:rsid w:val="007317F6"/>
    <w:rsid w:val="00750396"/>
    <w:rsid w:val="007569ED"/>
    <w:rsid w:val="00757417"/>
    <w:rsid w:val="00757A7F"/>
    <w:rsid w:val="0076251C"/>
    <w:rsid w:val="007844D2"/>
    <w:rsid w:val="00792B82"/>
    <w:rsid w:val="00796995"/>
    <w:rsid w:val="007B1EFA"/>
    <w:rsid w:val="007B4312"/>
    <w:rsid w:val="007B65D4"/>
    <w:rsid w:val="007C6DED"/>
    <w:rsid w:val="007D217B"/>
    <w:rsid w:val="007F23AE"/>
    <w:rsid w:val="00801AF6"/>
    <w:rsid w:val="00813789"/>
    <w:rsid w:val="00814FC2"/>
    <w:rsid w:val="00816559"/>
    <w:rsid w:val="008206A7"/>
    <w:rsid w:val="008316D3"/>
    <w:rsid w:val="0083797A"/>
    <w:rsid w:val="008451F5"/>
    <w:rsid w:val="00850D98"/>
    <w:rsid w:val="008532A1"/>
    <w:rsid w:val="00862331"/>
    <w:rsid w:val="00863393"/>
    <w:rsid w:val="00866174"/>
    <w:rsid w:val="00872F31"/>
    <w:rsid w:val="00885364"/>
    <w:rsid w:val="00894EA3"/>
    <w:rsid w:val="00895126"/>
    <w:rsid w:val="008D34A0"/>
    <w:rsid w:val="008E42D4"/>
    <w:rsid w:val="008F4D2E"/>
    <w:rsid w:val="008F53A7"/>
    <w:rsid w:val="008F7143"/>
    <w:rsid w:val="009124EF"/>
    <w:rsid w:val="00914688"/>
    <w:rsid w:val="00914BA7"/>
    <w:rsid w:val="00914FAB"/>
    <w:rsid w:val="00920D0E"/>
    <w:rsid w:val="009214C1"/>
    <w:rsid w:val="00924100"/>
    <w:rsid w:val="00924CC8"/>
    <w:rsid w:val="009411EF"/>
    <w:rsid w:val="009434D1"/>
    <w:rsid w:val="00952523"/>
    <w:rsid w:val="0098110E"/>
    <w:rsid w:val="00993AAF"/>
    <w:rsid w:val="009A3E71"/>
    <w:rsid w:val="009A4780"/>
    <w:rsid w:val="009A77B9"/>
    <w:rsid w:val="009B04EE"/>
    <w:rsid w:val="009B5415"/>
    <w:rsid w:val="009C0A40"/>
    <w:rsid w:val="009C6305"/>
    <w:rsid w:val="009E2DAB"/>
    <w:rsid w:val="009E2E45"/>
    <w:rsid w:val="009E7BF9"/>
    <w:rsid w:val="009F00A0"/>
    <w:rsid w:val="009F3792"/>
    <w:rsid w:val="00A0390B"/>
    <w:rsid w:val="00A44DDC"/>
    <w:rsid w:val="00A45971"/>
    <w:rsid w:val="00A45AB2"/>
    <w:rsid w:val="00A54929"/>
    <w:rsid w:val="00A97E0A"/>
    <w:rsid w:val="00AB11EF"/>
    <w:rsid w:val="00AB2FE3"/>
    <w:rsid w:val="00AC1C4B"/>
    <w:rsid w:val="00AC524C"/>
    <w:rsid w:val="00AD4A21"/>
    <w:rsid w:val="00B011D7"/>
    <w:rsid w:val="00B02080"/>
    <w:rsid w:val="00B029E8"/>
    <w:rsid w:val="00B04C21"/>
    <w:rsid w:val="00B11A61"/>
    <w:rsid w:val="00B35995"/>
    <w:rsid w:val="00B4612F"/>
    <w:rsid w:val="00B4742A"/>
    <w:rsid w:val="00B529F3"/>
    <w:rsid w:val="00B607EC"/>
    <w:rsid w:val="00B61612"/>
    <w:rsid w:val="00B63CDB"/>
    <w:rsid w:val="00B66B3E"/>
    <w:rsid w:val="00B72302"/>
    <w:rsid w:val="00B81A44"/>
    <w:rsid w:val="00B86DCC"/>
    <w:rsid w:val="00B93D64"/>
    <w:rsid w:val="00B9477F"/>
    <w:rsid w:val="00BA2E91"/>
    <w:rsid w:val="00BB3AD7"/>
    <w:rsid w:val="00BB5D8D"/>
    <w:rsid w:val="00BB6C1C"/>
    <w:rsid w:val="00BC088D"/>
    <w:rsid w:val="00BC22F9"/>
    <w:rsid w:val="00BD3353"/>
    <w:rsid w:val="00BD39B4"/>
    <w:rsid w:val="00BE1303"/>
    <w:rsid w:val="00BF1037"/>
    <w:rsid w:val="00BF4558"/>
    <w:rsid w:val="00C00456"/>
    <w:rsid w:val="00C00480"/>
    <w:rsid w:val="00C011BD"/>
    <w:rsid w:val="00C05765"/>
    <w:rsid w:val="00C2074D"/>
    <w:rsid w:val="00C256C6"/>
    <w:rsid w:val="00C5377A"/>
    <w:rsid w:val="00C557B2"/>
    <w:rsid w:val="00C64CDE"/>
    <w:rsid w:val="00C71A12"/>
    <w:rsid w:val="00C73A97"/>
    <w:rsid w:val="00C742D8"/>
    <w:rsid w:val="00C81EC5"/>
    <w:rsid w:val="00C93B72"/>
    <w:rsid w:val="00C95CAB"/>
    <w:rsid w:val="00CA0C92"/>
    <w:rsid w:val="00CB4C2E"/>
    <w:rsid w:val="00CC146F"/>
    <w:rsid w:val="00CD489F"/>
    <w:rsid w:val="00CD6FA6"/>
    <w:rsid w:val="00D11BD6"/>
    <w:rsid w:val="00D2136C"/>
    <w:rsid w:val="00D50025"/>
    <w:rsid w:val="00D74F89"/>
    <w:rsid w:val="00D86CEB"/>
    <w:rsid w:val="00DA1B9B"/>
    <w:rsid w:val="00DA2267"/>
    <w:rsid w:val="00DA4565"/>
    <w:rsid w:val="00DB2597"/>
    <w:rsid w:val="00DC2FEC"/>
    <w:rsid w:val="00DC3CA8"/>
    <w:rsid w:val="00DD26FE"/>
    <w:rsid w:val="00DE2CEF"/>
    <w:rsid w:val="00DE4616"/>
    <w:rsid w:val="00DE4DA4"/>
    <w:rsid w:val="00E00AB0"/>
    <w:rsid w:val="00E0116E"/>
    <w:rsid w:val="00E06973"/>
    <w:rsid w:val="00E07D4F"/>
    <w:rsid w:val="00E10064"/>
    <w:rsid w:val="00E101B7"/>
    <w:rsid w:val="00E12FB6"/>
    <w:rsid w:val="00E1359F"/>
    <w:rsid w:val="00E21C1D"/>
    <w:rsid w:val="00E2355C"/>
    <w:rsid w:val="00E259F9"/>
    <w:rsid w:val="00E25D96"/>
    <w:rsid w:val="00E40D6B"/>
    <w:rsid w:val="00E436E0"/>
    <w:rsid w:val="00E53623"/>
    <w:rsid w:val="00E6381A"/>
    <w:rsid w:val="00E64B4A"/>
    <w:rsid w:val="00E71A6D"/>
    <w:rsid w:val="00E75BFB"/>
    <w:rsid w:val="00E902C9"/>
    <w:rsid w:val="00E93951"/>
    <w:rsid w:val="00E95EE5"/>
    <w:rsid w:val="00EB7215"/>
    <w:rsid w:val="00EC6D69"/>
    <w:rsid w:val="00ED473A"/>
    <w:rsid w:val="00ED6DFE"/>
    <w:rsid w:val="00EE06F9"/>
    <w:rsid w:val="00EE4ABD"/>
    <w:rsid w:val="00EF379C"/>
    <w:rsid w:val="00F05A90"/>
    <w:rsid w:val="00F23F6A"/>
    <w:rsid w:val="00F26851"/>
    <w:rsid w:val="00F279D2"/>
    <w:rsid w:val="00F402F0"/>
    <w:rsid w:val="00F44372"/>
    <w:rsid w:val="00F52191"/>
    <w:rsid w:val="00F528AE"/>
    <w:rsid w:val="00F53B44"/>
    <w:rsid w:val="00F64862"/>
    <w:rsid w:val="00F672E1"/>
    <w:rsid w:val="00F75ED5"/>
    <w:rsid w:val="00F80820"/>
    <w:rsid w:val="00F8313F"/>
    <w:rsid w:val="00F83CC3"/>
    <w:rsid w:val="00F85E62"/>
    <w:rsid w:val="00F87A3A"/>
    <w:rsid w:val="00F9119C"/>
    <w:rsid w:val="00FA6613"/>
    <w:rsid w:val="00FB04FD"/>
    <w:rsid w:val="00FB2C99"/>
    <w:rsid w:val="00FC0748"/>
    <w:rsid w:val="00FD0EAE"/>
    <w:rsid w:val="00FD29AB"/>
    <w:rsid w:val="00FE1E69"/>
    <w:rsid w:val="00FE6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095A"/>
  <w15:chartTrackingRefBased/>
  <w15:docId w15:val="{EA886EDC-9554-4ED1-A9B2-12689252E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16E"/>
    <w:pPr>
      <w:spacing w:before="120" w:after="120" w:line="240" w:lineRule="auto"/>
      <w:ind w:firstLine="720"/>
      <w:jc w:val="both"/>
    </w:pPr>
    <w:rPr>
      <w:rFonts w:ascii="Book Antiqua" w:hAnsi="Book Antiqua"/>
      <w:lang w:val="fr-BE"/>
    </w:rPr>
  </w:style>
  <w:style w:type="paragraph" w:styleId="Titre2">
    <w:name w:val="heading 2"/>
    <w:basedOn w:val="Normal"/>
    <w:next w:val="Normal"/>
    <w:link w:val="Titre2Car"/>
    <w:uiPriority w:val="9"/>
    <w:semiHidden/>
    <w:unhideWhenUsed/>
    <w:qFormat/>
    <w:rsid w:val="000B33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1C5D29"/>
    <w:pPr>
      <w:spacing w:after="0"/>
    </w:pPr>
    <w:rPr>
      <w:rFonts w:ascii="Times New Roman" w:hAnsi="Times New Roman"/>
      <w:sz w:val="20"/>
      <w:szCs w:val="20"/>
    </w:rPr>
  </w:style>
  <w:style w:type="character" w:customStyle="1" w:styleId="NotedebasdepageCar">
    <w:name w:val="Note de bas de page Car"/>
    <w:basedOn w:val="Policepardfaut"/>
    <w:link w:val="Notedebasdepage"/>
    <w:uiPriority w:val="99"/>
    <w:semiHidden/>
    <w:rsid w:val="001C5D29"/>
    <w:rPr>
      <w:rFonts w:ascii="Times New Roman" w:hAnsi="Times New Roman"/>
      <w:sz w:val="20"/>
      <w:szCs w:val="20"/>
    </w:rPr>
  </w:style>
  <w:style w:type="paragraph" w:styleId="Citation">
    <w:name w:val="Quote"/>
    <w:basedOn w:val="Normal"/>
    <w:next w:val="Normal"/>
    <w:link w:val="CitationCar"/>
    <w:uiPriority w:val="29"/>
    <w:qFormat/>
    <w:rsid w:val="006C2964"/>
    <w:pPr>
      <w:ind w:left="1134" w:right="567" w:firstLine="0"/>
    </w:pPr>
    <w:rPr>
      <w:iCs/>
    </w:rPr>
  </w:style>
  <w:style w:type="character" w:customStyle="1" w:styleId="CitationCar">
    <w:name w:val="Citation Car"/>
    <w:basedOn w:val="Policepardfaut"/>
    <w:link w:val="Citation"/>
    <w:uiPriority w:val="29"/>
    <w:rsid w:val="006C2964"/>
    <w:rPr>
      <w:rFonts w:ascii="Book Antiqua" w:hAnsi="Book Antiqua"/>
      <w:iCs/>
      <w:lang w:val="fr-BE"/>
    </w:rPr>
  </w:style>
  <w:style w:type="table" w:styleId="Grilledutableau">
    <w:name w:val="Table Grid"/>
    <w:basedOn w:val="TableauNormal"/>
    <w:uiPriority w:val="39"/>
    <w:rsid w:val="00BC2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B4742A"/>
    <w:pPr>
      <w:spacing w:after="0" w:line="240" w:lineRule="auto"/>
    </w:pPr>
    <w:rPr>
      <w:rFonts w:ascii="Book Antiqua" w:hAnsi="Book Antiqua"/>
      <w:lang w:val="fr-BE"/>
    </w:rPr>
  </w:style>
  <w:style w:type="character" w:styleId="Appelnotedebasdep">
    <w:name w:val="footnote reference"/>
    <w:basedOn w:val="Policepardfaut"/>
    <w:uiPriority w:val="99"/>
    <w:unhideWhenUsed/>
    <w:rsid w:val="00C2074D"/>
    <w:rPr>
      <w:vertAlign w:val="superscript"/>
    </w:rPr>
  </w:style>
  <w:style w:type="paragraph" w:styleId="Paragraphedeliste">
    <w:name w:val="List Paragraph"/>
    <w:basedOn w:val="Normal"/>
    <w:uiPriority w:val="34"/>
    <w:qFormat/>
    <w:rsid w:val="002A6ED3"/>
    <w:pPr>
      <w:contextualSpacing/>
    </w:pPr>
  </w:style>
  <w:style w:type="paragraph" w:styleId="En-tte">
    <w:name w:val="header"/>
    <w:basedOn w:val="Normal"/>
    <w:link w:val="En-tteCar"/>
    <w:uiPriority w:val="99"/>
    <w:unhideWhenUsed/>
    <w:rsid w:val="002C582C"/>
    <w:pPr>
      <w:tabs>
        <w:tab w:val="center" w:pos="4536"/>
        <w:tab w:val="right" w:pos="9072"/>
      </w:tabs>
      <w:spacing w:before="0" w:after="0"/>
    </w:pPr>
  </w:style>
  <w:style w:type="character" w:customStyle="1" w:styleId="En-tteCar">
    <w:name w:val="En-tête Car"/>
    <w:basedOn w:val="Policepardfaut"/>
    <w:link w:val="En-tte"/>
    <w:uiPriority w:val="99"/>
    <w:rsid w:val="002C582C"/>
    <w:rPr>
      <w:rFonts w:ascii="Book Antiqua" w:hAnsi="Book Antiqua"/>
      <w:lang w:val="fr-BE"/>
    </w:rPr>
  </w:style>
  <w:style w:type="paragraph" w:styleId="Pieddepage">
    <w:name w:val="footer"/>
    <w:basedOn w:val="Normal"/>
    <w:link w:val="PieddepageCar"/>
    <w:uiPriority w:val="99"/>
    <w:unhideWhenUsed/>
    <w:rsid w:val="002C582C"/>
    <w:pPr>
      <w:tabs>
        <w:tab w:val="center" w:pos="4536"/>
        <w:tab w:val="right" w:pos="9072"/>
      </w:tabs>
      <w:spacing w:before="0" w:after="0"/>
    </w:pPr>
  </w:style>
  <w:style w:type="character" w:customStyle="1" w:styleId="PieddepageCar">
    <w:name w:val="Pied de page Car"/>
    <w:basedOn w:val="Policepardfaut"/>
    <w:link w:val="Pieddepage"/>
    <w:uiPriority w:val="99"/>
    <w:rsid w:val="002C582C"/>
    <w:rPr>
      <w:rFonts w:ascii="Book Antiqua" w:hAnsi="Book Antiqua"/>
      <w:lang w:val="fr-BE"/>
    </w:rPr>
  </w:style>
  <w:style w:type="character" w:styleId="Lienhypertexte">
    <w:name w:val="Hyperlink"/>
    <w:basedOn w:val="Policepardfaut"/>
    <w:uiPriority w:val="99"/>
    <w:unhideWhenUsed/>
    <w:rsid w:val="002165F2"/>
    <w:rPr>
      <w:color w:val="0563C1" w:themeColor="hyperlink"/>
      <w:u w:val="single"/>
    </w:rPr>
  </w:style>
  <w:style w:type="character" w:styleId="Mentionnonrsolue">
    <w:name w:val="Unresolved Mention"/>
    <w:basedOn w:val="Policepardfaut"/>
    <w:uiPriority w:val="99"/>
    <w:semiHidden/>
    <w:unhideWhenUsed/>
    <w:rsid w:val="002165F2"/>
    <w:rPr>
      <w:color w:val="605E5C"/>
      <w:shd w:val="clear" w:color="auto" w:fill="E1DFDD"/>
    </w:rPr>
  </w:style>
  <w:style w:type="character" w:customStyle="1" w:styleId="Titre2Car">
    <w:name w:val="Titre 2 Car"/>
    <w:basedOn w:val="Policepardfaut"/>
    <w:link w:val="Titre2"/>
    <w:uiPriority w:val="9"/>
    <w:semiHidden/>
    <w:rsid w:val="000B33A7"/>
    <w:rPr>
      <w:rFonts w:asciiTheme="majorHAnsi" w:eastAsiaTheme="majorEastAsia" w:hAnsiTheme="majorHAnsi" w:cstheme="majorBidi"/>
      <w:color w:val="2F5496" w:themeColor="accent1" w:themeShade="BF"/>
      <w:sz w:val="26"/>
      <w:szCs w:val="26"/>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436625">
      <w:bodyDiv w:val="1"/>
      <w:marLeft w:val="0"/>
      <w:marRight w:val="0"/>
      <w:marTop w:val="0"/>
      <w:marBottom w:val="0"/>
      <w:divBdr>
        <w:top w:val="none" w:sz="0" w:space="0" w:color="auto"/>
        <w:left w:val="none" w:sz="0" w:space="0" w:color="auto"/>
        <w:bottom w:val="none" w:sz="0" w:space="0" w:color="auto"/>
        <w:right w:val="none" w:sz="0" w:space="0" w:color="auto"/>
      </w:divBdr>
    </w:div>
    <w:div w:id="1685596234">
      <w:bodyDiv w:val="1"/>
      <w:marLeft w:val="0"/>
      <w:marRight w:val="0"/>
      <w:marTop w:val="0"/>
      <w:marBottom w:val="0"/>
      <w:divBdr>
        <w:top w:val="none" w:sz="0" w:space="0" w:color="auto"/>
        <w:left w:val="none" w:sz="0" w:space="0" w:color="auto"/>
        <w:bottom w:val="none" w:sz="0" w:space="0" w:color="auto"/>
        <w:right w:val="none" w:sz="0" w:space="0" w:color="auto"/>
      </w:divBdr>
    </w:div>
    <w:div w:id="184446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uclouvain.be/fr/instituts-recherche/rscs/rrag-le-fichier.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57813-457C-4C6B-8031-A4A362370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2868</Words>
  <Characters>15779</Characters>
  <Application>Microsoft Office Word</Application>
  <DocSecurity>0</DocSecurity>
  <Lines>131</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Benoît Bourgine</dc:creator>
  <cp:keywords/>
  <dc:description/>
  <cp:lastModifiedBy>Benoît Bourgine</cp:lastModifiedBy>
  <cp:revision>2</cp:revision>
  <cp:lastPrinted>2024-06-08T17:28:00Z</cp:lastPrinted>
  <dcterms:created xsi:type="dcterms:W3CDTF">2025-07-04T08:05:00Z</dcterms:created>
  <dcterms:modified xsi:type="dcterms:W3CDTF">2025-07-04T08:05:00Z</dcterms:modified>
</cp:coreProperties>
</file>