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F631D" w14:textId="77777777" w:rsidR="00C624F2" w:rsidRPr="008B39E8" w:rsidRDefault="00C624F2" w:rsidP="00C624F2">
      <w:pPr>
        <w:jc w:val="center"/>
      </w:pPr>
      <w:r w:rsidRPr="008B39E8">
        <w:t>Proposition de communication</w:t>
      </w:r>
    </w:p>
    <w:p w14:paraId="5D5A0867" w14:textId="68CF1FFA" w:rsidR="00C624F2" w:rsidRPr="008B39E8" w:rsidRDefault="00C624F2" w:rsidP="00C624F2">
      <w:pPr>
        <w:jc w:val="center"/>
      </w:pPr>
      <w:r w:rsidRPr="008B39E8">
        <w:t>« </w:t>
      </w:r>
      <w:r w:rsidR="00B3364B" w:rsidRPr="008B39E8">
        <w:t>Classer</w:t>
      </w:r>
      <w:r w:rsidRPr="008B39E8">
        <w:t>, déclasser, reclasser »</w:t>
      </w:r>
    </w:p>
    <w:p w14:paraId="62015273" w14:textId="3FFB6926" w:rsidR="00C624F2" w:rsidRDefault="00C36866" w:rsidP="00C624F2">
      <w:pPr>
        <w:jc w:val="center"/>
      </w:pPr>
      <w:r>
        <w:t xml:space="preserve">Congrès </w:t>
      </w:r>
      <w:r w:rsidR="00B3364B" w:rsidRPr="008B39E8">
        <w:t xml:space="preserve">AFS – </w:t>
      </w:r>
      <w:r>
        <w:t xml:space="preserve">août </w:t>
      </w:r>
      <w:r w:rsidR="00C624F2" w:rsidRPr="008B39E8">
        <w:t>2019</w:t>
      </w:r>
    </w:p>
    <w:p w14:paraId="534A8B92" w14:textId="6DD94C15" w:rsidR="0016457F" w:rsidRPr="008B39E8" w:rsidRDefault="0016457F" w:rsidP="00C624F2">
      <w:pPr>
        <w:jc w:val="center"/>
      </w:pPr>
      <w:r>
        <w:t>RT6</w:t>
      </w:r>
    </w:p>
    <w:p w14:paraId="67C4E95B" w14:textId="77777777" w:rsidR="00C624F2" w:rsidRPr="008B39E8" w:rsidRDefault="00C624F2" w:rsidP="00C624F2">
      <w:pPr>
        <w:jc w:val="both"/>
      </w:pPr>
    </w:p>
    <w:p w14:paraId="7E7897DC" w14:textId="48313233" w:rsidR="009479D6" w:rsidRPr="008B39E8" w:rsidRDefault="002130CB" w:rsidP="00C624F2">
      <w:pPr>
        <w:jc w:val="both"/>
        <w:rPr>
          <w:u w:val="single"/>
        </w:rPr>
      </w:pPr>
      <w:r w:rsidRPr="008B39E8">
        <w:rPr>
          <w:u w:val="single"/>
        </w:rPr>
        <w:t xml:space="preserve">De la figure du « délinquant » à celle du « radicalisé ». </w:t>
      </w:r>
      <w:r w:rsidR="009479D6" w:rsidRPr="008B39E8">
        <w:rPr>
          <w:u w:val="single"/>
        </w:rPr>
        <w:t xml:space="preserve">Représentations </w:t>
      </w:r>
      <w:r w:rsidR="00E90E3F" w:rsidRPr="008B39E8">
        <w:rPr>
          <w:u w:val="single"/>
        </w:rPr>
        <w:t>des « jeunesse</w:t>
      </w:r>
      <w:r w:rsidR="00E14C56" w:rsidRPr="008B39E8">
        <w:rPr>
          <w:u w:val="single"/>
        </w:rPr>
        <w:t>s</w:t>
      </w:r>
      <w:r w:rsidR="00E90E3F" w:rsidRPr="008B39E8">
        <w:rPr>
          <w:u w:val="single"/>
        </w:rPr>
        <w:t xml:space="preserve"> menaçantes » </w:t>
      </w:r>
      <w:r w:rsidR="009479D6" w:rsidRPr="008B39E8">
        <w:rPr>
          <w:u w:val="single"/>
        </w:rPr>
        <w:t xml:space="preserve">et référentiels d’action publique en matière de </w:t>
      </w:r>
      <w:r w:rsidR="00A062F1" w:rsidRPr="008B39E8">
        <w:rPr>
          <w:u w:val="single"/>
        </w:rPr>
        <w:t>pacification</w:t>
      </w:r>
      <w:r w:rsidR="00B6116E" w:rsidRPr="008B39E8">
        <w:rPr>
          <w:u w:val="single"/>
        </w:rPr>
        <w:t xml:space="preserve"> urbaine</w:t>
      </w:r>
      <w:r w:rsidR="00E90E3F" w:rsidRPr="008B39E8">
        <w:rPr>
          <w:u w:val="single"/>
        </w:rPr>
        <w:t xml:space="preserve"> en Belgique francophone</w:t>
      </w:r>
      <w:r w:rsidR="009479D6" w:rsidRPr="008B39E8">
        <w:rPr>
          <w:u w:val="single"/>
        </w:rPr>
        <w:t>.</w:t>
      </w:r>
    </w:p>
    <w:p w14:paraId="2571E4DB"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Depuis le début des années 1990, la Belgique a mis sur pied différents dispositifs en matière de politiques de régulation et pacification urbaine (Franssen, 2003 ; Schaut, 2003 ; Rea, 2007). Ces dispositifs d’action publique, aux visées et démarches parfois en tension, ont pour caractéristiques de mêler (dans des proportions variables) des approches à la fois sociales et sécuritaires censées contribuer à améliorer le degré de cohésion sociale et territoriale dans les grandes villes. Si, de manière générale, ces politiques se cristallisèrent d’abord autour de la question de la précarisation, des risques de « désaffiliation sociale » et/ou de la problématique de la petite délinquance, la forte médiatisation des quartiers populaires bruxellois (dont le « Vieux Molenbeek ») suite aux attentats de Paris en 2015 et de Bruxelles en 2016 va concentrer l’attention politique sur un risque d’un nouveau genre. Une partie du public cible des dispositifs de prévention (au sens large) – et singulièrement, la jeunesse précarisée issue de l’immigration – va ainsi basculer du statut « d’individus potentiellement délinquants » à celui de « potentiellement terroristes », les pouvoirs publics délaissant « la lutte contre les bandes urbaines » au profit de celle contre « le radicalisme » (Casavecchia [journal Le Soir], 2016).</w:t>
      </w:r>
    </w:p>
    <w:p w14:paraId="1D6560D4" w14:textId="7380A3C9"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S’inscrivant dans l’axe 1 de l’appel à communication</w:t>
      </w:r>
      <w:r w:rsidR="00FA1D0F">
        <w:rPr>
          <w:rFonts w:ascii="Georgia" w:hAnsi="Georgia" w:cs="Times New Roman"/>
          <w:color w:val="333333"/>
          <w:lang w:val="fr-BE"/>
        </w:rPr>
        <w:t>s</w:t>
      </w:r>
      <w:r w:rsidRPr="00144EAC">
        <w:rPr>
          <w:rFonts w:ascii="Georgia" w:hAnsi="Georgia" w:cs="Times New Roman"/>
          <w:color w:val="333333"/>
          <w:lang w:val="fr-BE"/>
        </w:rPr>
        <w:t xml:space="preserve"> (RT6), la présentation proposera une réflexion en deux temps autour de ce moment de basculement de l’action publique et de la manière dont celle-ci renouvelle sa « catégorisation des problèmes » et propose de nouveaux outils d’intervention.</w:t>
      </w:r>
    </w:p>
    <w:p w14:paraId="5540727E" w14:textId="5FFFB316"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Il s’agira d’abord de présenter une cartographie des instruments de « pacification urbaine » mis en œuvre en Belgique francophone suite aux événements qualifiés d’« émeutes » qu</w:t>
      </w:r>
      <w:r w:rsidR="00F36AC9">
        <w:rPr>
          <w:rFonts w:ascii="Georgia" w:hAnsi="Georgia" w:cs="Times New Roman"/>
          <w:color w:val="333333"/>
          <w:lang w:val="fr-BE"/>
        </w:rPr>
        <w:t xml:space="preserve">e Bruxelles a </w:t>
      </w:r>
      <w:r w:rsidRPr="00144EAC">
        <w:rPr>
          <w:rFonts w:ascii="Georgia" w:hAnsi="Georgia" w:cs="Times New Roman"/>
          <w:color w:val="333333"/>
          <w:lang w:val="fr-BE"/>
        </w:rPr>
        <w:t>connu</w:t>
      </w:r>
      <w:r w:rsidR="00F36AC9">
        <w:rPr>
          <w:rFonts w:ascii="Georgia" w:hAnsi="Georgia" w:cs="Times New Roman"/>
          <w:color w:val="333333"/>
          <w:lang w:val="fr-BE"/>
        </w:rPr>
        <w:t>s</w:t>
      </w:r>
      <w:r w:rsidRPr="00144EAC">
        <w:rPr>
          <w:rFonts w:ascii="Georgia" w:hAnsi="Georgia" w:cs="Times New Roman"/>
          <w:color w:val="333333"/>
          <w:lang w:val="fr-BE"/>
        </w:rPr>
        <w:t xml:space="preserve"> au début des années 1990 et, par là, d’objectiver les représentations de la jeunesse des quartiers populaires que ces dispositifs ont construit</w:t>
      </w:r>
      <w:r w:rsidR="003259FD">
        <w:rPr>
          <w:rFonts w:ascii="Georgia" w:hAnsi="Georgia" w:cs="Times New Roman"/>
          <w:color w:val="333333"/>
          <w:lang w:val="fr-BE"/>
        </w:rPr>
        <w:t>e</w:t>
      </w:r>
      <w:r w:rsidR="00FA1D0F">
        <w:rPr>
          <w:rFonts w:ascii="Georgia" w:hAnsi="Georgia" w:cs="Times New Roman"/>
          <w:color w:val="333333"/>
          <w:lang w:val="fr-BE"/>
        </w:rPr>
        <w:t>s</w:t>
      </w:r>
      <w:r w:rsidRPr="00144EAC">
        <w:rPr>
          <w:rFonts w:ascii="Georgia" w:hAnsi="Georgia" w:cs="Times New Roman"/>
          <w:color w:val="333333"/>
          <w:lang w:val="fr-BE"/>
        </w:rPr>
        <w:t xml:space="preserve"> et véhiculé</w:t>
      </w:r>
      <w:r w:rsidR="003259FD">
        <w:rPr>
          <w:rFonts w:ascii="Georgia" w:hAnsi="Georgia" w:cs="Times New Roman"/>
          <w:color w:val="333333"/>
          <w:lang w:val="fr-BE"/>
        </w:rPr>
        <w:t>e</w:t>
      </w:r>
      <w:r w:rsidR="00FA1D0F">
        <w:rPr>
          <w:rFonts w:ascii="Georgia" w:hAnsi="Georgia" w:cs="Times New Roman"/>
          <w:color w:val="333333"/>
          <w:lang w:val="fr-BE"/>
        </w:rPr>
        <w:t>s</w:t>
      </w:r>
      <w:r w:rsidRPr="00144EAC">
        <w:rPr>
          <w:rFonts w:ascii="Georgia" w:hAnsi="Georgia" w:cs="Times New Roman"/>
          <w:color w:val="333333"/>
          <w:lang w:val="fr-BE"/>
        </w:rPr>
        <w:t>.</w:t>
      </w:r>
    </w:p>
    <w:p w14:paraId="24751E92" w14:textId="5455D7A2"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Cette première partie de notre exposé permettra de donner une certaine profondeur historique à l’émergence récente des divers dispositifs d’action publique de prévention de la radicalisation aujourd’hui apparus à différents niveaux de pouvoir. Si, parmi ces derniers, certains sont pensés dans un souci plus sécuritaire (au niveau de l’État Fédéral et, en partie, à la Région bruxelloise notamment), d’autres, en revanche, sont sous-tendus par des référentiels plus hybrides, alliant logique d’action « protectionnelle et émancipatrice » (Franssen, 2018) et approche ouvertement sécuritaire, rejouant ainsi de manière inédite les tensions du « paradigme socio-sécuritaire » (Nagels &amp; Rea, 2007) caractéristique du modèle belge (francophone) des politiques de régulation et pacification urbaine. C’est cette tension réactualisée que je proposerai d’expliciter dans la seconde partie de cette communication, à travers l’observation de la mise en œuvre d’un dispositif d’action publique particulier – le « Réseau de prise en charge des extrémismes et radicalismes violents » de la </w:t>
      </w:r>
      <w:r w:rsidRPr="00144EAC">
        <w:rPr>
          <w:rFonts w:ascii="Georgia" w:hAnsi="Georgia" w:cs="Times New Roman"/>
          <w:color w:val="333333"/>
          <w:lang w:val="fr-BE"/>
        </w:rPr>
        <w:lastRenderedPageBreak/>
        <w:t>Communauté française de Belgique (Fédération Wallonie-Bruxelles) – et l’analyse de ce qu’un tel instrument nou</w:t>
      </w:r>
      <w:r w:rsidR="00FA1D0F">
        <w:rPr>
          <w:rFonts w:ascii="Georgia" w:hAnsi="Georgia" w:cs="Times New Roman"/>
          <w:color w:val="333333"/>
          <w:lang w:val="fr-BE"/>
        </w:rPr>
        <w:t>s dit de la recomposition de l’</w:t>
      </w:r>
      <w:r w:rsidR="00FA1D0F" w:rsidRPr="00FA1D0F">
        <w:rPr>
          <w:rFonts w:ascii="Georgia" w:hAnsi="Georgia" w:cs="Times New Roman"/>
          <w:i/>
          <w:color w:val="333333"/>
          <w:lang w:val="fr-BE"/>
        </w:rPr>
        <w:t>e</w:t>
      </w:r>
      <w:r w:rsidRPr="00FA1D0F">
        <w:rPr>
          <w:rFonts w:ascii="Georgia" w:hAnsi="Georgia" w:cs="Times New Roman"/>
          <w:i/>
          <w:color w:val="333333"/>
          <w:lang w:val="fr-BE"/>
        </w:rPr>
        <w:t>thos</w:t>
      </w:r>
      <w:r w:rsidRPr="00144EAC">
        <w:rPr>
          <w:rFonts w:ascii="Georgia" w:hAnsi="Georgia" w:cs="Times New Roman"/>
          <w:color w:val="333333"/>
          <w:lang w:val="fr-BE"/>
        </w:rPr>
        <w:t xml:space="preserve"> des politiques de « gestion publique des jeunes urbains </w:t>
      </w:r>
      <w:r w:rsidR="00FA1D0F">
        <w:rPr>
          <w:rFonts w:ascii="Georgia" w:hAnsi="Georgia" w:cs="Times New Roman"/>
          <w:color w:val="333333"/>
          <w:lang w:val="fr-BE"/>
        </w:rPr>
        <w:t>précarisés</w:t>
      </w:r>
      <w:r w:rsidRPr="00144EAC">
        <w:rPr>
          <w:rFonts w:ascii="Georgia" w:hAnsi="Georgia" w:cs="Times New Roman"/>
          <w:color w:val="333333"/>
          <w:lang w:val="fr-BE"/>
        </w:rPr>
        <w:t xml:space="preserve"> » (Nagels &amp; Rea, op. cit.) en Belgique francophone.</w:t>
      </w:r>
    </w:p>
    <w:p w14:paraId="3C2295DD"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b/>
          <w:bCs/>
          <w:color w:val="333333"/>
          <w:lang w:val="fr-BE"/>
        </w:rPr>
        <w:t>Références citées (ordre d’apparition dans le texte) :</w:t>
      </w:r>
    </w:p>
    <w:p w14:paraId="15DC1C6D" w14:textId="0FD597A4"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FRANSSEN A. (2003), </w:t>
      </w:r>
      <w:r w:rsidR="00CB412F">
        <w:rPr>
          <w:rFonts w:ascii="Georgia" w:hAnsi="Georgia" w:cs="Times New Roman"/>
          <w:color w:val="333333"/>
          <w:lang w:val="fr-BE"/>
        </w:rPr>
        <w:t>« </w:t>
      </w:r>
      <w:r w:rsidRPr="00144EAC">
        <w:rPr>
          <w:rFonts w:ascii="Georgia" w:hAnsi="Georgia" w:cs="Times New Roman"/>
          <w:color w:val="333333"/>
          <w:lang w:val="fr-BE"/>
        </w:rPr>
        <w:t>Les politiques de prévention : ambivalences d’une notion dans une nation hybride</w:t>
      </w:r>
      <w:r w:rsidR="00CB412F">
        <w:rPr>
          <w:rFonts w:ascii="Georgia" w:hAnsi="Georgia" w:cs="Times New Roman"/>
          <w:color w:val="333333"/>
          <w:lang w:val="fr-BE"/>
        </w:rPr>
        <w:t> »</w:t>
      </w:r>
      <w:r w:rsidRPr="00144EAC">
        <w:rPr>
          <w:rFonts w:ascii="Georgia" w:hAnsi="Georgia" w:cs="Times New Roman"/>
          <w:color w:val="333333"/>
          <w:lang w:val="fr-BE"/>
        </w:rPr>
        <w:t xml:space="preserve">, in KAMINSKI D. &amp; GORIS P. (Eds), </w:t>
      </w:r>
      <w:r w:rsidRPr="00CB412F">
        <w:rPr>
          <w:rFonts w:ascii="Georgia" w:hAnsi="Georgia" w:cs="Times New Roman"/>
          <w:i/>
          <w:color w:val="333333"/>
          <w:lang w:val="fr-BE"/>
        </w:rPr>
        <w:t>Prévention et politique de sécurité Arc-en-Ciel</w:t>
      </w:r>
      <w:r w:rsidRPr="00144EAC">
        <w:rPr>
          <w:rFonts w:ascii="Georgia" w:hAnsi="Georgia" w:cs="Times New Roman"/>
          <w:color w:val="333333"/>
          <w:lang w:val="fr-BE"/>
        </w:rPr>
        <w:t>, Réseau Interuniversitaire sur la Prévention, pp. 171-190.</w:t>
      </w:r>
    </w:p>
    <w:p w14:paraId="383B2C9B"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SCHAUT C. (2003), « L'insécurité et son traitement politique en Belgique », </w:t>
      </w:r>
      <w:r w:rsidRPr="00CB412F">
        <w:rPr>
          <w:rFonts w:ascii="Georgia" w:hAnsi="Georgia" w:cs="Times New Roman"/>
          <w:i/>
          <w:color w:val="333333"/>
          <w:lang w:val="fr-BE"/>
        </w:rPr>
        <w:t>Cahiers internationaux de sociologie</w:t>
      </w:r>
      <w:r w:rsidRPr="00144EAC">
        <w:rPr>
          <w:rFonts w:ascii="Georgia" w:hAnsi="Georgia" w:cs="Times New Roman"/>
          <w:color w:val="333333"/>
          <w:lang w:val="fr-BE"/>
        </w:rPr>
        <w:t>, n°114, pp. 109-124.</w:t>
      </w:r>
    </w:p>
    <w:p w14:paraId="512B1A30"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REA A. (2007), « Les ambivalences de l’État social-sécuritaire », </w:t>
      </w:r>
      <w:r w:rsidRPr="00CB412F">
        <w:rPr>
          <w:rFonts w:ascii="Georgia" w:hAnsi="Georgia" w:cs="Times New Roman"/>
          <w:i/>
          <w:color w:val="333333"/>
          <w:lang w:val="fr-BE"/>
        </w:rPr>
        <w:t>Lien social et Politiques</w:t>
      </w:r>
      <w:r w:rsidRPr="00144EAC">
        <w:rPr>
          <w:rFonts w:ascii="Georgia" w:hAnsi="Georgia" w:cs="Times New Roman"/>
          <w:color w:val="333333"/>
          <w:lang w:val="fr-BE"/>
        </w:rPr>
        <w:t>, n°57, pp. 15-34.</w:t>
      </w:r>
    </w:p>
    <w:p w14:paraId="7D988225"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CASAVECCHIA T. (2016), « La lutte contre les bandes urbaines délaissée au profit du radicalisme », </w:t>
      </w:r>
      <w:r w:rsidRPr="00CB412F">
        <w:rPr>
          <w:rFonts w:ascii="Georgia" w:hAnsi="Georgia" w:cs="Times New Roman"/>
          <w:i/>
          <w:color w:val="333333"/>
          <w:lang w:val="fr-BE"/>
        </w:rPr>
        <w:t>Le Soir</w:t>
      </w:r>
      <w:r w:rsidRPr="00144EAC">
        <w:rPr>
          <w:rFonts w:ascii="Georgia" w:hAnsi="Georgia" w:cs="Times New Roman"/>
          <w:color w:val="333333"/>
          <w:lang w:val="fr-BE"/>
        </w:rPr>
        <w:t>, 7 mai 2016.</w:t>
      </w:r>
    </w:p>
    <w:p w14:paraId="5EC5B60F"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FRANSSEN A. (2018), « La prévention dans l’aide à la jeunesse : un référentiel sectoriel », in Defraene D., </w:t>
      </w:r>
      <w:r w:rsidRPr="00CB412F">
        <w:rPr>
          <w:rFonts w:ascii="Georgia" w:hAnsi="Georgia" w:cs="Times New Roman"/>
          <w:i/>
          <w:color w:val="333333"/>
          <w:lang w:val="fr-BE"/>
        </w:rPr>
        <w:t>Le code de la prévention, de l’aide à la jeunesse et de la protection de la jeunesse</w:t>
      </w:r>
      <w:r w:rsidRPr="00144EAC">
        <w:rPr>
          <w:rFonts w:ascii="Georgia" w:hAnsi="Georgia" w:cs="Times New Roman"/>
          <w:color w:val="333333"/>
          <w:lang w:val="fr-BE"/>
        </w:rPr>
        <w:t>. Actes du colloque du 9 mars 2018, Bruxelles : Bruylant.</w:t>
      </w:r>
    </w:p>
    <w:p w14:paraId="61E63796"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 xml:space="preserve">NAGELS C. &amp; REA A. (2007), </w:t>
      </w:r>
      <w:r w:rsidRPr="00CB412F">
        <w:rPr>
          <w:rFonts w:ascii="Georgia" w:hAnsi="Georgia" w:cs="Times New Roman"/>
          <w:i/>
          <w:color w:val="333333"/>
          <w:lang w:val="fr-BE"/>
        </w:rPr>
        <w:t>Jeunes à perpète. Génération à problèmes ou problème de générations ?</w:t>
      </w:r>
      <w:r w:rsidRPr="00144EAC">
        <w:rPr>
          <w:rFonts w:ascii="Georgia" w:hAnsi="Georgia" w:cs="Times New Roman"/>
          <w:color w:val="333333"/>
          <w:lang w:val="fr-BE"/>
        </w:rPr>
        <w:t xml:space="preserve"> Louvain-la-Neuve : Academia-Bruylant.</w:t>
      </w:r>
    </w:p>
    <w:p w14:paraId="57EF6309" w14:textId="77777777" w:rsidR="00144EAC" w:rsidRPr="00144EAC" w:rsidRDefault="00144EAC" w:rsidP="00144EAC">
      <w:pPr>
        <w:shd w:val="clear" w:color="auto" w:fill="FFFFFF"/>
        <w:spacing w:before="100" w:beforeAutospacing="1" w:after="100" w:afterAutospacing="1"/>
        <w:jc w:val="both"/>
        <w:rPr>
          <w:rFonts w:ascii="Georgia" w:hAnsi="Georgia" w:cs="Times New Roman"/>
          <w:color w:val="333333"/>
          <w:lang w:val="fr-BE"/>
        </w:rPr>
      </w:pPr>
      <w:r w:rsidRPr="00144EAC">
        <w:rPr>
          <w:rFonts w:ascii="Georgia" w:hAnsi="Georgia" w:cs="Times New Roman"/>
          <w:color w:val="333333"/>
          <w:lang w:val="fr-BE"/>
        </w:rPr>
        <w:t>--</w:t>
      </w:r>
    </w:p>
    <w:p w14:paraId="66A01AAB" w14:textId="77777777" w:rsidR="00FA1D0F" w:rsidRDefault="00144EAC" w:rsidP="005A5774">
      <w:pPr>
        <w:shd w:val="clear" w:color="auto" w:fill="FFFFFF"/>
        <w:spacing w:before="100" w:beforeAutospacing="1" w:after="100" w:afterAutospacing="1"/>
        <w:jc w:val="right"/>
        <w:rPr>
          <w:rFonts w:ascii="Georgia" w:hAnsi="Georgia" w:cs="Times New Roman"/>
          <w:color w:val="333333"/>
          <w:lang w:val="fr-BE"/>
        </w:rPr>
      </w:pPr>
      <w:r w:rsidRPr="00144EAC">
        <w:rPr>
          <w:rFonts w:ascii="Georgia" w:hAnsi="Georgia" w:cs="Times New Roman"/>
          <w:color w:val="333333"/>
          <w:lang w:val="fr-BE"/>
        </w:rPr>
        <w:t>François Rinschbergh, doctorant FNRS FRESH au Centre d'études sociologiques de l'Université Saint-Louis - Bruxelles. </w:t>
      </w:r>
    </w:p>
    <w:p w14:paraId="15B73F8A" w14:textId="272C0F2E" w:rsidR="00144EAC" w:rsidRPr="00144EAC" w:rsidRDefault="00144EAC" w:rsidP="005A5774">
      <w:pPr>
        <w:shd w:val="clear" w:color="auto" w:fill="FFFFFF"/>
        <w:spacing w:before="100" w:beforeAutospacing="1" w:after="100" w:afterAutospacing="1"/>
        <w:jc w:val="right"/>
        <w:rPr>
          <w:rFonts w:ascii="Georgia" w:hAnsi="Georgia" w:cs="Times New Roman"/>
          <w:color w:val="333333"/>
          <w:lang w:val="fr-BE"/>
        </w:rPr>
      </w:pPr>
      <w:bookmarkStart w:id="0" w:name="_GoBack"/>
      <w:bookmarkEnd w:id="0"/>
      <w:r w:rsidRPr="00144EAC">
        <w:rPr>
          <w:rFonts w:ascii="Georgia" w:hAnsi="Georgia" w:cs="Times New Roman"/>
          <w:color w:val="333333"/>
          <w:lang w:val="fr-BE"/>
        </w:rPr>
        <w:t>francois.rinschbergh@usaintlouis.be</w:t>
      </w:r>
    </w:p>
    <w:p w14:paraId="2D8759D3" w14:textId="77777777" w:rsidR="005A5774" w:rsidRDefault="005A5774" w:rsidP="00144EAC">
      <w:pPr>
        <w:jc w:val="both"/>
        <w:textAlignment w:val="baseline"/>
        <w:rPr>
          <w:b/>
        </w:rPr>
      </w:pPr>
    </w:p>
    <w:p w14:paraId="1C984D78" w14:textId="11462D97" w:rsidR="00E713DE" w:rsidRPr="00E713DE" w:rsidRDefault="005A5774" w:rsidP="00144EAC">
      <w:pPr>
        <w:jc w:val="both"/>
        <w:textAlignment w:val="baseline"/>
        <w:rPr>
          <w:b/>
        </w:rPr>
      </w:pPr>
      <w:r>
        <w:rPr>
          <w:b/>
        </w:rPr>
        <w:t>A</w:t>
      </w:r>
      <w:r w:rsidR="00B11070">
        <w:rPr>
          <w:b/>
        </w:rPr>
        <w:t xml:space="preserve">bstract court </w:t>
      </w:r>
      <w:r w:rsidR="00E713DE" w:rsidRPr="00E713DE">
        <w:rPr>
          <w:b/>
        </w:rPr>
        <w:t xml:space="preserve">: </w:t>
      </w:r>
    </w:p>
    <w:p w14:paraId="783F8075" w14:textId="45B1AAD8" w:rsidR="00144EAC" w:rsidRPr="00144EAC" w:rsidRDefault="00144EAC" w:rsidP="00144EAC">
      <w:pPr>
        <w:jc w:val="both"/>
        <w:rPr>
          <w:lang w:val="fr-BE"/>
        </w:rPr>
      </w:pPr>
      <w:r w:rsidRPr="00144EAC">
        <w:rPr>
          <w:lang w:val="fr-BE"/>
        </w:rPr>
        <w:t>S'appuyant  sur un travail de thèse en cours (financement FNRS démarré en 2019), l'objectif de cette communication sera, dans un premier temps, de présenter une cartographie des instruments de « pacification urbaine » mis en œuvre en Belgique francophone depuis le début des années 1990 et, par là, d’objectiver les différentes représentations de la jeunesse des quartiers populaires que ces dispositifs ont construit</w:t>
      </w:r>
      <w:r w:rsidR="003259FD">
        <w:rPr>
          <w:lang w:val="fr-BE"/>
        </w:rPr>
        <w:t>e</w:t>
      </w:r>
      <w:r w:rsidRPr="00144EAC">
        <w:rPr>
          <w:lang w:val="fr-BE"/>
        </w:rPr>
        <w:t>s et véhiculé</w:t>
      </w:r>
      <w:r w:rsidR="003259FD">
        <w:rPr>
          <w:lang w:val="fr-BE"/>
        </w:rPr>
        <w:t>e</w:t>
      </w:r>
      <w:r w:rsidRPr="00144EAC">
        <w:rPr>
          <w:lang w:val="fr-BE"/>
        </w:rPr>
        <w:t>s. Ensuite, l'exposé s'attachera à décrire comment se rejoue, de manière inédite, les tensions du « paradigme socio-sécuritaire » – caractéristique du modèle belge (francophone) de l’action publique de régulation et pacification en milieu urbain – à travers l’observation de la mise en œuvre d’un dispositif particulier (le « Réseau de prise en charge des extrémismes et radicalismes violents » de la Communauté française de Belgique) et l’analyse de ce qu’un tel instrument nou</w:t>
      </w:r>
      <w:r w:rsidR="00FA1D0F">
        <w:rPr>
          <w:lang w:val="fr-BE"/>
        </w:rPr>
        <w:t>s dit de la recomposition de l’</w:t>
      </w:r>
      <w:r w:rsidR="00FA1D0F" w:rsidRPr="00FA1D0F">
        <w:rPr>
          <w:i/>
          <w:lang w:val="fr-BE"/>
        </w:rPr>
        <w:t>e</w:t>
      </w:r>
      <w:r w:rsidRPr="00FA1D0F">
        <w:rPr>
          <w:i/>
          <w:lang w:val="fr-BE"/>
        </w:rPr>
        <w:t>thos</w:t>
      </w:r>
      <w:r w:rsidRPr="00144EAC">
        <w:rPr>
          <w:lang w:val="fr-BE"/>
        </w:rPr>
        <w:t xml:space="preserve"> des politiques de « gestion publique des jeunes urbains </w:t>
      </w:r>
      <w:r w:rsidR="00FA1D0F">
        <w:rPr>
          <w:lang w:val="fr-BE"/>
        </w:rPr>
        <w:t>précarisés</w:t>
      </w:r>
      <w:r w:rsidRPr="00144EAC">
        <w:rPr>
          <w:lang w:val="fr-BE"/>
        </w:rPr>
        <w:t xml:space="preserve"> » (Nagels &amp; Rea, op. cit.) en Belgique francophone.</w:t>
      </w:r>
    </w:p>
    <w:sectPr w:rsidR="00144EAC" w:rsidRPr="00144EAC" w:rsidSect="006A19BC">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66EE9" w14:textId="77777777" w:rsidR="003259FD" w:rsidRDefault="003259FD" w:rsidP="00FF7575">
      <w:r>
        <w:separator/>
      </w:r>
    </w:p>
  </w:endnote>
  <w:endnote w:type="continuationSeparator" w:id="0">
    <w:p w14:paraId="38B76A16" w14:textId="77777777" w:rsidR="003259FD" w:rsidRDefault="003259FD" w:rsidP="00FF7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tang">
    <w:altName w:val="바탕"/>
    <w:panose1 w:val="00000000000000000000"/>
    <w:charset w:val="81"/>
    <w:family w:val="roman"/>
    <w:notTrueType/>
    <w:pitch w:val="variable"/>
    <w:sig w:usb0="00000001" w:usb1="09060000" w:usb2="00000010" w:usb3="00000000" w:csb0="00080000"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2EC73" w14:textId="77777777" w:rsidR="003259FD" w:rsidRDefault="003259FD" w:rsidP="00FF7575">
      <w:r>
        <w:separator/>
      </w:r>
    </w:p>
  </w:footnote>
  <w:footnote w:type="continuationSeparator" w:id="0">
    <w:p w14:paraId="19F239FE" w14:textId="77777777" w:rsidR="003259FD" w:rsidRDefault="003259FD" w:rsidP="00FF757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062D1"/>
    <w:multiLevelType w:val="hybridMultilevel"/>
    <w:tmpl w:val="6024BA2A"/>
    <w:lvl w:ilvl="0" w:tplc="2FC2AA1C">
      <w:numFmt w:val="bullet"/>
      <w:lvlText w:val="-"/>
      <w:lvlJc w:val="left"/>
      <w:pPr>
        <w:ind w:left="1068" w:hanging="360"/>
      </w:pPr>
      <w:rPr>
        <w:rFonts w:ascii="Cambria" w:eastAsiaTheme="minorEastAsia" w:hAnsi="Cambria" w:cstheme="minorBidi" w:hint="default"/>
      </w:rPr>
    </w:lvl>
    <w:lvl w:ilvl="1" w:tplc="040C0003">
      <w:start w:val="1"/>
      <w:numFmt w:val="bullet"/>
      <w:lvlText w:val="o"/>
      <w:lvlJc w:val="left"/>
      <w:pPr>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1C536416"/>
    <w:multiLevelType w:val="hybridMultilevel"/>
    <w:tmpl w:val="1994CB38"/>
    <w:lvl w:ilvl="0" w:tplc="4B2E7438">
      <w:start w:val="9"/>
      <w:numFmt w:val="bullet"/>
      <w:lvlText w:val="-"/>
      <w:lvlJc w:val="left"/>
      <w:pPr>
        <w:ind w:left="720" w:hanging="360"/>
      </w:pPr>
      <w:rPr>
        <w:rFonts w:ascii="Cambria" w:eastAsiaTheme="minorEastAsia"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4CF53DD"/>
    <w:multiLevelType w:val="hybridMultilevel"/>
    <w:tmpl w:val="22C67938"/>
    <w:lvl w:ilvl="0" w:tplc="B2D41976">
      <w:numFmt w:val="bullet"/>
      <w:lvlText w:val="-"/>
      <w:lvlJc w:val="left"/>
      <w:pPr>
        <w:ind w:left="218" w:hanging="360"/>
      </w:pPr>
      <w:rPr>
        <w:rFonts w:ascii="Garamond" w:eastAsiaTheme="minorEastAsia" w:hAnsi="Garamond" w:cs="Times New Roman" w:hint="default"/>
      </w:rPr>
    </w:lvl>
    <w:lvl w:ilvl="1" w:tplc="040C0003">
      <w:start w:val="1"/>
      <w:numFmt w:val="bullet"/>
      <w:lvlText w:val="o"/>
      <w:lvlJc w:val="left"/>
      <w:pPr>
        <w:ind w:left="938" w:hanging="360"/>
      </w:pPr>
      <w:rPr>
        <w:rFonts w:ascii="Courier New" w:hAnsi="Courier New" w:hint="default"/>
      </w:rPr>
    </w:lvl>
    <w:lvl w:ilvl="2" w:tplc="040C0005">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3">
    <w:nsid w:val="46446DF1"/>
    <w:multiLevelType w:val="hybridMultilevel"/>
    <w:tmpl w:val="38509C44"/>
    <w:lvl w:ilvl="0" w:tplc="4B3A6028">
      <w:numFmt w:val="bullet"/>
      <w:lvlText w:val="-"/>
      <w:lvlJc w:val="left"/>
      <w:pPr>
        <w:ind w:left="720" w:hanging="360"/>
      </w:pPr>
      <w:rPr>
        <w:rFonts w:ascii="Cambria" w:eastAsiaTheme="minorEastAsia"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5A079BC"/>
    <w:multiLevelType w:val="hybridMultilevel"/>
    <w:tmpl w:val="2A381552"/>
    <w:lvl w:ilvl="0" w:tplc="2AFA2484">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4F2"/>
    <w:rsid w:val="00007807"/>
    <w:rsid w:val="00007B64"/>
    <w:rsid w:val="000431D3"/>
    <w:rsid w:val="0005300C"/>
    <w:rsid w:val="000A1F89"/>
    <w:rsid w:val="000A75E4"/>
    <w:rsid w:val="000B4B9C"/>
    <w:rsid w:val="000C4C77"/>
    <w:rsid w:val="000E2397"/>
    <w:rsid w:val="00122DF6"/>
    <w:rsid w:val="00144EAC"/>
    <w:rsid w:val="0016457F"/>
    <w:rsid w:val="00166612"/>
    <w:rsid w:val="00183791"/>
    <w:rsid w:val="00187413"/>
    <w:rsid w:val="001B0223"/>
    <w:rsid w:val="001C2D41"/>
    <w:rsid w:val="001D067D"/>
    <w:rsid w:val="001E3F77"/>
    <w:rsid w:val="001E6702"/>
    <w:rsid w:val="002009B7"/>
    <w:rsid w:val="002130CB"/>
    <w:rsid w:val="0022727B"/>
    <w:rsid w:val="0025013A"/>
    <w:rsid w:val="00281756"/>
    <w:rsid w:val="002819CA"/>
    <w:rsid w:val="00296C06"/>
    <w:rsid w:val="00297C4E"/>
    <w:rsid w:val="002D041F"/>
    <w:rsid w:val="002D0FED"/>
    <w:rsid w:val="0030172C"/>
    <w:rsid w:val="003259FD"/>
    <w:rsid w:val="00340546"/>
    <w:rsid w:val="00343555"/>
    <w:rsid w:val="003645C9"/>
    <w:rsid w:val="00395987"/>
    <w:rsid w:val="003B14F6"/>
    <w:rsid w:val="003C361A"/>
    <w:rsid w:val="00401D34"/>
    <w:rsid w:val="00423DC3"/>
    <w:rsid w:val="004319AC"/>
    <w:rsid w:val="00442CD0"/>
    <w:rsid w:val="00482139"/>
    <w:rsid w:val="00490FFC"/>
    <w:rsid w:val="004A463D"/>
    <w:rsid w:val="004E2127"/>
    <w:rsid w:val="004F1538"/>
    <w:rsid w:val="00513C37"/>
    <w:rsid w:val="00582724"/>
    <w:rsid w:val="005A5774"/>
    <w:rsid w:val="005E0816"/>
    <w:rsid w:val="00614040"/>
    <w:rsid w:val="00617306"/>
    <w:rsid w:val="006269EB"/>
    <w:rsid w:val="006926A2"/>
    <w:rsid w:val="006A19BC"/>
    <w:rsid w:val="00733594"/>
    <w:rsid w:val="00755AE6"/>
    <w:rsid w:val="00802D0C"/>
    <w:rsid w:val="008102AD"/>
    <w:rsid w:val="008137E2"/>
    <w:rsid w:val="00832A97"/>
    <w:rsid w:val="00832DDD"/>
    <w:rsid w:val="0084348C"/>
    <w:rsid w:val="008A15D3"/>
    <w:rsid w:val="008B39E8"/>
    <w:rsid w:val="008E3928"/>
    <w:rsid w:val="008E7433"/>
    <w:rsid w:val="00904075"/>
    <w:rsid w:val="00913FA5"/>
    <w:rsid w:val="00916762"/>
    <w:rsid w:val="009479D6"/>
    <w:rsid w:val="0099044E"/>
    <w:rsid w:val="009A7507"/>
    <w:rsid w:val="009F2058"/>
    <w:rsid w:val="009F68C0"/>
    <w:rsid w:val="00A062F1"/>
    <w:rsid w:val="00A601CE"/>
    <w:rsid w:val="00A97FCF"/>
    <w:rsid w:val="00AC1675"/>
    <w:rsid w:val="00B02E2B"/>
    <w:rsid w:val="00B07E79"/>
    <w:rsid w:val="00B11070"/>
    <w:rsid w:val="00B3364B"/>
    <w:rsid w:val="00B6116E"/>
    <w:rsid w:val="00B91B71"/>
    <w:rsid w:val="00BD73AE"/>
    <w:rsid w:val="00BF6208"/>
    <w:rsid w:val="00C36866"/>
    <w:rsid w:val="00C624F2"/>
    <w:rsid w:val="00C71D7A"/>
    <w:rsid w:val="00CA7F62"/>
    <w:rsid w:val="00CB0839"/>
    <w:rsid w:val="00CB412F"/>
    <w:rsid w:val="00CD2028"/>
    <w:rsid w:val="00CE3100"/>
    <w:rsid w:val="00CF414D"/>
    <w:rsid w:val="00D22415"/>
    <w:rsid w:val="00D52143"/>
    <w:rsid w:val="00D61A40"/>
    <w:rsid w:val="00D67071"/>
    <w:rsid w:val="00D709D5"/>
    <w:rsid w:val="00DB70AF"/>
    <w:rsid w:val="00DF7A80"/>
    <w:rsid w:val="00E008A0"/>
    <w:rsid w:val="00E14C56"/>
    <w:rsid w:val="00E1569A"/>
    <w:rsid w:val="00E17EF9"/>
    <w:rsid w:val="00E25855"/>
    <w:rsid w:val="00E3064E"/>
    <w:rsid w:val="00E32282"/>
    <w:rsid w:val="00E71258"/>
    <w:rsid w:val="00E713DE"/>
    <w:rsid w:val="00E71E99"/>
    <w:rsid w:val="00E90E3F"/>
    <w:rsid w:val="00EA5F89"/>
    <w:rsid w:val="00EA6C15"/>
    <w:rsid w:val="00EF1C8D"/>
    <w:rsid w:val="00F170D1"/>
    <w:rsid w:val="00F210CD"/>
    <w:rsid w:val="00F36AC9"/>
    <w:rsid w:val="00F36CDC"/>
    <w:rsid w:val="00F51F8F"/>
    <w:rsid w:val="00F95AFD"/>
    <w:rsid w:val="00FA1D0F"/>
    <w:rsid w:val="00FA49BF"/>
    <w:rsid w:val="00FB1F47"/>
    <w:rsid w:val="00FD3C72"/>
    <w:rsid w:val="00FD42CE"/>
    <w:rsid w:val="00FF757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A368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C624F2"/>
    <w:rPr>
      <w:sz w:val="18"/>
      <w:szCs w:val="18"/>
    </w:rPr>
  </w:style>
  <w:style w:type="paragraph" w:styleId="Commentaire">
    <w:name w:val="annotation text"/>
    <w:basedOn w:val="Normal"/>
    <w:link w:val="CommentaireCar"/>
    <w:uiPriority w:val="99"/>
    <w:unhideWhenUsed/>
    <w:rsid w:val="00C624F2"/>
  </w:style>
  <w:style w:type="character" w:customStyle="1" w:styleId="CommentaireCar">
    <w:name w:val="Commentaire Car"/>
    <w:basedOn w:val="Policepardfaut"/>
    <w:link w:val="Commentaire"/>
    <w:uiPriority w:val="99"/>
    <w:rsid w:val="00C624F2"/>
  </w:style>
  <w:style w:type="paragraph" w:styleId="Textedebulles">
    <w:name w:val="Balloon Text"/>
    <w:basedOn w:val="Normal"/>
    <w:link w:val="TextedebullesCar"/>
    <w:uiPriority w:val="99"/>
    <w:semiHidden/>
    <w:unhideWhenUsed/>
    <w:rsid w:val="00C624F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624F2"/>
    <w:rPr>
      <w:rFonts w:ascii="Lucida Grande" w:hAnsi="Lucida Grande" w:cs="Lucida Grande"/>
      <w:sz w:val="18"/>
      <w:szCs w:val="18"/>
    </w:rPr>
  </w:style>
  <w:style w:type="paragraph" w:styleId="NormalWeb">
    <w:name w:val="Normal (Web)"/>
    <w:basedOn w:val="Normal"/>
    <w:uiPriority w:val="99"/>
    <w:semiHidden/>
    <w:unhideWhenUsed/>
    <w:rsid w:val="00166612"/>
    <w:pPr>
      <w:spacing w:before="100" w:beforeAutospacing="1" w:after="100" w:afterAutospacing="1"/>
    </w:pPr>
    <w:rPr>
      <w:rFonts w:ascii="Times" w:hAnsi="Times" w:cs="Times New Roman"/>
      <w:sz w:val="20"/>
      <w:szCs w:val="20"/>
      <w:lang w:val="fr-BE"/>
    </w:rPr>
  </w:style>
  <w:style w:type="character" w:styleId="lev">
    <w:name w:val="Strong"/>
    <w:basedOn w:val="Policepardfaut"/>
    <w:uiPriority w:val="22"/>
    <w:qFormat/>
    <w:rsid w:val="00166612"/>
    <w:rPr>
      <w:b/>
      <w:bCs/>
    </w:rPr>
  </w:style>
  <w:style w:type="paragraph" w:styleId="Notedebasdepage">
    <w:name w:val="footnote text"/>
    <w:aliases w:val="Note de bas de page these,Footnotes,Footnote,footnote text Char Char Char Char,footnote text,Voetnoottekst Char,Voetnoottekst Char Car Car,Note de bas de page Car Car,Note de bas de page Car Car Car Car,Voetnoottekst Char Car,Footn"/>
    <w:basedOn w:val="Normal"/>
    <w:link w:val="NotedebasdepageCar"/>
    <w:unhideWhenUsed/>
    <w:rsid w:val="00FF7575"/>
  </w:style>
  <w:style w:type="character" w:customStyle="1" w:styleId="NotedebasdepageCar">
    <w:name w:val="Note de bas de page Car"/>
    <w:aliases w:val="Note de bas de page these Car,Footnotes Car,Footnote Car,footnote text Char Char Char Char Car,footnote text Car,Voetnoottekst Char Car1,Voetnoottekst Char Car Car Car,Note de bas de page Car Car Car,Voetnoottekst Char Car Car1"/>
    <w:basedOn w:val="Policepardfaut"/>
    <w:link w:val="Notedebasdepage"/>
    <w:rsid w:val="00FF7575"/>
  </w:style>
  <w:style w:type="character" w:styleId="Marquenotebasdepage">
    <w:name w:val="footnote reference"/>
    <w:aliases w:val="EN Footnote Reference,Times 10 Point,Exposant 3 Point,Footnote symbol,Footnote reference number,note TESI"/>
    <w:uiPriority w:val="99"/>
    <w:unhideWhenUsed/>
    <w:rsid w:val="00FF7575"/>
    <w:rPr>
      <w:vertAlign w:val="superscript"/>
    </w:rPr>
  </w:style>
  <w:style w:type="paragraph" w:styleId="Paragraphedeliste">
    <w:name w:val="List Paragraph"/>
    <w:aliases w:val="Paragraphe + puce,Lettre d'introduction"/>
    <w:basedOn w:val="Normal"/>
    <w:link w:val="ParagraphedelisteCar"/>
    <w:uiPriority w:val="34"/>
    <w:qFormat/>
    <w:rsid w:val="00E71258"/>
    <w:pPr>
      <w:suppressAutoHyphens/>
      <w:ind w:left="708"/>
    </w:pPr>
    <w:rPr>
      <w:rFonts w:ascii="Arial" w:eastAsia="Times New Roman" w:hAnsi="Arial" w:cs="Batang"/>
      <w:lang w:eastAsia="ar-SA"/>
    </w:rPr>
  </w:style>
  <w:style w:type="character" w:customStyle="1" w:styleId="ParagraphedelisteCar">
    <w:name w:val="Paragraphe de liste Car"/>
    <w:aliases w:val="Paragraphe + puce Car,Lettre d'introduction Car"/>
    <w:link w:val="Paragraphedeliste"/>
    <w:uiPriority w:val="34"/>
    <w:locked/>
    <w:rsid w:val="00E71258"/>
    <w:rPr>
      <w:rFonts w:ascii="Arial" w:eastAsia="Times New Roman" w:hAnsi="Arial" w:cs="Batang"/>
      <w:lang w:eastAsia="ar-SA"/>
    </w:rPr>
  </w:style>
  <w:style w:type="character" w:customStyle="1" w:styleId="apple-converted-space">
    <w:name w:val="apple-converted-space"/>
    <w:basedOn w:val="Policepardfaut"/>
    <w:rsid w:val="008E7433"/>
  </w:style>
  <w:style w:type="paragraph" w:styleId="Objetducommentaire">
    <w:name w:val="annotation subject"/>
    <w:basedOn w:val="Commentaire"/>
    <w:next w:val="Commentaire"/>
    <w:link w:val="ObjetducommentaireCar"/>
    <w:uiPriority w:val="99"/>
    <w:semiHidden/>
    <w:unhideWhenUsed/>
    <w:rsid w:val="005E0816"/>
    <w:rPr>
      <w:b/>
      <w:bCs/>
      <w:sz w:val="20"/>
      <w:szCs w:val="20"/>
    </w:rPr>
  </w:style>
  <w:style w:type="character" w:customStyle="1" w:styleId="ObjetducommentaireCar">
    <w:name w:val="Objet du commentaire Car"/>
    <w:basedOn w:val="CommentaireCar"/>
    <w:link w:val="Objetducommentaire"/>
    <w:uiPriority w:val="99"/>
    <w:semiHidden/>
    <w:rsid w:val="005E0816"/>
    <w:rPr>
      <w:b/>
      <w:bCs/>
      <w:sz w:val="20"/>
      <w:szCs w:val="20"/>
    </w:rPr>
  </w:style>
  <w:style w:type="paragraph" w:styleId="Rvision">
    <w:name w:val="Revision"/>
    <w:hidden/>
    <w:uiPriority w:val="99"/>
    <w:semiHidden/>
    <w:rsid w:val="004E212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C624F2"/>
    <w:rPr>
      <w:sz w:val="18"/>
      <w:szCs w:val="18"/>
    </w:rPr>
  </w:style>
  <w:style w:type="paragraph" w:styleId="Commentaire">
    <w:name w:val="annotation text"/>
    <w:basedOn w:val="Normal"/>
    <w:link w:val="CommentaireCar"/>
    <w:uiPriority w:val="99"/>
    <w:unhideWhenUsed/>
    <w:rsid w:val="00C624F2"/>
  </w:style>
  <w:style w:type="character" w:customStyle="1" w:styleId="CommentaireCar">
    <w:name w:val="Commentaire Car"/>
    <w:basedOn w:val="Policepardfaut"/>
    <w:link w:val="Commentaire"/>
    <w:uiPriority w:val="99"/>
    <w:rsid w:val="00C624F2"/>
  </w:style>
  <w:style w:type="paragraph" w:styleId="Textedebulles">
    <w:name w:val="Balloon Text"/>
    <w:basedOn w:val="Normal"/>
    <w:link w:val="TextedebullesCar"/>
    <w:uiPriority w:val="99"/>
    <w:semiHidden/>
    <w:unhideWhenUsed/>
    <w:rsid w:val="00C624F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624F2"/>
    <w:rPr>
      <w:rFonts w:ascii="Lucida Grande" w:hAnsi="Lucida Grande" w:cs="Lucida Grande"/>
      <w:sz w:val="18"/>
      <w:szCs w:val="18"/>
    </w:rPr>
  </w:style>
  <w:style w:type="paragraph" w:styleId="NormalWeb">
    <w:name w:val="Normal (Web)"/>
    <w:basedOn w:val="Normal"/>
    <w:uiPriority w:val="99"/>
    <w:semiHidden/>
    <w:unhideWhenUsed/>
    <w:rsid w:val="00166612"/>
    <w:pPr>
      <w:spacing w:before="100" w:beforeAutospacing="1" w:after="100" w:afterAutospacing="1"/>
    </w:pPr>
    <w:rPr>
      <w:rFonts w:ascii="Times" w:hAnsi="Times" w:cs="Times New Roman"/>
      <w:sz w:val="20"/>
      <w:szCs w:val="20"/>
      <w:lang w:val="fr-BE"/>
    </w:rPr>
  </w:style>
  <w:style w:type="character" w:styleId="lev">
    <w:name w:val="Strong"/>
    <w:basedOn w:val="Policepardfaut"/>
    <w:uiPriority w:val="22"/>
    <w:qFormat/>
    <w:rsid w:val="00166612"/>
    <w:rPr>
      <w:b/>
      <w:bCs/>
    </w:rPr>
  </w:style>
  <w:style w:type="paragraph" w:styleId="Notedebasdepage">
    <w:name w:val="footnote text"/>
    <w:aliases w:val="Note de bas de page these,Footnotes,Footnote,footnote text Char Char Char Char,footnote text,Voetnoottekst Char,Voetnoottekst Char Car Car,Note de bas de page Car Car,Note de bas de page Car Car Car Car,Voetnoottekst Char Car,Footn"/>
    <w:basedOn w:val="Normal"/>
    <w:link w:val="NotedebasdepageCar"/>
    <w:unhideWhenUsed/>
    <w:rsid w:val="00FF7575"/>
  </w:style>
  <w:style w:type="character" w:customStyle="1" w:styleId="NotedebasdepageCar">
    <w:name w:val="Note de bas de page Car"/>
    <w:aliases w:val="Note de bas de page these Car,Footnotes Car,Footnote Car,footnote text Char Char Char Char Car,footnote text Car,Voetnoottekst Char Car1,Voetnoottekst Char Car Car Car,Note de bas de page Car Car Car,Voetnoottekst Char Car Car1"/>
    <w:basedOn w:val="Policepardfaut"/>
    <w:link w:val="Notedebasdepage"/>
    <w:rsid w:val="00FF7575"/>
  </w:style>
  <w:style w:type="character" w:styleId="Marquenotebasdepage">
    <w:name w:val="footnote reference"/>
    <w:aliases w:val="EN Footnote Reference,Times 10 Point,Exposant 3 Point,Footnote symbol,Footnote reference number,note TESI"/>
    <w:uiPriority w:val="99"/>
    <w:unhideWhenUsed/>
    <w:rsid w:val="00FF7575"/>
    <w:rPr>
      <w:vertAlign w:val="superscript"/>
    </w:rPr>
  </w:style>
  <w:style w:type="paragraph" w:styleId="Paragraphedeliste">
    <w:name w:val="List Paragraph"/>
    <w:aliases w:val="Paragraphe + puce,Lettre d'introduction"/>
    <w:basedOn w:val="Normal"/>
    <w:link w:val="ParagraphedelisteCar"/>
    <w:uiPriority w:val="34"/>
    <w:qFormat/>
    <w:rsid w:val="00E71258"/>
    <w:pPr>
      <w:suppressAutoHyphens/>
      <w:ind w:left="708"/>
    </w:pPr>
    <w:rPr>
      <w:rFonts w:ascii="Arial" w:eastAsia="Times New Roman" w:hAnsi="Arial" w:cs="Batang"/>
      <w:lang w:eastAsia="ar-SA"/>
    </w:rPr>
  </w:style>
  <w:style w:type="character" w:customStyle="1" w:styleId="ParagraphedelisteCar">
    <w:name w:val="Paragraphe de liste Car"/>
    <w:aliases w:val="Paragraphe + puce Car,Lettre d'introduction Car"/>
    <w:link w:val="Paragraphedeliste"/>
    <w:uiPriority w:val="34"/>
    <w:locked/>
    <w:rsid w:val="00E71258"/>
    <w:rPr>
      <w:rFonts w:ascii="Arial" w:eastAsia="Times New Roman" w:hAnsi="Arial" w:cs="Batang"/>
      <w:lang w:eastAsia="ar-SA"/>
    </w:rPr>
  </w:style>
  <w:style w:type="character" w:customStyle="1" w:styleId="apple-converted-space">
    <w:name w:val="apple-converted-space"/>
    <w:basedOn w:val="Policepardfaut"/>
    <w:rsid w:val="008E7433"/>
  </w:style>
  <w:style w:type="paragraph" w:styleId="Objetducommentaire">
    <w:name w:val="annotation subject"/>
    <w:basedOn w:val="Commentaire"/>
    <w:next w:val="Commentaire"/>
    <w:link w:val="ObjetducommentaireCar"/>
    <w:uiPriority w:val="99"/>
    <w:semiHidden/>
    <w:unhideWhenUsed/>
    <w:rsid w:val="005E0816"/>
    <w:rPr>
      <w:b/>
      <w:bCs/>
      <w:sz w:val="20"/>
      <w:szCs w:val="20"/>
    </w:rPr>
  </w:style>
  <w:style w:type="character" w:customStyle="1" w:styleId="ObjetducommentaireCar">
    <w:name w:val="Objet du commentaire Car"/>
    <w:basedOn w:val="CommentaireCar"/>
    <w:link w:val="Objetducommentaire"/>
    <w:uiPriority w:val="99"/>
    <w:semiHidden/>
    <w:rsid w:val="005E0816"/>
    <w:rPr>
      <w:b/>
      <w:bCs/>
      <w:sz w:val="20"/>
      <w:szCs w:val="20"/>
    </w:rPr>
  </w:style>
  <w:style w:type="paragraph" w:styleId="Rvision">
    <w:name w:val="Revision"/>
    <w:hidden/>
    <w:uiPriority w:val="99"/>
    <w:semiHidden/>
    <w:rsid w:val="004E2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5100">
      <w:bodyDiv w:val="1"/>
      <w:marLeft w:val="0"/>
      <w:marRight w:val="0"/>
      <w:marTop w:val="0"/>
      <w:marBottom w:val="0"/>
      <w:divBdr>
        <w:top w:val="none" w:sz="0" w:space="0" w:color="auto"/>
        <w:left w:val="none" w:sz="0" w:space="0" w:color="auto"/>
        <w:bottom w:val="none" w:sz="0" w:space="0" w:color="auto"/>
        <w:right w:val="none" w:sz="0" w:space="0" w:color="auto"/>
      </w:divBdr>
    </w:div>
    <w:div w:id="74206562">
      <w:bodyDiv w:val="1"/>
      <w:marLeft w:val="0"/>
      <w:marRight w:val="0"/>
      <w:marTop w:val="0"/>
      <w:marBottom w:val="0"/>
      <w:divBdr>
        <w:top w:val="none" w:sz="0" w:space="0" w:color="auto"/>
        <w:left w:val="none" w:sz="0" w:space="0" w:color="auto"/>
        <w:bottom w:val="none" w:sz="0" w:space="0" w:color="auto"/>
        <w:right w:val="none" w:sz="0" w:space="0" w:color="auto"/>
      </w:divBdr>
    </w:div>
    <w:div w:id="136076435">
      <w:bodyDiv w:val="1"/>
      <w:marLeft w:val="0"/>
      <w:marRight w:val="0"/>
      <w:marTop w:val="0"/>
      <w:marBottom w:val="0"/>
      <w:divBdr>
        <w:top w:val="none" w:sz="0" w:space="0" w:color="auto"/>
        <w:left w:val="none" w:sz="0" w:space="0" w:color="auto"/>
        <w:bottom w:val="none" w:sz="0" w:space="0" w:color="auto"/>
        <w:right w:val="none" w:sz="0" w:space="0" w:color="auto"/>
      </w:divBdr>
    </w:div>
    <w:div w:id="230120422">
      <w:bodyDiv w:val="1"/>
      <w:marLeft w:val="0"/>
      <w:marRight w:val="0"/>
      <w:marTop w:val="0"/>
      <w:marBottom w:val="0"/>
      <w:divBdr>
        <w:top w:val="none" w:sz="0" w:space="0" w:color="auto"/>
        <w:left w:val="none" w:sz="0" w:space="0" w:color="auto"/>
        <w:bottom w:val="none" w:sz="0" w:space="0" w:color="auto"/>
        <w:right w:val="none" w:sz="0" w:space="0" w:color="auto"/>
      </w:divBdr>
      <w:divsChild>
        <w:div w:id="1945377190">
          <w:marLeft w:val="0"/>
          <w:marRight w:val="0"/>
          <w:marTop w:val="0"/>
          <w:marBottom w:val="0"/>
          <w:divBdr>
            <w:top w:val="none" w:sz="0" w:space="0" w:color="auto"/>
            <w:left w:val="none" w:sz="0" w:space="0" w:color="auto"/>
            <w:bottom w:val="none" w:sz="0" w:space="0" w:color="auto"/>
            <w:right w:val="none" w:sz="0" w:space="0" w:color="auto"/>
          </w:divBdr>
        </w:div>
        <w:div w:id="1919443494">
          <w:marLeft w:val="0"/>
          <w:marRight w:val="0"/>
          <w:marTop w:val="0"/>
          <w:marBottom w:val="0"/>
          <w:divBdr>
            <w:top w:val="none" w:sz="0" w:space="0" w:color="auto"/>
            <w:left w:val="none" w:sz="0" w:space="0" w:color="auto"/>
            <w:bottom w:val="none" w:sz="0" w:space="0" w:color="auto"/>
            <w:right w:val="none" w:sz="0" w:space="0" w:color="auto"/>
          </w:divBdr>
        </w:div>
        <w:div w:id="1957449025">
          <w:marLeft w:val="0"/>
          <w:marRight w:val="0"/>
          <w:marTop w:val="0"/>
          <w:marBottom w:val="0"/>
          <w:divBdr>
            <w:top w:val="none" w:sz="0" w:space="0" w:color="auto"/>
            <w:left w:val="none" w:sz="0" w:space="0" w:color="auto"/>
            <w:bottom w:val="none" w:sz="0" w:space="0" w:color="auto"/>
            <w:right w:val="none" w:sz="0" w:space="0" w:color="auto"/>
          </w:divBdr>
        </w:div>
        <w:div w:id="1396245054">
          <w:marLeft w:val="0"/>
          <w:marRight w:val="0"/>
          <w:marTop w:val="0"/>
          <w:marBottom w:val="0"/>
          <w:divBdr>
            <w:top w:val="none" w:sz="0" w:space="0" w:color="auto"/>
            <w:left w:val="none" w:sz="0" w:space="0" w:color="auto"/>
            <w:bottom w:val="none" w:sz="0" w:space="0" w:color="auto"/>
            <w:right w:val="none" w:sz="0" w:space="0" w:color="auto"/>
          </w:divBdr>
        </w:div>
      </w:divsChild>
    </w:div>
    <w:div w:id="230122985">
      <w:bodyDiv w:val="1"/>
      <w:marLeft w:val="0"/>
      <w:marRight w:val="0"/>
      <w:marTop w:val="0"/>
      <w:marBottom w:val="0"/>
      <w:divBdr>
        <w:top w:val="none" w:sz="0" w:space="0" w:color="auto"/>
        <w:left w:val="none" w:sz="0" w:space="0" w:color="auto"/>
        <w:bottom w:val="none" w:sz="0" w:space="0" w:color="auto"/>
        <w:right w:val="none" w:sz="0" w:space="0" w:color="auto"/>
      </w:divBdr>
    </w:div>
    <w:div w:id="276984848">
      <w:bodyDiv w:val="1"/>
      <w:marLeft w:val="0"/>
      <w:marRight w:val="0"/>
      <w:marTop w:val="0"/>
      <w:marBottom w:val="0"/>
      <w:divBdr>
        <w:top w:val="none" w:sz="0" w:space="0" w:color="auto"/>
        <w:left w:val="none" w:sz="0" w:space="0" w:color="auto"/>
        <w:bottom w:val="none" w:sz="0" w:space="0" w:color="auto"/>
        <w:right w:val="none" w:sz="0" w:space="0" w:color="auto"/>
      </w:divBdr>
    </w:div>
    <w:div w:id="811486456">
      <w:bodyDiv w:val="1"/>
      <w:marLeft w:val="0"/>
      <w:marRight w:val="0"/>
      <w:marTop w:val="0"/>
      <w:marBottom w:val="0"/>
      <w:divBdr>
        <w:top w:val="none" w:sz="0" w:space="0" w:color="auto"/>
        <w:left w:val="none" w:sz="0" w:space="0" w:color="auto"/>
        <w:bottom w:val="none" w:sz="0" w:space="0" w:color="auto"/>
        <w:right w:val="none" w:sz="0" w:space="0" w:color="auto"/>
      </w:divBdr>
    </w:div>
    <w:div w:id="13785077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908</Words>
  <Characters>4997</Characters>
  <Application>Microsoft Macintosh Word</Application>
  <DocSecurity>0</DocSecurity>
  <Lines>41</Lines>
  <Paragraphs>11</Paragraphs>
  <ScaleCrop>false</ScaleCrop>
  <Company/>
  <LinksUpToDate>false</LinksUpToDate>
  <CharactersWithSpaces>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Rinschbergh </dc:creator>
  <cp:keywords/>
  <dc:description/>
  <cp:lastModifiedBy>François   Rinschbergh </cp:lastModifiedBy>
  <cp:revision>4</cp:revision>
  <cp:lastPrinted>2019-03-01T11:09:00Z</cp:lastPrinted>
  <dcterms:created xsi:type="dcterms:W3CDTF">2020-10-01T13:48:00Z</dcterms:created>
  <dcterms:modified xsi:type="dcterms:W3CDTF">2020-10-01T13:49:00Z</dcterms:modified>
</cp:coreProperties>
</file>