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2BB057B" w14:textId="67FBB465" w:rsidR="00D906DD" w:rsidRPr="00261D4F" w:rsidRDefault="00000E8A" w:rsidP="00000E8A">
      <w:pPr>
        <w:jc w:val="center"/>
        <w:rPr>
          <w:rStyle w:val="Accentuationlgre"/>
          <w:b/>
          <w:bCs/>
          <w:color w:val="000000" w:themeColor="text1"/>
          <w:sz w:val="22"/>
        </w:rPr>
      </w:pPr>
      <w:bookmarkStart w:id="0" w:name="_GoBack"/>
      <w:bookmarkEnd w:id="0"/>
      <w:r w:rsidRPr="00261D4F">
        <w:rPr>
          <w:rStyle w:val="Accentuationlgre"/>
          <w:b/>
          <w:bCs/>
          <w:color w:val="000000" w:themeColor="text1"/>
          <w:sz w:val="22"/>
        </w:rPr>
        <w:t>Le polémiste au miroir de la polémique</w:t>
      </w:r>
      <w:r w:rsidR="003020F5" w:rsidRPr="00261D4F">
        <w:rPr>
          <w:rStyle w:val="Accentuationlgre"/>
          <w:b/>
          <w:bCs/>
          <w:color w:val="000000" w:themeColor="text1"/>
          <w:sz w:val="22"/>
        </w:rPr>
        <w:t> : mot d’introduction</w:t>
      </w:r>
    </w:p>
    <w:p w14:paraId="0EF64674" w14:textId="4ECF6F1C" w:rsidR="00B810D3" w:rsidRPr="00261D4F" w:rsidRDefault="00B810D3" w:rsidP="00F91D65">
      <w:pPr>
        <w:spacing w:line="240" w:lineRule="auto"/>
        <w:ind w:firstLine="709"/>
        <w:rPr>
          <w:sz w:val="22"/>
        </w:rPr>
      </w:pPr>
      <w:r w:rsidRPr="00261D4F">
        <w:rPr>
          <w:sz w:val="22"/>
        </w:rPr>
        <w:t>Creuset de la satire et du pamphlet, le discours polémique se manifeste sous diverses formes depuis l’Antiquité ; inaugurée par les satires de Juvénal, la longue tradition de la production satirique voit se succéder Agrippa d’Aubigné, Pascal</w:t>
      </w:r>
      <w:r w:rsidR="00F34853" w:rsidRPr="00261D4F">
        <w:rPr>
          <w:sz w:val="22"/>
        </w:rPr>
        <w:t xml:space="preserve"> et</w:t>
      </w:r>
      <w:r w:rsidRPr="00261D4F">
        <w:rPr>
          <w:sz w:val="22"/>
        </w:rPr>
        <w:t xml:space="preserve"> Boileau</w:t>
      </w:r>
      <w:r w:rsidR="00F34853" w:rsidRPr="00261D4F">
        <w:rPr>
          <w:sz w:val="22"/>
        </w:rPr>
        <w:t xml:space="preserve">, tandis que les pamphlets ont la faveur de </w:t>
      </w:r>
      <w:r w:rsidRPr="00261D4F">
        <w:rPr>
          <w:sz w:val="22"/>
        </w:rPr>
        <w:t>Voltaire, qui se plaît à envoyer depuis Ferney des «</w:t>
      </w:r>
      <w:r w:rsidR="00EB199A" w:rsidRPr="00261D4F">
        <w:rPr>
          <w:sz w:val="22"/>
        </w:rPr>
        <w:t> </w:t>
      </w:r>
      <w:r w:rsidRPr="00261D4F">
        <w:rPr>
          <w:sz w:val="22"/>
        </w:rPr>
        <w:t xml:space="preserve">fusées volantes qui crèvent sur la tête des </w:t>
      </w:r>
      <w:proofErr w:type="spellStart"/>
      <w:r w:rsidRPr="00261D4F">
        <w:rPr>
          <w:sz w:val="22"/>
        </w:rPr>
        <w:t>sots</w:t>
      </w:r>
      <w:proofErr w:type="spellEnd"/>
      <w:r w:rsidR="00A27F0D" w:rsidRPr="00261D4F">
        <w:rPr>
          <w:rStyle w:val="Appelnotedebasdep"/>
          <w:sz w:val="22"/>
        </w:rPr>
        <w:footnoteReference w:id="1"/>
      </w:r>
      <w:r w:rsidR="00EB199A" w:rsidRPr="00261D4F">
        <w:rPr>
          <w:sz w:val="22"/>
        </w:rPr>
        <w:t> </w:t>
      </w:r>
      <w:r w:rsidRPr="00261D4F">
        <w:rPr>
          <w:sz w:val="22"/>
        </w:rPr>
        <w:t xml:space="preserve">» – c’est-à-dire sur celle des dévots et des ennemis du clan philosophique –, pour la plus grande joie des cercles lettrés du temps. Cette veine d’écriture n’est pas en reste à l’époque moderne et contemporaine, où elle anime </w:t>
      </w:r>
      <w:r w:rsidR="00F600C1" w:rsidRPr="00261D4F">
        <w:rPr>
          <w:sz w:val="22"/>
        </w:rPr>
        <w:t>les écrits controversés</w:t>
      </w:r>
      <w:r w:rsidRPr="00261D4F">
        <w:rPr>
          <w:sz w:val="22"/>
        </w:rPr>
        <w:t xml:space="preserve"> de Michel Houellebecq, après avoir irrigué les écrits pamphlétaires de Céline, dont la dernière tentative de publication en date, début 2018, a suscité un véritable tollé. Il n’est pas anodin, en effet, que ces exemples récents restent eux-mêmes objets d’une vive polémique.</w:t>
      </w:r>
    </w:p>
    <w:p w14:paraId="18F983D8" w14:textId="2E287578" w:rsidR="00B810D3" w:rsidRPr="00261D4F" w:rsidRDefault="00B810D3" w:rsidP="00F91D65">
      <w:pPr>
        <w:spacing w:line="240" w:lineRule="auto"/>
        <w:ind w:firstLine="709"/>
        <w:rPr>
          <w:sz w:val="22"/>
        </w:rPr>
      </w:pPr>
      <w:r w:rsidRPr="00261D4F">
        <w:rPr>
          <w:sz w:val="22"/>
        </w:rPr>
        <w:t>Prenant tantôt les contours d’un débat public, tantôt ceux d’un manifeste, d’une lettre ouverte ou encore d’un texte à vocation littéraire, la parole polémique se veut le révélateur et le miroir grossissant de problématiques politiques, sociales et littéraires éminemment actuelles – que l’on songe seulement au vibrant « J’accuse ! », publié au plus fort de l’affaire Dreyfus, avec l’effet que l’on sait sur l’opinion. C’est d’ailleurs par son rapport étroit avec l’actualité, son pouvoir d’attraction et son rayonnement auprès du public que cette parole est susceptible, selon l’époque, d’investir son auteur d’une autorité parfois menaçante aux yeux des pouvoirs en place, le</w:t>
      </w:r>
      <w:r w:rsidR="0087797D" w:rsidRPr="00261D4F">
        <w:rPr>
          <w:sz w:val="22"/>
        </w:rPr>
        <w:t>s</w:t>
      </w:r>
      <w:r w:rsidRPr="00261D4F">
        <w:rPr>
          <w:sz w:val="22"/>
        </w:rPr>
        <w:t>quel</w:t>
      </w:r>
      <w:r w:rsidR="0087797D" w:rsidRPr="00261D4F">
        <w:rPr>
          <w:sz w:val="22"/>
        </w:rPr>
        <w:t>s</w:t>
      </w:r>
      <w:r w:rsidRPr="00261D4F">
        <w:rPr>
          <w:sz w:val="22"/>
        </w:rPr>
        <w:t xml:space="preserve"> se méfie</w:t>
      </w:r>
      <w:r w:rsidR="0087797D" w:rsidRPr="00261D4F">
        <w:rPr>
          <w:sz w:val="22"/>
        </w:rPr>
        <w:t>nt</w:t>
      </w:r>
      <w:r w:rsidRPr="00261D4F">
        <w:rPr>
          <w:sz w:val="22"/>
        </w:rPr>
        <w:t xml:space="preserve"> de ces écrits qu’il</w:t>
      </w:r>
      <w:r w:rsidR="0087797D" w:rsidRPr="00261D4F">
        <w:rPr>
          <w:sz w:val="22"/>
        </w:rPr>
        <w:t>s</w:t>
      </w:r>
      <w:r w:rsidRPr="00261D4F">
        <w:rPr>
          <w:sz w:val="22"/>
        </w:rPr>
        <w:t xml:space="preserve"> juge</w:t>
      </w:r>
      <w:r w:rsidR="0087797D" w:rsidRPr="00261D4F">
        <w:rPr>
          <w:sz w:val="22"/>
        </w:rPr>
        <w:t>nt</w:t>
      </w:r>
      <w:r w:rsidRPr="00261D4F">
        <w:rPr>
          <w:sz w:val="22"/>
        </w:rPr>
        <w:t xml:space="preserve"> </w:t>
      </w:r>
      <w:proofErr w:type="gramStart"/>
      <w:r w:rsidRPr="00261D4F">
        <w:rPr>
          <w:sz w:val="22"/>
        </w:rPr>
        <w:t>séditieux</w:t>
      </w:r>
      <w:proofErr w:type="gramEnd"/>
      <w:r w:rsidRPr="00261D4F">
        <w:rPr>
          <w:sz w:val="22"/>
        </w:rPr>
        <w:t xml:space="preserve"> –</w:t>
      </w:r>
      <w:r w:rsidR="00EB199A" w:rsidRPr="00261D4F">
        <w:rPr>
          <w:sz w:val="22"/>
        </w:rPr>
        <w:t xml:space="preserve"> </w:t>
      </w:r>
      <w:r w:rsidRPr="00261D4F">
        <w:rPr>
          <w:sz w:val="22"/>
        </w:rPr>
        <w:t xml:space="preserve">souvent à juste titre. </w:t>
      </w:r>
    </w:p>
    <w:p w14:paraId="3743B5AF" w14:textId="5C39392D" w:rsidR="00B810D3" w:rsidRPr="00261D4F" w:rsidRDefault="00B810D3" w:rsidP="00F91D65">
      <w:pPr>
        <w:spacing w:line="240" w:lineRule="auto"/>
        <w:ind w:firstLine="709"/>
        <w:rPr>
          <w:sz w:val="22"/>
        </w:rPr>
      </w:pPr>
      <w:proofErr w:type="gramStart"/>
      <w:r w:rsidRPr="00261D4F">
        <w:rPr>
          <w:sz w:val="22"/>
        </w:rPr>
        <w:t>Le polémique</w:t>
      </w:r>
      <w:proofErr w:type="gramEnd"/>
      <w:r w:rsidRPr="00261D4F">
        <w:rPr>
          <w:sz w:val="22"/>
        </w:rPr>
        <w:t xml:space="preserve"> est toutefois victime aujourd’hui encore d’une réputation sulfureuse qui doit beaucoup à la violence verbale qui lui est</w:t>
      </w:r>
      <w:r w:rsidR="00C75AC6" w:rsidRPr="00261D4F">
        <w:rPr>
          <w:sz w:val="22"/>
        </w:rPr>
        <w:t xml:space="preserve"> presque</w:t>
      </w:r>
      <w:r w:rsidRPr="00261D4F">
        <w:rPr>
          <w:sz w:val="22"/>
        </w:rPr>
        <w:t xml:space="preserve"> systématiquement associée. Dans le </w:t>
      </w:r>
      <w:r w:rsidRPr="00261D4F">
        <w:rPr>
          <w:i/>
          <w:iCs/>
          <w:sz w:val="22"/>
        </w:rPr>
        <w:t>Trésor de la langue française</w:t>
      </w:r>
      <w:r w:rsidRPr="00261D4F">
        <w:rPr>
          <w:sz w:val="22"/>
        </w:rPr>
        <w:t>, la «</w:t>
      </w:r>
      <w:r w:rsidR="00CC5C7E" w:rsidRPr="00261D4F">
        <w:rPr>
          <w:sz w:val="22"/>
        </w:rPr>
        <w:t> </w:t>
      </w:r>
      <w:r w:rsidRPr="00261D4F">
        <w:rPr>
          <w:sz w:val="22"/>
        </w:rPr>
        <w:t>polémique</w:t>
      </w:r>
      <w:r w:rsidR="00CC5C7E" w:rsidRPr="00261D4F">
        <w:rPr>
          <w:sz w:val="22"/>
        </w:rPr>
        <w:t> </w:t>
      </w:r>
      <w:r w:rsidRPr="00261D4F">
        <w:rPr>
          <w:sz w:val="22"/>
        </w:rPr>
        <w:t>» est ainsi définie comme suit : «</w:t>
      </w:r>
      <w:r w:rsidR="00CC5C7E" w:rsidRPr="00261D4F">
        <w:rPr>
          <w:sz w:val="22"/>
        </w:rPr>
        <w:t> </w:t>
      </w:r>
      <w:r w:rsidRPr="00261D4F">
        <w:rPr>
          <w:sz w:val="22"/>
        </w:rPr>
        <w:t>discussion, débat, controverse qui traduit de façon violente ou passionnée, et le plus souvent par écrit, des opinions contraires sur toutes espèces de sujets (politique, scientifique, littéraire, religieux, etc.)</w:t>
      </w:r>
      <w:r w:rsidR="00CC5C7E" w:rsidRPr="00261D4F">
        <w:rPr>
          <w:sz w:val="22"/>
        </w:rPr>
        <w:t> </w:t>
      </w:r>
      <w:r w:rsidRPr="00261D4F">
        <w:rPr>
          <w:sz w:val="22"/>
        </w:rPr>
        <w:t>». C’est dire si la violence du verbe est au cœur même des représentations propres au discours polémique, souvent réduit à ses manifestations les plus outrancières – celles-là même qui font la part belle à l’invective pure, voire à l’injure. Critiqué pour sa propension à la violence, à l’outrance et à l’univocité, le polémique constitue pour les mêmes motifs, à l’image de l’ensemble de la littérature d’idées, le parent pauvre de la critique universitaire, et ce malgré</w:t>
      </w:r>
      <w:r w:rsidR="00B30D7A" w:rsidRPr="00261D4F">
        <w:rPr>
          <w:sz w:val="22"/>
        </w:rPr>
        <w:t xml:space="preserve"> la parution d’ouvrages comme</w:t>
      </w:r>
      <w:r w:rsidRPr="00261D4F">
        <w:rPr>
          <w:sz w:val="22"/>
        </w:rPr>
        <w:t xml:space="preserve"> </w:t>
      </w:r>
      <w:r w:rsidRPr="00261D4F">
        <w:rPr>
          <w:i/>
          <w:iCs/>
          <w:sz w:val="22"/>
        </w:rPr>
        <w:t>La Parole pamphlétaire</w:t>
      </w:r>
      <w:r w:rsidRPr="00261D4F">
        <w:rPr>
          <w:sz w:val="22"/>
        </w:rPr>
        <w:t xml:space="preserve"> (1982) de Marc </w:t>
      </w:r>
      <w:proofErr w:type="spellStart"/>
      <w:r w:rsidRPr="00261D4F">
        <w:rPr>
          <w:sz w:val="22"/>
        </w:rPr>
        <w:t>Angenot</w:t>
      </w:r>
      <w:proofErr w:type="spellEnd"/>
      <w:r w:rsidRPr="00261D4F">
        <w:rPr>
          <w:sz w:val="22"/>
        </w:rPr>
        <w:t xml:space="preserve">, maître-essai </w:t>
      </w:r>
      <w:r w:rsidR="00CC5C7E" w:rsidRPr="00261D4F">
        <w:rPr>
          <w:sz w:val="22"/>
        </w:rPr>
        <w:t>établissant</w:t>
      </w:r>
      <w:r w:rsidRPr="00261D4F">
        <w:rPr>
          <w:sz w:val="22"/>
        </w:rPr>
        <w:t xml:space="preserve"> une typologie du discours pamphlétaire de la seconde moitié du XIX</w:t>
      </w:r>
      <w:r w:rsidRPr="00261D4F">
        <w:rPr>
          <w:sz w:val="22"/>
          <w:vertAlign w:val="superscript"/>
        </w:rPr>
        <w:t>e</w:t>
      </w:r>
      <w:r w:rsidRPr="00261D4F">
        <w:rPr>
          <w:sz w:val="22"/>
        </w:rPr>
        <w:t xml:space="preserve"> siècle. </w:t>
      </w:r>
    </w:p>
    <w:p w14:paraId="63481E9A" w14:textId="1E7447AD" w:rsidR="00E7684A" w:rsidRPr="00261D4F" w:rsidRDefault="0031744D" w:rsidP="00F91D65">
      <w:pPr>
        <w:spacing w:line="240" w:lineRule="auto"/>
        <w:ind w:firstLine="709"/>
        <w:rPr>
          <w:sz w:val="22"/>
        </w:rPr>
      </w:pPr>
      <w:r w:rsidRPr="00261D4F">
        <w:rPr>
          <w:sz w:val="22"/>
        </w:rPr>
        <w:t xml:space="preserve">C’est que le discours polémique a de quoi déconcerter la critique. Objet ambivalent, </w:t>
      </w:r>
      <w:r w:rsidR="00E66552" w:rsidRPr="00261D4F">
        <w:rPr>
          <w:sz w:val="22"/>
        </w:rPr>
        <w:t>l</w:t>
      </w:r>
      <w:r w:rsidR="00000E8A" w:rsidRPr="00261D4F">
        <w:rPr>
          <w:sz w:val="22"/>
        </w:rPr>
        <w:t>a parole</w:t>
      </w:r>
      <w:r w:rsidR="00E7684A" w:rsidRPr="00261D4F">
        <w:rPr>
          <w:sz w:val="22"/>
        </w:rPr>
        <w:t xml:space="preserve"> polémique</w:t>
      </w:r>
      <w:r w:rsidRPr="00261D4F">
        <w:rPr>
          <w:sz w:val="22"/>
        </w:rPr>
        <w:t xml:space="preserve"> </w:t>
      </w:r>
      <w:r w:rsidR="00E7684A" w:rsidRPr="00261D4F">
        <w:rPr>
          <w:sz w:val="22"/>
        </w:rPr>
        <w:t xml:space="preserve">a cela de particulier </w:t>
      </w:r>
      <w:r w:rsidR="00000E8A" w:rsidRPr="00261D4F">
        <w:rPr>
          <w:sz w:val="22"/>
        </w:rPr>
        <w:t>qu’elle ne désigne ni un genre littéraire, ni un type donné d’écriture, ou encore un style particulier. Il</w:t>
      </w:r>
      <w:r w:rsidR="00E7684A" w:rsidRPr="00261D4F">
        <w:rPr>
          <w:sz w:val="22"/>
        </w:rPr>
        <w:t xml:space="preserve"> est</w:t>
      </w:r>
      <w:r w:rsidR="00000E8A" w:rsidRPr="00261D4F">
        <w:rPr>
          <w:sz w:val="22"/>
        </w:rPr>
        <w:t xml:space="preserve"> dès lors</w:t>
      </w:r>
      <w:r w:rsidR="00E7684A" w:rsidRPr="00261D4F">
        <w:rPr>
          <w:sz w:val="22"/>
        </w:rPr>
        <w:t xml:space="preserve"> </w:t>
      </w:r>
      <w:r w:rsidR="00000E8A" w:rsidRPr="00261D4F">
        <w:rPr>
          <w:sz w:val="22"/>
        </w:rPr>
        <w:t>complexe</w:t>
      </w:r>
      <w:r w:rsidR="00E7684A" w:rsidRPr="00261D4F">
        <w:rPr>
          <w:sz w:val="22"/>
        </w:rPr>
        <w:t xml:space="preserve"> de circonscrire et de définir avec précision les formes dans lesquelles </w:t>
      </w:r>
      <w:r w:rsidR="00D76FD9" w:rsidRPr="00261D4F">
        <w:rPr>
          <w:sz w:val="22"/>
        </w:rPr>
        <w:t>elle</w:t>
      </w:r>
      <w:r w:rsidR="00E7684A" w:rsidRPr="00261D4F">
        <w:rPr>
          <w:sz w:val="22"/>
        </w:rPr>
        <w:t xml:space="preserve"> s’énonce</w:t>
      </w:r>
      <w:r w:rsidR="002E25E6" w:rsidRPr="00261D4F">
        <w:rPr>
          <w:sz w:val="22"/>
        </w:rPr>
        <w:t>, c</w:t>
      </w:r>
      <w:r w:rsidR="00E7684A" w:rsidRPr="00261D4F">
        <w:rPr>
          <w:sz w:val="22"/>
        </w:rPr>
        <w:t>ritiques comme écrivains pein</w:t>
      </w:r>
      <w:r w:rsidR="002E25E6" w:rsidRPr="00261D4F">
        <w:rPr>
          <w:sz w:val="22"/>
        </w:rPr>
        <w:t>a</w:t>
      </w:r>
      <w:r w:rsidR="00E7684A" w:rsidRPr="00261D4F">
        <w:rPr>
          <w:sz w:val="22"/>
        </w:rPr>
        <w:t xml:space="preserve">nt à s’accorder sur le sens exact de termes </w:t>
      </w:r>
      <w:r w:rsidR="00D10A04" w:rsidRPr="00261D4F">
        <w:rPr>
          <w:sz w:val="22"/>
        </w:rPr>
        <w:t>tels que</w:t>
      </w:r>
      <w:r w:rsidR="00E7684A" w:rsidRPr="00261D4F">
        <w:rPr>
          <w:sz w:val="22"/>
        </w:rPr>
        <w:t xml:space="preserve"> « pamphlet », « satire » ou encore « polémique », entre lesquels les frontières sont poreuses</w:t>
      </w:r>
      <w:r w:rsidR="003D62CF" w:rsidRPr="00261D4F">
        <w:rPr>
          <w:sz w:val="22"/>
        </w:rPr>
        <w:t>,</w:t>
      </w:r>
      <w:r w:rsidR="00E7684A" w:rsidRPr="00261D4F">
        <w:rPr>
          <w:sz w:val="22"/>
        </w:rPr>
        <w:t xml:space="preserve"> tant ils ne désignent ni un contenu ni </w:t>
      </w:r>
      <w:proofErr w:type="gramStart"/>
      <w:r w:rsidR="00E7684A" w:rsidRPr="00261D4F">
        <w:rPr>
          <w:sz w:val="22"/>
        </w:rPr>
        <w:t>une forme fixes</w:t>
      </w:r>
      <w:proofErr w:type="gramEnd"/>
      <w:r w:rsidR="00E7684A" w:rsidRPr="00261D4F">
        <w:rPr>
          <w:sz w:val="22"/>
        </w:rPr>
        <w:t>, invariables.</w:t>
      </w:r>
    </w:p>
    <w:p w14:paraId="62627DC9" w14:textId="39B32543" w:rsidR="00B810D3" w:rsidRPr="00261D4F" w:rsidRDefault="003D62CF" w:rsidP="00F91D65">
      <w:pPr>
        <w:spacing w:line="240" w:lineRule="auto"/>
        <w:ind w:firstLine="709"/>
        <w:rPr>
          <w:sz w:val="22"/>
        </w:rPr>
      </w:pPr>
      <w:r w:rsidRPr="00261D4F">
        <w:rPr>
          <w:sz w:val="22"/>
        </w:rPr>
        <w:t xml:space="preserve">Une constante se dégage toutefois de l’étude du discours polémique : celle </w:t>
      </w:r>
      <w:r w:rsidR="001C609D" w:rsidRPr="00261D4F">
        <w:rPr>
          <w:sz w:val="22"/>
        </w:rPr>
        <w:t>qui consiste pour le</w:t>
      </w:r>
      <w:r w:rsidRPr="00261D4F">
        <w:rPr>
          <w:sz w:val="22"/>
        </w:rPr>
        <w:t xml:space="preserve"> polémiste à esquisser, entre les lignes, son autoportrait en tant qu’auteur, à formuler un discours sur son discours polémique, afin d’orienter la lecture qui en sera faite. </w:t>
      </w:r>
      <w:r w:rsidR="00A26E7E" w:rsidRPr="00261D4F">
        <w:rPr>
          <w:sz w:val="22"/>
        </w:rPr>
        <w:t xml:space="preserve">Partant, l’étude du discours polémique permet </w:t>
      </w:r>
      <w:r w:rsidR="00D060F6" w:rsidRPr="00261D4F">
        <w:rPr>
          <w:sz w:val="22"/>
        </w:rPr>
        <w:t>d’envisager sous un jour neuf les</w:t>
      </w:r>
      <w:r w:rsidR="00A26E7E" w:rsidRPr="00261D4F">
        <w:rPr>
          <w:sz w:val="22"/>
        </w:rPr>
        <w:t xml:space="preserve"> questions d’</w:t>
      </w:r>
      <w:proofErr w:type="spellStart"/>
      <w:r w:rsidR="00A26E7E" w:rsidRPr="00261D4F">
        <w:rPr>
          <w:sz w:val="22"/>
        </w:rPr>
        <w:t>auctorialité</w:t>
      </w:r>
      <w:proofErr w:type="spellEnd"/>
      <w:r w:rsidR="00A26E7E" w:rsidRPr="00261D4F">
        <w:rPr>
          <w:sz w:val="22"/>
        </w:rPr>
        <w:t xml:space="preserve">. </w:t>
      </w:r>
      <w:r w:rsidR="00E85CCD" w:rsidRPr="00261D4F">
        <w:rPr>
          <w:sz w:val="22"/>
        </w:rPr>
        <w:t xml:space="preserve">Bref et ramassé, le propos polémique oblige en effet </w:t>
      </w:r>
      <w:r w:rsidR="006A7F08" w:rsidRPr="00261D4F">
        <w:rPr>
          <w:sz w:val="22"/>
        </w:rPr>
        <w:t>son auteur</w:t>
      </w:r>
      <w:r w:rsidR="00E85CCD" w:rsidRPr="00261D4F">
        <w:rPr>
          <w:sz w:val="22"/>
        </w:rPr>
        <w:t xml:space="preserve"> </w:t>
      </w:r>
      <w:r w:rsidR="001C609D" w:rsidRPr="00261D4F">
        <w:rPr>
          <w:sz w:val="22"/>
        </w:rPr>
        <w:t xml:space="preserve">– </w:t>
      </w:r>
      <w:proofErr w:type="spellStart"/>
      <w:r w:rsidR="001C609D" w:rsidRPr="00261D4F">
        <w:rPr>
          <w:sz w:val="22"/>
        </w:rPr>
        <w:t>fût-il</w:t>
      </w:r>
      <w:proofErr w:type="spellEnd"/>
      <w:r w:rsidR="001C609D" w:rsidRPr="00261D4F">
        <w:rPr>
          <w:sz w:val="22"/>
        </w:rPr>
        <w:t xml:space="preserve"> satiriste, pamphlétaire, polémiste malgré lui ou accompli – </w:t>
      </w:r>
      <w:r w:rsidR="00E85CCD" w:rsidRPr="00261D4F">
        <w:rPr>
          <w:sz w:val="22"/>
        </w:rPr>
        <w:t xml:space="preserve">à exprimer de façon condensée la manière dont il s’envisage en tant qu’auteur, et </w:t>
      </w:r>
      <w:r w:rsidR="003A18AE" w:rsidRPr="00261D4F">
        <w:rPr>
          <w:sz w:val="22"/>
        </w:rPr>
        <w:t xml:space="preserve">celle </w:t>
      </w:r>
      <w:r w:rsidR="00E85CCD" w:rsidRPr="00261D4F">
        <w:rPr>
          <w:sz w:val="22"/>
        </w:rPr>
        <w:t>dont il conçoit et justifie sa pratique de l’écriture polémique.</w:t>
      </w:r>
      <w:r w:rsidR="002D1D4C" w:rsidRPr="00261D4F">
        <w:rPr>
          <w:sz w:val="22"/>
        </w:rPr>
        <w:t xml:space="preserve"> </w:t>
      </w:r>
    </w:p>
    <w:p w14:paraId="0F580241" w14:textId="30BC8DAE" w:rsidR="00B810D3" w:rsidRPr="00261D4F" w:rsidRDefault="00B810D3" w:rsidP="00F91D65">
      <w:pPr>
        <w:spacing w:line="240" w:lineRule="auto"/>
        <w:ind w:firstLine="709"/>
        <w:rPr>
          <w:sz w:val="22"/>
        </w:rPr>
      </w:pPr>
      <w:r w:rsidRPr="00261D4F">
        <w:rPr>
          <w:sz w:val="22"/>
        </w:rPr>
        <w:t xml:space="preserve">Posant tantôt comme l’énonciateur isolé d’une parole marginale, tantôt comme le représentant d’une faction (politique ou littéraire) ou d’un groupe social, le polémiste </w:t>
      </w:r>
      <w:r w:rsidR="00ED015D" w:rsidRPr="00261D4F">
        <w:rPr>
          <w:sz w:val="22"/>
        </w:rPr>
        <w:t>forge</w:t>
      </w:r>
      <w:r w:rsidRPr="00261D4F">
        <w:rPr>
          <w:sz w:val="22"/>
        </w:rPr>
        <w:t xml:space="preserve"> </w:t>
      </w:r>
      <w:r w:rsidR="00BA6018" w:rsidRPr="00261D4F">
        <w:rPr>
          <w:sz w:val="22"/>
        </w:rPr>
        <w:t>ainsi un autoportrait qu’il convient d’interroger :</w:t>
      </w:r>
      <w:r w:rsidR="002C079F" w:rsidRPr="00261D4F">
        <w:rPr>
          <w:sz w:val="22"/>
        </w:rPr>
        <w:t xml:space="preserve"> </w:t>
      </w:r>
      <w:r w:rsidRPr="00261D4F">
        <w:rPr>
          <w:sz w:val="22"/>
        </w:rPr>
        <w:t>comment met-il en scène sa propre énonciation</w:t>
      </w:r>
      <w:r w:rsidR="002C079F" w:rsidRPr="00261D4F">
        <w:rPr>
          <w:sz w:val="22"/>
        </w:rPr>
        <w:t> </w:t>
      </w:r>
      <w:r w:rsidRPr="00261D4F">
        <w:rPr>
          <w:sz w:val="22"/>
        </w:rPr>
        <w:t>? Comment caractérise-t-il sa parole polémique, et au-delà, le polémique</w:t>
      </w:r>
      <w:r w:rsidR="002C079F" w:rsidRPr="00261D4F">
        <w:rPr>
          <w:sz w:val="22"/>
        </w:rPr>
        <w:t> </w:t>
      </w:r>
      <w:r w:rsidRPr="00261D4F">
        <w:rPr>
          <w:sz w:val="22"/>
        </w:rPr>
        <w:t>? Quels sont les objectifs et les modalités assignés par lui au registre polémique</w:t>
      </w:r>
      <w:r w:rsidR="002C079F" w:rsidRPr="00261D4F">
        <w:rPr>
          <w:sz w:val="22"/>
        </w:rPr>
        <w:t> </w:t>
      </w:r>
      <w:r w:rsidRPr="00261D4F">
        <w:rPr>
          <w:sz w:val="22"/>
        </w:rPr>
        <w:t>? Quel lien forge-t-il entre dénonciation et énonciation</w:t>
      </w:r>
      <w:r w:rsidR="002C079F" w:rsidRPr="00261D4F">
        <w:rPr>
          <w:sz w:val="22"/>
        </w:rPr>
        <w:t> </w:t>
      </w:r>
      <w:r w:rsidRPr="00261D4F">
        <w:rPr>
          <w:sz w:val="22"/>
        </w:rPr>
        <w:t xml:space="preserve">? De quelle manière son style informe-t-il ce travail </w:t>
      </w:r>
      <w:proofErr w:type="spellStart"/>
      <w:r w:rsidRPr="00261D4F">
        <w:rPr>
          <w:sz w:val="22"/>
        </w:rPr>
        <w:t>auctorial</w:t>
      </w:r>
      <w:proofErr w:type="spellEnd"/>
      <w:r w:rsidR="002C079F" w:rsidRPr="00261D4F">
        <w:rPr>
          <w:sz w:val="22"/>
        </w:rPr>
        <w:t> </w:t>
      </w:r>
      <w:r w:rsidRPr="00261D4F">
        <w:rPr>
          <w:sz w:val="22"/>
        </w:rPr>
        <w:t>?</w:t>
      </w:r>
    </w:p>
    <w:p w14:paraId="649796AF" w14:textId="75E0F8DB" w:rsidR="00C75AC6" w:rsidRPr="00261D4F" w:rsidRDefault="006A7F08" w:rsidP="00F91D65">
      <w:pPr>
        <w:spacing w:line="240" w:lineRule="auto"/>
        <w:ind w:firstLine="709"/>
        <w:rPr>
          <w:sz w:val="22"/>
        </w:rPr>
      </w:pPr>
      <w:r w:rsidRPr="00261D4F">
        <w:rPr>
          <w:sz w:val="22"/>
        </w:rPr>
        <w:lastRenderedPageBreak/>
        <w:t>Organisée le 17 septembre 2019, la</w:t>
      </w:r>
      <w:r w:rsidR="002C079F" w:rsidRPr="00261D4F">
        <w:rPr>
          <w:sz w:val="22"/>
        </w:rPr>
        <w:t xml:space="preserve"> journée</w:t>
      </w:r>
      <w:r w:rsidRPr="00261D4F">
        <w:rPr>
          <w:sz w:val="22"/>
        </w:rPr>
        <w:t xml:space="preserve"> d’étude « Le polémiste au miroir de la polémique », dont le présent dossier contient les actes,</w:t>
      </w:r>
      <w:r w:rsidR="002C079F" w:rsidRPr="00261D4F">
        <w:rPr>
          <w:sz w:val="22"/>
        </w:rPr>
        <w:t xml:space="preserve"> s’</w:t>
      </w:r>
      <w:r w:rsidRPr="00261D4F">
        <w:rPr>
          <w:sz w:val="22"/>
        </w:rPr>
        <w:t>est attelée</w:t>
      </w:r>
      <w:r w:rsidR="002C079F" w:rsidRPr="00261D4F">
        <w:rPr>
          <w:sz w:val="22"/>
        </w:rPr>
        <w:t xml:space="preserve"> à</w:t>
      </w:r>
      <w:r w:rsidR="002D1D4C" w:rsidRPr="00261D4F">
        <w:rPr>
          <w:sz w:val="22"/>
        </w:rPr>
        <w:t xml:space="preserve"> </w:t>
      </w:r>
      <w:r w:rsidR="002C079F" w:rsidRPr="00261D4F">
        <w:rPr>
          <w:sz w:val="22"/>
        </w:rPr>
        <w:t>répondre à ces questions en examinant</w:t>
      </w:r>
      <w:r w:rsidR="00D92B9A" w:rsidRPr="00261D4F">
        <w:rPr>
          <w:sz w:val="22"/>
        </w:rPr>
        <w:t xml:space="preserve"> les facettes de ce « je » du polémiste,</w:t>
      </w:r>
      <w:r w:rsidR="002D1D4C" w:rsidRPr="00261D4F">
        <w:rPr>
          <w:sz w:val="22"/>
        </w:rPr>
        <w:t xml:space="preserve"> au travers </w:t>
      </w:r>
      <w:r w:rsidRPr="00261D4F">
        <w:rPr>
          <w:sz w:val="22"/>
        </w:rPr>
        <w:t>de contributions</w:t>
      </w:r>
      <w:r w:rsidR="002D1D4C" w:rsidRPr="00261D4F">
        <w:rPr>
          <w:sz w:val="22"/>
        </w:rPr>
        <w:t xml:space="preserve"> abordant </w:t>
      </w:r>
      <w:r w:rsidR="008547B5" w:rsidRPr="00261D4F">
        <w:rPr>
          <w:sz w:val="22"/>
        </w:rPr>
        <w:t>cette</w:t>
      </w:r>
      <w:r w:rsidR="002D1D4C" w:rsidRPr="00261D4F">
        <w:rPr>
          <w:sz w:val="22"/>
        </w:rPr>
        <w:t xml:space="preserve"> figure du polémiste du Moyen Âge à l’époque contemporaine</w:t>
      </w:r>
      <w:r w:rsidR="00B810D3" w:rsidRPr="00261D4F">
        <w:rPr>
          <w:sz w:val="22"/>
        </w:rPr>
        <w:t xml:space="preserve"> – l</w:t>
      </w:r>
      <w:r w:rsidR="002D1D4C" w:rsidRPr="00261D4F">
        <w:rPr>
          <w:sz w:val="22"/>
        </w:rPr>
        <w:t xml:space="preserve">’empan chronologique des </w:t>
      </w:r>
      <w:r w:rsidR="008547B5" w:rsidRPr="00261D4F">
        <w:rPr>
          <w:sz w:val="22"/>
        </w:rPr>
        <w:t>contributions</w:t>
      </w:r>
      <w:r w:rsidR="002D1D4C" w:rsidRPr="00261D4F">
        <w:rPr>
          <w:sz w:val="22"/>
        </w:rPr>
        <w:t xml:space="preserve"> </w:t>
      </w:r>
      <w:r w:rsidR="00066E44" w:rsidRPr="00261D4F">
        <w:rPr>
          <w:sz w:val="22"/>
        </w:rPr>
        <w:t>montr</w:t>
      </w:r>
      <w:r w:rsidR="00B810D3" w:rsidRPr="00261D4F">
        <w:rPr>
          <w:sz w:val="22"/>
        </w:rPr>
        <w:t>ant</w:t>
      </w:r>
      <w:r w:rsidR="00066E44" w:rsidRPr="00261D4F">
        <w:rPr>
          <w:sz w:val="22"/>
        </w:rPr>
        <w:t xml:space="preserve"> bien</w:t>
      </w:r>
      <w:r w:rsidR="00B914EB" w:rsidRPr="00261D4F">
        <w:rPr>
          <w:sz w:val="22"/>
        </w:rPr>
        <w:t>, si besoin en était,</w:t>
      </w:r>
      <w:r w:rsidR="002D1D4C" w:rsidRPr="00261D4F">
        <w:rPr>
          <w:sz w:val="22"/>
        </w:rPr>
        <w:t xml:space="preserve"> la vivacité du discours polémique, et l’intérêt </w:t>
      </w:r>
      <w:r w:rsidR="00D92B9A" w:rsidRPr="00261D4F">
        <w:rPr>
          <w:sz w:val="22"/>
        </w:rPr>
        <w:t>de l’explorer</w:t>
      </w:r>
      <w:r w:rsidR="00F91675" w:rsidRPr="00261D4F">
        <w:rPr>
          <w:sz w:val="22"/>
        </w:rPr>
        <w:t xml:space="preserve"> sous</w:t>
      </w:r>
      <w:r w:rsidR="00D92B9A" w:rsidRPr="00261D4F">
        <w:rPr>
          <w:sz w:val="22"/>
        </w:rPr>
        <w:t xml:space="preserve"> </w:t>
      </w:r>
      <w:r w:rsidR="00CD548D" w:rsidRPr="00261D4F">
        <w:rPr>
          <w:sz w:val="22"/>
        </w:rPr>
        <w:t>l’angle de l’</w:t>
      </w:r>
      <w:proofErr w:type="spellStart"/>
      <w:r w:rsidR="00CD548D" w:rsidRPr="00261D4F">
        <w:rPr>
          <w:sz w:val="22"/>
        </w:rPr>
        <w:t>auctorialité</w:t>
      </w:r>
      <w:proofErr w:type="spellEnd"/>
      <w:r w:rsidR="00D92B9A" w:rsidRPr="00261D4F">
        <w:rPr>
          <w:sz w:val="22"/>
        </w:rPr>
        <w:t>.</w:t>
      </w:r>
      <w:r w:rsidR="001A7464" w:rsidRPr="00261D4F">
        <w:rPr>
          <w:sz w:val="22"/>
        </w:rPr>
        <w:t xml:space="preserve"> </w:t>
      </w:r>
      <w:r w:rsidR="00FE3852" w:rsidRPr="00261D4F">
        <w:rPr>
          <w:sz w:val="22"/>
        </w:rPr>
        <w:t xml:space="preserve">Les contributions de Florence </w:t>
      </w:r>
      <w:proofErr w:type="spellStart"/>
      <w:r w:rsidR="00FE3852" w:rsidRPr="00261D4F">
        <w:rPr>
          <w:sz w:val="22"/>
        </w:rPr>
        <w:t>Ninitte</w:t>
      </w:r>
      <w:proofErr w:type="spellEnd"/>
      <w:r w:rsidR="00FE3852" w:rsidRPr="00261D4F">
        <w:rPr>
          <w:sz w:val="22"/>
        </w:rPr>
        <w:t xml:space="preserve"> et de Pascal </w:t>
      </w:r>
      <w:proofErr w:type="spellStart"/>
      <w:r w:rsidR="00FE3852" w:rsidRPr="00261D4F">
        <w:rPr>
          <w:sz w:val="22"/>
        </w:rPr>
        <w:t>Debailly</w:t>
      </w:r>
      <w:proofErr w:type="spellEnd"/>
      <w:r w:rsidR="00FE3852" w:rsidRPr="00261D4F">
        <w:rPr>
          <w:sz w:val="22"/>
        </w:rPr>
        <w:t>, qui ouvrent le présent dossier,</w:t>
      </w:r>
      <w:r w:rsidR="00D92B9A" w:rsidRPr="00261D4F">
        <w:rPr>
          <w:sz w:val="22"/>
        </w:rPr>
        <w:t xml:space="preserve"> s’intéresse</w:t>
      </w:r>
      <w:r w:rsidR="00FE3852" w:rsidRPr="00261D4F">
        <w:rPr>
          <w:sz w:val="22"/>
        </w:rPr>
        <w:t>nt a</w:t>
      </w:r>
      <w:r w:rsidR="00D92B9A" w:rsidRPr="00261D4F">
        <w:rPr>
          <w:sz w:val="22"/>
        </w:rPr>
        <w:t xml:space="preserve">insi </w:t>
      </w:r>
      <w:r w:rsidR="00FE3852" w:rsidRPr="00261D4F">
        <w:rPr>
          <w:sz w:val="22"/>
        </w:rPr>
        <w:t>respectivement</w:t>
      </w:r>
      <w:r w:rsidR="00D92B9A" w:rsidRPr="00261D4F">
        <w:rPr>
          <w:sz w:val="22"/>
        </w:rPr>
        <w:t xml:space="preserve"> au</w:t>
      </w:r>
      <w:r w:rsidR="00742107" w:rsidRPr="00261D4F">
        <w:rPr>
          <w:sz w:val="22"/>
        </w:rPr>
        <w:t>x différents « je » de la polémique islamo-chrétienne durant la période médiévale, puis aux visages du satiriste de la grande satire poétique à celle qui a cours au XIX</w:t>
      </w:r>
      <w:r w:rsidR="00742107" w:rsidRPr="00261D4F">
        <w:rPr>
          <w:sz w:val="22"/>
          <w:vertAlign w:val="superscript"/>
        </w:rPr>
        <w:t>e </w:t>
      </w:r>
      <w:r w:rsidR="00742107" w:rsidRPr="00261D4F">
        <w:rPr>
          <w:sz w:val="22"/>
        </w:rPr>
        <w:t>siècle</w:t>
      </w:r>
      <w:r w:rsidR="00870B4E" w:rsidRPr="00261D4F">
        <w:rPr>
          <w:sz w:val="22"/>
        </w:rPr>
        <w:t>, et qu’aborde Paul Aron dans sa contribution envisageant les portraits et autoportraits du satiriste durant cette période</w:t>
      </w:r>
      <w:r w:rsidR="00742107" w:rsidRPr="00261D4F">
        <w:rPr>
          <w:sz w:val="22"/>
        </w:rPr>
        <w:t xml:space="preserve">. </w:t>
      </w:r>
      <w:r w:rsidR="005B5485" w:rsidRPr="00261D4F">
        <w:rPr>
          <w:sz w:val="22"/>
        </w:rPr>
        <w:t>Consacré aux différentes facettes du pamphlétaire, l</w:t>
      </w:r>
      <w:r w:rsidR="00FE3852" w:rsidRPr="00261D4F">
        <w:rPr>
          <w:sz w:val="22"/>
        </w:rPr>
        <w:t>e deuxième temps du dossier les</w:t>
      </w:r>
      <w:r w:rsidR="005B5485" w:rsidRPr="00261D4F">
        <w:rPr>
          <w:sz w:val="22"/>
        </w:rPr>
        <w:t xml:space="preserve"> aborde d’abord</w:t>
      </w:r>
      <w:r w:rsidR="00FE3852" w:rsidRPr="00261D4F">
        <w:rPr>
          <w:sz w:val="22"/>
        </w:rPr>
        <w:t xml:space="preserve"> à travers l’une de </w:t>
      </w:r>
      <w:proofErr w:type="gramStart"/>
      <w:r w:rsidR="00FE3852" w:rsidRPr="00261D4F">
        <w:rPr>
          <w:sz w:val="22"/>
        </w:rPr>
        <w:t>nos contributions consacrée</w:t>
      </w:r>
      <w:proofErr w:type="gramEnd"/>
      <w:r w:rsidR="00FE3852" w:rsidRPr="00261D4F">
        <w:rPr>
          <w:sz w:val="22"/>
        </w:rPr>
        <w:t xml:space="preserve"> aux aspects sociologiques convoqués par l’œuvre pamphlétaire de Paul-Louis Courier et celle de Claude Tillier, dans la première moitié du XIX</w:t>
      </w:r>
      <w:r w:rsidR="00FE3852" w:rsidRPr="00261D4F">
        <w:rPr>
          <w:sz w:val="22"/>
          <w:vertAlign w:val="superscript"/>
        </w:rPr>
        <w:t>e </w:t>
      </w:r>
      <w:r w:rsidR="00FE3852" w:rsidRPr="00261D4F">
        <w:rPr>
          <w:sz w:val="22"/>
        </w:rPr>
        <w:t>siècle</w:t>
      </w:r>
      <w:r w:rsidR="005B5485" w:rsidRPr="00261D4F">
        <w:rPr>
          <w:sz w:val="22"/>
        </w:rPr>
        <w:t>, avant d’envisager</w:t>
      </w:r>
      <w:r w:rsidR="00FE3852" w:rsidRPr="00261D4F">
        <w:rPr>
          <w:sz w:val="22"/>
        </w:rPr>
        <w:t>, avec</w:t>
      </w:r>
      <w:r w:rsidR="00742107" w:rsidRPr="00261D4F">
        <w:rPr>
          <w:sz w:val="22"/>
        </w:rPr>
        <w:t xml:space="preserve"> </w:t>
      </w:r>
      <w:r w:rsidR="00FE3852" w:rsidRPr="00261D4F">
        <w:rPr>
          <w:sz w:val="22"/>
        </w:rPr>
        <w:t xml:space="preserve">Cédric </w:t>
      </w:r>
      <w:proofErr w:type="spellStart"/>
      <w:r w:rsidR="00FE3852" w:rsidRPr="00261D4F">
        <w:rPr>
          <w:sz w:val="22"/>
        </w:rPr>
        <w:t>Passard</w:t>
      </w:r>
      <w:proofErr w:type="spellEnd"/>
      <w:r w:rsidR="00FE3852" w:rsidRPr="00261D4F">
        <w:rPr>
          <w:sz w:val="22"/>
        </w:rPr>
        <w:t xml:space="preserve">, </w:t>
      </w:r>
      <w:r w:rsidR="00742107" w:rsidRPr="00261D4F">
        <w:rPr>
          <w:sz w:val="22"/>
        </w:rPr>
        <w:t>les différentes figures de pamphlétaires</w:t>
      </w:r>
      <w:r w:rsidR="00972533" w:rsidRPr="00261D4F">
        <w:rPr>
          <w:sz w:val="22"/>
        </w:rPr>
        <w:t xml:space="preserve"> apparues</w:t>
      </w:r>
      <w:r w:rsidR="00742107" w:rsidRPr="00261D4F">
        <w:rPr>
          <w:sz w:val="22"/>
        </w:rPr>
        <w:t xml:space="preserve"> à la fin du XIX</w:t>
      </w:r>
      <w:r w:rsidR="00742107" w:rsidRPr="00261D4F">
        <w:rPr>
          <w:sz w:val="22"/>
          <w:vertAlign w:val="superscript"/>
        </w:rPr>
        <w:t>e</w:t>
      </w:r>
      <w:r w:rsidR="00742107" w:rsidRPr="00261D4F">
        <w:rPr>
          <w:sz w:val="22"/>
        </w:rPr>
        <w:t xml:space="preserve"> siècle. </w:t>
      </w:r>
      <w:r w:rsidR="00F41E1C" w:rsidRPr="00261D4F">
        <w:rPr>
          <w:sz w:val="22"/>
        </w:rPr>
        <w:t>Le troisième et dernier temps du dossier</w:t>
      </w:r>
      <w:r w:rsidR="00742107" w:rsidRPr="00261D4F">
        <w:rPr>
          <w:sz w:val="22"/>
        </w:rPr>
        <w:t xml:space="preserve"> </w:t>
      </w:r>
      <w:r w:rsidR="00F41E1C" w:rsidRPr="00261D4F">
        <w:rPr>
          <w:sz w:val="22"/>
        </w:rPr>
        <w:t xml:space="preserve">reprend quant à lui les contributions de David </w:t>
      </w:r>
      <w:proofErr w:type="spellStart"/>
      <w:r w:rsidR="00F41E1C" w:rsidRPr="00261D4F">
        <w:rPr>
          <w:sz w:val="22"/>
        </w:rPr>
        <w:t>Vrydaghs</w:t>
      </w:r>
      <w:proofErr w:type="spellEnd"/>
      <w:r w:rsidR="00F41E1C" w:rsidRPr="00261D4F">
        <w:rPr>
          <w:sz w:val="22"/>
        </w:rPr>
        <w:t xml:space="preserve"> et de Maxime Thiry, étudiant</w:t>
      </w:r>
      <w:r w:rsidR="00742107" w:rsidRPr="00261D4F">
        <w:rPr>
          <w:sz w:val="22"/>
        </w:rPr>
        <w:t xml:space="preserve"> </w:t>
      </w:r>
      <w:r w:rsidR="00981758" w:rsidRPr="00261D4F">
        <w:rPr>
          <w:sz w:val="22"/>
        </w:rPr>
        <w:t xml:space="preserve">la posture de polémiste telle qu’elle se donne à voir </w:t>
      </w:r>
      <w:r w:rsidR="003E2ED8" w:rsidRPr="00261D4F">
        <w:rPr>
          <w:sz w:val="22"/>
        </w:rPr>
        <w:t xml:space="preserve">respectivement </w:t>
      </w:r>
      <w:r w:rsidR="00981758" w:rsidRPr="00261D4F">
        <w:rPr>
          <w:sz w:val="22"/>
        </w:rPr>
        <w:t>dans l’œuvre</w:t>
      </w:r>
      <w:r w:rsidR="00742107" w:rsidRPr="00261D4F">
        <w:rPr>
          <w:sz w:val="22"/>
        </w:rPr>
        <w:t xml:space="preserve"> d’Antoine </w:t>
      </w:r>
      <w:proofErr w:type="spellStart"/>
      <w:r w:rsidR="00742107" w:rsidRPr="00261D4F">
        <w:rPr>
          <w:sz w:val="22"/>
        </w:rPr>
        <w:t>Volodine</w:t>
      </w:r>
      <w:proofErr w:type="spellEnd"/>
      <w:r w:rsidR="00742107" w:rsidRPr="00261D4F">
        <w:rPr>
          <w:sz w:val="22"/>
        </w:rPr>
        <w:t xml:space="preserve"> et </w:t>
      </w:r>
      <w:r w:rsidR="00981758" w:rsidRPr="00261D4F">
        <w:rPr>
          <w:sz w:val="22"/>
        </w:rPr>
        <w:t xml:space="preserve">dans </w:t>
      </w:r>
      <w:r w:rsidR="00742107" w:rsidRPr="00261D4F">
        <w:rPr>
          <w:sz w:val="22"/>
        </w:rPr>
        <w:t xml:space="preserve">celle de Paul </w:t>
      </w:r>
      <w:proofErr w:type="spellStart"/>
      <w:r w:rsidR="00742107" w:rsidRPr="00261D4F">
        <w:rPr>
          <w:sz w:val="22"/>
        </w:rPr>
        <w:t>Nougé</w:t>
      </w:r>
      <w:proofErr w:type="spellEnd"/>
      <w:r w:rsidR="00742107" w:rsidRPr="00261D4F">
        <w:rPr>
          <w:sz w:val="22"/>
        </w:rPr>
        <w:t>.</w:t>
      </w:r>
      <w:r w:rsidR="001A7464" w:rsidRPr="00261D4F">
        <w:rPr>
          <w:sz w:val="22"/>
        </w:rPr>
        <w:t xml:space="preserve"> </w:t>
      </w:r>
    </w:p>
    <w:p w14:paraId="003F73B4" w14:textId="2871079A" w:rsidR="003E2ED8" w:rsidRPr="00261D4F" w:rsidRDefault="003E2ED8" w:rsidP="00F91D65">
      <w:pPr>
        <w:spacing w:line="240" w:lineRule="auto"/>
        <w:ind w:firstLine="709"/>
        <w:rPr>
          <w:sz w:val="22"/>
        </w:rPr>
      </w:pPr>
      <w:r w:rsidRPr="00261D4F">
        <w:rPr>
          <w:sz w:val="22"/>
        </w:rPr>
        <w:t>On n’a donc pas fini de rouvrir le dossier du polémique</w:t>
      </w:r>
      <w:r w:rsidR="00AC5161" w:rsidRPr="00261D4F">
        <w:rPr>
          <w:sz w:val="22"/>
        </w:rPr>
        <w:t xml:space="preserve">, parole vivante, </w:t>
      </w:r>
      <w:r w:rsidR="00492955" w:rsidRPr="00261D4F">
        <w:rPr>
          <w:sz w:val="22"/>
        </w:rPr>
        <w:t>parole de combat mais aussi de débat</w:t>
      </w:r>
      <w:r w:rsidR="009630F3" w:rsidRPr="00261D4F">
        <w:rPr>
          <w:sz w:val="22"/>
        </w:rPr>
        <w:t xml:space="preserve">, inséparable </w:t>
      </w:r>
      <w:r w:rsidR="001A7464" w:rsidRPr="00261D4F">
        <w:rPr>
          <w:sz w:val="22"/>
        </w:rPr>
        <w:t xml:space="preserve">sans nul doute </w:t>
      </w:r>
      <w:r w:rsidR="009630F3" w:rsidRPr="00261D4F">
        <w:rPr>
          <w:sz w:val="22"/>
        </w:rPr>
        <w:t>de l’exercice de nos libertés</w:t>
      </w:r>
      <w:r w:rsidR="00492955" w:rsidRPr="00261D4F">
        <w:rPr>
          <w:sz w:val="22"/>
        </w:rPr>
        <w:t xml:space="preserve">. </w:t>
      </w:r>
    </w:p>
    <w:p w14:paraId="133D7830" w14:textId="06898835" w:rsidR="00261D4F" w:rsidRPr="00261D4F" w:rsidRDefault="00261D4F" w:rsidP="00DB1E8C">
      <w:pPr>
        <w:spacing w:line="240" w:lineRule="auto"/>
        <w:ind w:firstLine="709"/>
        <w:jc w:val="right"/>
        <w:rPr>
          <w:sz w:val="22"/>
        </w:rPr>
      </w:pPr>
      <w:r w:rsidRPr="00261D4F">
        <w:rPr>
          <w:sz w:val="22"/>
        </w:rPr>
        <w:t xml:space="preserve">Laetitia </w:t>
      </w:r>
      <w:r w:rsidRPr="00DB1E8C">
        <w:rPr>
          <w:smallCaps/>
          <w:sz w:val="22"/>
        </w:rPr>
        <w:t>Saintes</w:t>
      </w:r>
    </w:p>
    <w:p w14:paraId="653AFE44" w14:textId="35E397C9" w:rsidR="00261D4F" w:rsidRPr="00261D4F" w:rsidRDefault="00261D4F" w:rsidP="00DB1E8C">
      <w:pPr>
        <w:spacing w:line="240" w:lineRule="auto"/>
        <w:ind w:firstLine="709"/>
        <w:jc w:val="right"/>
        <w:rPr>
          <w:sz w:val="22"/>
        </w:rPr>
      </w:pPr>
      <w:r w:rsidRPr="00261D4F">
        <w:rPr>
          <w:sz w:val="22"/>
        </w:rPr>
        <w:t>Université catholique de Louvain</w:t>
      </w:r>
    </w:p>
    <w:sectPr w:rsidR="00261D4F" w:rsidRPr="00261D4F">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24DAE4F" w14:textId="77777777" w:rsidR="00307B40" w:rsidRDefault="00307B40" w:rsidP="00A27F0D">
      <w:pPr>
        <w:spacing w:after="0" w:line="240" w:lineRule="auto"/>
      </w:pPr>
      <w:r>
        <w:separator/>
      </w:r>
    </w:p>
  </w:endnote>
  <w:endnote w:type="continuationSeparator" w:id="0">
    <w:p w14:paraId="35292AC6" w14:textId="77777777" w:rsidR="00307B40" w:rsidRDefault="00307B40" w:rsidP="00A27F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altName w:val="Arial"/>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23AE4DC" w14:textId="77777777" w:rsidR="00307B40" w:rsidRDefault="00307B40" w:rsidP="00A27F0D">
      <w:pPr>
        <w:spacing w:after="0" w:line="240" w:lineRule="auto"/>
      </w:pPr>
      <w:r>
        <w:separator/>
      </w:r>
    </w:p>
  </w:footnote>
  <w:footnote w:type="continuationSeparator" w:id="0">
    <w:p w14:paraId="3ABCE5AC" w14:textId="77777777" w:rsidR="00307B40" w:rsidRDefault="00307B40" w:rsidP="00A27F0D">
      <w:pPr>
        <w:spacing w:after="0" w:line="240" w:lineRule="auto"/>
      </w:pPr>
      <w:r>
        <w:continuationSeparator/>
      </w:r>
    </w:p>
  </w:footnote>
  <w:footnote w:id="1">
    <w:p w14:paraId="06E666CF" w14:textId="06A055C2" w:rsidR="00A27F0D" w:rsidRDefault="00A27F0D">
      <w:pPr>
        <w:pStyle w:val="Notedebasdepage"/>
      </w:pPr>
      <w:r w:rsidRPr="001F7AF2">
        <w:rPr>
          <w:rStyle w:val="Appelnotedebasdep"/>
          <w:sz w:val="18"/>
          <w:szCs w:val="18"/>
        </w:rPr>
        <w:footnoteRef/>
      </w:r>
      <w:r w:rsidRPr="001F7AF2">
        <w:rPr>
          <w:sz w:val="18"/>
          <w:szCs w:val="18"/>
        </w:rPr>
        <w:t xml:space="preserve"> </w:t>
      </w:r>
      <w:r w:rsidR="00DB1E8C">
        <w:rPr>
          <w:sz w:val="18"/>
          <w:szCs w:val="18"/>
        </w:rPr>
        <w:t xml:space="preserve">François-Marie Arouet, dit </w:t>
      </w:r>
      <w:r w:rsidRPr="001F7AF2">
        <w:rPr>
          <w:smallCaps/>
          <w:sz w:val="18"/>
          <w:szCs w:val="18"/>
        </w:rPr>
        <w:t>Voltaire</w:t>
      </w:r>
      <w:r w:rsidRPr="001F7AF2">
        <w:rPr>
          <w:sz w:val="18"/>
          <w:szCs w:val="18"/>
        </w:rPr>
        <w:t>, lettre à Madame du Deffant</w:t>
      </w:r>
      <w:r w:rsidR="00F07E77">
        <w:rPr>
          <w:sz w:val="18"/>
          <w:szCs w:val="18"/>
        </w:rPr>
        <w:t>,</w:t>
      </w:r>
      <w:r w:rsidRPr="001F7AF2">
        <w:rPr>
          <w:sz w:val="18"/>
          <w:szCs w:val="18"/>
        </w:rPr>
        <w:t xml:space="preserve"> 6 août 1760</w:t>
      </w:r>
      <w:r w:rsidR="00F07E77">
        <w:rPr>
          <w:sz w:val="18"/>
          <w:szCs w:val="18"/>
        </w:rPr>
        <w:t>, in</w:t>
      </w:r>
      <w:r w:rsidR="00F07E77" w:rsidRPr="00F07E77">
        <w:t xml:space="preserve"> </w:t>
      </w:r>
      <w:r w:rsidR="00F07E77" w:rsidRPr="00F07E77">
        <w:rPr>
          <w:i/>
          <w:iCs/>
          <w:sz w:val="18"/>
          <w:szCs w:val="18"/>
        </w:rPr>
        <w:t>Œuvres complètes de Voltaire</w:t>
      </w:r>
      <w:r w:rsidR="00F07E77" w:rsidRPr="00F07E77">
        <w:rPr>
          <w:sz w:val="18"/>
          <w:szCs w:val="18"/>
        </w:rPr>
        <w:t>,</w:t>
      </w:r>
      <w:r w:rsidR="00945887">
        <w:rPr>
          <w:sz w:val="18"/>
          <w:szCs w:val="18"/>
        </w:rPr>
        <w:t xml:space="preserve"> Louis </w:t>
      </w:r>
      <w:proofErr w:type="spellStart"/>
      <w:r w:rsidR="00945887">
        <w:rPr>
          <w:sz w:val="18"/>
          <w:szCs w:val="18"/>
        </w:rPr>
        <w:t>Moland</w:t>
      </w:r>
      <w:proofErr w:type="spellEnd"/>
      <w:r w:rsidR="00945887">
        <w:rPr>
          <w:sz w:val="18"/>
          <w:szCs w:val="18"/>
        </w:rPr>
        <w:t xml:space="preserve"> (éd.), Paris, Garnier,</w:t>
      </w:r>
      <w:r w:rsidR="00F07E77" w:rsidRPr="00F07E77">
        <w:rPr>
          <w:sz w:val="18"/>
          <w:szCs w:val="18"/>
        </w:rPr>
        <w:t xml:space="preserve"> </w:t>
      </w:r>
      <w:r w:rsidR="00E878E4">
        <w:rPr>
          <w:sz w:val="18"/>
          <w:szCs w:val="18"/>
        </w:rPr>
        <w:t xml:space="preserve">1883, </w:t>
      </w:r>
      <w:r w:rsidR="00F07E77">
        <w:rPr>
          <w:sz w:val="18"/>
          <w:szCs w:val="18"/>
        </w:rPr>
        <w:t>t. </w:t>
      </w:r>
      <w:r w:rsidR="00F07E77" w:rsidRPr="00F07E77">
        <w:rPr>
          <w:sz w:val="18"/>
          <w:szCs w:val="18"/>
        </w:rPr>
        <w:t>40, p.</w:t>
      </w:r>
      <w:r w:rsidR="00F07E77">
        <w:rPr>
          <w:sz w:val="18"/>
          <w:szCs w:val="18"/>
        </w:rPr>
        <w:t> </w:t>
      </w:r>
      <w:r w:rsidR="00F07E77" w:rsidRPr="00F07E77">
        <w:rPr>
          <w:sz w:val="18"/>
          <w:szCs w:val="18"/>
        </w:rPr>
        <w:t>494</w:t>
      </w:r>
      <w:r w:rsidRPr="001F7AF2">
        <w:rPr>
          <w:sz w:val="18"/>
          <w:szCs w:val="18"/>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8CD6EA5"/>
    <w:multiLevelType w:val="hybridMultilevel"/>
    <w:tmpl w:val="3D402C1E"/>
    <w:lvl w:ilvl="0" w:tplc="4914E30E">
      <w:numFmt w:val="bullet"/>
      <w:lvlText w:val="-"/>
      <w:lvlJc w:val="left"/>
      <w:pPr>
        <w:ind w:left="720" w:hanging="360"/>
      </w:pPr>
      <w:rPr>
        <w:rFonts w:ascii="Times New Roman" w:eastAsiaTheme="minorHAnsi" w:hAnsi="Times New Roman" w:cs="Times New Roman"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2C3C"/>
    <w:rsid w:val="00000E8A"/>
    <w:rsid w:val="00066E44"/>
    <w:rsid w:val="00130368"/>
    <w:rsid w:val="001A7464"/>
    <w:rsid w:val="001C609D"/>
    <w:rsid w:val="001F7AF2"/>
    <w:rsid w:val="00255A00"/>
    <w:rsid w:val="00261D4F"/>
    <w:rsid w:val="002C079F"/>
    <w:rsid w:val="002D1D4C"/>
    <w:rsid w:val="002E25E6"/>
    <w:rsid w:val="003020F5"/>
    <w:rsid w:val="00307B40"/>
    <w:rsid w:val="0031744D"/>
    <w:rsid w:val="00331214"/>
    <w:rsid w:val="003A18AE"/>
    <w:rsid w:val="003D62CF"/>
    <w:rsid w:val="003E2ED8"/>
    <w:rsid w:val="00492955"/>
    <w:rsid w:val="0051409C"/>
    <w:rsid w:val="00541A5B"/>
    <w:rsid w:val="005B5485"/>
    <w:rsid w:val="006229A0"/>
    <w:rsid w:val="00641B8F"/>
    <w:rsid w:val="006A7F08"/>
    <w:rsid w:val="0073024A"/>
    <w:rsid w:val="00742107"/>
    <w:rsid w:val="007F31E4"/>
    <w:rsid w:val="007F43C8"/>
    <w:rsid w:val="008547B5"/>
    <w:rsid w:val="008635F8"/>
    <w:rsid w:val="00870B4E"/>
    <w:rsid w:val="0087797D"/>
    <w:rsid w:val="008B2E46"/>
    <w:rsid w:val="00932399"/>
    <w:rsid w:val="00945887"/>
    <w:rsid w:val="00962C3C"/>
    <w:rsid w:val="009630F3"/>
    <w:rsid w:val="00972533"/>
    <w:rsid w:val="00981758"/>
    <w:rsid w:val="009D1258"/>
    <w:rsid w:val="00A14383"/>
    <w:rsid w:val="00A26E7E"/>
    <w:rsid w:val="00A27F0D"/>
    <w:rsid w:val="00AB21EB"/>
    <w:rsid w:val="00AC5161"/>
    <w:rsid w:val="00B30D7A"/>
    <w:rsid w:val="00B810D3"/>
    <w:rsid w:val="00B914EB"/>
    <w:rsid w:val="00BA6018"/>
    <w:rsid w:val="00BC0412"/>
    <w:rsid w:val="00C22127"/>
    <w:rsid w:val="00C75AC6"/>
    <w:rsid w:val="00CC5C7E"/>
    <w:rsid w:val="00CD548D"/>
    <w:rsid w:val="00D060F6"/>
    <w:rsid w:val="00D10A04"/>
    <w:rsid w:val="00D76FD9"/>
    <w:rsid w:val="00D906DD"/>
    <w:rsid w:val="00D92B9A"/>
    <w:rsid w:val="00DB1E8C"/>
    <w:rsid w:val="00DD4283"/>
    <w:rsid w:val="00E66552"/>
    <w:rsid w:val="00E7684A"/>
    <w:rsid w:val="00E85CCD"/>
    <w:rsid w:val="00E878E4"/>
    <w:rsid w:val="00EB199A"/>
    <w:rsid w:val="00ED015D"/>
    <w:rsid w:val="00F07E77"/>
    <w:rsid w:val="00F34853"/>
    <w:rsid w:val="00F41E1C"/>
    <w:rsid w:val="00F600C1"/>
    <w:rsid w:val="00F91675"/>
    <w:rsid w:val="00F91D65"/>
    <w:rsid w:val="00FE3852"/>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945B4D"/>
  <w15:chartTrackingRefBased/>
  <w15:docId w15:val="{B94A5713-19A2-46B1-88DD-FF72F944C8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BE" w:eastAsia="en-US" w:bidi="ar-SA"/>
      </w:rPr>
    </w:rPrDefault>
    <w:pPrDefault>
      <w:pPr>
        <w:spacing w:after="160" w:line="259" w:lineRule="auto"/>
        <w:ind w:firstLine="709"/>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229A0"/>
    <w:pPr>
      <w:ind w:firstLine="0"/>
    </w:pPr>
    <w:rPr>
      <w:rFonts w:ascii="Times New Roman" w:hAnsi="Times New Roman"/>
      <w:sz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541A5B"/>
    <w:pPr>
      <w:ind w:left="720"/>
      <w:contextualSpacing/>
    </w:pPr>
  </w:style>
  <w:style w:type="character" w:styleId="Accentuationlgre">
    <w:name w:val="Subtle Emphasis"/>
    <w:basedOn w:val="Policepardfaut"/>
    <w:uiPriority w:val="19"/>
    <w:qFormat/>
    <w:rsid w:val="00000E8A"/>
    <w:rPr>
      <w:i/>
      <w:iCs/>
      <w:color w:val="404040" w:themeColor="text1" w:themeTint="BF"/>
    </w:rPr>
  </w:style>
  <w:style w:type="paragraph" w:styleId="Notedebasdepage">
    <w:name w:val="footnote text"/>
    <w:basedOn w:val="Normal"/>
    <w:link w:val="NotedebasdepageCar"/>
    <w:uiPriority w:val="99"/>
    <w:semiHidden/>
    <w:unhideWhenUsed/>
    <w:rsid w:val="00A27F0D"/>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A27F0D"/>
    <w:rPr>
      <w:rFonts w:ascii="Times New Roman" w:hAnsi="Times New Roman"/>
      <w:sz w:val="20"/>
      <w:szCs w:val="20"/>
    </w:rPr>
  </w:style>
  <w:style w:type="character" w:styleId="Appelnotedebasdep">
    <w:name w:val="footnote reference"/>
    <w:basedOn w:val="Policepardfaut"/>
    <w:uiPriority w:val="99"/>
    <w:semiHidden/>
    <w:unhideWhenUsed/>
    <w:rsid w:val="00A27F0D"/>
    <w:rPr>
      <w:vertAlign w:val="superscript"/>
    </w:rPr>
  </w:style>
  <w:style w:type="paragraph" w:styleId="Textedebulles">
    <w:name w:val="Balloon Text"/>
    <w:basedOn w:val="Normal"/>
    <w:link w:val="TextedebullesCar"/>
    <w:uiPriority w:val="99"/>
    <w:semiHidden/>
    <w:unhideWhenUsed/>
    <w:rsid w:val="00F07E77"/>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F07E7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17663324">
      <w:bodyDiv w:val="1"/>
      <w:marLeft w:val="0"/>
      <w:marRight w:val="0"/>
      <w:marTop w:val="0"/>
      <w:marBottom w:val="0"/>
      <w:divBdr>
        <w:top w:val="none" w:sz="0" w:space="0" w:color="auto"/>
        <w:left w:val="none" w:sz="0" w:space="0" w:color="auto"/>
        <w:bottom w:val="none" w:sz="0" w:space="0" w:color="auto"/>
        <w:right w:val="none" w:sz="0" w:space="0" w:color="auto"/>
      </w:divBdr>
    </w:div>
    <w:div w:id="19726663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A12573-19B3-4F11-83D9-C610D72144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999</Words>
  <Characters>5498</Characters>
  <Application>Microsoft Office Word</Application>
  <DocSecurity>0</DocSecurity>
  <Lines>45</Lines>
  <Paragraphs>12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Laetitia Saintes</dc:creator>
  <cp:keywords/>
  <dc:description/>
  <cp:lastModifiedBy>Rachel Barthelemi</cp:lastModifiedBy>
  <cp:revision>2</cp:revision>
  <dcterms:created xsi:type="dcterms:W3CDTF">2022-01-12T16:31:00Z</dcterms:created>
  <dcterms:modified xsi:type="dcterms:W3CDTF">2022-01-12T16:31:00Z</dcterms:modified>
</cp:coreProperties>
</file>