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70130" w14:textId="2C8C0877" w:rsidR="00AC37C8" w:rsidRPr="00FD527C" w:rsidRDefault="00AC37C8" w:rsidP="0043007F">
      <w:pPr>
        <w:jc w:val="both"/>
        <w:rPr>
          <w:rFonts w:ascii="Times" w:hAnsi="Times"/>
          <w:b/>
          <w:bCs/>
          <w:lang w:val="fr-BE"/>
        </w:rPr>
      </w:pPr>
      <w:r w:rsidRPr="00FD527C">
        <w:rPr>
          <w:rFonts w:ascii="Times" w:hAnsi="Times"/>
          <w:b/>
          <w:bCs/>
          <w:lang w:val="fr-BE"/>
        </w:rPr>
        <w:t xml:space="preserve">Ch. Baron, </w:t>
      </w:r>
      <w:r w:rsidRPr="00FD527C">
        <w:rPr>
          <w:rFonts w:ascii="Times" w:hAnsi="Times"/>
          <w:b/>
          <w:bCs/>
          <w:i/>
          <w:iCs/>
          <w:lang w:val="fr-BE"/>
        </w:rPr>
        <w:t>La littérature à la barre</w:t>
      </w:r>
      <w:r w:rsidRPr="00FD527C">
        <w:rPr>
          <w:rFonts w:ascii="Times" w:hAnsi="Times"/>
          <w:b/>
          <w:bCs/>
          <w:lang w:val="fr-BE"/>
        </w:rPr>
        <w:t xml:space="preserve">, Paris, CNRS </w:t>
      </w:r>
      <w:proofErr w:type="spellStart"/>
      <w:r w:rsidRPr="00FD527C">
        <w:rPr>
          <w:rFonts w:ascii="Times" w:hAnsi="Times"/>
          <w:b/>
          <w:bCs/>
          <w:lang w:val="fr-BE"/>
        </w:rPr>
        <w:t>Editions</w:t>
      </w:r>
      <w:proofErr w:type="spellEnd"/>
      <w:r w:rsidRPr="00FD527C">
        <w:rPr>
          <w:rFonts w:ascii="Times" w:hAnsi="Times"/>
          <w:b/>
          <w:bCs/>
          <w:lang w:val="fr-BE"/>
        </w:rPr>
        <w:t>, 2021, 327 p.</w:t>
      </w:r>
    </w:p>
    <w:p w14:paraId="5CF5B8CF" w14:textId="132D8E4E" w:rsidR="00AC37C8" w:rsidRPr="00261D22" w:rsidRDefault="00AC37C8" w:rsidP="0043007F">
      <w:pPr>
        <w:jc w:val="both"/>
        <w:rPr>
          <w:rFonts w:ascii="Times" w:hAnsi="Times"/>
          <w:lang w:val="fr-BE"/>
        </w:rPr>
      </w:pPr>
    </w:p>
    <w:p w14:paraId="23864BF5" w14:textId="7BDC5AB6" w:rsidR="0043007F" w:rsidRPr="00C1297C" w:rsidRDefault="0043007F" w:rsidP="00C1297C">
      <w:pPr>
        <w:jc w:val="both"/>
        <w:rPr>
          <w:rFonts w:ascii="Times" w:hAnsi="Times"/>
          <w:lang w:val="fr-BE"/>
        </w:rPr>
      </w:pPr>
      <w:r w:rsidRPr="00261D22">
        <w:rPr>
          <w:rFonts w:ascii="Times" w:hAnsi="Times"/>
          <w:lang w:val="fr-BE"/>
        </w:rPr>
        <w:t>Dans sa préface, Denis Salas relève qu’il existe peu d’ouvrages français consacrés aux relations entre droit et littérature. Celui que vient de publier Christine Baro</w:t>
      </w:r>
      <w:r w:rsidR="00FD527C">
        <w:rPr>
          <w:rFonts w:ascii="Times" w:hAnsi="Times"/>
          <w:lang w:val="fr-BE"/>
        </w:rPr>
        <w:t xml:space="preserve">n, </w:t>
      </w:r>
      <w:r w:rsidR="00FD527C">
        <w:rPr>
          <w:rFonts w:ascii="Times" w:hAnsi="Times"/>
        </w:rPr>
        <w:t>p</w:t>
      </w:r>
      <w:r w:rsidR="00FD527C" w:rsidRPr="00261D22">
        <w:rPr>
          <w:rFonts w:ascii="Times" w:hAnsi="Times"/>
        </w:rPr>
        <w:t>rofesseur de littérature à l’Université de Poitiers,</w:t>
      </w:r>
      <w:r w:rsidRPr="00261D22">
        <w:rPr>
          <w:rFonts w:ascii="Times" w:hAnsi="Times"/>
          <w:lang w:val="fr-BE"/>
        </w:rPr>
        <w:t xml:space="preserve"> a notamment pour objectif de remédier à cette </w:t>
      </w:r>
      <w:r w:rsidR="00C1297C">
        <w:rPr>
          <w:rFonts w:ascii="Times" w:hAnsi="Times"/>
          <w:lang w:val="fr-BE"/>
        </w:rPr>
        <w:t>situation, tout en mettant en évidence la dimension relative tant sur le plan géographique que sur le plan historique de ces relations</w:t>
      </w:r>
      <w:r w:rsidRPr="00261D22">
        <w:rPr>
          <w:rFonts w:ascii="Times" w:hAnsi="Times"/>
          <w:lang w:val="fr-BE"/>
        </w:rPr>
        <w:t>. L’auteur insiste</w:t>
      </w:r>
      <w:r w:rsidR="00C1297C">
        <w:rPr>
          <w:rFonts w:ascii="Times" w:hAnsi="Times"/>
          <w:lang w:val="fr-BE"/>
        </w:rPr>
        <w:t xml:space="preserve"> ainsi</w:t>
      </w:r>
      <w:r w:rsidRPr="00261D22">
        <w:rPr>
          <w:rFonts w:ascii="Times" w:hAnsi="Times"/>
          <w:lang w:val="fr-BE"/>
        </w:rPr>
        <w:t xml:space="preserve"> à juste titre sur le fait que, « (l)</w:t>
      </w:r>
      <w:proofErr w:type="spellStart"/>
      <w:r w:rsidRPr="00261D22">
        <w:rPr>
          <w:rFonts w:ascii="Times" w:hAnsi="Times"/>
        </w:rPr>
        <w:t>oin</w:t>
      </w:r>
      <w:proofErr w:type="spellEnd"/>
      <w:r w:rsidRPr="00261D22">
        <w:rPr>
          <w:rFonts w:ascii="Times" w:hAnsi="Times"/>
        </w:rPr>
        <w:t xml:space="preserve"> d’être un objet d’étude figé, le rapport entre littérature et droit ne cesse de prendre des formes variées, se nourrit des évolutions sociales comme des supports nouveaux du récit » (p. 291). L’examen historique de ce rapport ne se limite </w:t>
      </w:r>
      <w:r w:rsidR="00C1297C">
        <w:rPr>
          <w:rFonts w:ascii="Times" w:hAnsi="Times"/>
        </w:rPr>
        <w:t xml:space="preserve">du reste </w:t>
      </w:r>
      <w:r w:rsidRPr="00261D22">
        <w:rPr>
          <w:rFonts w:ascii="Times" w:hAnsi="Times"/>
        </w:rPr>
        <w:t xml:space="preserve">pas à envisager la façon dont </w:t>
      </w:r>
      <w:r w:rsidRPr="00261D22">
        <w:rPr>
          <w:rFonts w:ascii="Times" w:hAnsi="Times"/>
          <w:lang w:val="fr-BE"/>
        </w:rPr>
        <w:t>la littérature « </w:t>
      </w:r>
      <w:r w:rsidRPr="00261D22">
        <w:rPr>
          <w:rFonts w:ascii="Times" w:hAnsi="Times"/>
        </w:rPr>
        <w:t xml:space="preserve">illustre le droit et ses capacités à prendre en considération (ou à ignorer) la complexité des rapports de force sociaux, la violence des interactions individuelles, le passé et la globalité d'une histoire de vie » mais nous invite également à comprendre que la littérature « est aussi, face au droit, une institution, avec ses propres codes, institution qui s'est parfois constituée dans son autonomie contre l'emprise du droit, au nom de la liberté d'expression, du droit au blasphème, du droit à provoquer et même à faire l’éloge du crime » (p. 35). </w:t>
      </w:r>
    </w:p>
    <w:p w14:paraId="284E7729" w14:textId="77777777" w:rsidR="0043007F" w:rsidRPr="00261D22" w:rsidRDefault="0043007F" w:rsidP="0043007F">
      <w:pPr>
        <w:jc w:val="both"/>
        <w:rPr>
          <w:rFonts w:ascii="Times" w:hAnsi="Times"/>
        </w:rPr>
      </w:pPr>
    </w:p>
    <w:p w14:paraId="45AE76F1" w14:textId="306E5BB6" w:rsidR="0043007F" w:rsidRPr="00261D22" w:rsidRDefault="0043007F" w:rsidP="001962E9">
      <w:pPr>
        <w:jc w:val="both"/>
        <w:rPr>
          <w:rFonts w:ascii="Times" w:hAnsi="Times"/>
        </w:rPr>
      </w:pPr>
      <w:r w:rsidRPr="00261D22">
        <w:rPr>
          <w:rFonts w:ascii="Times" w:hAnsi="Times"/>
        </w:rPr>
        <w:t>Si le courant droit et littérature est relativement récent, surtout en France</w:t>
      </w:r>
      <w:r w:rsidR="00C1297C">
        <w:rPr>
          <w:rFonts w:ascii="Times" w:hAnsi="Times"/>
        </w:rPr>
        <w:t xml:space="preserve"> où il émerge dans les années ‘70</w:t>
      </w:r>
      <w:r w:rsidRPr="00261D22">
        <w:rPr>
          <w:rFonts w:ascii="Times" w:hAnsi="Times"/>
        </w:rPr>
        <w:t xml:space="preserve">, il n’en va pas de même des interactions entre </w:t>
      </w:r>
      <w:r w:rsidR="001962E9">
        <w:rPr>
          <w:rFonts w:ascii="Times" w:hAnsi="Times"/>
        </w:rPr>
        <w:t>ces disciplines</w:t>
      </w:r>
      <w:r w:rsidRPr="00261D22">
        <w:rPr>
          <w:rFonts w:ascii="Times" w:hAnsi="Times"/>
        </w:rPr>
        <w:t xml:space="preserve">. En effet, </w:t>
      </w:r>
      <w:r w:rsidRPr="00261D22">
        <w:rPr>
          <w:rFonts w:ascii="Times" w:hAnsi="Times"/>
          <w:lang w:val="fr-BE"/>
        </w:rPr>
        <w:t>le récit judiciaire est « sans doute aussi ancien que la littérature elle-même » (p. 11) et</w:t>
      </w:r>
      <w:r w:rsidRPr="00261D22">
        <w:rPr>
          <w:rFonts w:ascii="Times" w:hAnsi="Times"/>
        </w:rPr>
        <w:t xml:space="preserve"> « il n’est sans doute pas un récit qui soit épargné par la référence juridique » (p. 39). Il s’agit </w:t>
      </w:r>
      <w:r w:rsidR="00305CF6">
        <w:rPr>
          <w:rFonts w:ascii="Times" w:hAnsi="Times"/>
        </w:rPr>
        <w:t xml:space="preserve">pour l’auteur </w:t>
      </w:r>
      <w:r w:rsidRPr="00261D22">
        <w:rPr>
          <w:rFonts w:ascii="Times" w:hAnsi="Times"/>
        </w:rPr>
        <w:t xml:space="preserve">de montrer que les œuvres littéraires ne sont pas que des mises en scène de situations juridiques extrêmes ou des « réservoirs de cas pour le juge » mais qu’elles peuvent </w:t>
      </w:r>
      <w:r w:rsidR="00C1297C">
        <w:rPr>
          <w:rFonts w:ascii="Times" w:hAnsi="Times"/>
        </w:rPr>
        <w:t xml:space="preserve">également </w:t>
      </w:r>
      <w:r w:rsidRPr="00261D22">
        <w:rPr>
          <w:rFonts w:ascii="Times" w:hAnsi="Times"/>
        </w:rPr>
        <w:t>« ouvrir des lignes de fracture, en dissociant ce qui pouvait idéalement être lié : légalité, légitimité, droit, morale, éthique des principes, éthiques appliquées » (p. 45), de sorte que le « </w:t>
      </w:r>
      <w:r w:rsidRPr="00261D22">
        <w:rPr>
          <w:rFonts w:ascii="Times" w:hAnsi="Times"/>
          <w:lang w:val="fr-BE"/>
        </w:rPr>
        <w:t>passage par le texte, fiction ou témoignage littéraire » se révèle être « un moment de mise à l’épreuve du droit » (p. 41). Si les récits de fiction « </w:t>
      </w:r>
      <w:r w:rsidRPr="00261D22">
        <w:rPr>
          <w:rFonts w:ascii="Times" w:hAnsi="Times"/>
        </w:rPr>
        <w:t xml:space="preserve">peuvent instaurer un imaginaire commun qui rend </w:t>
      </w:r>
      <w:r w:rsidRPr="00261D22">
        <w:rPr>
          <w:rFonts w:ascii="Times" w:hAnsi="Times"/>
          <w:i/>
          <w:iCs/>
        </w:rPr>
        <w:t>possible</w:t>
      </w:r>
      <w:r w:rsidRPr="00261D22">
        <w:rPr>
          <w:rFonts w:ascii="Times" w:hAnsi="Times"/>
        </w:rPr>
        <w:t xml:space="preserve"> une évolution du droit ou qui la fait penser comme </w:t>
      </w:r>
      <w:r w:rsidRPr="00261D22">
        <w:rPr>
          <w:rFonts w:ascii="Times" w:hAnsi="Times"/>
          <w:i/>
          <w:iCs/>
        </w:rPr>
        <w:t>souhaitable</w:t>
      </w:r>
      <w:r w:rsidRPr="00261D22">
        <w:rPr>
          <w:rFonts w:ascii="Times" w:hAnsi="Times"/>
        </w:rPr>
        <w:t> », l</w:t>
      </w:r>
      <w:r w:rsidR="00C1297C">
        <w:rPr>
          <w:rFonts w:ascii="Times" w:hAnsi="Times"/>
        </w:rPr>
        <w:t>e</w:t>
      </w:r>
      <w:r w:rsidRPr="00261D22">
        <w:rPr>
          <w:rFonts w:ascii="Times" w:hAnsi="Times"/>
        </w:rPr>
        <w:t xml:space="preserve"> droit peut, en retour, définir « un </w:t>
      </w:r>
      <w:r w:rsidRPr="00261D22">
        <w:rPr>
          <w:rFonts w:ascii="Times" w:hAnsi="Times"/>
          <w:i/>
          <w:iCs/>
        </w:rPr>
        <w:t>ethos</w:t>
      </w:r>
      <w:r w:rsidRPr="00261D22">
        <w:rPr>
          <w:rFonts w:ascii="Times" w:hAnsi="Times"/>
        </w:rPr>
        <w:t xml:space="preserve"> commun à l'écrivain, au personnage de fiction, au lecteur, sans lequel les cadres du récit lui-même seraient problématiques, même si l'écrivain optent pour une posture de contestation de ces cadres » (p. 45).</w:t>
      </w:r>
    </w:p>
    <w:p w14:paraId="4BE22555" w14:textId="5115D996" w:rsidR="0043007F" w:rsidRPr="00261D22" w:rsidRDefault="0043007F" w:rsidP="0043007F">
      <w:pPr>
        <w:jc w:val="both"/>
        <w:rPr>
          <w:rFonts w:ascii="Times" w:hAnsi="Times"/>
        </w:rPr>
      </w:pPr>
    </w:p>
    <w:p w14:paraId="2935EF6F" w14:textId="72E3398E" w:rsidR="0043007F" w:rsidRPr="00261D22" w:rsidRDefault="0043007F" w:rsidP="0043007F">
      <w:pPr>
        <w:jc w:val="both"/>
        <w:rPr>
          <w:rFonts w:ascii="Times" w:hAnsi="Times"/>
          <w:lang w:val="fr-BE"/>
        </w:rPr>
      </w:pPr>
      <w:r w:rsidRPr="00261D22">
        <w:rPr>
          <w:rFonts w:ascii="Times" w:hAnsi="Times"/>
          <w:lang w:val="fr-BE"/>
        </w:rPr>
        <w:t>L’ouvrage est divisé en quatre chapitres. Le premier rappelle les textes fondateurs de la tragédie grecque mais également la façon dont certains récits, comme ceux de Kafka ou de Kleist, permettent de problématiser le droit</w:t>
      </w:r>
      <w:r w:rsidRPr="00261D22">
        <w:rPr>
          <w:rStyle w:val="Appelnotedebasdep"/>
          <w:rFonts w:ascii="Times" w:hAnsi="Times"/>
          <w:lang w:val="fr-BE"/>
        </w:rPr>
        <w:footnoteReference w:id="1"/>
      </w:r>
      <w:r w:rsidRPr="00261D22">
        <w:rPr>
          <w:rFonts w:ascii="Times" w:hAnsi="Times"/>
          <w:lang w:val="fr-BE"/>
        </w:rPr>
        <w:t xml:space="preserve">. La littérature permet ainsi, en « posant le dissentiment sous des formes diverses », d’exprimer « une non-reconnaissance de soi-même dans la loi » ou une « méconnaissance par la loi de situations singulières », </w:t>
      </w:r>
      <w:r w:rsidR="00C1297C">
        <w:rPr>
          <w:rFonts w:ascii="Times" w:hAnsi="Times"/>
          <w:lang w:val="fr-BE"/>
        </w:rPr>
        <w:t xml:space="preserve">de cas particuliers </w:t>
      </w:r>
      <w:r w:rsidRPr="00261D22">
        <w:rPr>
          <w:rFonts w:ascii="Times" w:hAnsi="Times"/>
          <w:lang w:val="fr-BE"/>
        </w:rPr>
        <w:t>« qui ne peuvent se dissoudre dans les formes autorisées du droit » (p. 117). Et de conclure : « En prenant en charge le dissensus, forme par excellence de la démocratie, la littérature témoignerait alors de la nécessité d’une tentative continue de repenser le mécompte, le litige comme ce qui institue notre relation aux pratiques politiques et juridiques contemporaines » (p. 118).</w:t>
      </w:r>
    </w:p>
    <w:p w14:paraId="1D82764E" w14:textId="77777777" w:rsidR="0043007F" w:rsidRPr="00261D22" w:rsidRDefault="0043007F" w:rsidP="0043007F">
      <w:pPr>
        <w:jc w:val="both"/>
        <w:rPr>
          <w:rFonts w:ascii="Times" w:hAnsi="Times"/>
          <w:lang w:val="fr-BE"/>
        </w:rPr>
      </w:pPr>
    </w:p>
    <w:p w14:paraId="17EBE9FE" w14:textId="2F138654" w:rsidR="00F20D93" w:rsidRPr="00261D22" w:rsidRDefault="0043007F" w:rsidP="007D53B4">
      <w:pPr>
        <w:jc w:val="both"/>
        <w:rPr>
          <w:rFonts w:ascii="Times" w:hAnsi="Times"/>
        </w:rPr>
      </w:pPr>
      <w:r w:rsidRPr="00261D22">
        <w:rPr>
          <w:rFonts w:ascii="Times" w:hAnsi="Times"/>
          <w:lang w:val="fr-BE"/>
        </w:rPr>
        <w:t xml:space="preserve">Le deuxième chapitre (« Juger avec la littérature ») s’ouvre sur </w:t>
      </w:r>
      <w:r w:rsidRPr="00261D22">
        <w:rPr>
          <w:rFonts w:ascii="Times" w:hAnsi="Times"/>
        </w:rPr>
        <w:t xml:space="preserve">la </w:t>
      </w:r>
      <w:r w:rsidR="00C1297C">
        <w:rPr>
          <w:rFonts w:ascii="Times" w:hAnsi="Times"/>
        </w:rPr>
        <w:t>« </w:t>
      </w:r>
      <w:r w:rsidRPr="00261D22">
        <w:rPr>
          <w:rFonts w:ascii="Times" w:hAnsi="Times"/>
        </w:rPr>
        <w:t>présupposition centrale</w:t>
      </w:r>
      <w:r w:rsidR="00C1297C">
        <w:rPr>
          <w:rFonts w:ascii="Times" w:hAnsi="Times"/>
        </w:rPr>
        <w:t> »</w:t>
      </w:r>
      <w:r w:rsidRPr="00261D22">
        <w:rPr>
          <w:rFonts w:ascii="Times" w:hAnsi="Times"/>
        </w:rPr>
        <w:t xml:space="preserve"> du mouvement « droit et littérature »</w:t>
      </w:r>
      <w:r w:rsidR="00C1297C">
        <w:rPr>
          <w:rFonts w:ascii="Times" w:hAnsi="Times"/>
        </w:rPr>
        <w:t>, à savoir qu</w:t>
      </w:r>
      <w:r w:rsidRPr="00261D22">
        <w:rPr>
          <w:rFonts w:ascii="Times" w:hAnsi="Times"/>
        </w:rPr>
        <w:t xml:space="preserve">e « l’acte de juger peut être non seulement représenté dans la littérature mais compris et amélioré à partir des textes littéraires » (p. 119). </w:t>
      </w:r>
      <w:r w:rsidRPr="000C4C1D">
        <w:rPr>
          <w:rFonts w:ascii="Times" w:hAnsi="Times"/>
        </w:rPr>
        <w:t>Tel</w:t>
      </w:r>
      <w:r w:rsidR="00854785">
        <w:rPr>
          <w:rFonts w:ascii="Times" w:hAnsi="Times"/>
        </w:rPr>
        <w:t>le</w:t>
      </w:r>
      <w:r w:rsidRPr="00261D22">
        <w:rPr>
          <w:rFonts w:ascii="Times" w:hAnsi="Times"/>
        </w:rPr>
        <w:t xml:space="preserve"> </w:t>
      </w:r>
      <w:r w:rsidR="00C1297C">
        <w:rPr>
          <w:rFonts w:ascii="Times" w:hAnsi="Times"/>
        </w:rPr>
        <w:t>était</w:t>
      </w:r>
      <w:r w:rsidRPr="00261D22">
        <w:rPr>
          <w:rFonts w:ascii="Times" w:hAnsi="Times"/>
        </w:rPr>
        <w:t xml:space="preserve"> en tout cas la conviction qui a animé </w:t>
      </w:r>
      <w:r w:rsidR="00305CF6">
        <w:rPr>
          <w:rFonts w:ascii="Times" w:hAnsi="Times"/>
        </w:rPr>
        <w:t xml:space="preserve">du </w:t>
      </w:r>
      <w:r w:rsidR="00305CF6" w:rsidRPr="00261D22">
        <w:rPr>
          <w:rFonts w:ascii="Times" w:hAnsi="Times"/>
          <w:lang w:val="fr-BE"/>
        </w:rPr>
        <w:t xml:space="preserve">doyen de la faculté de </w:t>
      </w:r>
      <w:proofErr w:type="spellStart"/>
      <w:r w:rsidR="00305CF6" w:rsidRPr="00261D22">
        <w:rPr>
          <w:rFonts w:ascii="Times" w:hAnsi="Times"/>
          <w:lang w:val="fr-BE"/>
        </w:rPr>
        <w:t>Northwestern</w:t>
      </w:r>
      <w:proofErr w:type="spellEnd"/>
      <w:r w:rsidR="00305CF6" w:rsidRPr="00261D22">
        <w:rPr>
          <w:rFonts w:ascii="Times" w:hAnsi="Times"/>
          <w:lang w:val="fr-BE"/>
        </w:rPr>
        <w:t xml:space="preserve">, John </w:t>
      </w:r>
      <w:r w:rsidR="00305CF6" w:rsidRPr="00261D22">
        <w:rPr>
          <w:rFonts w:ascii="Times" w:hAnsi="Times"/>
          <w:lang w:val="fr-BE"/>
        </w:rPr>
        <w:lastRenderedPageBreak/>
        <w:t xml:space="preserve">H. </w:t>
      </w:r>
      <w:proofErr w:type="spellStart"/>
      <w:r w:rsidR="00305CF6" w:rsidRPr="00261D22">
        <w:rPr>
          <w:rFonts w:ascii="Times" w:hAnsi="Times"/>
          <w:lang w:val="fr-BE"/>
        </w:rPr>
        <w:t>Wigmore</w:t>
      </w:r>
      <w:proofErr w:type="spellEnd"/>
      <w:r w:rsidR="00305CF6">
        <w:rPr>
          <w:rFonts w:ascii="Times" w:hAnsi="Times"/>
          <w:lang w:val="fr-BE"/>
        </w:rPr>
        <w:t>,</w:t>
      </w:r>
      <w:r w:rsidRPr="00261D22">
        <w:rPr>
          <w:rFonts w:ascii="Times" w:hAnsi="Times"/>
        </w:rPr>
        <w:t xml:space="preserve"> qui a initié ce mouvement aux Etats-Unis au début du 20</w:t>
      </w:r>
      <w:r w:rsidRPr="00261D22">
        <w:rPr>
          <w:rFonts w:ascii="Times" w:hAnsi="Times"/>
          <w:vertAlign w:val="superscript"/>
        </w:rPr>
        <w:t>ème</w:t>
      </w:r>
      <w:r w:rsidRPr="00261D22">
        <w:rPr>
          <w:rFonts w:ascii="Times" w:hAnsi="Times"/>
        </w:rPr>
        <w:t xml:space="preserve"> siècle</w:t>
      </w:r>
      <w:r w:rsidRPr="00261D22">
        <w:rPr>
          <w:rFonts w:ascii="Times" w:hAnsi="Times"/>
          <w:lang w:val="fr-BE"/>
        </w:rPr>
        <w:t xml:space="preserve">. </w:t>
      </w:r>
      <w:r w:rsidR="00271040" w:rsidRPr="00261D22">
        <w:rPr>
          <w:rFonts w:ascii="Times" w:hAnsi="Times"/>
          <w:lang w:val="fr-BE"/>
        </w:rPr>
        <w:t>C</w:t>
      </w:r>
      <w:r w:rsidRPr="00261D22">
        <w:rPr>
          <w:rFonts w:ascii="Times" w:hAnsi="Times"/>
          <w:lang w:val="fr-BE"/>
        </w:rPr>
        <w:t xml:space="preserve">elui qui fut également le fondateur </w:t>
      </w:r>
      <w:r w:rsidRPr="00261D22">
        <w:rPr>
          <w:rFonts w:ascii="Times" w:hAnsi="Times"/>
        </w:rPr>
        <w:t xml:space="preserve">de la </w:t>
      </w:r>
      <w:r w:rsidRPr="00C1297C">
        <w:rPr>
          <w:rFonts w:ascii="Times" w:hAnsi="Times"/>
          <w:i/>
          <w:iCs/>
        </w:rPr>
        <w:t xml:space="preserve">Harvard Law </w:t>
      </w:r>
      <w:proofErr w:type="spellStart"/>
      <w:r w:rsidRPr="00C1297C">
        <w:rPr>
          <w:rFonts w:ascii="Times" w:hAnsi="Times"/>
          <w:i/>
          <w:iCs/>
        </w:rPr>
        <w:t>Review</w:t>
      </w:r>
      <w:proofErr w:type="spellEnd"/>
      <w:r w:rsidRPr="00261D22">
        <w:rPr>
          <w:rFonts w:ascii="Times" w:hAnsi="Times"/>
        </w:rPr>
        <w:t xml:space="preserve"> établit à l’époque une liste de cent </w:t>
      </w:r>
      <w:proofErr w:type="spellStart"/>
      <w:r w:rsidRPr="00261D22">
        <w:rPr>
          <w:rFonts w:ascii="Times" w:hAnsi="Times"/>
          <w:i/>
          <w:iCs/>
        </w:rPr>
        <w:t>legal</w:t>
      </w:r>
      <w:proofErr w:type="spellEnd"/>
      <w:r w:rsidRPr="00261D22">
        <w:rPr>
          <w:rFonts w:ascii="Times" w:hAnsi="Times"/>
        </w:rPr>
        <w:t xml:space="preserve"> </w:t>
      </w:r>
      <w:proofErr w:type="spellStart"/>
      <w:r w:rsidRPr="00261D22">
        <w:rPr>
          <w:rFonts w:ascii="Times" w:hAnsi="Times"/>
          <w:i/>
          <w:iCs/>
        </w:rPr>
        <w:t>novels</w:t>
      </w:r>
      <w:proofErr w:type="spellEnd"/>
      <w:r w:rsidRPr="00261D22">
        <w:rPr>
          <w:rFonts w:ascii="Times" w:hAnsi="Times"/>
        </w:rPr>
        <w:t xml:space="preserve"> dont il recommandait la lecture aux juges</w:t>
      </w:r>
      <w:r w:rsidR="00C1297C">
        <w:rPr>
          <w:rFonts w:ascii="Times" w:hAnsi="Times"/>
        </w:rPr>
        <w:t xml:space="preserve">, </w:t>
      </w:r>
      <w:r w:rsidR="00305CF6">
        <w:rPr>
          <w:rFonts w:ascii="Times" w:hAnsi="Times"/>
        </w:rPr>
        <w:t>suggestion</w:t>
      </w:r>
      <w:r w:rsidRPr="00261D22">
        <w:rPr>
          <w:rFonts w:ascii="Times" w:hAnsi="Times"/>
        </w:rPr>
        <w:t xml:space="preserve"> </w:t>
      </w:r>
      <w:r w:rsidR="00C1297C">
        <w:rPr>
          <w:rFonts w:ascii="Times" w:hAnsi="Times"/>
        </w:rPr>
        <w:t xml:space="preserve">qui sera </w:t>
      </w:r>
      <w:r w:rsidR="00305CF6">
        <w:rPr>
          <w:rFonts w:ascii="Times" w:hAnsi="Times"/>
        </w:rPr>
        <w:t>notamment</w:t>
      </w:r>
      <w:r w:rsidR="00C1297C">
        <w:rPr>
          <w:rFonts w:ascii="Times" w:hAnsi="Times"/>
        </w:rPr>
        <w:t xml:space="preserve"> </w:t>
      </w:r>
      <w:r w:rsidRPr="00261D22">
        <w:rPr>
          <w:rFonts w:ascii="Times" w:hAnsi="Times"/>
        </w:rPr>
        <w:t xml:space="preserve">suivie par le juge à la Cour suprême Benjamin </w:t>
      </w:r>
      <w:proofErr w:type="spellStart"/>
      <w:r w:rsidRPr="00261D22">
        <w:rPr>
          <w:rFonts w:ascii="Times" w:hAnsi="Times"/>
        </w:rPr>
        <w:t>Cardozo</w:t>
      </w:r>
      <w:proofErr w:type="spellEnd"/>
      <w:r w:rsidRPr="00261D22">
        <w:rPr>
          <w:rFonts w:ascii="Times" w:hAnsi="Times"/>
        </w:rPr>
        <w:t xml:space="preserve">. Quelques décennies plus tard, Ronald </w:t>
      </w:r>
      <w:proofErr w:type="spellStart"/>
      <w:r w:rsidRPr="00261D22">
        <w:rPr>
          <w:rFonts w:ascii="Times" w:hAnsi="Times"/>
        </w:rPr>
        <w:t>Dworkin</w:t>
      </w:r>
      <w:proofErr w:type="spellEnd"/>
      <w:r w:rsidRPr="00261D22">
        <w:rPr>
          <w:rFonts w:ascii="Times" w:hAnsi="Times"/>
        </w:rPr>
        <w:t xml:space="preserve"> </w:t>
      </w:r>
      <w:r w:rsidR="00271040" w:rsidRPr="00261D22">
        <w:rPr>
          <w:rFonts w:ascii="Times" w:hAnsi="Times"/>
        </w:rPr>
        <w:t>présentera</w:t>
      </w:r>
      <w:r w:rsidRPr="00261D22">
        <w:rPr>
          <w:rFonts w:ascii="Times" w:hAnsi="Times"/>
        </w:rPr>
        <w:t xml:space="preserve"> </w:t>
      </w:r>
      <w:r w:rsidR="00271040" w:rsidRPr="00261D22">
        <w:rPr>
          <w:rFonts w:ascii="Times" w:hAnsi="Times"/>
        </w:rPr>
        <w:t>le</w:t>
      </w:r>
      <w:r w:rsidRPr="00261D22">
        <w:rPr>
          <w:rFonts w:ascii="Times" w:hAnsi="Times"/>
        </w:rPr>
        <w:t xml:space="preserve"> droit comme un roman à la chaîne et Martha Nussbaum </w:t>
      </w:r>
      <w:r w:rsidR="00271040" w:rsidRPr="00261D22">
        <w:rPr>
          <w:rFonts w:ascii="Times" w:hAnsi="Times"/>
        </w:rPr>
        <w:t xml:space="preserve">consacrera à l’imagination juridique une réflexion </w:t>
      </w:r>
      <w:r w:rsidR="00C1297C">
        <w:rPr>
          <w:rFonts w:ascii="Times" w:hAnsi="Times"/>
        </w:rPr>
        <w:t xml:space="preserve">jugée </w:t>
      </w:r>
      <w:r w:rsidRPr="00261D22">
        <w:rPr>
          <w:rFonts w:ascii="Times" w:hAnsi="Times"/>
        </w:rPr>
        <w:t>« déterminante pour comprendre la vision américaine des rapports entre droit et littérature »</w:t>
      </w:r>
      <w:r w:rsidR="00271040" w:rsidRPr="00261D22">
        <w:rPr>
          <w:rFonts w:ascii="Times" w:hAnsi="Times"/>
        </w:rPr>
        <w:t xml:space="preserve"> (p. 124). Au cœur de cette réflexion, on trouve la notion d’empathie que la littérature permettrait au lecteur – et plus précisément au juge – de développer</w:t>
      </w:r>
      <w:r w:rsidR="0099776A" w:rsidRPr="00261D22">
        <w:rPr>
          <w:rFonts w:ascii="Times" w:hAnsi="Times"/>
        </w:rPr>
        <w:t xml:space="preserve">, en réaction contre un raisonnement </w:t>
      </w:r>
      <w:r w:rsidR="00C1297C">
        <w:rPr>
          <w:rFonts w:ascii="Times" w:hAnsi="Times"/>
        </w:rPr>
        <w:t>dominant de type</w:t>
      </w:r>
      <w:r w:rsidR="0099776A" w:rsidRPr="00261D22">
        <w:rPr>
          <w:rFonts w:ascii="Times" w:hAnsi="Times"/>
        </w:rPr>
        <w:t xml:space="preserve"> économique voire utilitariste</w:t>
      </w:r>
      <w:r w:rsidR="00271040" w:rsidRPr="00261D22">
        <w:rPr>
          <w:rFonts w:ascii="Times" w:hAnsi="Times"/>
        </w:rPr>
        <w:t>. Cette « vision américaine</w:t>
      </w:r>
      <w:r w:rsidR="00305CF6">
        <w:rPr>
          <w:rFonts w:ascii="Times" w:hAnsi="Times"/>
        </w:rPr>
        <w:t> »</w:t>
      </w:r>
      <w:r w:rsidR="00271040" w:rsidRPr="00261D22">
        <w:rPr>
          <w:rFonts w:ascii="Times" w:hAnsi="Times"/>
        </w:rPr>
        <w:t xml:space="preserve"> paraît toutefois « excessivement optimiste » à Ch. Baron</w:t>
      </w:r>
      <w:r w:rsidR="00305CF6">
        <w:rPr>
          <w:rFonts w:ascii="Times" w:hAnsi="Times"/>
        </w:rPr>
        <w:t xml:space="preserve"> </w:t>
      </w:r>
      <w:r w:rsidR="00305CF6" w:rsidRPr="00261D22">
        <w:rPr>
          <w:rFonts w:ascii="Times" w:hAnsi="Times"/>
        </w:rPr>
        <w:t>(p. 132)</w:t>
      </w:r>
      <w:r w:rsidR="00271040" w:rsidRPr="00261D22">
        <w:rPr>
          <w:rFonts w:ascii="Times" w:hAnsi="Times"/>
        </w:rPr>
        <w:t xml:space="preserve">, qui relève que la lecture de textes littéraires ne joue pas nécessairement en faveur d’une plus grande compassion, d’autant que la capacité à éprouver de l’empathie </w:t>
      </w:r>
      <w:r w:rsidR="007D53B4" w:rsidRPr="00261D22">
        <w:rPr>
          <w:rFonts w:ascii="Times" w:hAnsi="Times"/>
        </w:rPr>
        <w:t>n’implique pas nécessairement un comportement altruiste mais peut être utilisé</w:t>
      </w:r>
      <w:r w:rsidR="00305CF6">
        <w:rPr>
          <w:rFonts w:ascii="Times" w:hAnsi="Times"/>
        </w:rPr>
        <w:t>e</w:t>
      </w:r>
      <w:r w:rsidR="007D53B4" w:rsidRPr="00261D22">
        <w:rPr>
          <w:rFonts w:ascii="Times" w:hAnsi="Times"/>
        </w:rPr>
        <w:t xml:space="preserve"> à des fins malveillantes</w:t>
      </w:r>
      <w:r w:rsidR="00305CF6">
        <w:rPr>
          <w:rFonts w:ascii="Times" w:hAnsi="Times"/>
        </w:rPr>
        <w:t>, voire</w:t>
      </w:r>
      <w:r w:rsidR="007D53B4" w:rsidRPr="00261D22">
        <w:rPr>
          <w:rFonts w:ascii="Times" w:hAnsi="Times"/>
        </w:rPr>
        <w:t xml:space="preserve"> de manipulation</w:t>
      </w:r>
      <w:r w:rsidR="007D53B4" w:rsidRPr="00261D22">
        <w:rPr>
          <w:rStyle w:val="Appelnotedebasdep"/>
          <w:rFonts w:ascii="Times" w:hAnsi="Times"/>
        </w:rPr>
        <w:footnoteReference w:id="2"/>
      </w:r>
      <w:r w:rsidR="007D53B4" w:rsidRPr="00261D22">
        <w:rPr>
          <w:rFonts w:ascii="Times" w:hAnsi="Times"/>
        </w:rPr>
        <w:t xml:space="preserve">. Parmi les « prérequis discutables » engagés par la position de Nussbaum sur l’effet positif de la littérature, l’auteur cite le postulat d’une « correspondance globale entre normes éthiques véhiculées par les textes littéraires et les normes sociales en vigueur qu’il s’agit de conforter ou de restaurer par la décision judiciaire » (p. 138). </w:t>
      </w:r>
    </w:p>
    <w:p w14:paraId="520D256D" w14:textId="77777777" w:rsidR="00F20D93" w:rsidRPr="00261D22" w:rsidRDefault="00F20D93" w:rsidP="007D53B4">
      <w:pPr>
        <w:jc w:val="both"/>
        <w:rPr>
          <w:rFonts w:ascii="Times" w:hAnsi="Times"/>
        </w:rPr>
      </w:pPr>
    </w:p>
    <w:p w14:paraId="5AAB5CE3" w14:textId="54DEA584" w:rsidR="0018275C" w:rsidRPr="00261D22" w:rsidRDefault="007D53B4" w:rsidP="00305CF6">
      <w:pPr>
        <w:jc w:val="both"/>
        <w:rPr>
          <w:rFonts w:ascii="Times" w:hAnsi="Times"/>
        </w:rPr>
      </w:pPr>
      <w:r w:rsidRPr="00261D22">
        <w:rPr>
          <w:rFonts w:ascii="Times" w:hAnsi="Times"/>
        </w:rPr>
        <w:t xml:space="preserve">La combinaison de cette idée que « la littérature éclaire la conscience du juge » (p. 141) et d’une « confiance globale et compacte de la société américaine dans la capacité des juges à défendre les institutions, à exercer de façon citoyenne le pouvoir qui leur est conféré » constituerait « l’une des causes du succès intellectuel du mouvement </w:t>
      </w:r>
      <w:r w:rsidR="00304B86">
        <w:rPr>
          <w:rFonts w:ascii="Times" w:hAnsi="Times"/>
        </w:rPr>
        <w:t>‘</w:t>
      </w:r>
      <w:r w:rsidRPr="00261D22">
        <w:rPr>
          <w:rFonts w:ascii="Times" w:hAnsi="Times"/>
        </w:rPr>
        <w:t>droit et littérature</w:t>
      </w:r>
      <w:r w:rsidR="00304B86">
        <w:rPr>
          <w:rFonts w:ascii="Times" w:hAnsi="Times"/>
        </w:rPr>
        <w:t>’</w:t>
      </w:r>
      <w:r w:rsidRPr="00261D22">
        <w:rPr>
          <w:rFonts w:ascii="Times" w:hAnsi="Times"/>
        </w:rPr>
        <w:t> » aux États-Unis, qui verrait dans le lien entre ces deux disciplines « l</w:t>
      </w:r>
      <w:r w:rsidR="00CC0217">
        <w:rPr>
          <w:rFonts w:ascii="Times" w:hAnsi="Times"/>
        </w:rPr>
        <w:t>’</w:t>
      </w:r>
      <w:r w:rsidRPr="00261D22">
        <w:rPr>
          <w:rFonts w:ascii="Times" w:hAnsi="Times"/>
        </w:rPr>
        <w:t xml:space="preserve">espoir </w:t>
      </w:r>
      <w:r w:rsidR="00854785">
        <w:rPr>
          <w:rFonts w:ascii="Times" w:hAnsi="Times"/>
        </w:rPr>
        <w:t>d’</w:t>
      </w:r>
      <w:r w:rsidRPr="00261D22">
        <w:rPr>
          <w:rFonts w:ascii="Times" w:hAnsi="Times"/>
        </w:rPr>
        <w:t>une dynamique citoyenne renouvelée » (p. 142).</w:t>
      </w:r>
      <w:r w:rsidR="00305CF6">
        <w:rPr>
          <w:rFonts w:ascii="Times" w:hAnsi="Times"/>
        </w:rPr>
        <w:t xml:space="preserve"> </w:t>
      </w:r>
      <w:r w:rsidR="00F20D93" w:rsidRPr="00261D22">
        <w:rPr>
          <w:rFonts w:ascii="Times" w:hAnsi="Times"/>
        </w:rPr>
        <w:t>Ces éléments permettent de mesurer l</w:t>
      </w:r>
      <w:r w:rsidR="00304B86">
        <w:rPr>
          <w:rFonts w:ascii="Times" w:hAnsi="Times"/>
        </w:rPr>
        <w:t>e fossé qui sépare</w:t>
      </w:r>
      <w:r w:rsidR="00F20D93" w:rsidRPr="00261D22">
        <w:rPr>
          <w:rFonts w:ascii="Times" w:hAnsi="Times"/>
        </w:rPr>
        <w:t xml:space="preserve"> l’approche américaine </w:t>
      </w:r>
      <w:r w:rsidR="00304B86">
        <w:rPr>
          <w:rFonts w:ascii="Times" w:hAnsi="Times"/>
        </w:rPr>
        <w:t>de</w:t>
      </w:r>
      <w:r w:rsidR="00F20D93" w:rsidRPr="00261D22">
        <w:rPr>
          <w:rFonts w:ascii="Times" w:hAnsi="Times"/>
        </w:rPr>
        <w:t xml:space="preserve"> la t</w:t>
      </w:r>
      <w:r w:rsidR="00271040" w:rsidRPr="00261D22">
        <w:rPr>
          <w:rFonts w:ascii="Times" w:hAnsi="Times"/>
        </w:rPr>
        <w:t xml:space="preserve">radition </w:t>
      </w:r>
      <w:r w:rsidR="00304B86">
        <w:rPr>
          <w:rFonts w:ascii="Times" w:hAnsi="Times"/>
        </w:rPr>
        <w:t>« </w:t>
      </w:r>
      <w:r w:rsidR="00271040" w:rsidRPr="00261D22">
        <w:rPr>
          <w:rFonts w:ascii="Times" w:hAnsi="Times"/>
        </w:rPr>
        <w:t>continentale</w:t>
      </w:r>
      <w:r w:rsidR="00304B86">
        <w:rPr>
          <w:rFonts w:ascii="Times" w:hAnsi="Times"/>
        </w:rPr>
        <w:t> »</w:t>
      </w:r>
      <w:r w:rsidR="00271040" w:rsidRPr="00261D22">
        <w:rPr>
          <w:rFonts w:ascii="Times" w:hAnsi="Times"/>
        </w:rPr>
        <w:t xml:space="preserve"> </w:t>
      </w:r>
      <w:r w:rsidR="00F20D93" w:rsidRPr="00261D22">
        <w:rPr>
          <w:rFonts w:ascii="Times" w:hAnsi="Times"/>
        </w:rPr>
        <w:t xml:space="preserve">où </w:t>
      </w:r>
      <w:r w:rsidR="00271040" w:rsidRPr="00261D22">
        <w:rPr>
          <w:rFonts w:ascii="Times" w:hAnsi="Times"/>
        </w:rPr>
        <w:t>la continuité entre droit et littérature « apparait plus comme une question que comme une présupposition »</w:t>
      </w:r>
      <w:r w:rsidR="00F20D93" w:rsidRPr="00261D22">
        <w:rPr>
          <w:rFonts w:ascii="Times" w:hAnsi="Times"/>
        </w:rPr>
        <w:t xml:space="preserve"> (p. 143)</w:t>
      </w:r>
      <w:r w:rsidR="0099776A" w:rsidRPr="00261D22">
        <w:rPr>
          <w:rStyle w:val="Appelnotedebasdep"/>
          <w:rFonts w:ascii="Times" w:hAnsi="Times"/>
        </w:rPr>
        <w:footnoteReference w:id="3"/>
      </w:r>
      <w:r w:rsidR="00F20D93" w:rsidRPr="00261D22">
        <w:rPr>
          <w:rFonts w:ascii="Times" w:hAnsi="Times"/>
        </w:rPr>
        <w:t>. Ce qui oppose d’abord les deux traditions serait, selon l’auteur, une « méfiance de principe » de la pensée continentale à l’égard de la compassion, qui peut « constituer un ferment de haine et une source de radicalisation politique » (pp. 143-144)</w:t>
      </w:r>
      <w:r w:rsidR="00F20D93" w:rsidRPr="00261D22">
        <w:rPr>
          <w:rStyle w:val="Appelnotedebasdep"/>
          <w:rFonts w:ascii="Times" w:hAnsi="Times"/>
        </w:rPr>
        <w:footnoteReference w:id="4"/>
      </w:r>
      <w:r w:rsidR="00F20D93" w:rsidRPr="00261D22">
        <w:rPr>
          <w:rFonts w:ascii="Times" w:hAnsi="Times"/>
        </w:rPr>
        <w:t>. Le mouvement droit et littérature ne prend son essor en Europe que dans les années 1980-1990, pour des raisons multiples qui tien</w:t>
      </w:r>
      <w:r w:rsidR="00305CF6">
        <w:rPr>
          <w:rFonts w:ascii="Times" w:hAnsi="Times"/>
        </w:rPr>
        <w:t>drai</w:t>
      </w:r>
      <w:r w:rsidR="00F20D93" w:rsidRPr="00261D22">
        <w:rPr>
          <w:rFonts w:ascii="Times" w:hAnsi="Times"/>
        </w:rPr>
        <w:t xml:space="preserve">ent en partie </w:t>
      </w:r>
      <w:r w:rsidR="00304B86">
        <w:rPr>
          <w:rFonts w:ascii="Times" w:hAnsi="Times"/>
        </w:rPr>
        <w:t>aux grands totalitarismes qui ont instrumentalisé le droit et discrédité les juges</w:t>
      </w:r>
      <w:r w:rsidR="00F20D93" w:rsidRPr="00261D22">
        <w:rPr>
          <w:rFonts w:ascii="Times" w:hAnsi="Times"/>
        </w:rPr>
        <w:t xml:space="preserve">. </w:t>
      </w:r>
      <w:r w:rsidR="00305CF6">
        <w:rPr>
          <w:rFonts w:ascii="Times" w:hAnsi="Times"/>
        </w:rPr>
        <w:t xml:space="preserve">La méfiance à l’égard des systèmes juridique et judiciaire est cependant plus ancienne. </w:t>
      </w:r>
      <w:r w:rsidR="0018275C" w:rsidRPr="00261D22">
        <w:rPr>
          <w:rFonts w:ascii="Times" w:hAnsi="Times"/>
        </w:rPr>
        <w:t>Ch. Baron relève ainsi que, dès le 18</w:t>
      </w:r>
      <w:r w:rsidR="0018275C" w:rsidRPr="00261D22">
        <w:rPr>
          <w:rFonts w:ascii="Times" w:hAnsi="Times"/>
          <w:vertAlign w:val="superscript"/>
        </w:rPr>
        <w:t>ème</w:t>
      </w:r>
      <w:r w:rsidR="0018275C" w:rsidRPr="00261D22">
        <w:rPr>
          <w:rFonts w:ascii="Times" w:hAnsi="Times"/>
        </w:rPr>
        <w:t xml:space="preserve"> siècle, la littérature </w:t>
      </w:r>
      <w:r w:rsidR="00305CF6">
        <w:rPr>
          <w:rFonts w:ascii="Times" w:hAnsi="Times"/>
        </w:rPr>
        <w:t xml:space="preserve">européenne (surtout </w:t>
      </w:r>
      <w:r w:rsidR="0018275C" w:rsidRPr="00261D22">
        <w:rPr>
          <w:rFonts w:ascii="Times" w:hAnsi="Times"/>
        </w:rPr>
        <w:t>française</w:t>
      </w:r>
      <w:r w:rsidR="00305CF6">
        <w:rPr>
          <w:rFonts w:ascii="Times" w:hAnsi="Times"/>
        </w:rPr>
        <w:t>)</w:t>
      </w:r>
      <w:r w:rsidR="0018275C" w:rsidRPr="00261D22">
        <w:rPr>
          <w:rFonts w:ascii="Times" w:hAnsi="Times"/>
        </w:rPr>
        <w:t xml:space="preserve"> </w:t>
      </w:r>
      <w:r w:rsidR="00305CF6">
        <w:rPr>
          <w:rFonts w:ascii="Times" w:hAnsi="Times"/>
        </w:rPr>
        <w:t>avait</w:t>
      </w:r>
      <w:r w:rsidR="0018275C" w:rsidRPr="00261D22">
        <w:rPr>
          <w:rFonts w:ascii="Times" w:hAnsi="Times"/>
        </w:rPr>
        <w:t xml:space="preserve"> tendance à dénoncer les dérives du droit</w:t>
      </w:r>
      <w:r w:rsidR="007450D6">
        <w:rPr>
          <w:rFonts w:ascii="Times" w:hAnsi="Times"/>
        </w:rPr>
        <w:t xml:space="preserve"> et le caractère injuste des décisions de justice</w:t>
      </w:r>
      <w:r w:rsidR="0018275C" w:rsidRPr="00261D22">
        <w:rPr>
          <w:rFonts w:ascii="Times" w:hAnsi="Times"/>
        </w:rPr>
        <w:t xml:space="preserve"> </w:t>
      </w:r>
      <w:r w:rsidR="00304B86">
        <w:rPr>
          <w:rFonts w:ascii="Times" w:hAnsi="Times"/>
        </w:rPr>
        <w:t>(pp. 146-149)</w:t>
      </w:r>
      <w:r w:rsidR="00305CF6">
        <w:rPr>
          <w:rStyle w:val="Appelnotedebasdep"/>
          <w:rFonts w:ascii="Times" w:hAnsi="Times"/>
        </w:rPr>
        <w:footnoteReference w:id="5"/>
      </w:r>
      <w:r w:rsidR="0018275C" w:rsidRPr="00261D22">
        <w:rPr>
          <w:rFonts w:ascii="Times" w:hAnsi="Times"/>
        </w:rPr>
        <w:t xml:space="preserve">. </w:t>
      </w:r>
    </w:p>
    <w:p w14:paraId="63A3D4DB" w14:textId="2C4BCB85" w:rsidR="0043007F" w:rsidRPr="00261D22" w:rsidRDefault="0043007F" w:rsidP="0043007F">
      <w:pPr>
        <w:jc w:val="both"/>
        <w:rPr>
          <w:rFonts w:ascii="Times" w:hAnsi="Times"/>
        </w:rPr>
      </w:pPr>
    </w:p>
    <w:p w14:paraId="1E11CF56" w14:textId="448DBA6F" w:rsidR="0018275C" w:rsidRPr="00261D22" w:rsidRDefault="0018275C" w:rsidP="00305CF6">
      <w:pPr>
        <w:jc w:val="both"/>
        <w:rPr>
          <w:rFonts w:ascii="Times" w:hAnsi="Times"/>
        </w:rPr>
      </w:pPr>
      <w:r w:rsidRPr="00261D22">
        <w:rPr>
          <w:rFonts w:ascii="Times" w:hAnsi="Times"/>
        </w:rPr>
        <w:t>Le troisième chapitre se situe sur un plan plus méthodologique, en comparant les concepts et méthodes du droit et de la littérature et, plus précisément, les questions de l’argumentation</w:t>
      </w:r>
      <w:r w:rsidR="00305CF6">
        <w:rPr>
          <w:rFonts w:ascii="Times" w:hAnsi="Times"/>
        </w:rPr>
        <w:t xml:space="preserve"> et</w:t>
      </w:r>
      <w:r w:rsidRPr="00261D22">
        <w:rPr>
          <w:rFonts w:ascii="Times" w:hAnsi="Times"/>
        </w:rPr>
        <w:t xml:space="preserve"> de l’interprétation et la notion de fiction. Ainsi, pour l’auteur, l’argumentation constitue un socle commun entre droit et littérature plus convaincant que la notion d’empathie : « l</w:t>
      </w:r>
      <w:r w:rsidR="00CC0217">
        <w:rPr>
          <w:rFonts w:ascii="Times" w:hAnsi="Times"/>
        </w:rPr>
        <w:t>’</w:t>
      </w:r>
      <w:r w:rsidRPr="00261D22">
        <w:rPr>
          <w:rFonts w:ascii="Times" w:hAnsi="Times"/>
        </w:rPr>
        <w:t>idée d</w:t>
      </w:r>
      <w:r w:rsidR="00CC0217">
        <w:rPr>
          <w:rFonts w:ascii="Times" w:hAnsi="Times"/>
        </w:rPr>
        <w:t>’</w:t>
      </w:r>
      <w:r w:rsidRPr="00261D22">
        <w:rPr>
          <w:rFonts w:ascii="Times" w:hAnsi="Times"/>
        </w:rPr>
        <w:t>une rationalité argumentative partagée permet de soutenir la thèse d</w:t>
      </w:r>
      <w:r w:rsidR="00CC0217">
        <w:rPr>
          <w:rFonts w:ascii="Times" w:hAnsi="Times"/>
        </w:rPr>
        <w:t>’</w:t>
      </w:r>
      <w:r w:rsidRPr="00261D22">
        <w:rPr>
          <w:rFonts w:ascii="Times" w:hAnsi="Times"/>
        </w:rPr>
        <w:t xml:space="preserve">un dialogue entre droit </w:t>
      </w:r>
      <w:r w:rsidRPr="00261D22">
        <w:rPr>
          <w:rFonts w:ascii="Times" w:hAnsi="Times"/>
        </w:rPr>
        <w:lastRenderedPageBreak/>
        <w:t>et littérature qui prendrait en compte moins l</w:t>
      </w:r>
      <w:r w:rsidR="00CC0217">
        <w:rPr>
          <w:rFonts w:ascii="Times" w:hAnsi="Times"/>
        </w:rPr>
        <w:t>’</w:t>
      </w:r>
      <w:r w:rsidRPr="00261D22">
        <w:rPr>
          <w:rFonts w:ascii="Times" w:hAnsi="Times"/>
        </w:rPr>
        <w:t>histoire racontée que la forme du discours, et qui reconnaîtrait simultanément dans la mise en scène de conceptions opposées du droit en contexte littéraire un dialogue des disciplines » (p. 185). En ce qui concerne l’interprétation, Chr. Baron suggère « sans forcer l'analogie », que « c</w:t>
      </w:r>
      <w:r w:rsidR="00CC0217">
        <w:rPr>
          <w:rFonts w:ascii="Times" w:hAnsi="Times"/>
        </w:rPr>
        <w:t>’</w:t>
      </w:r>
      <w:r w:rsidRPr="00261D22">
        <w:rPr>
          <w:rFonts w:ascii="Times" w:hAnsi="Times"/>
        </w:rPr>
        <w:t xml:space="preserve">est autour des mêmes points que se sont cristallisés les conflits entre plusieurs écoles en littérature et en droit » (p. 206), opposant sur ces points </w:t>
      </w:r>
      <w:r w:rsidR="00305CF6">
        <w:rPr>
          <w:rFonts w:ascii="Times" w:hAnsi="Times"/>
        </w:rPr>
        <w:t>l</w:t>
      </w:r>
      <w:r w:rsidRPr="00261D22">
        <w:rPr>
          <w:rFonts w:ascii="Times" w:hAnsi="Times"/>
        </w:rPr>
        <w:t xml:space="preserve">es traditions positivistes et libérales. Quant à la fiction, </w:t>
      </w:r>
      <w:r w:rsidR="00305CF6">
        <w:rPr>
          <w:rFonts w:ascii="Times" w:hAnsi="Times"/>
        </w:rPr>
        <w:t>l’auteur</w:t>
      </w:r>
      <w:r w:rsidR="004F6410">
        <w:rPr>
          <w:rFonts w:ascii="Times" w:hAnsi="Times"/>
        </w:rPr>
        <w:t>e</w:t>
      </w:r>
      <w:r w:rsidRPr="00261D22">
        <w:rPr>
          <w:rFonts w:ascii="Times" w:hAnsi="Times"/>
        </w:rPr>
        <w:t xml:space="preserve"> insiste surtout sur les différences qui existent entre la fiction littéraire et la fiction juridique</w:t>
      </w:r>
      <w:r w:rsidRPr="00261D22">
        <w:rPr>
          <w:rStyle w:val="Appelnotedebasdep"/>
          <w:rFonts w:ascii="Times" w:hAnsi="Times"/>
        </w:rPr>
        <w:footnoteReference w:id="6"/>
      </w:r>
      <w:r w:rsidRPr="00261D22">
        <w:rPr>
          <w:rFonts w:ascii="Times" w:hAnsi="Times"/>
        </w:rPr>
        <w:t xml:space="preserve">, en termes de fonctionnalité, de nature, </w:t>
      </w:r>
      <w:r w:rsidR="00305CF6">
        <w:rPr>
          <w:rFonts w:ascii="Times" w:hAnsi="Times"/>
        </w:rPr>
        <w:t xml:space="preserve">d’approche </w:t>
      </w:r>
      <w:r w:rsidRPr="00261D22">
        <w:rPr>
          <w:rFonts w:ascii="Times" w:hAnsi="Times"/>
        </w:rPr>
        <w:t>herméneutique ou de résultat, mais également la dimension ludique de l’une et instrumentale de l’autre</w:t>
      </w:r>
      <w:r w:rsidRPr="00261D22">
        <w:rPr>
          <w:rStyle w:val="Appelnotedebasdep"/>
          <w:rFonts w:ascii="Times" w:hAnsi="Times"/>
        </w:rPr>
        <w:footnoteReference w:id="7"/>
      </w:r>
      <w:r w:rsidRPr="00261D22">
        <w:rPr>
          <w:rFonts w:ascii="Times" w:hAnsi="Times"/>
        </w:rPr>
        <w:t>, tout en pointant le fait que « l'identité du procédé et surtout la récurrence du recours aux fictions</w:t>
      </w:r>
      <w:r w:rsidR="00305CF6">
        <w:rPr>
          <w:rFonts w:ascii="Times" w:hAnsi="Times"/>
        </w:rPr>
        <w:t xml:space="preserve"> (…) </w:t>
      </w:r>
      <w:r w:rsidRPr="00261D22">
        <w:rPr>
          <w:rFonts w:ascii="Times" w:hAnsi="Times"/>
        </w:rPr>
        <w:t xml:space="preserve">invite à un parallèle » entre </w:t>
      </w:r>
      <w:r w:rsidR="00305CF6">
        <w:rPr>
          <w:rFonts w:ascii="Times" w:hAnsi="Times"/>
        </w:rPr>
        <w:t>l</w:t>
      </w:r>
      <w:r w:rsidRPr="00261D22">
        <w:rPr>
          <w:rFonts w:ascii="Times" w:hAnsi="Times"/>
        </w:rPr>
        <w:t xml:space="preserve">es pratiques (p. 239). </w:t>
      </w:r>
      <w:r w:rsidR="00305CF6">
        <w:rPr>
          <w:rFonts w:ascii="Times" w:hAnsi="Times"/>
        </w:rPr>
        <w:t xml:space="preserve">Au-delà de leurs différences, il convient donc de prendre acte de </w:t>
      </w:r>
      <w:r w:rsidR="00305CF6" w:rsidRPr="00261D22">
        <w:rPr>
          <w:rFonts w:ascii="Times" w:hAnsi="Times"/>
        </w:rPr>
        <w:t>la « proximité des modalités des discours juridiques et littéraires » (p. 242)</w:t>
      </w:r>
      <w:r w:rsidR="00305CF6">
        <w:rPr>
          <w:rFonts w:ascii="Times" w:hAnsi="Times"/>
        </w:rPr>
        <w:t xml:space="preserve"> et du fait que </w:t>
      </w:r>
      <w:r w:rsidRPr="00261D22">
        <w:rPr>
          <w:rFonts w:ascii="Times" w:hAnsi="Times"/>
        </w:rPr>
        <w:t>la littérature et le droit « comme modes d</w:t>
      </w:r>
      <w:r w:rsidR="00CC0217">
        <w:rPr>
          <w:rFonts w:ascii="Times" w:hAnsi="Times"/>
        </w:rPr>
        <w:t>’</w:t>
      </w:r>
      <w:r w:rsidRPr="00261D22">
        <w:rPr>
          <w:rFonts w:ascii="Times" w:hAnsi="Times"/>
        </w:rPr>
        <w:t xml:space="preserve">énonciation définissent une appartenance à une communauté et à une histoire » et « expérimentent la variété des comportements humains » (p. 241). </w:t>
      </w:r>
    </w:p>
    <w:p w14:paraId="7E10262B" w14:textId="4F46D722" w:rsidR="0018275C" w:rsidRPr="00261D22" w:rsidRDefault="0018275C" w:rsidP="0018275C">
      <w:pPr>
        <w:jc w:val="both"/>
        <w:rPr>
          <w:rFonts w:ascii="Times" w:hAnsi="Times"/>
        </w:rPr>
      </w:pPr>
    </w:p>
    <w:p w14:paraId="557AA7D4" w14:textId="592DE912" w:rsidR="0018275C" w:rsidRPr="00261D22" w:rsidRDefault="0018275C" w:rsidP="00305CF6">
      <w:pPr>
        <w:jc w:val="both"/>
        <w:rPr>
          <w:rFonts w:ascii="Times" w:hAnsi="Times"/>
        </w:rPr>
      </w:pPr>
      <w:r w:rsidRPr="00261D22">
        <w:rPr>
          <w:rFonts w:ascii="Times" w:hAnsi="Times"/>
        </w:rPr>
        <w:t xml:space="preserve">Dans le quatrième et dernier chapitre, c’est la « littérature en procès » qui est </w:t>
      </w:r>
      <w:r w:rsidR="00305CF6">
        <w:rPr>
          <w:rFonts w:ascii="Times" w:hAnsi="Times"/>
        </w:rPr>
        <w:t>analysée</w:t>
      </w:r>
      <w:r w:rsidRPr="00261D22">
        <w:rPr>
          <w:rFonts w:ascii="Times" w:hAnsi="Times"/>
        </w:rPr>
        <w:t>. En effet, comme le relève l’avocat Emmanuel Pierrat, cité par l’auteur</w:t>
      </w:r>
      <w:r w:rsidR="004F6410">
        <w:rPr>
          <w:rFonts w:ascii="Times" w:hAnsi="Times"/>
        </w:rPr>
        <w:t>e</w:t>
      </w:r>
      <w:r w:rsidRPr="00261D22">
        <w:rPr>
          <w:rFonts w:ascii="Times" w:hAnsi="Times"/>
        </w:rPr>
        <w:t xml:space="preserve"> (p. 243), « tous les textes sont des objets de droit », de sorte que les récits </w:t>
      </w:r>
      <w:r w:rsidR="00305CF6">
        <w:rPr>
          <w:rFonts w:ascii="Times" w:hAnsi="Times"/>
        </w:rPr>
        <w:t xml:space="preserve">littéraires </w:t>
      </w:r>
      <w:r w:rsidRPr="00261D22">
        <w:rPr>
          <w:rFonts w:ascii="Times" w:hAnsi="Times"/>
        </w:rPr>
        <w:t>ne peuvent échapper à l’emprise juridique, que ce soit par le biais de la censure ou de la condamnation du plagiat. En ce qui concerne la censure, Mme Baron observe finement que « (d)u procès pour immoralité à celui pour appel à la haine, les motifs progressent ou régressent au fil des sensibilités du temps</w:t>
      </w:r>
      <w:r w:rsidR="00305CF6">
        <w:rPr>
          <w:rFonts w:ascii="Times" w:hAnsi="Times"/>
        </w:rPr>
        <w:t> »</w:t>
      </w:r>
      <w:r w:rsidR="00305CF6" w:rsidRPr="00305CF6">
        <w:rPr>
          <w:rFonts w:ascii="Times" w:hAnsi="Times"/>
        </w:rPr>
        <w:t xml:space="preserve"> </w:t>
      </w:r>
      <w:r w:rsidR="00305CF6" w:rsidRPr="00261D22">
        <w:rPr>
          <w:rFonts w:ascii="Times" w:hAnsi="Times"/>
        </w:rPr>
        <w:t>(p. 249)</w:t>
      </w:r>
      <w:r w:rsidR="00305CF6">
        <w:rPr>
          <w:rFonts w:ascii="Times" w:hAnsi="Times"/>
        </w:rPr>
        <w:t xml:space="preserve">. Ainsi, </w:t>
      </w:r>
      <w:r w:rsidR="00305CF6" w:rsidRPr="00261D22">
        <w:rPr>
          <w:rFonts w:ascii="Times" w:hAnsi="Times"/>
        </w:rPr>
        <w:t>nos sociétés contemporaines se caractérisent par un relatif affaiblissement du motif d’atteinte à la morale publique (sauf pour les questions de pédophilie) et par une attention accrue portée à l’image de soi et à la question de la vie privée</w:t>
      </w:r>
      <w:r w:rsidR="00305CF6">
        <w:rPr>
          <w:rFonts w:ascii="Times" w:hAnsi="Times"/>
        </w:rPr>
        <w:t>, l’auteur</w:t>
      </w:r>
      <w:r w:rsidR="004F6410">
        <w:rPr>
          <w:rFonts w:ascii="Times" w:hAnsi="Times"/>
        </w:rPr>
        <w:t>e</w:t>
      </w:r>
      <w:r w:rsidR="00305CF6">
        <w:rPr>
          <w:rFonts w:ascii="Times" w:hAnsi="Times"/>
        </w:rPr>
        <w:t xml:space="preserve"> soulignant qu’une « « </w:t>
      </w:r>
      <w:r w:rsidRPr="00261D22">
        <w:rPr>
          <w:rFonts w:ascii="Times" w:hAnsi="Times"/>
        </w:rPr>
        <w:t>attention renouvelée de la censure aux écrits montre que nous ne sommes pa</w:t>
      </w:r>
      <w:r w:rsidR="00305CF6">
        <w:rPr>
          <w:rFonts w:ascii="Times" w:hAnsi="Times"/>
        </w:rPr>
        <w:t>s</w:t>
      </w:r>
      <w:r w:rsidRPr="00261D22">
        <w:rPr>
          <w:rFonts w:ascii="Times" w:hAnsi="Times"/>
        </w:rPr>
        <w:t xml:space="preserve"> sur la voie d’un affaiblissement graduel de l’intervention juridique dans le domaine de la création » (p. 249). Quant au plagiat, outre l’atteinte classique au droit d’auteur, Mme Baron pointe le cas particulier du « plagiat psychique » qui consiste à « s’identifier à la souffrance de l’autre et à s’emparer d’une histoire »</w:t>
      </w:r>
      <w:r w:rsidR="00305CF6">
        <w:rPr>
          <w:rFonts w:ascii="Times" w:hAnsi="Times"/>
        </w:rPr>
        <w:t xml:space="preserve">, soit, dans l’affaire évoquée, la question de </w:t>
      </w:r>
      <w:r w:rsidRPr="00261D22">
        <w:rPr>
          <w:rFonts w:ascii="Times" w:hAnsi="Times"/>
        </w:rPr>
        <w:t>la douleur d</w:t>
      </w:r>
      <w:r w:rsidR="00305CF6">
        <w:rPr>
          <w:rFonts w:ascii="Times" w:hAnsi="Times"/>
        </w:rPr>
        <w:t>’une</w:t>
      </w:r>
      <w:r w:rsidRPr="00261D22">
        <w:rPr>
          <w:rFonts w:ascii="Times" w:hAnsi="Times"/>
        </w:rPr>
        <w:t xml:space="preserve"> mère qui a perdu son enfant (p. 279). </w:t>
      </w:r>
    </w:p>
    <w:p w14:paraId="23AA1726" w14:textId="04362BA1" w:rsidR="0018275C" w:rsidRPr="00261D22" w:rsidRDefault="0018275C" w:rsidP="0018275C">
      <w:pPr>
        <w:jc w:val="both"/>
        <w:rPr>
          <w:rFonts w:ascii="Times" w:hAnsi="Times"/>
        </w:rPr>
      </w:pPr>
    </w:p>
    <w:p w14:paraId="2E0EB577" w14:textId="68BA9A9B" w:rsidR="0099776A" w:rsidRPr="00261D22" w:rsidRDefault="0099776A" w:rsidP="0099776A">
      <w:pPr>
        <w:jc w:val="both"/>
        <w:rPr>
          <w:rFonts w:ascii="Times" w:hAnsi="Times"/>
        </w:rPr>
      </w:pPr>
      <w:r w:rsidRPr="00261D22">
        <w:rPr>
          <w:rFonts w:ascii="Times" w:hAnsi="Times"/>
        </w:rPr>
        <w:t>Comme le résume D. Salas : « Tous les livres sont ouverts sur la table de l’auteur</w:t>
      </w:r>
      <w:r w:rsidR="004F6410">
        <w:rPr>
          <w:rFonts w:ascii="Times" w:hAnsi="Times"/>
        </w:rPr>
        <w:t>e</w:t>
      </w:r>
      <w:r w:rsidRPr="00261D22">
        <w:rPr>
          <w:rFonts w:ascii="Times" w:hAnsi="Times"/>
        </w:rPr>
        <w:t xml:space="preserve"> : les poèmes et les tragédies, les romans anciens ou contemporains, avec les gloses souvent immenses qu’ils ont générées, mais aussi les films ou les performances les plus récentes » (p. 7). S’il fallait résumer cet ouvrage d’un adjectif, celui de « foisonnant » vient naturellement à l’esprit : les auteurs les plus divers sont mobilisés, de Sophocle à Juli </w:t>
      </w:r>
      <w:proofErr w:type="spellStart"/>
      <w:r w:rsidRPr="00261D22">
        <w:rPr>
          <w:rFonts w:ascii="Times" w:hAnsi="Times"/>
        </w:rPr>
        <w:t>Zeh</w:t>
      </w:r>
      <w:proofErr w:type="spellEnd"/>
      <w:r w:rsidRPr="00261D22">
        <w:rPr>
          <w:rFonts w:ascii="Times" w:hAnsi="Times"/>
        </w:rPr>
        <w:t xml:space="preserve">, en passant par Franz Kafka, Truman Capote ou John </w:t>
      </w:r>
      <w:proofErr w:type="spellStart"/>
      <w:r w:rsidRPr="00261D22">
        <w:rPr>
          <w:rFonts w:ascii="Times" w:hAnsi="Times"/>
        </w:rPr>
        <w:t>Grisham</w:t>
      </w:r>
      <w:proofErr w:type="spellEnd"/>
      <w:r w:rsidRPr="00261D22">
        <w:rPr>
          <w:rFonts w:ascii="Times" w:hAnsi="Times"/>
        </w:rPr>
        <w:t xml:space="preserve">. Cette richesse </w:t>
      </w:r>
      <w:r w:rsidR="00305CF6">
        <w:rPr>
          <w:rFonts w:ascii="Times" w:hAnsi="Times"/>
        </w:rPr>
        <w:t>dans l’illustration</w:t>
      </w:r>
      <w:r w:rsidRPr="00261D22">
        <w:rPr>
          <w:rFonts w:ascii="Times" w:hAnsi="Times"/>
        </w:rPr>
        <w:t xml:space="preserve"> présente </w:t>
      </w:r>
      <w:r w:rsidR="00305CF6">
        <w:rPr>
          <w:rFonts w:ascii="Times" w:hAnsi="Times"/>
        </w:rPr>
        <w:t>cependant</w:t>
      </w:r>
      <w:r w:rsidRPr="00261D22">
        <w:rPr>
          <w:rFonts w:ascii="Times" w:hAnsi="Times"/>
        </w:rPr>
        <w:t xml:space="preserve"> le désavantage de perdre </w:t>
      </w:r>
      <w:r w:rsidR="00305CF6">
        <w:rPr>
          <w:rFonts w:ascii="Times" w:hAnsi="Times"/>
        </w:rPr>
        <w:t>parfois</w:t>
      </w:r>
      <w:r w:rsidRPr="00261D22">
        <w:rPr>
          <w:rFonts w:ascii="Times" w:hAnsi="Times"/>
        </w:rPr>
        <w:t xml:space="preserve"> le lecteur </w:t>
      </w:r>
      <w:r w:rsidR="00305CF6">
        <w:rPr>
          <w:rFonts w:ascii="Times" w:hAnsi="Times"/>
        </w:rPr>
        <w:t>au niveau de</w:t>
      </w:r>
      <w:r w:rsidRPr="00261D22">
        <w:rPr>
          <w:rFonts w:ascii="Times" w:hAnsi="Times"/>
        </w:rPr>
        <w:t xml:space="preserve"> l’enchaînement des idées. Le fait que le </w:t>
      </w:r>
      <w:r w:rsidRPr="00261D22">
        <w:rPr>
          <w:rFonts w:ascii="Times" w:hAnsi="Times"/>
        </w:rPr>
        <w:lastRenderedPageBreak/>
        <w:t xml:space="preserve">livre ait les défauts de ses qualités se révèle </w:t>
      </w:r>
      <w:r w:rsidR="001962E9">
        <w:rPr>
          <w:rFonts w:ascii="Times" w:hAnsi="Times"/>
        </w:rPr>
        <w:t>par ailleurs</w:t>
      </w:r>
      <w:r w:rsidRPr="00261D22">
        <w:rPr>
          <w:rFonts w:ascii="Times" w:hAnsi="Times"/>
        </w:rPr>
        <w:t xml:space="preserve"> dans quelques imprécisions</w:t>
      </w:r>
      <w:r w:rsidRPr="00261D22">
        <w:rPr>
          <w:rStyle w:val="Appelnotedebasdep"/>
          <w:rFonts w:ascii="Times" w:hAnsi="Times"/>
        </w:rPr>
        <w:footnoteReference w:id="8"/>
      </w:r>
      <w:r w:rsidRPr="00261D22">
        <w:rPr>
          <w:rFonts w:ascii="Times" w:hAnsi="Times"/>
        </w:rPr>
        <w:t>, généralisations quelque peu hâtives</w:t>
      </w:r>
      <w:r w:rsidRPr="00261D22">
        <w:rPr>
          <w:rStyle w:val="Appelnotedebasdep"/>
          <w:rFonts w:ascii="Times" w:hAnsi="Times"/>
        </w:rPr>
        <w:footnoteReference w:id="9"/>
      </w:r>
      <w:r w:rsidRPr="00261D22">
        <w:rPr>
          <w:rFonts w:ascii="Times" w:hAnsi="Times"/>
        </w:rPr>
        <w:t xml:space="preserve"> voire des inexactitudes. </w:t>
      </w:r>
    </w:p>
    <w:p w14:paraId="5CDCF1AA" w14:textId="01144D17" w:rsidR="0099776A" w:rsidRPr="00261D22" w:rsidRDefault="0099776A" w:rsidP="0099776A">
      <w:pPr>
        <w:jc w:val="both"/>
        <w:rPr>
          <w:rFonts w:ascii="Times" w:hAnsi="Times"/>
        </w:rPr>
      </w:pPr>
    </w:p>
    <w:p w14:paraId="53E3AE06" w14:textId="463AB60C" w:rsidR="00261D22" w:rsidRPr="00261D22" w:rsidRDefault="0099776A" w:rsidP="004F6410">
      <w:pPr>
        <w:jc w:val="both"/>
        <w:rPr>
          <w:rFonts w:ascii="Times" w:hAnsi="Times"/>
        </w:rPr>
      </w:pPr>
      <w:r w:rsidRPr="00261D22">
        <w:rPr>
          <w:rFonts w:ascii="Times" w:hAnsi="Times"/>
        </w:rPr>
        <w:t>Ainsi, l’auteur</w:t>
      </w:r>
      <w:r w:rsidR="004F6410">
        <w:rPr>
          <w:rFonts w:ascii="Times" w:hAnsi="Times"/>
        </w:rPr>
        <w:t>e</w:t>
      </w:r>
      <w:r w:rsidRPr="00261D22">
        <w:rPr>
          <w:rFonts w:ascii="Times" w:hAnsi="Times"/>
        </w:rPr>
        <w:t xml:space="preserve"> fait référence à plusieurs reprises à la « loi » américaine sur l’avortement intitulée « Roe v. Wade » (pp. 64, 199, 200 et 202). Or, le problème en droit américain est, précisément, qu’il n’existe pas de loi fédérale autorisant l’avortement : </w:t>
      </w:r>
      <w:r w:rsidRPr="001962E9">
        <w:rPr>
          <w:rFonts w:ascii="Times" w:hAnsi="Times"/>
          <w:i/>
          <w:iCs/>
        </w:rPr>
        <w:t>Roe v. Wade</w:t>
      </w:r>
      <w:r w:rsidRPr="00261D22">
        <w:rPr>
          <w:rFonts w:ascii="Times" w:hAnsi="Times"/>
        </w:rPr>
        <w:t xml:space="preserve"> est une décision prononcée en 1973 par la Cour suprême</w:t>
      </w:r>
      <w:r w:rsidRPr="00261D22">
        <w:rPr>
          <w:rStyle w:val="Appelnotedebasdep"/>
          <w:rFonts w:ascii="Times" w:hAnsi="Times"/>
        </w:rPr>
        <w:footnoteReference w:id="10"/>
      </w:r>
      <w:r w:rsidRPr="00261D22">
        <w:rPr>
          <w:rFonts w:ascii="Times" w:hAnsi="Times"/>
        </w:rPr>
        <w:t xml:space="preserve"> qui a profondément et durablement marqué la vie politique américaine</w:t>
      </w:r>
      <w:r w:rsidR="001962E9">
        <w:rPr>
          <w:rFonts w:ascii="Times" w:hAnsi="Times"/>
        </w:rPr>
        <w:t xml:space="preserve"> et, surtout, les auditions au Sénat des candidats à la cour suprême, invités à indiquer s’ils avaient l’intention de confirmer ou de s’écarter de cette jurisprudence</w:t>
      </w:r>
      <w:r w:rsidRPr="00261D22">
        <w:rPr>
          <w:rStyle w:val="Appelnotedebasdep"/>
          <w:rFonts w:ascii="Times" w:hAnsi="Times"/>
        </w:rPr>
        <w:footnoteReference w:id="11"/>
      </w:r>
      <w:r w:rsidRPr="00261D22">
        <w:rPr>
          <w:rFonts w:ascii="Times" w:hAnsi="Times"/>
        </w:rPr>
        <w:t xml:space="preserve">. Il paraît par ailleurs difficile, sans tomber dans le cynisme le plus radical, de </w:t>
      </w:r>
      <w:r w:rsidR="00FD527C">
        <w:rPr>
          <w:rFonts w:ascii="Times" w:hAnsi="Times"/>
        </w:rPr>
        <w:t>rejoindre l’auteur lorsqu’elle se demande si ce « </w:t>
      </w:r>
      <w:r w:rsidR="0018275C" w:rsidRPr="00261D22">
        <w:rPr>
          <w:rFonts w:ascii="Times" w:hAnsi="Times"/>
        </w:rPr>
        <w:t xml:space="preserve">n'est-ce pas le jeu de toute cour de justice, pour le procureur, d’exagérer la culpabilité, pour l'avocat, de la minorer, dans une joute oratoire dont l'enjeu est de faire surgir une position médiane mais surtout de faire </w:t>
      </w:r>
      <w:r w:rsidR="0018275C" w:rsidRPr="00261D22">
        <w:rPr>
          <w:rFonts w:ascii="Times" w:hAnsi="Times"/>
          <w:i/>
          <w:iCs/>
        </w:rPr>
        <w:t>pencher la balance du côté du plus fort</w:t>
      </w:r>
      <w:r w:rsidR="0018275C" w:rsidRPr="00261D22">
        <w:rPr>
          <w:rFonts w:ascii="Times" w:hAnsi="Times"/>
        </w:rPr>
        <w:t xml:space="preserve"> ? » </w:t>
      </w:r>
      <w:r w:rsidRPr="00261D22">
        <w:rPr>
          <w:rFonts w:ascii="Times" w:hAnsi="Times"/>
        </w:rPr>
        <w:t>(</w:t>
      </w:r>
      <w:proofErr w:type="gramStart"/>
      <w:r w:rsidRPr="00261D22">
        <w:rPr>
          <w:rFonts w:ascii="Times" w:hAnsi="Times"/>
        </w:rPr>
        <w:t>p.</w:t>
      </w:r>
      <w:proofErr w:type="gramEnd"/>
      <w:r w:rsidRPr="00261D22">
        <w:rPr>
          <w:rFonts w:ascii="Times" w:hAnsi="Times"/>
        </w:rPr>
        <w:t xml:space="preserve"> 198, nous soulignons). </w:t>
      </w:r>
      <w:r w:rsidR="00305CF6">
        <w:rPr>
          <w:rFonts w:ascii="Times" w:hAnsi="Times"/>
        </w:rPr>
        <w:t xml:space="preserve">N’est-ce pas précisément l’objectif de la justice d’empêcher que la balance penche du côté du plus fort ? </w:t>
      </w:r>
      <w:r w:rsidRPr="00261D22">
        <w:rPr>
          <w:rFonts w:ascii="Times" w:hAnsi="Times"/>
        </w:rPr>
        <w:t xml:space="preserve">Enfin, il est </w:t>
      </w:r>
      <w:r w:rsidR="004F6410">
        <w:rPr>
          <w:rFonts w:ascii="Times" w:hAnsi="Times"/>
        </w:rPr>
        <w:t xml:space="preserve">un peu simpliste d’affirmer que </w:t>
      </w:r>
      <w:r w:rsidR="004F6410" w:rsidRPr="004F6410">
        <w:rPr>
          <w:rFonts w:ascii="Times" w:hAnsi="Times"/>
        </w:rPr>
        <w:t xml:space="preserve">le positivisme </w:t>
      </w:r>
      <w:r w:rsidR="004F6410">
        <w:rPr>
          <w:rFonts w:ascii="Times" w:hAnsi="Times"/>
        </w:rPr>
        <w:t>juridique se définit par l’idée que le texte de loi se suffit à lui-même « </w:t>
      </w:r>
      <w:r w:rsidR="004F6410" w:rsidRPr="004F6410">
        <w:rPr>
          <w:rFonts w:ascii="Times" w:hAnsi="Times"/>
        </w:rPr>
        <w:t>toute interprétation contribuant à une dénaturation de la loi »</w:t>
      </w:r>
      <w:r w:rsidR="004F6410">
        <w:rPr>
          <w:rFonts w:ascii="Times" w:hAnsi="Times"/>
        </w:rPr>
        <w:t xml:space="preserve"> (p. 210)</w:t>
      </w:r>
      <w:r w:rsidR="00261D22" w:rsidRPr="00261D22">
        <w:rPr>
          <w:rStyle w:val="Appelnotedebasdep"/>
          <w:rFonts w:ascii="Times" w:hAnsi="Times"/>
        </w:rPr>
        <w:footnoteReference w:id="12"/>
      </w:r>
      <w:r w:rsidRPr="00261D22">
        <w:rPr>
          <w:rFonts w:ascii="Times" w:hAnsi="Times"/>
        </w:rPr>
        <w:t xml:space="preserve"> alors qu</w:t>
      </w:r>
      <w:r w:rsidR="00261D22" w:rsidRPr="00261D22">
        <w:rPr>
          <w:rFonts w:ascii="Times" w:hAnsi="Times"/>
        </w:rPr>
        <w:t>e le juriste d’origine autrichienne</w:t>
      </w:r>
      <w:r w:rsidRPr="00261D22">
        <w:rPr>
          <w:rFonts w:ascii="Times" w:hAnsi="Times"/>
        </w:rPr>
        <w:t xml:space="preserve"> </w:t>
      </w:r>
      <w:r w:rsidR="001962E9">
        <w:rPr>
          <w:rFonts w:ascii="Times" w:hAnsi="Times"/>
        </w:rPr>
        <w:t>était bien</w:t>
      </w:r>
      <w:r w:rsidRPr="00261D22">
        <w:rPr>
          <w:rFonts w:ascii="Times" w:hAnsi="Times"/>
        </w:rPr>
        <w:t xml:space="preserve"> conscient que toute application d’une norme appelle une interprétation</w:t>
      </w:r>
      <w:r w:rsidR="00305CF6">
        <w:rPr>
          <w:rFonts w:ascii="Times" w:hAnsi="Times"/>
        </w:rPr>
        <w:t xml:space="preserve">, au point de conclure la </w:t>
      </w:r>
      <w:r w:rsidR="00305CF6" w:rsidRPr="00305CF6">
        <w:rPr>
          <w:rFonts w:ascii="Times" w:hAnsi="Times"/>
          <w:i/>
          <w:iCs/>
        </w:rPr>
        <w:t>Théorie pure du droit</w:t>
      </w:r>
      <w:r w:rsidR="00305CF6">
        <w:rPr>
          <w:rFonts w:ascii="Times" w:hAnsi="Times"/>
        </w:rPr>
        <w:t xml:space="preserve"> par l’appel de ses vœux à </w:t>
      </w:r>
      <w:r w:rsidRPr="00261D22">
        <w:rPr>
          <w:rFonts w:ascii="Times" w:hAnsi="Times"/>
        </w:rPr>
        <w:t>une conception scientifique de l’interprétation pren</w:t>
      </w:r>
      <w:r w:rsidR="00305CF6">
        <w:rPr>
          <w:rFonts w:ascii="Times" w:hAnsi="Times"/>
        </w:rPr>
        <w:t>ant</w:t>
      </w:r>
      <w:r w:rsidRPr="00261D22">
        <w:rPr>
          <w:rFonts w:ascii="Times" w:hAnsi="Times"/>
        </w:rPr>
        <w:t xml:space="preserve"> en considération l’inévitable ambiguïté normative</w:t>
      </w:r>
      <w:r w:rsidRPr="00261D22">
        <w:rPr>
          <w:rStyle w:val="Appelnotedebasdep"/>
          <w:rFonts w:ascii="Times" w:hAnsi="Times"/>
        </w:rPr>
        <w:footnoteReference w:id="13"/>
      </w:r>
      <w:r w:rsidRPr="00261D22">
        <w:rPr>
          <w:rFonts w:ascii="Times" w:hAnsi="Times"/>
        </w:rPr>
        <w:t xml:space="preserve">. De même, il </w:t>
      </w:r>
      <w:r w:rsidR="00305CF6">
        <w:rPr>
          <w:rFonts w:ascii="Times" w:hAnsi="Times"/>
        </w:rPr>
        <w:t>semble</w:t>
      </w:r>
      <w:r w:rsidRPr="00261D22">
        <w:rPr>
          <w:rFonts w:ascii="Times" w:hAnsi="Times"/>
        </w:rPr>
        <w:t xml:space="preserve"> à tout le moins exagéré d’affirmer que </w:t>
      </w:r>
      <w:r w:rsidR="00261D22" w:rsidRPr="00261D22">
        <w:rPr>
          <w:rFonts w:ascii="Times" w:hAnsi="Times"/>
        </w:rPr>
        <w:t xml:space="preserve">les positivistes juridiques sont « en toute logique </w:t>
      </w:r>
      <w:r w:rsidRPr="00261D22">
        <w:rPr>
          <w:rFonts w:ascii="Times" w:hAnsi="Times"/>
        </w:rPr>
        <w:t>(…)</w:t>
      </w:r>
      <w:r w:rsidR="00261D22" w:rsidRPr="00261D22">
        <w:rPr>
          <w:rFonts w:ascii="Times" w:hAnsi="Times"/>
        </w:rPr>
        <w:t xml:space="preserve"> </w:t>
      </w:r>
      <w:r w:rsidRPr="00261D22">
        <w:rPr>
          <w:rFonts w:ascii="Times" w:hAnsi="Times"/>
        </w:rPr>
        <w:t xml:space="preserve">particulièrement hostiles » </w:t>
      </w:r>
      <w:r w:rsidR="00261D22" w:rsidRPr="00261D22">
        <w:rPr>
          <w:rFonts w:ascii="Times" w:hAnsi="Times"/>
        </w:rPr>
        <w:t>aux fictions</w:t>
      </w:r>
      <w:r w:rsidR="00305CF6">
        <w:rPr>
          <w:rFonts w:ascii="Times" w:hAnsi="Times"/>
        </w:rPr>
        <w:t xml:space="preserve"> (p. 235)</w:t>
      </w:r>
      <w:r w:rsidR="00261D22" w:rsidRPr="00261D22">
        <w:rPr>
          <w:rFonts w:ascii="Times" w:hAnsi="Times"/>
        </w:rPr>
        <w:t xml:space="preserve">. Le même Kelsen consacre </w:t>
      </w:r>
      <w:r w:rsidR="00305CF6">
        <w:rPr>
          <w:rFonts w:ascii="Times" w:hAnsi="Times"/>
        </w:rPr>
        <w:t xml:space="preserve">ainsi </w:t>
      </w:r>
      <w:r w:rsidR="00261D22" w:rsidRPr="00261D22">
        <w:rPr>
          <w:rFonts w:ascii="Times" w:hAnsi="Times"/>
        </w:rPr>
        <w:t xml:space="preserve">plusieurs pages à la fiction qui consiste à considérer qu’il existe des lacunes en droit ou à celle qui permet la représentation, sans faire preuve d’une hostilité particulière par rapport à </w:t>
      </w:r>
      <w:r w:rsidR="001962E9">
        <w:rPr>
          <w:rFonts w:ascii="Times" w:hAnsi="Times"/>
        </w:rPr>
        <w:t>ce concept</w:t>
      </w:r>
      <w:r w:rsidR="00261D22" w:rsidRPr="00261D22">
        <w:rPr>
          <w:rStyle w:val="Appelnotedebasdep"/>
          <w:rFonts w:ascii="Times" w:hAnsi="Times"/>
        </w:rPr>
        <w:footnoteReference w:id="14"/>
      </w:r>
      <w:r w:rsidR="00261D22" w:rsidRPr="00261D22">
        <w:rPr>
          <w:rFonts w:ascii="Times" w:hAnsi="Times"/>
        </w:rPr>
        <w:t xml:space="preserve">. </w:t>
      </w:r>
    </w:p>
    <w:p w14:paraId="4E4666C2" w14:textId="77777777" w:rsidR="0099776A" w:rsidRPr="00261D22" w:rsidRDefault="0099776A" w:rsidP="0099776A">
      <w:pPr>
        <w:jc w:val="both"/>
        <w:rPr>
          <w:rFonts w:ascii="Times" w:hAnsi="Times"/>
        </w:rPr>
      </w:pPr>
    </w:p>
    <w:p w14:paraId="1651C9B3" w14:textId="17DBD9F3" w:rsidR="0043007F" w:rsidRPr="001962E9" w:rsidRDefault="00FD527C" w:rsidP="0043007F">
      <w:pPr>
        <w:jc w:val="both"/>
        <w:rPr>
          <w:rFonts w:ascii="Times" w:hAnsi="Times"/>
        </w:rPr>
      </w:pPr>
      <w:r>
        <w:rPr>
          <w:rFonts w:ascii="Times" w:hAnsi="Times"/>
        </w:rPr>
        <w:t xml:space="preserve">Ces quelques bémols ne devraient cependant pas bouder le plaisir des juristes qui s’intéressent à la littérature, ou des amateurs de littérature qui veulent en savoir plus sur les liens que celle-ci tisse avec le droit. </w:t>
      </w:r>
      <w:r w:rsidR="00304B86">
        <w:rPr>
          <w:rFonts w:ascii="Times" w:hAnsi="Times"/>
        </w:rPr>
        <w:t>Quant à ceux qui sont déjà familiarisés avec le courant « droit et littérature », ils trouveront dans cet ouvrage une profusion de références précieuses, outre quelques belles réflexions sur le suje</w:t>
      </w:r>
      <w:r w:rsidR="00305CF6">
        <w:rPr>
          <w:rFonts w:ascii="Times" w:hAnsi="Times"/>
        </w:rPr>
        <w:t xml:space="preserve">t, </w:t>
      </w:r>
      <w:r w:rsidR="00304B86">
        <w:rPr>
          <w:rFonts w:ascii="Times" w:hAnsi="Times"/>
        </w:rPr>
        <w:t>et notamment sur les présupposés de la tradition américaine</w:t>
      </w:r>
      <w:r w:rsidR="00305CF6">
        <w:rPr>
          <w:rFonts w:ascii="Times" w:hAnsi="Times"/>
        </w:rPr>
        <w:t xml:space="preserve"> associée aux réflexions de Martha Nussbaum</w:t>
      </w:r>
      <w:r w:rsidR="00304B86">
        <w:rPr>
          <w:rFonts w:ascii="Times" w:hAnsi="Times"/>
        </w:rPr>
        <w:t xml:space="preserve">. </w:t>
      </w:r>
    </w:p>
    <w:sectPr w:rsidR="0043007F" w:rsidRPr="001962E9" w:rsidSect="00A241F9">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0E59E" w14:textId="77777777" w:rsidR="004B190C" w:rsidRDefault="004B190C" w:rsidP="00B557AB">
      <w:r>
        <w:separator/>
      </w:r>
    </w:p>
  </w:endnote>
  <w:endnote w:type="continuationSeparator" w:id="0">
    <w:p w14:paraId="39F5C3B1" w14:textId="77777777" w:rsidR="004B190C" w:rsidRDefault="004B190C" w:rsidP="00B5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auto"/>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80951057"/>
      <w:docPartObj>
        <w:docPartGallery w:val="Page Numbers (Bottom of Page)"/>
        <w:docPartUnique/>
      </w:docPartObj>
    </w:sdtPr>
    <w:sdtContent>
      <w:p w14:paraId="3DFB4C36" w14:textId="73690D7C" w:rsidR="00B557AB" w:rsidRDefault="00B557AB" w:rsidP="008875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A5585CF" w14:textId="77777777" w:rsidR="00B557AB" w:rsidRDefault="00B557AB" w:rsidP="00B557A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70312969"/>
      <w:docPartObj>
        <w:docPartGallery w:val="Page Numbers (Bottom of Page)"/>
        <w:docPartUnique/>
      </w:docPartObj>
    </w:sdtPr>
    <w:sdtContent>
      <w:p w14:paraId="5D06F9E9" w14:textId="05149BB7" w:rsidR="00B557AB" w:rsidRDefault="00B557AB" w:rsidP="008875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1546081" w14:textId="77777777" w:rsidR="00B557AB" w:rsidRDefault="00B557AB" w:rsidP="00B557A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D8F2C" w14:textId="77777777" w:rsidR="004B190C" w:rsidRDefault="004B190C" w:rsidP="00B557AB">
      <w:r>
        <w:separator/>
      </w:r>
    </w:p>
  </w:footnote>
  <w:footnote w:type="continuationSeparator" w:id="0">
    <w:p w14:paraId="05A1726D" w14:textId="77777777" w:rsidR="004B190C" w:rsidRDefault="004B190C" w:rsidP="00B557AB">
      <w:r>
        <w:continuationSeparator/>
      </w:r>
    </w:p>
  </w:footnote>
  <w:footnote w:id="1">
    <w:p w14:paraId="014F6A87" w14:textId="5E4C8D66" w:rsidR="0043007F" w:rsidRPr="007450D6" w:rsidRDefault="0043007F" w:rsidP="00304B8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L’auteur relève que tout effort de typologie des récits littéraires centrés sur le droit s’expose à la difficulté de rendre compte des variations infinies qu’offrent ces récits, au point de décourager tout espoir de classement, mais a le mérite de mettre en relief la différence entre représentation et problématisation du droit (pp. 62-65). </w:t>
      </w:r>
    </w:p>
    <w:p w14:paraId="61672001" w14:textId="5EB6679A" w:rsidR="0043007F" w:rsidRPr="007450D6" w:rsidRDefault="0043007F" w:rsidP="00304B86">
      <w:pPr>
        <w:pStyle w:val="Notedebasdepage"/>
        <w:jc w:val="both"/>
        <w:rPr>
          <w:rFonts w:ascii="Times" w:hAnsi="Times"/>
        </w:rPr>
      </w:pPr>
    </w:p>
  </w:footnote>
  <w:footnote w:id="2">
    <w:p w14:paraId="447FB233" w14:textId="661B2128" w:rsidR="007D53B4" w:rsidRPr="007450D6" w:rsidRDefault="007D53B4" w:rsidP="00304B86">
      <w:pPr>
        <w:pStyle w:val="Notedebasdepage"/>
        <w:jc w:val="both"/>
        <w:rPr>
          <w:rFonts w:ascii="Times" w:hAnsi="Times"/>
          <w:lang w:val="fr-BE"/>
        </w:rPr>
      </w:pPr>
      <w:r w:rsidRPr="007450D6">
        <w:rPr>
          <w:rStyle w:val="Appelnotedebasdep"/>
          <w:rFonts w:ascii="Times" w:hAnsi="Times"/>
        </w:rPr>
        <w:footnoteRef/>
      </w:r>
      <w:r w:rsidRPr="007450D6">
        <w:rPr>
          <w:rFonts w:ascii="Times" w:hAnsi="Times"/>
        </w:rPr>
        <w:t xml:space="preserve"> </w:t>
      </w:r>
      <w:r w:rsidRPr="007450D6">
        <w:rPr>
          <w:rFonts w:ascii="Times" w:hAnsi="Times"/>
          <w:lang w:val="fr-BE"/>
        </w:rPr>
        <w:t>P. 136 :</w:t>
      </w:r>
      <w:r w:rsidRPr="007450D6">
        <w:rPr>
          <w:rFonts w:ascii="Times" w:hAnsi="Times"/>
        </w:rPr>
        <w:t xml:space="preserve"> « Le texte littéraire n’est qu’une médiation et ne préjuge pas du type de jugement moral qui sera élaboré (ou non) à partir de lui ».</w:t>
      </w:r>
    </w:p>
  </w:footnote>
  <w:footnote w:id="3">
    <w:p w14:paraId="3F601495" w14:textId="1EDDE064" w:rsidR="0099776A" w:rsidRPr="007450D6" w:rsidRDefault="0099776A" w:rsidP="00305CF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D. Salas relève à juste titre que la comparaison entre les traditions américaine (où la démarche littéraire s’oppose au raisonnement économique) et </w:t>
      </w:r>
      <w:r w:rsidR="00305CF6">
        <w:rPr>
          <w:rFonts w:ascii="Times" w:hAnsi="Times"/>
          <w:sz w:val="20"/>
          <w:szCs w:val="20"/>
        </w:rPr>
        <w:t xml:space="preserve">européenne, à tout le moins </w:t>
      </w:r>
      <w:r w:rsidRPr="007450D6">
        <w:rPr>
          <w:rFonts w:ascii="Times" w:hAnsi="Times"/>
          <w:sz w:val="20"/>
          <w:szCs w:val="20"/>
        </w:rPr>
        <w:t>française (où la littérature s’est construite contre le droit et la justice) constitue un apport essentiel de cet ouvrage (préface, p. 8).</w:t>
      </w:r>
      <w:r w:rsidR="00305CF6" w:rsidRPr="00305CF6">
        <w:rPr>
          <w:rFonts w:ascii="Times" w:hAnsi="Times"/>
          <w:sz w:val="20"/>
          <w:szCs w:val="20"/>
        </w:rPr>
        <w:t xml:space="preserve"> </w:t>
      </w:r>
      <w:r w:rsidR="00305CF6">
        <w:rPr>
          <w:rFonts w:ascii="Times" w:hAnsi="Times"/>
          <w:sz w:val="20"/>
          <w:szCs w:val="20"/>
        </w:rPr>
        <w:t>On relèvera toutefois que l</w:t>
      </w:r>
      <w:r w:rsidR="00305CF6" w:rsidRPr="00305CF6">
        <w:rPr>
          <w:rFonts w:ascii="Times" w:hAnsi="Times"/>
          <w:sz w:val="20"/>
          <w:szCs w:val="20"/>
        </w:rPr>
        <w:t>es références sont essentiellement françaises et, dans une moindre mesure, belges et allemandes.</w:t>
      </w:r>
    </w:p>
  </w:footnote>
  <w:footnote w:id="4">
    <w:p w14:paraId="1D3349BF" w14:textId="7606E2E5" w:rsidR="00F20D93" w:rsidRPr="007450D6" w:rsidRDefault="00F20D93" w:rsidP="00304B86">
      <w:pPr>
        <w:pStyle w:val="Notedebasdepage"/>
        <w:jc w:val="both"/>
        <w:rPr>
          <w:rFonts w:ascii="Times" w:hAnsi="Times"/>
          <w:lang w:val="fr-BE"/>
        </w:rPr>
      </w:pPr>
      <w:r w:rsidRPr="007450D6">
        <w:rPr>
          <w:rStyle w:val="Appelnotedebasdep"/>
          <w:rFonts w:ascii="Times" w:hAnsi="Times"/>
        </w:rPr>
        <w:footnoteRef/>
      </w:r>
      <w:r w:rsidRPr="007450D6">
        <w:rPr>
          <w:rFonts w:ascii="Times" w:hAnsi="Times"/>
        </w:rPr>
        <w:t xml:space="preserve"> </w:t>
      </w:r>
      <w:r w:rsidRPr="007450D6">
        <w:rPr>
          <w:rFonts w:ascii="Times" w:hAnsi="Times"/>
          <w:lang w:val="fr-BE"/>
        </w:rPr>
        <w:t xml:space="preserve">On rappellera que la tradition continentale européenne est animée, dans les régimes de </w:t>
      </w:r>
      <w:r w:rsidRPr="007450D6">
        <w:rPr>
          <w:rFonts w:ascii="Times" w:hAnsi="Times"/>
          <w:i/>
          <w:iCs/>
          <w:lang w:val="fr-BE"/>
        </w:rPr>
        <w:t xml:space="preserve">civil </w:t>
      </w:r>
      <w:proofErr w:type="spellStart"/>
      <w:r w:rsidRPr="007450D6">
        <w:rPr>
          <w:rFonts w:ascii="Times" w:hAnsi="Times"/>
          <w:i/>
          <w:iCs/>
          <w:lang w:val="fr-BE"/>
        </w:rPr>
        <w:t>law</w:t>
      </w:r>
      <w:proofErr w:type="spellEnd"/>
      <w:r w:rsidRPr="007450D6">
        <w:rPr>
          <w:rFonts w:ascii="Times" w:hAnsi="Times"/>
          <w:lang w:val="fr-BE"/>
        </w:rPr>
        <w:t xml:space="preserve">, par la crainte de la subjectivité des juges, exprimée par le juge « bouche de la loi » de Montesquieu et la défense du syllogisme judiciaire de Beccaria. </w:t>
      </w:r>
    </w:p>
  </w:footnote>
  <w:footnote w:id="5">
    <w:p w14:paraId="540CB996" w14:textId="753729B2" w:rsidR="00305CF6" w:rsidRPr="00305CF6" w:rsidRDefault="00305CF6" w:rsidP="00305CF6">
      <w:pPr>
        <w:pStyle w:val="Notedebasdepage"/>
        <w:jc w:val="both"/>
        <w:rPr>
          <w:lang w:val="fr-BE"/>
        </w:rPr>
      </w:pPr>
      <w:r>
        <w:rPr>
          <w:rStyle w:val="Appelnotedebasdep"/>
        </w:rPr>
        <w:footnoteRef/>
      </w:r>
      <w:r>
        <w:t xml:space="preserve"> </w:t>
      </w:r>
      <w:r w:rsidRPr="00261D22">
        <w:rPr>
          <w:rFonts w:ascii="Times" w:hAnsi="Times"/>
        </w:rPr>
        <w:t xml:space="preserve">L’auteur relève toutefois l’émergence de « nouvelles figures de juges » soucieux de réparer les injustices comme dans le roman d’Emmanuel Carrère, </w:t>
      </w:r>
      <w:r w:rsidRPr="00261D22">
        <w:rPr>
          <w:rFonts w:ascii="Times" w:hAnsi="Times"/>
          <w:i/>
          <w:iCs/>
        </w:rPr>
        <w:t>D’autres vies que la mienne</w:t>
      </w:r>
      <w:r w:rsidRPr="00261D22">
        <w:rPr>
          <w:rFonts w:ascii="Times" w:hAnsi="Times"/>
        </w:rPr>
        <w:t xml:space="preserve"> (pp. 174-175).</w:t>
      </w:r>
    </w:p>
  </w:footnote>
  <w:footnote w:id="6">
    <w:p w14:paraId="4B2E14E8" w14:textId="5414D155" w:rsidR="0018275C" w:rsidRPr="007450D6" w:rsidRDefault="0018275C" w:rsidP="00304B86">
      <w:pPr>
        <w:pStyle w:val="Notedebasdepage"/>
        <w:jc w:val="both"/>
        <w:rPr>
          <w:rFonts w:ascii="Times" w:hAnsi="Times"/>
        </w:rPr>
      </w:pPr>
      <w:r w:rsidRPr="007450D6">
        <w:rPr>
          <w:rStyle w:val="Appelnotedebasdep"/>
          <w:rFonts w:ascii="Times" w:hAnsi="Times"/>
        </w:rPr>
        <w:footnoteRef/>
      </w:r>
      <w:r w:rsidRPr="007450D6">
        <w:rPr>
          <w:rFonts w:ascii="Times" w:hAnsi="Times"/>
        </w:rPr>
        <w:t xml:space="preserve"> Elle distingue quatre types de fiction juridique : principielles, institutionnelles, identitaires et situationnelles (p. 234)</w:t>
      </w:r>
      <w:r w:rsidR="00FD527C" w:rsidRPr="007450D6">
        <w:rPr>
          <w:rFonts w:ascii="Times" w:hAnsi="Times"/>
        </w:rPr>
        <w:t xml:space="preserve">. Leur explication suscite cependant quelques interrogations. Ainsi les fictions principielles renverraient à la liberté ou l’égalité, « ce que Kelsen appelle ‘les normes fondamentales’ » alors que les fictions institutionnelles visent la justice ou la loi, décrites comme étant « analogues à des sujets de droit » dès lors qu’on « peut leur porter offense comme à des personnes ». </w:t>
      </w:r>
    </w:p>
  </w:footnote>
  <w:footnote w:id="7">
    <w:p w14:paraId="329EF92E" w14:textId="24BB74E1" w:rsidR="0018275C" w:rsidRPr="007450D6" w:rsidRDefault="0018275C" w:rsidP="00304B8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w:t>
      </w:r>
      <w:r w:rsidR="00305CF6">
        <w:rPr>
          <w:rFonts w:ascii="Times" w:hAnsi="Times"/>
          <w:sz w:val="20"/>
          <w:szCs w:val="20"/>
        </w:rPr>
        <w:t xml:space="preserve">Selon elle, </w:t>
      </w:r>
      <w:r w:rsidR="00305CF6" w:rsidRPr="00305CF6">
        <w:rPr>
          <w:rFonts w:ascii="Times" w:hAnsi="Times"/>
          <w:sz w:val="20"/>
          <w:szCs w:val="20"/>
        </w:rPr>
        <w:t>la fiction juridique « ne donne pas lieu à cette suspension d'incrédulité qui caractérise la littérature », p. 233)</w:t>
      </w:r>
      <w:r w:rsidR="00305CF6">
        <w:rPr>
          <w:rFonts w:ascii="Times" w:hAnsi="Times"/>
          <w:sz w:val="20"/>
          <w:szCs w:val="20"/>
        </w:rPr>
        <w:t xml:space="preserve">. </w:t>
      </w:r>
      <w:r w:rsidRPr="007450D6">
        <w:rPr>
          <w:rFonts w:ascii="Times" w:hAnsi="Times"/>
          <w:sz w:val="20"/>
          <w:szCs w:val="20"/>
          <w:lang w:val="fr-BE"/>
        </w:rPr>
        <w:t xml:space="preserve">Elle écrit encore : </w:t>
      </w:r>
      <w:r w:rsidRPr="007450D6">
        <w:rPr>
          <w:rFonts w:ascii="Times" w:hAnsi="Times"/>
          <w:sz w:val="20"/>
          <w:szCs w:val="20"/>
        </w:rPr>
        <w:t>« La fiction juridique a un rôle momentané et substitutif à une réalité qu'on ne peut décrire autrement ; il ne s'agit nullement d'une représentation ou d'un récit développé pour lui-même et l'agrément d'un lecteur » (p. 234).</w:t>
      </w:r>
      <w:r w:rsidR="00FD527C" w:rsidRPr="007450D6">
        <w:rPr>
          <w:rFonts w:ascii="Times" w:hAnsi="Times"/>
          <w:sz w:val="20"/>
          <w:szCs w:val="20"/>
        </w:rPr>
        <w:t xml:space="preserve"> </w:t>
      </w:r>
    </w:p>
  </w:footnote>
  <w:footnote w:id="8">
    <w:p w14:paraId="533AB4F6" w14:textId="6ECED439" w:rsidR="0099776A" w:rsidRPr="007450D6" w:rsidRDefault="0099776A" w:rsidP="00304B86">
      <w:pPr>
        <w:pStyle w:val="Notedebasdepage"/>
        <w:jc w:val="both"/>
        <w:rPr>
          <w:rFonts w:ascii="Times" w:hAnsi="Times"/>
          <w:lang w:val="fr-BE"/>
        </w:rPr>
      </w:pPr>
      <w:r w:rsidRPr="007450D6">
        <w:rPr>
          <w:rStyle w:val="Appelnotedebasdep"/>
          <w:rFonts w:ascii="Times" w:hAnsi="Times"/>
        </w:rPr>
        <w:footnoteRef/>
      </w:r>
      <w:r w:rsidRPr="007450D6">
        <w:rPr>
          <w:rFonts w:ascii="Times" w:hAnsi="Times"/>
          <w:lang w:val="fr-BE"/>
        </w:rPr>
        <w:t xml:space="preserve"> </w:t>
      </w:r>
      <w:r w:rsidRPr="007450D6">
        <w:rPr>
          <w:rFonts w:ascii="Times" w:hAnsi="Times"/>
        </w:rPr>
        <w:t xml:space="preserve">L’auteur évoque une « nouvelle génération de magistrats en les personnes de (…) Michel </w:t>
      </w:r>
      <w:proofErr w:type="spellStart"/>
      <w:r w:rsidRPr="007450D6">
        <w:rPr>
          <w:rFonts w:ascii="Times" w:hAnsi="Times"/>
        </w:rPr>
        <w:t>Miaille</w:t>
      </w:r>
      <w:proofErr w:type="spellEnd"/>
      <w:r w:rsidRPr="007450D6">
        <w:rPr>
          <w:rFonts w:ascii="Times" w:hAnsi="Times"/>
        </w:rPr>
        <w:t xml:space="preserve"> » (p. 146), une « directive de la Cour européenne de justice » (p. 176) ou le « jugement le plus célèbre » de </w:t>
      </w:r>
      <w:proofErr w:type="spellStart"/>
      <w:r w:rsidRPr="007450D6">
        <w:rPr>
          <w:rFonts w:ascii="Times" w:hAnsi="Times"/>
        </w:rPr>
        <w:t>Dworkin</w:t>
      </w:r>
      <w:proofErr w:type="spellEnd"/>
      <w:r w:rsidRPr="007450D6">
        <w:rPr>
          <w:rFonts w:ascii="Times" w:hAnsi="Times"/>
        </w:rPr>
        <w:t xml:space="preserve"> (p. 215).</w:t>
      </w:r>
    </w:p>
  </w:footnote>
  <w:footnote w:id="9">
    <w:p w14:paraId="272DFF12" w14:textId="567CEB77" w:rsidR="0099776A" w:rsidRPr="007450D6" w:rsidRDefault="0099776A" w:rsidP="00304B8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En ce qui concerne la tradition américaine, on peut se demander si </w:t>
      </w:r>
      <w:r w:rsidR="00FD527C" w:rsidRPr="007450D6">
        <w:rPr>
          <w:rFonts w:ascii="Times" w:hAnsi="Times"/>
          <w:sz w:val="20"/>
          <w:szCs w:val="20"/>
        </w:rPr>
        <w:t xml:space="preserve">la théorie de Martha Nussbaum </w:t>
      </w:r>
      <w:r w:rsidRPr="007450D6">
        <w:rPr>
          <w:rFonts w:ascii="Times" w:hAnsi="Times"/>
          <w:sz w:val="20"/>
          <w:szCs w:val="20"/>
        </w:rPr>
        <w:t xml:space="preserve">occupe une place à ce point </w:t>
      </w:r>
      <w:r w:rsidR="00FD527C" w:rsidRPr="007450D6">
        <w:rPr>
          <w:rFonts w:ascii="Times" w:hAnsi="Times"/>
          <w:sz w:val="20"/>
          <w:szCs w:val="20"/>
        </w:rPr>
        <w:t>centrale</w:t>
      </w:r>
      <w:r w:rsidRPr="007450D6">
        <w:rPr>
          <w:rFonts w:ascii="Times" w:hAnsi="Times"/>
          <w:sz w:val="20"/>
          <w:szCs w:val="20"/>
        </w:rPr>
        <w:t xml:space="preserve"> d</w:t>
      </w:r>
      <w:r w:rsidR="00FD527C" w:rsidRPr="007450D6">
        <w:rPr>
          <w:rFonts w:ascii="Times" w:hAnsi="Times"/>
          <w:sz w:val="20"/>
          <w:szCs w:val="20"/>
        </w:rPr>
        <w:t>ans le</w:t>
      </w:r>
      <w:r w:rsidRPr="007450D6">
        <w:rPr>
          <w:rFonts w:ascii="Times" w:hAnsi="Times"/>
          <w:sz w:val="20"/>
          <w:szCs w:val="20"/>
        </w:rPr>
        <w:t xml:space="preserve"> courant droit et littérature.</w:t>
      </w:r>
      <w:r w:rsidR="00304B86">
        <w:rPr>
          <w:rFonts w:ascii="Times" w:hAnsi="Times"/>
          <w:sz w:val="20"/>
          <w:szCs w:val="20"/>
        </w:rPr>
        <w:t xml:space="preserve"> On a</w:t>
      </w:r>
      <w:r w:rsidR="001962E9">
        <w:rPr>
          <w:rFonts w:ascii="Times" w:hAnsi="Times"/>
          <w:sz w:val="20"/>
          <w:szCs w:val="20"/>
        </w:rPr>
        <w:t xml:space="preserve"> par ailleurs</w:t>
      </w:r>
      <w:r w:rsidR="00304B86">
        <w:rPr>
          <w:rFonts w:ascii="Times" w:hAnsi="Times"/>
          <w:sz w:val="20"/>
          <w:szCs w:val="20"/>
        </w:rPr>
        <w:t xml:space="preserve"> déjà relevé que l’ouvrage était essentiellement fondé sur la littérature française et, dans une moindre mesure, allemande</w:t>
      </w:r>
      <w:r w:rsidR="001962E9">
        <w:rPr>
          <w:rFonts w:ascii="Times" w:hAnsi="Times"/>
          <w:sz w:val="20"/>
          <w:szCs w:val="20"/>
        </w:rPr>
        <w:t>, ce qui peut paraître un peu court pour parler d’une tradition « continentale ».</w:t>
      </w:r>
    </w:p>
  </w:footnote>
  <w:footnote w:id="10">
    <w:p w14:paraId="211837F6" w14:textId="77777777" w:rsidR="0099776A" w:rsidRPr="007450D6" w:rsidRDefault="0099776A" w:rsidP="00304B86">
      <w:pPr>
        <w:pStyle w:val="Notedebasdepage"/>
        <w:jc w:val="both"/>
        <w:rPr>
          <w:rFonts w:ascii="Times" w:hAnsi="Times"/>
          <w:lang w:val="en-US"/>
        </w:rPr>
      </w:pPr>
      <w:r w:rsidRPr="007450D6">
        <w:rPr>
          <w:rStyle w:val="Appelnotedebasdep"/>
          <w:rFonts w:ascii="Times" w:hAnsi="Times"/>
        </w:rPr>
        <w:footnoteRef/>
      </w:r>
      <w:r w:rsidRPr="007450D6">
        <w:rPr>
          <w:rFonts w:ascii="Times" w:hAnsi="Times"/>
          <w:lang w:val="en-US"/>
        </w:rPr>
        <w:t xml:space="preserve"> </w:t>
      </w:r>
      <w:r w:rsidRPr="007450D6">
        <w:rPr>
          <w:rFonts w:ascii="Times" w:hAnsi="Times"/>
          <w:i/>
          <w:lang w:val="en-US"/>
        </w:rPr>
        <w:t>Roe v. Wade</w:t>
      </w:r>
      <w:r w:rsidRPr="007450D6">
        <w:rPr>
          <w:rFonts w:ascii="Times" w:hAnsi="Times"/>
          <w:lang w:val="en-US"/>
        </w:rPr>
        <w:t>, 410 U.S. 113 (1973).</w:t>
      </w:r>
    </w:p>
  </w:footnote>
  <w:footnote w:id="11">
    <w:p w14:paraId="2674FD9E" w14:textId="20E2F543" w:rsidR="0099776A" w:rsidRPr="007450D6" w:rsidRDefault="0099776A" w:rsidP="00304B8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w:t>
      </w:r>
      <w:proofErr w:type="spellStart"/>
      <w:r w:rsidR="001962E9">
        <w:rPr>
          <w:rFonts w:ascii="Times" w:hAnsi="Times"/>
          <w:sz w:val="20"/>
          <w:szCs w:val="20"/>
        </w:rPr>
        <w:t>V</w:t>
      </w:r>
      <w:r w:rsidRPr="007450D6">
        <w:rPr>
          <w:rFonts w:ascii="Times" w:hAnsi="Times"/>
          <w:sz w:val="20"/>
          <w:szCs w:val="20"/>
        </w:rPr>
        <w:t>oy</w:t>
      </w:r>
      <w:proofErr w:type="spellEnd"/>
      <w:r w:rsidRPr="007450D6">
        <w:rPr>
          <w:rFonts w:ascii="Times" w:hAnsi="Times"/>
          <w:sz w:val="20"/>
          <w:szCs w:val="20"/>
        </w:rPr>
        <w:t xml:space="preserve">. J. </w:t>
      </w:r>
      <w:r w:rsidRPr="007450D6">
        <w:rPr>
          <w:rFonts w:ascii="Times" w:hAnsi="Times"/>
          <w:smallCaps/>
          <w:sz w:val="20"/>
          <w:szCs w:val="20"/>
        </w:rPr>
        <w:t xml:space="preserve">Van </w:t>
      </w:r>
      <w:proofErr w:type="spellStart"/>
      <w:r w:rsidRPr="007450D6">
        <w:rPr>
          <w:rFonts w:ascii="Times" w:hAnsi="Times"/>
          <w:smallCaps/>
          <w:sz w:val="20"/>
          <w:szCs w:val="20"/>
        </w:rPr>
        <w:t>Meerbeeck</w:t>
      </w:r>
      <w:proofErr w:type="spellEnd"/>
      <w:r w:rsidRPr="007450D6">
        <w:rPr>
          <w:rFonts w:ascii="Times" w:hAnsi="Times"/>
          <w:sz w:val="20"/>
          <w:szCs w:val="20"/>
        </w:rPr>
        <w:t xml:space="preserve">, </w:t>
      </w:r>
      <w:r w:rsidRPr="007450D6">
        <w:rPr>
          <w:rFonts w:ascii="Times" w:hAnsi="Times" w:cs="TimesNewRomanPSMT"/>
          <w:sz w:val="20"/>
          <w:szCs w:val="20"/>
          <w:lang w:bidi="fr-FR"/>
        </w:rPr>
        <w:t xml:space="preserve">« L’avortement à la lumière de l’exceptionnalisme américain », in </w:t>
      </w:r>
      <w:r w:rsidRPr="007450D6">
        <w:rPr>
          <w:rFonts w:ascii="Times" w:hAnsi="Times" w:cs="TimesNewRomanPSMT"/>
          <w:i/>
          <w:iCs/>
          <w:sz w:val="20"/>
          <w:szCs w:val="20"/>
          <w:lang w:bidi="fr-FR"/>
        </w:rPr>
        <w:t xml:space="preserve">Exceptionnalisme américain et droits de l’homme, </w:t>
      </w:r>
      <w:r w:rsidRPr="007450D6">
        <w:rPr>
          <w:rFonts w:ascii="Times" w:hAnsi="Times" w:cs="TimesNewRomanPSMT"/>
          <w:sz w:val="20"/>
          <w:szCs w:val="20"/>
          <w:lang w:bidi="fr-FR"/>
        </w:rPr>
        <w:t xml:space="preserve">L. </w:t>
      </w:r>
      <w:proofErr w:type="spellStart"/>
      <w:r w:rsidRPr="007450D6">
        <w:rPr>
          <w:rFonts w:ascii="Times" w:hAnsi="Times" w:cs="TimesNewRomanPSMT"/>
          <w:sz w:val="20"/>
          <w:szCs w:val="20"/>
          <w:lang w:bidi="fr-FR"/>
        </w:rPr>
        <w:t>Hennebel</w:t>
      </w:r>
      <w:proofErr w:type="spellEnd"/>
      <w:r w:rsidRPr="007450D6">
        <w:rPr>
          <w:rFonts w:ascii="Times" w:hAnsi="Times" w:cs="TimesNewRomanPSMT"/>
          <w:sz w:val="20"/>
          <w:szCs w:val="20"/>
          <w:lang w:bidi="fr-FR"/>
        </w:rPr>
        <w:t xml:space="preserve"> et A. Van </w:t>
      </w:r>
      <w:proofErr w:type="spellStart"/>
      <w:r w:rsidRPr="007450D6">
        <w:rPr>
          <w:rFonts w:ascii="Times" w:hAnsi="Times" w:cs="TimesNewRomanPSMT"/>
          <w:sz w:val="20"/>
          <w:szCs w:val="20"/>
          <w:lang w:bidi="fr-FR"/>
        </w:rPr>
        <w:t>Waeyenberge</w:t>
      </w:r>
      <w:proofErr w:type="spellEnd"/>
      <w:r w:rsidRPr="007450D6">
        <w:rPr>
          <w:rFonts w:ascii="Times" w:hAnsi="Times" w:cs="TimesNewRomanPSMT"/>
          <w:sz w:val="20"/>
          <w:szCs w:val="20"/>
          <w:lang w:bidi="fr-FR"/>
        </w:rPr>
        <w:t xml:space="preserve"> (</w:t>
      </w:r>
      <w:proofErr w:type="spellStart"/>
      <w:r w:rsidRPr="007450D6">
        <w:rPr>
          <w:rFonts w:ascii="Times" w:hAnsi="Times" w:cs="TimesNewRomanPSMT"/>
          <w:sz w:val="20"/>
          <w:szCs w:val="20"/>
          <w:lang w:bidi="fr-FR"/>
        </w:rPr>
        <w:t>dir</w:t>
      </w:r>
      <w:proofErr w:type="spellEnd"/>
      <w:r w:rsidRPr="007450D6">
        <w:rPr>
          <w:rFonts w:ascii="Times" w:hAnsi="Times" w:cs="TimesNewRomanPSMT"/>
          <w:sz w:val="20"/>
          <w:szCs w:val="20"/>
          <w:lang w:bidi="fr-FR"/>
        </w:rPr>
        <w:t>.)</w:t>
      </w:r>
      <w:r w:rsidRPr="007450D6">
        <w:rPr>
          <w:rFonts w:ascii="Times" w:hAnsi="Times" w:cs="TimesNewRomanPSMT"/>
          <w:i/>
          <w:iCs/>
          <w:sz w:val="20"/>
          <w:szCs w:val="20"/>
          <w:lang w:bidi="fr-FR"/>
        </w:rPr>
        <w:t xml:space="preserve">, </w:t>
      </w:r>
      <w:r w:rsidRPr="007450D6">
        <w:rPr>
          <w:rFonts w:ascii="Times" w:hAnsi="Times" w:cs="TimesNewRomanPSMT"/>
          <w:sz w:val="20"/>
          <w:szCs w:val="20"/>
          <w:lang w:bidi="fr-FR"/>
        </w:rPr>
        <w:t>Paris,</w:t>
      </w:r>
      <w:r w:rsidRPr="007450D6">
        <w:rPr>
          <w:rFonts w:ascii="Times" w:hAnsi="Times" w:cs="TimesNewRomanPSMT"/>
          <w:i/>
          <w:iCs/>
          <w:sz w:val="20"/>
          <w:szCs w:val="20"/>
          <w:lang w:bidi="fr-FR"/>
        </w:rPr>
        <w:t xml:space="preserve"> </w:t>
      </w:r>
      <w:r w:rsidRPr="007450D6">
        <w:rPr>
          <w:rFonts w:ascii="Times" w:hAnsi="Times" w:cs="TimesNewRomanPSMT"/>
          <w:iCs/>
          <w:sz w:val="20"/>
          <w:szCs w:val="20"/>
          <w:lang w:bidi="fr-FR"/>
        </w:rPr>
        <w:t>Dalloz,</w:t>
      </w:r>
      <w:r w:rsidRPr="007450D6">
        <w:rPr>
          <w:rFonts w:ascii="Times" w:hAnsi="Times" w:cs="TimesNewRomanPSMT"/>
          <w:i/>
          <w:iCs/>
          <w:sz w:val="20"/>
          <w:szCs w:val="20"/>
          <w:lang w:bidi="fr-FR"/>
        </w:rPr>
        <w:t xml:space="preserve"> </w:t>
      </w:r>
      <w:r w:rsidRPr="007450D6">
        <w:rPr>
          <w:rFonts w:ascii="Times" w:hAnsi="Times" w:cs="TimesNewRomanPSMT"/>
          <w:sz w:val="20"/>
          <w:szCs w:val="20"/>
          <w:lang w:bidi="fr-FR"/>
        </w:rPr>
        <w:t xml:space="preserve">2009, pp. 115-148. </w:t>
      </w:r>
    </w:p>
  </w:footnote>
  <w:footnote w:id="12">
    <w:p w14:paraId="4D4C04DD" w14:textId="52502D76" w:rsidR="00261D22" w:rsidRPr="007450D6" w:rsidRDefault="00261D22" w:rsidP="00304B86">
      <w:pPr>
        <w:jc w:val="both"/>
        <w:rPr>
          <w:rFonts w:ascii="Times" w:hAnsi="Times"/>
          <w:sz w:val="20"/>
          <w:szCs w:val="20"/>
        </w:rPr>
      </w:pPr>
      <w:r w:rsidRPr="007450D6">
        <w:rPr>
          <w:rStyle w:val="Appelnotedebasdep"/>
          <w:rFonts w:ascii="Times" w:hAnsi="Times"/>
          <w:sz w:val="20"/>
          <w:szCs w:val="20"/>
        </w:rPr>
        <w:footnoteRef/>
      </w:r>
      <w:r w:rsidRPr="007450D6">
        <w:rPr>
          <w:rFonts w:ascii="Times" w:hAnsi="Times"/>
          <w:sz w:val="20"/>
          <w:szCs w:val="20"/>
        </w:rPr>
        <w:t xml:space="preserve"> </w:t>
      </w:r>
      <w:r w:rsidR="00FD527C" w:rsidRPr="007450D6">
        <w:rPr>
          <w:rFonts w:ascii="Times" w:hAnsi="Times"/>
          <w:sz w:val="20"/>
          <w:szCs w:val="20"/>
        </w:rPr>
        <w:t>H.L.A. Hart admet</w:t>
      </w:r>
      <w:r w:rsidR="004F6410">
        <w:rPr>
          <w:rFonts w:ascii="Times" w:hAnsi="Times"/>
          <w:sz w:val="20"/>
          <w:szCs w:val="20"/>
        </w:rPr>
        <w:t xml:space="preserve"> pour sa part</w:t>
      </w:r>
      <w:r w:rsidR="00FD527C" w:rsidRPr="007450D6">
        <w:rPr>
          <w:rFonts w:ascii="Times" w:hAnsi="Times"/>
          <w:sz w:val="20"/>
          <w:szCs w:val="20"/>
        </w:rPr>
        <w:t xml:space="preserve"> que toute règle contient, outre un noyau de certitude, une « pénombre de doute » quant à son application en raison de l’irréductible texture ouverte du langage, qui appelle donc un travail d’interprétation (H.L.A. Hart, </w:t>
      </w:r>
      <w:r w:rsidR="00FD527C" w:rsidRPr="007450D6">
        <w:rPr>
          <w:rFonts w:ascii="Times" w:hAnsi="Times"/>
          <w:i/>
          <w:sz w:val="20"/>
          <w:szCs w:val="20"/>
        </w:rPr>
        <w:t>Le concept de droit</w:t>
      </w:r>
      <w:r w:rsidR="00FD527C" w:rsidRPr="007450D6">
        <w:rPr>
          <w:rFonts w:ascii="Times" w:hAnsi="Times"/>
          <w:sz w:val="20"/>
          <w:szCs w:val="20"/>
        </w:rPr>
        <w:t xml:space="preserve">, trad. M. van de </w:t>
      </w:r>
      <w:proofErr w:type="spellStart"/>
      <w:r w:rsidR="00FD527C" w:rsidRPr="007450D6">
        <w:rPr>
          <w:rFonts w:ascii="Times" w:hAnsi="Times"/>
          <w:sz w:val="20"/>
          <w:szCs w:val="20"/>
        </w:rPr>
        <w:t>Kerckhove</w:t>
      </w:r>
      <w:proofErr w:type="spellEnd"/>
      <w:r w:rsidR="00FD527C" w:rsidRPr="007450D6">
        <w:rPr>
          <w:rFonts w:ascii="Times" w:hAnsi="Times"/>
          <w:sz w:val="20"/>
          <w:szCs w:val="20"/>
        </w:rPr>
        <w:t>, 2</w:t>
      </w:r>
      <w:r w:rsidR="00FD527C" w:rsidRPr="007450D6">
        <w:rPr>
          <w:rFonts w:ascii="Times" w:hAnsi="Times"/>
          <w:sz w:val="20"/>
          <w:szCs w:val="20"/>
          <w:vertAlign w:val="superscript"/>
        </w:rPr>
        <w:t>ème</w:t>
      </w:r>
      <w:r w:rsidR="00FD527C" w:rsidRPr="007450D6">
        <w:rPr>
          <w:rFonts w:ascii="Times" w:hAnsi="Times"/>
          <w:sz w:val="20"/>
          <w:szCs w:val="20"/>
        </w:rPr>
        <w:t xml:space="preserve"> éd., Bruxelles, </w:t>
      </w:r>
      <w:proofErr w:type="spellStart"/>
      <w:r w:rsidR="00FD527C" w:rsidRPr="007450D6">
        <w:rPr>
          <w:rFonts w:ascii="Times" w:hAnsi="Times"/>
          <w:sz w:val="20"/>
          <w:szCs w:val="20"/>
        </w:rPr>
        <w:t>Publ</w:t>
      </w:r>
      <w:proofErr w:type="spellEnd"/>
      <w:r w:rsidR="00FD527C" w:rsidRPr="007450D6">
        <w:rPr>
          <w:rFonts w:ascii="Times" w:hAnsi="Times"/>
          <w:sz w:val="20"/>
          <w:szCs w:val="20"/>
        </w:rPr>
        <w:t xml:space="preserve">. des F.U.S.L., 2005, pp. 147-149). </w:t>
      </w:r>
      <w:r w:rsidRPr="007450D6">
        <w:rPr>
          <w:rFonts w:ascii="Times" w:hAnsi="Times"/>
          <w:sz w:val="20"/>
          <w:szCs w:val="20"/>
        </w:rPr>
        <w:t xml:space="preserve">Autre chose est de dire que les théories positivistes ne sont pas particulièrement riches sur la question de l’interprétation. </w:t>
      </w:r>
    </w:p>
  </w:footnote>
  <w:footnote w:id="13">
    <w:p w14:paraId="19673871" w14:textId="77777777" w:rsidR="0099776A" w:rsidRPr="007450D6" w:rsidRDefault="0099776A" w:rsidP="00304B86">
      <w:pPr>
        <w:pStyle w:val="Notedebasdepage"/>
        <w:jc w:val="both"/>
        <w:rPr>
          <w:rFonts w:ascii="Times" w:hAnsi="Times"/>
        </w:rPr>
      </w:pPr>
      <w:r w:rsidRPr="007450D6">
        <w:rPr>
          <w:rStyle w:val="Appelnotedebasdep"/>
          <w:rFonts w:ascii="Times" w:hAnsi="Times"/>
        </w:rPr>
        <w:footnoteRef/>
      </w:r>
      <w:r w:rsidRPr="007450D6">
        <w:rPr>
          <w:rFonts w:ascii="Times" w:hAnsi="Times"/>
        </w:rPr>
        <w:t xml:space="preserve"> </w:t>
      </w:r>
      <w:r w:rsidRPr="007450D6">
        <w:rPr>
          <w:rFonts w:ascii="Times" w:hAnsi="Times"/>
          <w:smallCaps/>
        </w:rPr>
        <w:t>H. Kelsen</w:t>
      </w:r>
      <w:r w:rsidRPr="007450D6">
        <w:rPr>
          <w:rFonts w:ascii="Times" w:hAnsi="Times"/>
        </w:rPr>
        <w:t xml:space="preserve">, </w:t>
      </w:r>
      <w:r w:rsidRPr="007450D6">
        <w:rPr>
          <w:rFonts w:ascii="Times" w:hAnsi="Times"/>
          <w:i/>
        </w:rPr>
        <w:t>Théorie pure du droit</w:t>
      </w:r>
      <w:r w:rsidRPr="007450D6">
        <w:rPr>
          <w:rFonts w:ascii="Times" w:hAnsi="Times"/>
        </w:rPr>
        <w:t>, 2</w:t>
      </w:r>
      <w:r w:rsidRPr="007450D6">
        <w:rPr>
          <w:rFonts w:ascii="Times" w:hAnsi="Times"/>
          <w:vertAlign w:val="superscript"/>
        </w:rPr>
        <w:t>ème</w:t>
      </w:r>
      <w:r w:rsidRPr="007450D6">
        <w:rPr>
          <w:rFonts w:ascii="Times" w:hAnsi="Times"/>
        </w:rPr>
        <w:t xml:space="preserve"> éd., trad. par Ch. Eisenmann, Paris, L.G.D.J., 1999, pp. 335-342, </w:t>
      </w:r>
      <w:proofErr w:type="spellStart"/>
      <w:r w:rsidRPr="007450D6">
        <w:rPr>
          <w:rFonts w:ascii="Times" w:hAnsi="Times"/>
        </w:rPr>
        <w:t>spéc</w:t>
      </w:r>
      <w:proofErr w:type="spellEnd"/>
      <w:r w:rsidRPr="007450D6">
        <w:rPr>
          <w:rFonts w:ascii="Times" w:hAnsi="Times"/>
        </w:rPr>
        <w:t xml:space="preserve">. p. 335 : « toutes les normes juridiques appellent une interprétation en tant qu’elles doivent être appliquées ». </w:t>
      </w:r>
    </w:p>
  </w:footnote>
  <w:footnote w:id="14">
    <w:p w14:paraId="78919834" w14:textId="5FAAE764" w:rsidR="00261D22" w:rsidRPr="007450D6" w:rsidRDefault="00261D22" w:rsidP="00304B86">
      <w:pPr>
        <w:pStyle w:val="Notedebasdepage"/>
        <w:jc w:val="both"/>
        <w:rPr>
          <w:rFonts w:ascii="Times" w:hAnsi="Times"/>
          <w:lang w:val="fr-BE"/>
        </w:rPr>
      </w:pPr>
      <w:r w:rsidRPr="007450D6">
        <w:rPr>
          <w:rStyle w:val="Appelnotedebasdep"/>
          <w:rFonts w:ascii="Times" w:hAnsi="Times"/>
        </w:rPr>
        <w:footnoteRef/>
      </w:r>
      <w:r w:rsidRPr="007450D6">
        <w:rPr>
          <w:rFonts w:ascii="Times" w:hAnsi="Times"/>
          <w:lang w:val="fr-BE"/>
        </w:rPr>
        <w:t xml:space="preserve"> </w:t>
      </w:r>
      <w:r w:rsidRPr="001962E9">
        <w:rPr>
          <w:rFonts w:ascii="Times" w:hAnsi="Times"/>
          <w:i/>
          <w:iCs/>
          <w:lang w:val="fr-BE"/>
        </w:rPr>
        <w:t>Ibid</w:t>
      </w:r>
      <w:r w:rsidRPr="007450D6">
        <w:rPr>
          <w:rFonts w:ascii="Times" w:hAnsi="Times"/>
          <w:lang w:val="fr-BE"/>
        </w:rPr>
        <w:t>., respectivement pp. 247 et s. et 297 et 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50C"/>
    <w:multiLevelType w:val="hybridMultilevel"/>
    <w:tmpl w:val="C210521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97418ED"/>
    <w:multiLevelType w:val="hybridMultilevel"/>
    <w:tmpl w:val="065687C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342F60"/>
    <w:multiLevelType w:val="hybridMultilevel"/>
    <w:tmpl w:val="2B32677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97491940">
    <w:abstractNumId w:val="2"/>
  </w:num>
  <w:num w:numId="2" w16cid:durableId="1752509700">
    <w:abstractNumId w:val="0"/>
  </w:num>
  <w:num w:numId="3" w16cid:durableId="1233857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74"/>
    <w:rsid w:val="00062394"/>
    <w:rsid w:val="000B1787"/>
    <w:rsid w:val="000C4C1D"/>
    <w:rsid w:val="001668AD"/>
    <w:rsid w:val="0018275C"/>
    <w:rsid w:val="00193021"/>
    <w:rsid w:val="001962E9"/>
    <w:rsid w:val="00196EC5"/>
    <w:rsid w:val="00261D22"/>
    <w:rsid w:val="00267160"/>
    <w:rsid w:val="00271040"/>
    <w:rsid w:val="002C3936"/>
    <w:rsid w:val="002F1FF2"/>
    <w:rsid w:val="002F4470"/>
    <w:rsid w:val="00304B86"/>
    <w:rsid w:val="00305CF6"/>
    <w:rsid w:val="00332B47"/>
    <w:rsid w:val="00381632"/>
    <w:rsid w:val="0043007F"/>
    <w:rsid w:val="004438CE"/>
    <w:rsid w:val="004B190C"/>
    <w:rsid w:val="004F6410"/>
    <w:rsid w:val="00507EF3"/>
    <w:rsid w:val="00516B18"/>
    <w:rsid w:val="0053401F"/>
    <w:rsid w:val="00541661"/>
    <w:rsid w:val="00580378"/>
    <w:rsid w:val="005A63CA"/>
    <w:rsid w:val="00621CE8"/>
    <w:rsid w:val="0062344D"/>
    <w:rsid w:val="00660BE1"/>
    <w:rsid w:val="006A4E71"/>
    <w:rsid w:val="00702111"/>
    <w:rsid w:val="00721674"/>
    <w:rsid w:val="0072550C"/>
    <w:rsid w:val="007450D6"/>
    <w:rsid w:val="00773D51"/>
    <w:rsid w:val="00792318"/>
    <w:rsid w:val="00795F14"/>
    <w:rsid w:val="007A433F"/>
    <w:rsid w:val="007D1459"/>
    <w:rsid w:val="007D53B4"/>
    <w:rsid w:val="007F2801"/>
    <w:rsid w:val="00854785"/>
    <w:rsid w:val="00861DF7"/>
    <w:rsid w:val="008813EC"/>
    <w:rsid w:val="008C5BF4"/>
    <w:rsid w:val="008C5F69"/>
    <w:rsid w:val="008D3B0C"/>
    <w:rsid w:val="00946163"/>
    <w:rsid w:val="00965D70"/>
    <w:rsid w:val="009857EF"/>
    <w:rsid w:val="0099776A"/>
    <w:rsid w:val="009A0F27"/>
    <w:rsid w:val="009E7444"/>
    <w:rsid w:val="00A15222"/>
    <w:rsid w:val="00A15C5F"/>
    <w:rsid w:val="00A2301D"/>
    <w:rsid w:val="00A241F9"/>
    <w:rsid w:val="00A3317C"/>
    <w:rsid w:val="00A514BE"/>
    <w:rsid w:val="00A656FE"/>
    <w:rsid w:val="00A8224F"/>
    <w:rsid w:val="00A91322"/>
    <w:rsid w:val="00AC37C8"/>
    <w:rsid w:val="00AD6F43"/>
    <w:rsid w:val="00AD7F53"/>
    <w:rsid w:val="00B108BF"/>
    <w:rsid w:val="00B458EB"/>
    <w:rsid w:val="00B5044A"/>
    <w:rsid w:val="00B524A3"/>
    <w:rsid w:val="00B5260F"/>
    <w:rsid w:val="00B557AB"/>
    <w:rsid w:val="00C1297C"/>
    <w:rsid w:val="00C204D1"/>
    <w:rsid w:val="00C6126F"/>
    <w:rsid w:val="00C842FF"/>
    <w:rsid w:val="00CA5E8C"/>
    <w:rsid w:val="00CC0217"/>
    <w:rsid w:val="00CE5D5B"/>
    <w:rsid w:val="00D03B3E"/>
    <w:rsid w:val="00D04FEA"/>
    <w:rsid w:val="00D25B9C"/>
    <w:rsid w:val="00D32F5F"/>
    <w:rsid w:val="00DC2022"/>
    <w:rsid w:val="00DC6DF9"/>
    <w:rsid w:val="00DE1126"/>
    <w:rsid w:val="00DE4DE3"/>
    <w:rsid w:val="00E25885"/>
    <w:rsid w:val="00E757D7"/>
    <w:rsid w:val="00E82D9C"/>
    <w:rsid w:val="00EF1F29"/>
    <w:rsid w:val="00F20D93"/>
    <w:rsid w:val="00F353ED"/>
    <w:rsid w:val="00F7292F"/>
    <w:rsid w:val="00FA2016"/>
    <w:rsid w:val="00FA7FBA"/>
    <w:rsid w:val="00FC5A80"/>
    <w:rsid w:val="00FD527C"/>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404F"/>
  <w15:chartTrackingRefBased/>
  <w15:docId w15:val="{519783D2-23A4-624F-BDFF-455B1635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0378"/>
    <w:pPr>
      <w:ind w:left="720"/>
      <w:contextualSpacing/>
    </w:pPr>
  </w:style>
  <w:style w:type="paragraph" w:styleId="Pieddepage">
    <w:name w:val="footer"/>
    <w:basedOn w:val="Normal"/>
    <w:link w:val="PieddepageCar"/>
    <w:uiPriority w:val="99"/>
    <w:unhideWhenUsed/>
    <w:rsid w:val="00B557AB"/>
    <w:pPr>
      <w:tabs>
        <w:tab w:val="center" w:pos="4536"/>
        <w:tab w:val="right" w:pos="9072"/>
      </w:tabs>
    </w:pPr>
  </w:style>
  <w:style w:type="character" w:customStyle="1" w:styleId="PieddepageCar">
    <w:name w:val="Pied de page Car"/>
    <w:basedOn w:val="Policepardfaut"/>
    <w:link w:val="Pieddepage"/>
    <w:uiPriority w:val="99"/>
    <w:rsid w:val="00B557AB"/>
    <w:rPr>
      <w:lang w:val="fr-FR"/>
    </w:rPr>
  </w:style>
  <w:style w:type="character" w:styleId="Numrodepage">
    <w:name w:val="page number"/>
    <w:basedOn w:val="Policepardfaut"/>
    <w:uiPriority w:val="99"/>
    <w:semiHidden/>
    <w:unhideWhenUsed/>
    <w:rsid w:val="00B557AB"/>
  </w:style>
  <w:style w:type="paragraph" w:styleId="Notedebasdepage">
    <w:name w:val="footnote text"/>
    <w:basedOn w:val="Normal"/>
    <w:link w:val="NotedebasdepageCar"/>
    <w:unhideWhenUsed/>
    <w:rsid w:val="0043007F"/>
    <w:rPr>
      <w:sz w:val="20"/>
      <w:szCs w:val="20"/>
    </w:rPr>
  </w:style>
  <w:style w:type="character" w:customStyle="1" w:styleId="NotedebasdepageCar">
    <w:name w:val="Note de bas de page Car"/>
    <w:basedOn w:val="Policepardfaut"/>
    <w:link w:val="Notedebasdepage"/>
    <w:rsid w:val="0043007F"/>
    <w:rPr>
      <w:sz w:val="20"/>
      <w:szCs w:val="20"/>
      <w:lang w:val="fr-FR"/>
    </w:rPr>
  </w:style>
  <w:style w:type="character" w:styleId="Appelnotedebasdep">
    <w:name w:val="footnote reference"/>
    <w:basedOn w:val="Policepardfaut"/>
    <w:semiHidden/>
    <w:unhideWhenUsed/>
    <w:rsid w:val="0043007F"/>
    <w:rPr>
      <w:vertAlign w:val="superscript"/>
    </w:rPr>
  </w:style>
  <w:style w:type="paragraph" w:styleId="Rvision">
    <w:name w:val="Revision"/>
    <w:hidden/>
    <w:uiPriority w:val="99"/>
    <w:semiHidden/>
    <w:rsid w:val="00854785"/>
    <w:rPr>
      <w:lang w:val="fr-FR"/>
    </w:rPr>
  </w:style>
  <w:style w:type="character" w:styleId="Marquedecommentaire">
    <w:name w:val="annotation reference"/>
    <w:basedOn w:val="Policepardfaut"/>
    <w:uiPriority w:val="99"/>
    <w:semiHidden/>
    <w:unhideWhenUsed/>
    <w:rsid w:val="00DE1126"/>
    <w:rPr>
      <w:sz w:val="16"/>
      <w:szCs w:val="16"/>
    </w:rPr>
  </w:style>
  <w:style w:type="paragraph" w:styleId="Commentaire">
    <w:name w:val="annotation text"/>
    <w:basedOn w:val="Normal"/>
    <w:link w:val="CommentaireCar"/>
    <w:uiPriority w:val="99"/>
    <w:semiHidden/>
    <w:unhideWhenUsed/>
    <w:rsid w:val="00DE1126"/>
    <w:rPr>
      <w:sz w:val="20"/>
      <w:szCs w:val="20"/>
    </w:rPr>
  </w:style>
  <w:style w:type="character" w:customStyle="1" w:styleId="CommentaireCar">
    <w:name w:val="Commentaire Car"/>
    <w:basedOn w:val="Policepardfaut"/>
    <w:link w:val="Commentaire"/>
    <w:uiPriority w:val="99"/>
    <w:semiHidden/>
    <w:rsid w:val="00DE1126"/>
    <w:rPr>
      <w:sz w:val="20"/>
      <w:szCs w:val="20"/>
      <w:lang w:val="fr-FR"/>
    </w:rPr>
  </w:style>
  <w:style w:type="paragraph" w:styleId="Objetducommentaire">
    <w:name w:val="annotation subject"/>
    <w:basedOn w:val="Commentaire"/>
    <w:next w:val="Commentaire"/>
    <w:link w:val="ObjetducommentaireCar"/>
    <w:uiPriority w:val="99"/>
    <w:semiHidden/>
    <w:unhideWhenUsed/>
    <w:rsid w:val="00DE1126"/>
    <w:rPr>
      <w:b/>
      <w:bCs/>
    </w:rPr>
  </w:style>
  <w:style w:type="character" w:customStyle="1" w:styleId="ObjetducommentaireCar">
    <w:name w:val="Objet du commentaire Car"/>
    <w:basedOn w:val="CommentaireCar"/>
    <w:link w:val="Objetducommentaire"/>
    <w:uiPriority w:val="99"/>
    <w:semiHidden/>
    <w:rsid w:val="00DE1126"/>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2077</Words>
  <Characters>11424</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Jérémie van Meerbeeck</dc:creator>
  <cp:keywords/>
  <dc:description/>
  <cp:lastModifiedBy>Jérémie van Meerbeeck</cp:lastModifiedBy>
  <cp:revision>2</cp:revision>
  <cp:lastPrinted>2022-03-17T06:35:00Z</cp:lastPrinted>
  <dcterms:created xsi:type="dcterms:W3CDTF">2022-10-21T18:49:00Z</dcterms:created>
  <dcterms:modified xsi:type="dcterms:W3CDTF">2022-10-21T18:49:00Z</dcterms:modified>
</cp:coreProperties>
</file>