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C0182" w14:textId="097FCEF9" w:rsidR="0080717F" w:rsidRDefault="0080717F">
      <w:pPr>
        <w:rPr>
          <w:lang w:val="fr-FR"/>
        </w:rPr>
      </w:pPr>
      <w:r>
        <w:rPr>
          <w:lang w:val="fr-FR"/>
        </w:rPr>
        <w:t>Fichier Melchisédech</w:t>
      </w:r>
    </w:p>
    <w:p w14:paraId="688321D3" w14:textId="77777777" w:rsidR="0080717F" w:rsidRDefault="0080717F">
      <w:pPr>
        <w:rPr>
          <w:lang w:val="fr-FR"/>
        </w:rPr>
      </w:pPr>
    </w:p>
    <w:p w14:paraId="740F8F63" w14:textId="41C2C818" w:rsidR="0080717F" w:rsidRDefault="0080717F">
      <w:r>
        <w:rPr>
          <w:lang w:val="fr-FR"/>
        </w:rPr>
        <w:t>En Europe à l’époque moderne, les confessions protestantes et catholiques s’affrontent plus ou moins âprement. Dans ce contexte de rivalité confessionnelle, l’iconographie de Melchisédech est particulièrement foisonnante dans les milieux catholiques, et notamment en France et dans les anciens Pays-Bas. On peut donc interroger le sort que les beaux-arts ont réservé à cette figure ancestrale. Comment et dans quelles circonstances apparaissent les représentations de Melchisédech à l’âge moderne ? Quelle a été la valeur d’usage de quelques-unes de ces représentations ?</w:t>
      </w:r>
    </w:p>
    <w:sectPr w:rsidR="008071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7F"/>
    <w:rsid w:val="0080717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21F9"/>
  <w15:chartTrackingRefBased/>
  <w15:docId w15:val="{891C9A86-5883-4AC9-9744-A4EC8349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503</Characters>
  <Application>Microsoft Office Word</Application>
  <DocSecurity>0</DocSecurity>
  <Lines>4</Lines>
  <Paragraphs>1</Paragraphs>
  <ScaleCrop>false</ScaleCrop>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matthieu somon</dc:creator>
  <cp:keywords/>
  <dc:description/>
  <cp:lastModifiedBy>matthieu somon</cp:lastModifiedBy>
  <cp:revision>1</cp:revision>
  <dcterms:created xsi:type="dcterms:W3CDTF">2022-01-18T11:56:00Z</dcterms:created>
  <dcterms:modified xsi:type="dcterms:W3CDTF">2022-01-18T11:56:00Z</dcterms:modified>
</cp:coreProperties>
</file>