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95761" w14:textId="77777777" w:rsidR="005D2A89" w:rsidRPr="00EF044B" w:rsidRDefault="005D2A89" w:rsidP="005D2A89">
      <w:pPr>
        <w:jc w:val="both"/>
        <w:rPr>
          <w:rFonts w:ascii="Cambria" w:hAnsi="Cambria"/>
          <w:lang w:val="fr-BE"/>
        </w:rPr>
      </w:pPr>
      <w:proofErr w:type="spellStart"/>
      <w:r w:rsidRPr="00CB5A3E">
        <w:rPr>
          <w:rFonts w:ascii="Cambria" w:hAnsi="Cambria"/>
          <w:b/>
          <w:bCs/>
          <w:lang w:val="en-US"/>
        </w:rPr>
        <w:t>Robeyns</w:t>
      </w:r>
      <w:proofErr w:type="spellEnd"/>
      <w:r w:rsidRPr="00CB5A3E">
        <w:rPr>
          <w:rFonts w:ascii="Cambria" w:hAnsi="Cambria"/>
          <w:b/>
          <w:bCs/>
          <w:lang w:val="en-US"/>
        </w:rPr>
        <w:t xml:space="preserve"> (Ingrid) – </w:t>
      </w:r>
      <w:proofErr w:type="spellStart"/>
      <w:r w:rsidRPr="008C1242">
        <w:rPr>
          <w:rFonts w:ascii="Cambria" w:hAnsi="Cambria"/>
          <w:b/>
          <w:bCs/>
          <w:i/>
          <w:iCs/>
          <w:lang w:val="en-US"/>
        </w:rPr>
        <w:t>Limitarianism</w:t>
      </w:r>
      <w:proofErr w:type="spellEnd"/>
      <w:r w:rsidRPr="008C1242">
        <w:rPr>
          <w:rFonts w:ascii="Cambria" w:hAnsi="Cambria"/>
          <w:b/>
          <w:bCs/>
          <w:i/>
          <w:iCs/>
          <w:lang w:val="en-US"/>
        </w:rPr>
        <w:t>. The Case Against Extreme Wealth</w:t>
      </w:r>
      <w:r w:rsidRPr="00CB5A3E">
        <w:rPr>
          <w:rFonts w:ascii="Cambria" w:hAnsi="Cambria"/>
          <w:b/>
          <w:bCs/>
          <w:lang w:val="en-US"/>
        </w:rPr>
        <w:t xml:space="preserve">. – </w:t>
      </w:r>
      <w:r w:rsidRPr="008C1242">
        <w:rPr>
          <w:rFonts w:ascii="Cambria" w:hAnsi="Cambria"/>
          <w:lang w:val="en-US"/>
        </w:rPr>
        <w:t xml:space="preserve">New York, Astra House, 2024. </w:t>
      </w:r>
      <w:r w:rsidRPr="00EF044B">
        <w:rPr>
          <w:rFonts w:ascii="Cambria" w:hAnsi="Cambria"/>
          <w:lang w:val="fr-BE"/>
        </w:rPr>
        <w:t>336p. Bibliogr. Index.</w:t>
      </w:r>
    </w:p>
    <w:p w14:paraId="4CF9F2C3" w14:textId="77777777" w:rsidR="005D2A89" w:rsidRDefault="005D2A89" w:rsidP="005D2A89">
      <w:pPr>
        <w:spacing w:before="240"/>
        <w:jc w:val="both"/>
        <w:rPr>
          <w:rFonts w:ascii="Cambria" w:hAnsi="Cambria"/>
          <w:lang w:val="fr-BE"/>
        </w:rPr>
      </w:pPr>
      <w:r>
        <w:rPr>
          <w:rFonts w:ascii="Cambria" w:hAnsi="Cambria"/>
          <w:lang w:val="fr-BE"/>
        </w:rPr>
        <w:t xml:space="preserve">Ingrid </w:t>
      </w:r>
      <w:proofErr w:type="spellStart"/>
      <w:r>
        <w:rPr>
          <w:rFonts w:ascii="Cambria" w:hAnsi="Cambria"/>
          <w:lang w:val="fr-BE"/>
        </w:rPr>
        <w:t>Robeyns</w:t>
      </w:r>
      <w:proofErr w:type="spellEnd"/>
      <w:r>
        <w:rPr>
          <w:rFonts w:ascii="Cambria" w:hAnsi="Cambria"/>
          <w:lang w:val="fr-BE"/>
        </w:rPr>
        <w:t xml:space="preserve"> dédie son livre « </w:t>
      </w:r>
      <w:r w:rsidRPr="005926CA">
        <w:rPr>
          <w:rFonts w:ascii="Cambria" w:hAnsi="Cambria"/>
          <w:i/>
          <w:iCs/>
          <w:lang w:val="fr-BE"/>
        </w:rPr>
        <w:t>À tous les activistes luttant contre l’injustice</w:t>
      </w:r>
      <w:r>
        <w:rPr>
          <w:rFonts w:ascii="Cambria" w:hAnsi="Cambria"/>
          <w:lang w:val="fr-BE"/>
        </w:rPr>
        <w:t xml:space="preserve"> ». C’est une bonne clé de lecture </w:t>
      </w:r>
      <w:r w:rsidRPr="002F2EEE">
        <w:rPr>
          <w:rFonts w:ascii="Cambria" w:hAnsi="Cambria"/>
          <w:lang w:val="fr-BE"/>
        </w:rPr>
        <w:t xml:space="preserve">pour cerner son propos : l’auteure cherche à agir politiquement en nourrissant le débat public, et </w:t>
      </w:r>
      <w:r>
        <w:rPr>
          <w:rFonts w:ascii="Cambria" w:hAnsi="Cambria"/>
          <w:lang w:val="fr-BE"/>
        </w:rPr>
        <w:t>non à prendre position au sein des débats académiques sur la justice distributive. Cela ne l’empêche pas de produire un essai très informé, mobilisant un nombre impressionnant de données empiriques, d’exemples concrets et d’entretiens.</w:t>
      </w:r>
    </w:p>
    <w:p w14:paraId="2BE30A78" w14:textId="4F9B72DA" w:rsidR="005D2A89" w:rsidRDefault="005D2A89" w:rsidP="005D2A89">
      <w:pPr>
        <w:jc w:val="both"/>
        <w:rPr>
          <w:rFonts w:ascii="Cambria" w:hAnsi="Cambria"/>
          <w:lang w:val="fr-BE"/>
        </w:rPr>
      </w:pPr>
      <w:r w:rsidRPr="00A46C5A">
        <w:rPr>
          <w:rFonts w:ascii="Cambria" w:hAnsi="Cambria"/>
          <w:lang w:val="fr-BE"/>
        </w:rPr>
        <w:t xml:space="preserve">Ce qu’elle défend, c’est </w:t>
      </w:r>
      <w:r>
        <w:rPr>
          <w:rFonts w:ascii="Cambria" w:hAnsi="Cambria"/>
          <w:lang w:val="fr-BE"/>
        </w:rPr>
        <w:t xml:space="preserve">la nécessité de </w:t>
      </w:r>
      <w:r w:rsidRPr="00AF3530">
        <w:rPr>
          <w:rFonts w:ascii="Cambria" w:hAnsi="Cambria"/>
          <w:i/>
          <w:iCs/>
          <w:lang w:val="fr-BE"/>
        </w:rPr>
        <w:t>limiter l’extrême-richesse</w:t>
      </w:r>
      <w:r>
        <w:rPr>
          <w:rFonts w:ascii="Cambria" w:hAnsi="Cambria"/>
          <w:lang w:val="fr-BE"/>
        </w:rPr>
        <w:t> : ce qu’elle nomme le « </w:t>
      </w:r>
      <w:proofErr w:type="spellStart"/>
      <w:r w:rsidRPr="00AF3530">
        <w:rPr>
          <w:rFonts w:ascii="Cambria" w:hAnsi="Cambria"/>
          <w:i/>
          <w:iCs/>
          <w:lang w:val="fr-BE"/>
        </w:rPr>
        <w:t>limitarianism</w:t>
      </w:r>
      <w:proofErr w:type="spellEnd"/>
      <w:r w:rsidRPr="00AF3530">
        <w:rPr>
          <w:rFonts w:ascii="Cambria" w:hAnsi="Cambria"/>
          <w:i/>
          <w:iCs/>
          <w:lang w:val="fr-BE"/>
        </w:rPr>
        <w:t> </w:t>
      </w:r>
      <w:r>
        <w:rPr>
          <w:rFonts w:ascii="Cambria" w:hAnsi="Cambria"/>
          <w:lang w:val="fr-BE"/>
        </w:rPr>
        <w:t xml:space="preserve">» (LMT). </w:t>
      </w:r>
      <w:r w:rsidR="00EB470A">
        <w:rPr>
          <w:rFonts w:ascii="Cambria" w:hAnsi="Cambria"/>
          <w:lang w:val="fr-BE"/>
        </w:rPr>
        <w:t xml:space="preserve">Même s’il peut l’inclure </w:t>
      </w:r>
      <w:r w:rsidR="0014306E">
        <w:rPr>
          <w:rFonts w:ascii="Cambria" w:hAnsi="Cambria"/>
          <w:lang w:val="fr-BE"/>
        </w:rPr>
        <w:t>(p. 160),</w:t>
      </w:r>
      <w:r w:rsidR="00EB470A">
        <w:rPr>
          <w:rFonts w:ascii="Cambria" w:hAnsi="Cambria"/>
          <w:lang w:val="fr-BE"/>
        </w:rPr>
        <w:t xml:space="preserve"> le</w:t>
      </w:r>
      <w:r>
        <w:rPr>
          <w:rFonts w:ascii="Cambria" w:hAnsi="Cambria"/>
          <w:lang w:val="fr-BE"/>
        </w:rPr>
        <w:t xml:space="preserve"> LMT ne se réduit pas à une taxation à 100% de la richesse excédant un certain seuil (placé à 10 millions d’euros ; voir chapitre 1), mais à un ensemble de mesures créant une économie incapable de produire des ultra-riches. </w:t>
      </w:r>
      <w:r w:rsidRPr="00F167C6">
        <w:rPr>
          <w:rFonts w:ascii="Cambria" w:hAnsi="Cambria"/>
          <w:lang w:val="fr-BE"/>
        </w:rPr>
        <w:t>Parmi ces mesures, on retrouve des politiques publiques précises (</w:t>
      </w:r>
      <w:r w:rsidR="00EB470A">
        <w:rPr>
          <w:rFonts w:ascii="Cambria" w:hAnsi="Cambria"/>
          <w:lang w:val="fr-BE"/>
        </w:rPr>
        <w:t xml:space="preserve">telles que </w:t>
      </w:r>
      <w:r w:rsidRPr="00F167C6">
        <w:rPr>
          <w:rFonts w:ascii="Cambria" w:hAnsi="Cambria"/>
          <w:lang w:val="fr-BE"/>
        </w:rPr>
        <w:t>redistribuer les héritages au-delà d’un certain seuil, fermer les paradis fiscaux, renforcer les syndicats, mettre en place un service civique obligatoire</w:t>
      </w:r>
      <w:r w:rsidR="00EB470A">
        <w:rPr>
          <w:rFonts w:ascii="Cambria" w:hAnsi="Cambria"/>
          <w:lang w:val="fr-BE"/>
        </w:rPr>
        <w:t>)</w:t>
      </w:r>
      <w:r w:rsidRPr="00F167C6">
        <w:rPr>
          <w:rFonts w:ascii="Cambria" w:hAnsi="Cambria"/>
          <w:lang w:val="fr-BE"/>
        </w:rPr>
        <w:t xml:space="preserve"> contribuant à des objectifs généraux </w:t>
      </w:r>
      <w:r>
        <w:rPr>
          <w:rFonts w:ascii="Cambria" w:hAnsi="Cambria"/>
          <w:lang w:val="fr-BE"/>
        </w:rPr>
        <w:t>(</w:t>
      </w:r>
      <w:r w:rsidR="00EB470A">
        <w:rPr>
          <w:rFonts w:ascii="Cambria" w:hAnsi="Cambria"/>
          <w:lang w:val="fr-BE"/>
        </w:rPr>
        <w:t xml:space="preserve">tels que </w:t>
      </w:r>
      <w:r>
        <w:rPr>
          <w:rFonts w:ascii="Cambria" w:hAnsi="Cambria"/>
          <w:lang w:val="fr-BE"/>
        </w:rPr>
        <w:t>restaurer le pouvoir fiscal des États, lutter contre la ségrégation de classe, démanteler l’idéologie néolibérale</w:t>
      </w:r>
      <w:r w:rsidR="00EB470A">
        <w:rPr>
          <w:rFonts w:ascii="Cambria" w:hAnsi="Cambria"/>
          <w:lang w:val="fr-BE"/>
        </w:rPr>
        <w:t>).</w:t>
      </w:r>
      <w:r>
        <w:rPr>
          <w:rFonts w:ascii="Cambria" w:hAnsi="Cambria"/>
          <w:lang w:val="fr-BE"/>
        </w:rPr>
        <w:t xml:space="preserve"> </w:t>
      </w:r>
    </w:p>
    <w:p w14:paraId="40155916" w14:textId="31D37310" w:rsidR="005D2A89" w:rsidRDefault="005D2A89" w:rsidP="005D2A89">
      <w:pPr>
        <w:jc w:val="both"/>
        <w:rPr>
          <w:rFonts w:ascii="Cambria" w:hAnsi="Cambria"/>
          <w:lang w:val="fr-BE"/>
        </w:rPr>
      </w:pPr>
      <w:r>
        <w:rPr>
          <w:rFonts w:ascii="Cambria" w:hAnsi="Cambria"/>
          <w:lang w:val="fr-BE"/>
        </w:rPr>
        <w:t xml:space="preserve">Ces mesures n’arrivent toutefois qu’en conclusion de l’ouvrage, car le cœur du propos est la </w:t>
      </w:r>
      <w:r w:rsidRPr="00583338">
        <w:rPr>
          <w:rFonts w:ascii="Cambria" w:hAnsi="Cambria"/>
          <w:i/>
          <w:iCs/>
          <w:lang w:val="fr-BE"/>
        </w:rPr>
        <w:t>justification</w:t>
      </w:r>
      <w:r w:rsidRPr="00583338">
        <w:rPr>
          <w:rFonts w:ascii="Cambria" w:hAnsi="Cambria"/>
          <w:lang w:val="fr-BE"/>
        </w:rPr>
        <w:t xml:space="preserve"> du LMT. </w:t>
      </w:r>
      <w:r>
        <w:rPr>
          <w:rFonts w:ascii="Cambria" w:hAnsi="Cambria"/>
          <w:lang w:val="fr-BE"/>
        </w:rPr>
        <w:t xml:space="preserve">Pourquoi vouloir limiter la richesse extrême ? Pour beaucoup, le fait que des centaines de millions de personnes souffrent de la faim quand d’autres possèdent des milliards qu’ils utilisent pour faire du tourisme spatial suffit à justifier le LMT </w:t>
      </w:r>
      <w:r w:rsidR="0014306E">
        <w:rPr>
          <w:rFonts w:ascii="Cambria" w:hAnsi="Cambria"/>
          <w:lang w:val="fr-BE"/>
        </w:rPr>
        <w:t>(p. 148). Il</w:t>
      </w:r>
      <w:r>
        <w:rPr>
          <w:rFonts w:ascii="Cambria" w:hAnsi="Cambria"/>
          <w:lang w:val="fr-BE"/>
        </w:rPr>
        <w:t xml:space="preserve"> y a cependant bien d’autres raisons </w:t>
      </w:r>
      <w:r w:rsidRPr="00A91EA2">
        <w:rPr>
          <w:rFonts w:ascii="Cambria" w:hAnsi="Cambria"/>
          <w:lang w:val="fr-BE"/>
        </w:rPr>
        <w:t xml:space="preserve">d’y adhérer. </w:t>
      </w:r>
    </w:p>
    <w:p w14:paraId="0E078360" w14:textId="7FF1181B" w:rsidR="005D2A89" w:rsidRDefault="005D2A89" w:rsidP="005D2A89">
      <w:pPr>
        <w:jc w:val="both"/>
        <w:rPr>
          <w:rFonts w:ascii="Cambria" w:hAnsi="Cambria"/>
          <w:lang w:val="fr-BE"/>
        </w:rPr>
      </w:pPr>
      <w:r>
        <w:rPr>
          <w:rFonts w:ascii="Cambria" w:hAnsi="Cambria"/>
          <w:lang w:val="fr-BE"/>
        </w:rPr>
        <w:t xml:space="preserve">Une première série d’arguments consiste à souligner les effets délétères de l’extrême-richesse. En privant l’État de ressources, celle-ci maintient une partie de la population dans la pauvreté, alors que les inégalités explosent (chap. 2). En permettant de financer </w:t>
      </w:r>
      <w:r w:rsidRPr="00F167C6">
        <w:rPr>
          <w:rFonts w:ascii="Cambria" w:hAnsi="Cambria"/>
          <w:lang w:val="fr-BE"/>
        </w:rPr>
        <w:t xml:space="preserve">des parties politiques et des campagnes électorales, d’influencer les prises de décisions par du lobbying, ou en rendant possible la construction d’empires médiatiques, la richesse excessive menace </w:t>
      </w:r>
      <w:r>
        <w:rPr>
          <w:rFonts w:ascii="Cambria" w:hAnsi="Cambria"/>
          <w:lang w:val="fr-BE"/>
        </w:rPr>
        <w:t xml:space="preserve">sérieusement nos systèmes politiques. Elle viole l’idéal d’égalité politique (chap. 4). Cette capture de </w:t>
      </w:r>
      <w:r w:rsidR="00EB470A">
        <w:rPr>
          <w:rFonts w:ascii="Cambria" w:hAnsi="Cambria"/>
          <w:lang w:val="fr-BE"/>
        </w:rPr>
        <w:t>nos démocraties</w:t>
      </w:r>
      <w:r>
        <w:rPr>
          <w:rFonts w:ascii="Cambria" w:hAnsi="Cambria"/>
          <w:lang w:val="fr-BE"/>
        </w:rPr>
        <w:t xml:space="preserve"> par les plus riches a des effets dévastateurs, particulièrement l’absence d’une politique efficace de lutte contre le changement climatique. Car les plus riches sont ceux qui polluent le plus ; ils feront partie des « perdants » des mesures de transition écologique ; en conséquence, ils s’organisent afin de lutter contre des politiques climatiques ambitieuses (chap. 5). Limiter l’extrême-richesse permettrait, selon I. </w:t>
      </w:r>
      <w:proofErr w:type="spellStart"/>
      <w:r>
        <w:rPr>
          <w:rFonts w:ascii="Cambria" w:hAnsi="Cambria"/>
          <w:lang w:val="fr-BE"/>
        </w:rPr>
        <w:t>Robeyns</w:t>
      </w:r>
      <w:proofErr w:type="spellEnd"/>
      <w:r>
        <w:rPr>
          <w:rFonts w:ascii="Cambria" w:hAnsi="Cambria"/>
          <w:lang w:val="fr-BE"/>
        </w:rPr>
        <w:t>, de débloquer des fonds afin d’améliorer les services publics et de lutter contre la pauvreté et le changement climatique (chap. 7) – tout en rendant plus égalitaires nos systèmes politiques.</w:t>
      </w:r>
    </w:p>
    <w:p w14:paraId="5147C04F" w14:textId="3BB87C5D" w:rsidR="005D2A89" w:rsidRDefault="005D2A89" w:rsidP="005D2A89">
      <w:pPr>
        <w:jc w:val="both"/>
        <w:rPr>
          <w:rFonts w:ascii="Cambria" w:hAnsi="Cambria"/>
          <w:lang w:val="fr-BE"/>
        </w:rPr>
      </w:pPr>
      <w:r>
        <w:rPr>
          <w:rFonts w:ascii="Cambria" w:hAnsi="Cambria"/>
          <w:lang w:val="fr-BE"/>
        </w:rPr>
        <w:t>Mais il y a aussi des raisons de principe de s’opposer à l’accumulation indéfinie de richesses. D’une part, de nombreuses personnes ont accumulé leur fortune de façon immorale, voire illégale (chap. 3). Au-delà des fortunes construites par exemple sur l’esclavage</w:t>
      </w:r>
      <w:r>
        <w:rPr>
          <w:rFonts w:ascii="Cambria" w:hAnsi="Cambria"/>
          <w:color w:val="FFC000"/>
          <w:lang w:val="fr-BE"/>
        </w:rPr>
        <w:t xml:space="preserve"> </w:t>
      </w:r>
      <w:r>
        <w:rPr>
          <w:rFonts w:ascii="Cambria" w:hAnsi="Cambria"/>
          <w:lang w:val="fr-BE"/>
        </w:rPr>
        <w:t xml:space="preserve">ou la vente d’opioïdes </w:t>
      </w:r>
      <w:r w:rsidRPr="00F167C6">
        <w:rPr>
          <w:rFonts w:ascii="Cambria" w:hAnsi="Cambria"/>
          <w:lang w:val="fr-BE"/>
        </w:rPr>
        <w:t>(</w:t>
      </w:r>
      <w:r>
        <w:rPr>
          <w:rFonts w:ascii="Cambria" w:hAnsi="Cambria"/>
          <w:lang w:val="fr-BE"/>
        </w:rPr>
        <w:t xml:space="preserve">comme </w:t>
      </w:r>
      <w:r w:rsidRPr="00F167C6">
        <w:rPr>
          <w:rFonts w:ascii="Cambria" w:hAnsi="Cambria"/>
          <w:lang w:val="fr-BE"/>
        </w:rPr>
        <w:t xml:space="preserve">les </w:t>
      </w:r>
      <w:proofErr w:type="spellStart"/>
      <w:r w:rsidRPr="00F167C6">
        <w:rPr>
          <w:rFonts w:ascii="Cambria" w:hAnsi="Cambria"/>
          <w:lang w:val="fr-BE"/>
        </w:rPr>
        <w:t>Sacklers</w:t>
      </w:r>
      <w:proofErr w:type="spellEnd"/>
      <w:r w:rsidRPr="00F167C6">
        <w:rPr>
          <w:rFonts w:ascii="Cambria" w:hAnsi="Cambria"/>
          <w:lang w:val="fr-BE"/>
        </w:rPr>
        <w:t xml:space="preserve">), </w:t>
      </w:r>
      <w:r>
        <w:rPr>
          <w:rFonts w:ascii="Cambria" w:hAnsi="Cambria"/>
          <w:lang w:val="fr-BE"/>
        </w:rPr>
        <w:t xml:space="preserve">l’auteure souligne à force d’exemples que de nombreuses entreprises engrangent des bénéfices au détriment de </w:t>
      </w:r>
      <w:r>
        <w:rPr>
          <w:rFonts w:ascii="Cambria" w:hAnsi="Cambria"/>
          <w:lang w:val="fr-BE"/>
        </w:rPr>
        <w:lastRenderedPageBreak/>
        <w:t xml:space="preserve">l’environnement ou des droits des travailleurs. Plus fondamentalement, la plupart des ultra-riches ont acquis leur fortune en bénéficiant de systèmes de taxation injustes – taxant par exemple plus le travail que le capital – ainsi que de systèmes judiciaires implémentant peu les lois contre l’évasion fiscale et punissant faiblement cette dernière. D’autre part, l’auteure se confronte à l’épineuse question du mérite (chap. 6) : peut-on affirmer que certains ultra-riches méritent leur fortune, et devraient donc pouvoir la conserver ? En passant en revue différentes justifications possibles – la difficulté du travail, le talent, la performance,… – I. </w:t>
      </w:r>
      <w:proofErr w:type="spellStart"/>
      <w:r>
        <w:rPr>
          <w:rFonts w:ascii="Cambria" w:hAnsi="Cambria"/>
          <w:lang w:val="fr-BE"/>
        </w:rPr>
        <w:t>Robeyns</w:t>
      </w:r>
      <w:proofErr w:type="spellEnd"/>
      <w:r>
        <w:rPr>
          <w:rFonts w:ascii="Cambria" w:hAnsi="Cambria"/>
          <w:lang w:val="fr-BE"/>
        </w:rPr>
        <w:t xml:space="preserve"> nous convainc que si des différences de salaires peuvent être justifiées, elles ne le seront jamais dans les proportions actuelles (</w:t>
      </w:r>
      <w:r w:rsidRPr="002674A2">
        <w:rPr>
          <w:rFonts w:ascii="Cambria" w:hAnsi="Cambria"/>
          <w:lang w:val="fr-BE"/>
        </w:rPr>
        <w:t xml:space="preserve">un CEO </w:t>
      </w:r>
      <w:r>
        <w:rPr>
          <w:rFonts w:ascii="Cambria" w:hAnsi="Cambria"/>
          <w:lang w:val="fr-BE"/>
        </w:rPr>
        <w:t>gagnant fréquemment</w:t>
      </w:r>
      <w:r w:rsidRPr="002674A2">
        <w:rPr>
          <w:rFonts w:ascii="Cambria" w:hAnsi="Cambria"/>
          <w:lang w:val="fr-BE"/>
        </w:rPr>
        <w:t xml:space="preserve"> 250 fois la paie d’une </w:t>
      </w:r>
      <w:r>
        <w:rPr>
          <w:rFonts w:ascii="Cambria" w:hAnsi="Cambria"/>
          <w:lang w:val="fr-BE"/>
        </w:rPr>
        <w:t>puéricultrice,</w:t>
      </w:r>
      <w:r w:rsidRPr="002674A2">
        <w:rPr>
          <w:rFonts w:ascii="Cambria" w:hAnsi="Cambria"/>
          <w:lang w:val="fr-BE"/>
        </w:rPr>
        <w:t xml:space="preserve"> </w:t>
      </w:r>
      <w:r w:rsidR="006255C9">
        <w:rPr>
          <w:rFonts w:ascii="Cambria" w:hAnsi="Cambria"/>
          <w:lang w:val="fr-BE"/>
        </w:rPr>
        <w:t>p. 127).</w:t>
      </w:r>
      <w:r>
        <w:rPr>
          <w:rFonts w:ascii="Cambria" w:hAnsi="Cambria"/>
          <w:lang w:val="fr-BE"/>
        </w:rPr>
        <w:t xml:space="preserve"> </w:t>
      </w:r>
    </w:p>
    <w:p w14:paraId="48A966A6" w14:textId="544873CC" w:rsidR="005D2A89" w:rsidRDefault="005D2A89" w:rsidP="005D2A89">
      <w:pPr>
        <w:jc w:val="both"/>
        <w:rPr>
          <w:rFonts w:ascii="Cambria" w:hAnsi="Cambria"/>
          <w:lang w:val="fr-BE"/>
        </w:rPr>
      </w:pPr>
      <w:r>
        <w:rPr>
          <w:rFonts w:ascii="Cambria" w:hAnsi="Cambria"/>
          <w:lang w:val="fr-BE"/>
        </w:rPr>
        <w:t xml:space="preserve">Ce point révèle une seconde force de l’ouvrage : I. </w:t>
      </w:r>
      <w:proofErr w:type="spellStart"/>
      <w:r>
        <w:rPr>
          <w:rFonts w:ascii="Cambria" w:hAnsi="Cambria"/>
          <w:lang w:val="fr-BE"/>
        </w:rPr>
        <w:t>Robeyns</w:t>
      </w:r>
      <w:proofErr w:type="spellEnd"/>
      <w:r>
        <w:rPr>
          <w:rFonts w:ascii="Cambria" w:hAnsi="Cambria"/>
          <w:lang w:val="fr-BE"/>
        </w:rPr>
        <w:t xml:space="preserve"> ne rechigne en rien à s’engager dans des discussions philosophiques de fond. Car déterminer ce qu’une personne mérite implique de discuter des conditions, toujours collectives, de production de la richesse, ou </w:t>
      </w:r>
      <w:r w:rsidRPr="00751479">
        <w:rPr>
          <w:rFonts w:ascii="Cambria" w:hAnsi="Cambria"/>
          <w:lang w:val="fr-BE"/>
        </w:rPr>
        <w:t xml:space="preserve">de la part de responsabilité et de déterminisme dans nos actions. </w:t>
      </w:r>
      <w:r>
        <w:rPr>
          <w:rFonts w:ascii="Cambria" w:hAnsi="Cambria"/>
          <w:lang w:val="fr-BE"/>
        </w:rPr>
        <w:t xml:space="preserve">Prenant le temps </w:t>
      </w:r>
      <w:r w:rsidR="002B3BA3">
        <w:rPr>
          <w:rFonts w:ascii="Cambria" w:hAnsi="Cambria"/>
          <w:lang w:val="fr-BE"/>
        </w:rPr>
        <w:t xml:space="preserve">de justifier </w:t>
      </w:r>
      <w:r>
        <w:rPr>
          <w:rFonts w:ascii="Cambria" w:hAnsi="Cambria"/>
          <w:lang w:val="fr-BE"/>
        </w:rPr>
        <w:t>ses axiomes, l’auteure ne présuppose donc pas une adhésion aveugle à ceux-ci.</w:t>
      </w:r>
    </w:p>
    <w:p w14:paraId="25D3C0E1" w14:textId="77777777" w:rsidR="005D2A89" w:rsidRDefault="005D2A89" w:rsidP="005D2A89">
      <w:pPr>
        <w:jc w:val="both"/>
        <w:rPr>
          <w:rFonts w:ascii="Cambria" w:hAnsi="Cambria"/>
          <w:lang w:val="fr-BE"/>
        </w:rPr>
      </w:pPr>
      <w:r>
        <w:rPr>
          <w:rFonts w:ascii="Cambria" w:hAnsi="Cambria"/>
          <w:lang w:val="fr-BE"/>
        </w:rPr>
        <w:t xml:space="preserve">L’ouvrage combine richesse empirique et argumentation philosophique solide. Toutefois, une question stratégique reste en suspens  : pour implémenter le LMT et en tirer tous les bénéfices, il est nécessaire d’avoir un État démocratique solide, minimalement orienté vers la justice. Or, beaucoup d’États (par exemple en Europe) sont grevés par un déficit démocratique </w:t>
      </w:r>
      <w:r w:rsidRPr="00F167C6">
        <w:rPr>
          <w:rFonts w:ascii="Cambria" w:hAnsi="Cambria"/>
          <w:lang w:val="fr-BE"/>
        </w:rPr>
        <w:t>certain, notamment à cause de l’influence de l’argent sur les processus décisionnels</w:t>
      </w:r>
      <w:r>
        <w:rPr>
          <w:rFonts w:ascii="Cambria" w:hAnsi="Cambria"/>
          <w:lang w:val="fr-BE"/>
        </w:rPr>
        <w:t xml:space="preserve"> – on voit le cercle vicieux.</w:t>
      </w:r>
      <w:r w:rsidRPr="00F167C6">
        <w:rPr>
          <w:rFonts w:ascii="Cambria" w:hAnsi="Cambria"/>
          <w:lang w:val="fr-BE"/>
        </w:rPr>
        <w:t xml:space="preserve"> En bref, si le LMT est nécessaire, comment en assurer les conditions ? </w:t>
      </w:r>
    </w:p>
    <w:p w14:paraId="479B31A8" w14:textId="77777777" w:rsidR="005D2A89" w:rsidRDefault="005D2A89" w:rsidP="005D2A89">
      <w:pPr>
        <w:jc w:val="both"/>
        <w:rPr>
          <w:rFonts w:ascii="Cambria" w:hAnsi="Cambria"/>
          <w:lang w:val="fr-BE"/>
        </w:rPr>
      </w:pPr>
    </w:p>
    <w:p w14:paraId="27CCE388" w14:textId="77777777" w:rsidR="005D2A89" w:rsidRPr="00C402B0" w:rsidRDefault="005D2A89" w:rsidP="005D2A89">
      <w:pPr>
        <w:spacing w:after="0"/>
        <w:jc w:val="right"/>
        <w:rPr>
          <w:rFonts w:ascii="Cambria" w:hAnsi="Cambria"/>
          <w:i/>
          <w:iCs/>
          <w:lang w:val="fr-BE"/>
        </w:rPr>
      </w:pPr>
      <w:r w:rsidRPr="00C402B0">
        <w:rPr>
          <w:rFonts w:ascii="Cambria" w:hAnsi="Cambria"/>
          <w:i/>
          <w:iCs/>
          <w:lang w:val="fr-BE"/>
        </w:rPr>
        <w:t xml:space="preserve">Amaël </w:t>
      </w:r>
      <w:proofErr w:type="spellStart"/>
      <w:r w:rsidRPr="00C402B0">
        <w:rPr>
          <w:rFonts w:ascii="Cambria" w:hAnsi="Cambria"/>
          <w:i/>
          <w:iCs/>
          <w:lang w:val="fr-BE"/>
        </w:rPr>
        <w:t>Maskens</w:t>
      </w:r>
      <w:proofErr w:type="spellEnd"/>
    </w:p>
    <w:p w14:paraId="7A41A8A7" w14:textId="77777777" w:rsidR="005D2A89" w:rsidRPr="00C402B0" w:rsidRDefault="005D2A89" w:rsidP="005D2A89">
      <w:pPr>
        <w:spacing w:after="0"/>
        <w:jc w:val="right"/>
        <w:rPr>
          <w:i/>
          <w:iCs/>
          <w:lang w:val="fr-BE"/>
        </w:rPr>
      </w:pPr>
      <w:proofErr w:type="spellStart"/>
      <w:r w:rsidRPr="00C402B0">
        <w:rPr>
          <w:rFonts w:ascii="Cambria" w:hAnsi="Cambria"/>
          <w:i/>
          <w:iCs/>
          <w:lang w:val="fr-BE"/>
        </w:rPr>
        <w:t>UCLouvain</w:t>
      </w:r>
      <w:proofErr w:type="spellEnd"/>
      <w:r w:rsidRPr="00C402B0">
        <w:rPr>
          <w:rFonts w:ascii="Cambria" w:hAnsi="Cambria"/>
          <w:i/>
          <w:iCs/>
          <w:lang w:val="fr-BE"/>
        </w:rPr>
        <w:t>, Chaire Hoover/Institut Supérieur de Philosophie</w:t>
      </w:r>
    </w:p>
    <w:p w14:paraId="37FA700E" w14:textId="77777777" w:rsidR="00BC2877" w:rsidRDefault="00BC2877"/>
    <w:sectPr w:rsidR="00BC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A89"/>
    <w:rsid w:val="00103E9F"/>
    <w:rsid w:val="0014306E"/>
    <w:rsid w:val="002B3BA3"/>
    <w:rsid w:val="002E7E82"/>
    <w:rsid w:val="00422103"/>
    <w:rsid w:val="005D2A89"/>
    <w:rsid w:val="006255C9"/>
    <w:rsid w:val="00772487"/>
    <w:rsid w:val="00BC2877"/>
    <w:rsid w:val="00C17565"/>
    <w:rsid w:val="00E37F3C"/>
    <w:rsid w:val="00EB470A"/>
    <w:rsid w:val="00F5137E"/>
    <w:rsid w:val="00F76DB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EFB2"/>
  <w15:chartTrackingRefBased/>
  <w15:docId w15:val="{AF610202-7C33-44BF-9C5B-4055EB6B8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A89"/>
    <w:rPr>
      <w:lang w:val="en-GB"/>
    </w:rPr>
  </w:style>
  <w:style w:type="paragraph" w:styleId="Titre1">
    <w:name w:val="heading 1"/>
    <w:basedOn w:val="Normal"/>
    <w:next w:val="Normal"/>
    <w:link w:val="Titre1Car"/>
    <w:uiPriority w:val="9"/>
    <w:qFormat/>
    <w:rsid w:val="005D2A89"/>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Titre2">
    <w:name w:val="heading 2"/>
    <w:basedOn w:val="Normal"/>
    <w:next w:val="Normal"/>
    <w:link w:val="Titre2Car"/>
    <w:uiPriority w:val="9"/>
    <w:semiHidden/>
    <w:unhideWhenUsed/>
    <w:qFormat/>
    <w:rsid w:val="005D2A89"/>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Titre3">
    <w:name w:val="heading 3"/>
    <w:basedOn w:val="Normal"/>
    <w:next w:val="Normal"/>
    <w:link w:val="Titre3Car"/>
    <w:uiPriority w:val="9"/>
    <w:semiHidden/>
    <w:unhideWhenUsed/>
    <w:qFormat/>
    <w:rsid w:val="005D2A89"/>
    <w:pPr>
      <w:keepNext/>
      <w:keepLines/>
      <w:spacing w:before="160" w:after="80"/>
      <w:outlineLvl w:val="2"/>
    </w:pPr>
    <w:rPr>
      <w:rFonts w:eastAsiaTheme="majorEastAsia" w:cstheme="majorBidi"/>
      <w:color w:val="0F4761" w:themeColor="accent1" w:themeShade="BF"/>
      <w:sz w:val="28"/>
      <w:szCs w:val="28"/>
      <w:lang w:val="en-US"/>
    </w:rPr>
  </w:style>
  <w:style w:type="paragraph" w:styleId="Titre4">
    <w:name w:val="heading 4"/>
    <w:basedOn w:val="Normal"/>
    <w:next w:val="Normal"/>
    <w:link w:val="Titre4Car"/>
    <w:uiPriority w:val="9"/>
    <w:semiHidden/>
    <w:unhideWhenUsed/>
    <w:qFormat/>
    <w:rsid w:val="005D2A89"/>
    <w:pPr>
      <w:keepNext/>
      <w:keepLines/>
      <w:spacing w:before="80" w:after="40"/>
      <w:outlineLvl w:val="3"/>
    </w:pPr>
    <w:rPr>
      <w:rFonts w:eastAsiaTheme="majorEastAsia" w:cstheme="majorBidi"/>
      <w:i/>
      <w:iCs/>
      <w:color w:val="0F4761" w:themeColor="accent1" w:themeShade="BF"/>
      <w:lang w:val="en-US"/>
    </w:rPr>
  </w:style>
  <w:style w:type="paragraph" w:styleId="Titre5">
    <w:name w:val="heading 5"/>
    <w:basedOn w:val="Normal"/>
    <w:next w:val="Normal"/>
    <w:link w:val="Titre5Car"/>
    <w:uiPriority w:val="9"/>
    <w:semiHidden/>
    <w:unhideWhenUsed/>
    <w:qFormat/>
    <w:rsid w:val="005D2A89"/>
    <w:pPr>
      <w:keepNext/>
      <w:keepLines/>
      <w:spacing w:before="80" w:after="40"/>
      <w:outlineLvl w:val="4"/>
    </w:pPr>
    <w:rPr>
      <w:rFonts w:eastAsiaTheme="majorEastAsia" w:cstheme="majorBidi"/>
      <w:color w:val="0F4761" w:themeColor="accent1" w:themeShade="BF"/>
      <w:lang w:val="en-US"/>
    </w:rPr>
  </w:style>
  <w:style w:type="paragraph" w:styleId="Titre6">
    <w:name w:val="heading 6"/>
    <w:basedOn w:val="Normal"/>
    <w:next w:val="Normal"/>
    <w:link w:val="Titre6Car"/>
    <w:uiPriority w:val="9"/>
    <w:semiHidden/>
    <w:unhideWhenUsed/>
    <w:qFormat/>
    <w:rsid w:val="005D2A89"/>
    <w:pPr>
      <w:keepNext/>
      <w:keepLines/>
      <w:spacing w:before="40" w:after="0"/>
      <w:outlineLvl w:val="5"/>
    </w:pPr>
    <w:rPr>
      <w:rFonts w:eastAsiaTheme="majorEastAsia" w:cstheme="majorBidi"/>
      <w:i/>
      <w:iCs/>
      <w:color w:val="595959" w:themeColor="text1" w:themeTint="A6"/>
      <w:lang w:val="en-US"/>
    </w:rPr>
  </w:style>
  <w:style w:type="paragraph" w:styleId="Titre7">
    <w:name w:val="heading 7"/>
    <w:basedOn w:val="Normal"/>
    <w:next w:val="Normal"/>
    <w:link w:val="Titre7Car"/>
    <w:uiPriority w:val="9"/>
    <w:semiHidden/>
    <w:unhideWhenUsed/>
    <w:qFormat/>
    <w:rsid w:val="005D2A89"/>
    <w:pPr>
      <w:keepNext/>
      <w:keepLines/>
      <w:spacing w:before="40" w:after="0"/>
      <w:outlineLvl w:val="6"/>
    </w:pPr>
    <w:rPr>
      <w:rFonts w:eastAsiaTheme="majorEastAsia" w:cstheme="majorBidi"/>
      <w:color w:val="595959" w:themeColor="text1" w:themeTint="A6"/>
      <w:lang w:val="en-US"/>
    </w:rPr>
  </w:style>
  <w:style w:type="paragraph" w:styleId="Titre8">
    <w:name w:val="heading 8"/>
    <w:basedOn w:val="Normal"/>
    <w:next w:val="Normal"/>
    <w:link w:val="Titre8Car"/>
    <w:uiPriority w:val="9"/>
    <w:semiHidden/>
    <w:unhideWhenUsed/>
    <w:qFormat/>
    <w:rsid w:val="005D2A89"/>
    <w:pPr>
      <w:keepNext/>
      <w:keepLines/>
      <w:spacing w:after="0"/>
      <w:outlineLvl w:val="7"/>
    </w:pPr>
    <w:rPr>
      <w:rFonts w:eastAsiaTheme="majorEastAsia" w:cstheme="majorBidi"/>
      <w:i/>
      <w:iCs/>
      <w:color w:val="272727" w:themeColor="text1" w:themeTint="D8"/>
      <w:lang w:val="en-US"/>
    </w:rPr>
  </w:style>
  <w:style w:type="paragraph" w:styleId="Titre9">
    <w:name w:val="heading 9"/>
    <w:basedOn w:val="Normal"/>
    <w:next w:val="Normal"/>
    <w:link w:val="Titre9Car"/>
    <w:uiPriority w:val="9"/>
    <w:semiHidden/>
    <w:unhideWhenUsed/>
    <w:qFormat/>
    <w:rsid w:val="005D2A89"/>
    <w:pPr>
      <w:keepNext/>
      <w:keepLines/>
      <w:spacing w:after="0"/>
      <w:outlineLvl w:val="8"/>
    </w:pPr>
    <w:rPr>
      <w:rFonts w:eastAsiaTheme="majorEastAsia" w:cstheme="majorBidi"/>
      <w:color w:val="272727" w:themeColor="text1" w:themeTint="D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D2A89"/>
    <w:rPr>
      <w:rFonts w:asciiTheme="majorHAnsi" w:eastAsiaTheme="majorEastAsia" w:hAnsiTheme="majorHAnsi" w:cstheme="majorBidi"/>
      <w:color w:val="0F4761" w:themeColor="accent1" w:themeShade="BF"/>
      <w:sz w:val="40"/>
      <w:szCs w:val="40"/>
      <w:lang w:val="en-US"/>
    </w:rPr>
  </w:style>
  <w:style w:type="character" w:customStyle="1" w:styleId="Titre2Car">
    <w:name w:val="Titre 2 Car"/>
    <w:basedOn w:val="Policepardfaut"/>
    <w:link w:val="Titre2"/>
    <w:uiPriority w:val="9"/>
    <w:semiHidden/>
    <w:rsid w:val="005D2A89"/>
    <w:rPr>
      <w:rFonts w:asciiTheme="majorHAnsi" w:eastAsiaTheme="majorEastAsia" w:hAnsiTheme="majorHAnsi" w:cstheme="majorBidi"/>
      <w:color w:val="0F4761" w:themeColor="accent1" w:themeShade="BF"/>
      <w:sz w:val="32"/>
      <w:szCs w:val="32"/>
      <w:lang w:val="en-US"/>
    </w:rPr>
  </w:style>
  <w:style w:type="character" w:customStyle="1" w:styleId="Titre3Car">
    <w:name w:val="Titre 3 Car"/>
    <w:basedOn w:val="Policepardfaut"/>
    <w:link w:val="Titre3"/>
    <w:uiPriority w:val="9"/>
    <w:semiHidden/>
    <w:rsid w:val="005D2A89"/>
    <w:rPr>
      <w:rFonts w:eastAsiaTheme="majorEastAsia" w:cstheme="majorBidi"/>
      <w:color w:val="0F4761" w:themeColor="accent1" w:themeShade="BF"/>
      <w:sz w:val="28"/>
      <w:szCs w:val="28"/>
      <w:lang w:val="en-US"/>
    </w:rPr>
  </w:style>
  <w:style w:type="character" w:customStyle="1" w:styleId="Titre4Car">
    <w:name w:val="Titre 4 Car"/>
    <w:basedOn w:val="Policepardfaut"/>
    <w:link w:val="Titre4"/>
    <w:uiPriority w:val="9"/>
    <w:semiHidden/>
    <w:rsid w:val="005D2A89"/>
    <w:rPr>
      <w:rFonts w:eastAsiaTheme="majorEastAsia" w:cstheme="majorBidi"/>
      <w:i/>
      <w:iCs/>
      <w:color w:val="0F4761" w:themeColor="accent1" w:themeShade="BF"/>
      <w:lang w:val="en-US"/>
    </w:rPr>
  </w:style>
  <w:style w:type="character" w:customStyle="1" w:styleId="Titre5Car">
    <w:name w:val="Titre 5 Car"/>
    <w:basedOn w:val="Policepardfaut"/>
    <w:link w:val="Titre5"/>
    <w:uiPriority w:val="9"/>
    <w:semiHidden/>
    <w:rsid w:val="005D2A89"/>
    <w:rPr>
      <w:rFonts w:eastAsiaTheme="majorEastAsia" w:cstheme="majorBidi"/>
      <w:color w:val="0F4761" w:themeColor="accent1" w:themeShade="BF"/>
      <w:lang w:val="en-US"/>
    </w:rPr>
  </w:style>
  <w:style w:type="character" w:customStyle="1" w:styleId="Titre6Car">
    <w:name w:val="Titre 6 Car"/>
    <w:basedOn w:val="Policepardfaut"/>
    <w:link w:val="Titre6"/>
    <w:uiPriority w:val="9"/>
    <w:semiHidden/>
    <w:rsid w:val="005D2A89"/>
    <w:rPr>
      <w:rFonts w:eastAsiaTheme="majorEastAsia" w:cstheme="majorBidi"/>
      <w:i/>
      <w:iCs/>
      <w:color w:val="595959" w:themeColor="text1" w:themeTint="A6"/>
      <w:lang w:val="en-US"/>
    </w:rPr>
  </w:style>
  <w:style w:type="character" w:customStyle="1" w:styleId="Titre7Car">
    <w:name w:val="Titre 7 Car"/>
    <w:basedOn w:val="Policepardfaut"/>
    <w:link w:val="Titre7"/>
    <w:uiPriority w:val="9"/>
    <w:semiHidden/>
    <w:rsid w:val="005D2A89"/>
    <w:rPr>
      <w:rFonts w:eastAsiaTheme="majorEastAsia" w:cstheme="majorBidi"/>
      <w:color w:val="595959" w:themeColor="text1" w:themeTint="A6"/>
      <w:lang w:val="en-US"/>
    </w:rPr>
  </w:style>
  <w:style w:type="character" w:customStyle="1" w:styleId="Titre8Car">
    <w:name w:val="Titre 8 Car"/>
    <w:basedOn w:val="Policepardfaut"/>
    <w:link w:val="Titre8"/>
    <w:uiPriority w:val="9"/>
    <w:semiHidden/>
    <w:rsid w:val="005D2A89"/>
    <w:rPr>
      <w:rFonts w:eastAsiaTheme="majorEastAsia" w:cstheme="majorBidi"/>
      <w:i/>
      <w:iCs/>
      <w:color w:val="272727" w:themeColor="text1" w:themeTint="D8"/>
      <w:lang w:val="en-US"/>
    </w:rPr>
  </w:style>
  <w:style w:type="character" w:customStyle="1" w:styleId="Titre9Car">
    <w:name w:val="Titre 9 Car"/>
    <w:basedOn w:val="Policepardfaut"/>
    <w:link w:val="Titre9"/>
    <w:uiPriority w:val="9"/>
    <w:semiHidden/>
    <w:rsid w:val="005D2A89"/>
    <w:rPr>
      <w:rFonts w:eastAsiaTheme="majorEastAsia" w:cstheme="majorBidi"/>
      <w:color w:val="272727" w:themeColor="text1" w:themeTint="D8"/>
      <w:lang w:val="en-US"/>
    </w:rPr>
  </w:style>
  <w:style w:type="paragraph" w:styleId="Titre">
    <w:name w:val="Title"/>
    <w:basedOn w:val="Normal"/>
    <w:next w:val="Normal"/>
    <w:link w:val="TitreCar"/>
    <w:uiPriority w:val="10"/>
    <w:qFormat/>
    <w:rsid w:val="005D2A89"/>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reCar">
    <w:name w:val="Titre Car"/>
    <w:basedOn w:val="Policepardfaut"/>
    <w:link w:val="Titre"/>
    <w:uiPriority w:val="10"/>
    <w:rsid w:val="005D2A89"/>
    <w:rPr>
      <w:rFonts w:asciiTheme="majorHAnsi" w:eastAsiaTheme="majorEastAsia" w:hAnsiTheme="majorHAnsi" w:cstheme="majorBidi"/>
      <w:spacing w:val="-10"/>
      <w:kern w:val="28"/>
      <w:sz w:val="56"/>
      <w:szCs w:val="56"/>
      <w:lang w:val="en-US"/>
    </w:rPr>
  </w:style>
  <w:style w:type="paragraph" w:styleId="Sous-titre">
    <w:name w:val="Subtitle"/>
    <w:basedOn w:val="Normal"/>
    <w:next w:val="Normal"/>
    <w:link w:val="Sous-titreCar"/>
    <w:uiPriority w:val="11"/>
    <w:qFormat/>
    <w:rsid w:val="005D2A89"/>
    <w:pPr>
      <w:numPr>
        <w:ilvl w:val="1"/>
      </w:numPr>
    </w:pPr>
    <w:rPr>
      <w:rFonts w:eastAsiaTheme="majorEastAsia" w:cstheme="majorBidi"/>
      <w:color w:val="595959" w:themeColor="text1" w:themeTint="A6"/>
      <w:spacing w:val="15"/>
      <w:sz w:val="28"/>
      <w:szCs w:val="28"/>
      <w:lang w:val="en-US"/>
    </w:rPr>
  </w:style>
  <w:style w:type="character" w:customStyle="1" w:styleId="Sous-titreCar">
    <w:name w:val="Sous-titre Car"/>
    <w:basedOn w:val="Policepardfaut"/>
    <w:link w:val="Sous-titre"/>
    <w:uiPriority w:val="11"/>
    <w:rsid w:val="005D2A89"/>
    <w:rPr>
      <w:rFonts w:eastAsiaTheme="majorEastAsia" w:cstheme="majorBidi"/>
      <w:color w:val="595959" w:themeColor="text1" w:themeTint="A6"/>
      <w:spacing w:val="15"/>
      <w:sz w:val="28"/>
      <w:szCs w:val="28"/>
      <w:lang w:val="en-US"/>
    </w:rPr>
  </w:style>
  <w:style w:type="paragraph" w:styleId="Citation">
    <w:name w:val="Quote"/>
    <w:basedOn w:val="Normal"/>
    <w:next w:val="Normal"/>
    <w:link w:val="CitationCar"/>
    <w:uiPriority w:val="29"/>
    <w:qFormat/>
    <w:rsid w:val="005D2A89"/>
    <w:pPr>
      <w:spacing w:before="160"/>
      <w:jc w:val="center"/>
    </w:pPr>
    <w:rPr>
      <w:i/>
      <w:iCs/>
      <w:color w:val="404040" w:themeColor="text1" w:themeTint="BF"/>
      <w:lang w:val="en-US"/>
    </w:rPr>
  </w:style>
  <w:style w:type="character" w:customStyle="1" w:styleId="CitationCar">
    <w:name w:val="Citation Car"/>
    <w:basedOn w:val="Policepardfaut"/>
    <w:link w:val="Citation"/>
    <w:uiPriority w:val="29"/>
    <w:rsid w:val="005D2A89"/>
    <w:rPr>
      <w:i/>
      <w:iCs/>
      <w:color w:val="404040" w:themeColor="text1" w:themeTint="BF"/>
      <w:lang w:val="en-US"/>
    </w:rPr>
  </w:style>
  <w:style w:type="paragraph" w:styleId="Paragraphedeliste">
    <w:name w:val="List Paragraph"/>
    <w:basedOn w:val="Normal"/>
    <w:uiPriority w:val="34"/>
    <w:qFormat/>
    <w:rsid w:val="005D2A89"/>
    <w:pPr>
      <w:ind w:left="720"/>
      <w:contextualSpacing/>
    </w:pPr>
    <w:rPr>
      <w:lang w:val="en-US"/>
    </w:rPr>
  </w:style>
  <w:style w:type="character" w:styleId="Accentuationintense">
    <w:name w:val="Intense Emphasis"/>
    <w:basedOn w:val="Policepardfaut"/>
    <w:uiPriority w:val="21"/>
    <w:qFormat/>
    <w:rsid w:val="005D2A89"/>
    <w:rPr>
      <w:i/>
      <w:iCs/>
      <w:color w:val="0F4761" w:themeColor="accent1" w:themeShade="BF"/>
    </w:rPr>
  </w:style>
  <w:style w:type="paragraph" w:styleId="Citationintense">
    <w:name w:val="Intense Quote"/>
    <w:basedOn w:val="Normal"/>
    <w:next w:val="Normal"/>
    <w:link w:val="CitationintenseCar"/>
    <w:uiPriority w:val="30"/>
    <w:qFormat/>
    <w:rsid w:val="005D2A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CitationintenseCar">
    <w:name w:val="Citation intense Car"/>
    <w:basedOn w:val="Policepardfaut"/>
    <w:link w:val="Citationintense"/>
    <w:uiPriority w:val="30"/>
    <w:rsid w:val="005D2A89"/>
    <w:rPr>
      <w:i/>
      <w:iCs/>
      <w:color w:val="0F4761" w:themeColor="accent1" w:themeShade="BF"/>
      <w:lang w:val="en-US"/>
    </w:rPr>
  </w:style>
  <w:style w:type="character" w:styleId="Rfrenceintense">
    <w:name w:val="Intense Reference"/>
    <w:basedOn w:val="Policepardfaut"/>
    <w:uiPriority w:val="32"/>
    <w:qFormat/>
    <w:rsid w:val="005D2A89"/>
    <w:rPr>
      <w:b/>
      <w:bCs/>
      <w:smallCaps/>
      <w:color w:val="0F4761" w:themeColor="accent1" w:themeShade="BF"/>
      <w:spacing w:val="5"/>
    </w:rPr>
  </w:style>
  <w:style w:type="character" w:styleId="Marquedecommentaire">
    <w:name w:val="annotation reference"/>
    <w:basedOn w:val="Policepardfaut"/>
    <w:uiPriority w:val="99"/>
    <w:semiHidden/>
    <w:unhideWhenUsed/>
    <w:rsid w:val="005D2A8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4516</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Bento Spinoza</dc:creator>
  <cp:keywords/>
  <dc:description/>
  <cp:lastModifiedBy>Bento Spinoza</cp:lastModifiedBy>
  <cp:revision>6</cp:revision>
  <dcterms:created xsi:type="dcterms:W3CDTF">2024-11-03T10:14:00Z</dcterms:created>
  <dcterms:modified xsi:type="dcterms:W3CDTF">2025-04-17T06:36:00Z</dcterms:modified>
</cp:coreProperties>
</file>