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E93" w:rsidRDefault="00661E93" w:rsidP="00661E93">
      <w:pPr>
        <w:pStyle w:val="DeBoeckTitreouvrage"/>
        <w:rPr>
          <w:lang w:val="fr-BE"/>
        </w:rPr>
      </w:pPr>
    </w:p>
    <w:p w:rsidR="00661E93" w:rsidRDefault="00661E93" w:rsidP="00661E93">
      <w:pPr>
        <w:pStyle w:val="DeBoecksousladirectionde"/>
        <w:rPr>
          <w:lang w:val="fr-BE"/>
        </w:rPr>
      </w:pPr>
      <w:r>
        <w:rPr>
          <w:lang w:val="fr-BE"/>
        </w:rPr>
        <w:t xml:space="preserve">Sous la direction de Bernard Delvaux, Luc </w:t>
      </w:r>
      <w:proofErr w:type="spellStart"/>
      <w:r>
        <w:rPr>
          <w:lang w:val="fr-BE"/>
        </w:rPr>
        <w:t>Albarello</w:t>
      </w:r>
      <w:proofErr w:type="spellEnd"/>
      <w:r>
        <w:rPr>
          <w:lang w:val="fr-BE"/>
        </w:rPr>
        <w:t xml:space="preserve"> et Mathieu </w:t>
      </w:r>
      <w:proofErr w:type="spellStart"/>
      <w:r>
        <w:rPr>
          <w:lang w:val="fr-BE"/>
        </w:rPr>
        <w:t>Bouhon</w:t>
      </w:r>
      <w:proofErr w:type="spellEnd"/>
    </w:p>
    <w:p w:rsidR="00661E93" w:rsidRDefault="00661E93" w:rsidP="00661E93">
      <w:pPr>
        <w:pStyle w:val="DeBoecksousladirectionde"/>
        <w:rPr>
          <w:lang w:val="fr-BE"/>
        </w:rPr>
      </w:pPr>
    </w:p>
    <w:p w:rsidR="00661E93" w:rsidRDefault="00661E93" w:rsidP="00661E93">
      <w:pPr>
        <w:pStyle w:val="DeBoecksousladirectionde"/>
        <w:rPr>
          <w:lang w:val="fr-BE"/>
        </w:rPr>
        <w:sectPr w:rsidR="00661E93" w:rsidSect="00661E93">
          <w:footerReference w:type="default" r:id="rId7"/>
          <w:footnotePr>
            <w:numRestart w:val="eachSect"/>
          </w:footnotePr>
          <w:pgSz w:w="11906" w:h="16838" w:code="9"/>
          <w:pgMar w:top="1985" w:right="1418" w:bottom="1701" w:left="1701" w:header="709" w:footer="709" w:gutter="0"/>
          <w:cols w:space="708"/>
          <w:titlePg/>
          <w:docGrid w:linePitch="360"/>
        </w:sectPr>
      </w:pPr>
    </w:p>
    <w:p w:rsidR="00661E93" w:rsidRDefault="00661E93" w:rsidP="00661E93">
      <w:pPr>
        <w:pStyle w:val="TM1"/>
        <w:rPr>
          <w:lang w:val="fr-BE"/>
        </w:rPr>
      </w:pPr>
      <w:r>
        <w:rPr>
          <w:lang w:val="fr-BE"/>
        </w:rPr>
        <w:lastRenderedPageBreak/>
        <w:t>Sommaire</w:t>
      </w:r>
    </w:p>
    <w:p w:rsidR="00661E93" w:rsidRPr="00437E85" w:rsidRDefault="00661E93" w:rsidP="00661E93">
      <w:pPr>
        <w:pStyle w:val="TM2"/>
        <w:tabs>
          <w:tab w:val="right" w:leader="dot" w:pos="8777"/>
        </w:tabs>
        <w:rPr>
          <w:b w:val="0"/>
          <w:bCs w:val="0"/>
          <w:noProof/>
          <w:lang w:val="fr-BE" w:eastAsia="fr-BE"/>
        </w:rPr>
      </w:pPr>
      <w:r>
        <w:rPr>
          <w:lang w:val="fr-BE"/>
        </w:rPr>
        <w:fldChar w:fldCharType="begin"/>
      </w:r>
      <w:r>
        <w:rPr>
          <w:lang w:val="fr-BE"/>
        </w:rPr>
        <w:instrText xml:space="preserve"> TOC \o "1-2" \n \p " " \h \z \u </w:instrText>
      </w:r>
      <w:r>
        <w:rPr>
          <w:lang w:val="fr-BE"/>
        </w:rPr>
        <w:fldChar w:fldCharType="separate"/>
      </w:r>
      <w:hyperlink w:anchor="_Toc423095235" w:history="1">
        <w:r w:rsidRPr="00EF0F64">
          <w:rPr>
            <w:rStyle w:val="Lienhypertexte"/>
            <w:noProof/>
          </w:rPr>
          <w:t>Introduction</w:t>
        </w:r>
      </w:hyperlink>
    </w:p>
    <w:p w:rsidR="00661E93" w:rsidRPr="00437E85" w:rsidRDefault="000C1910" w:rsidP="00661E93">
      <w:pPr>
        <w:pStyle w:val="TM1"/>
        <w:rPr>
          <w:b w:val="0"/>
          <w:bCs w:val="0"/>
          <w:i w:val="0"/>
          <w:iCs w:val="0"/>
          <w:sz w:val="22"/>
          <w:szCs w:val="22"/>
          <w:lang w:val="fr-BE" w:eastAsia="fr-BE"/>
        </w:rPr>
      </w:pPr>
      <w:hyperlink w:anchor="_Toc423095236" w:history="1">
        <w:r w:rsidR="00661E93" w:rsidRPr="00EF0F64">
          <w:rPr>
            <w:rStyle w:val="Lienhypertexte"/>
          </w:rPr>
          <w:t>Partie 1. Problématiser</w:t>
        </w:r>
      </w:hyperlink>
    </w:p>
    <w:p w:rsidR="00661E93" w:rsidRPr="00437E85" w:rsidRDefault="000C1910" w:rsidP="00661E93">
      <w:pPr>
        <w:pStyle w:val="TM2"/>
        <w:tabs>
          <w:tab w:val="right" w:leader="dot" w:pos="8777"/>
        </w:tabs>
        <w:rPr>
          <w:b w:val="0"/>
          <w:bCs w:val="0"/>
          <w:noProof/>
          <w:lang w:val="fr-BE" w:eastAsia="fr-BE"/>
        </w:rPr>
      </w:pPr>
      <w:hyperlink w:anchor="_Toc423095237" w:history="1">
        <w:r w:rsidR="00661E93" w:rsidRPr="00EF0F64">
          <w:rPr>
            <w:rStyle w:val="Lienhypertexte"/>
            <w:noProof/>
          </w:rPr>
          <w:t>Chapitre 1 – Récits contemporains sur la « fin de l’école »</w:t>
        </w:r>
      </w:hyperlink>
    </w:p>
    <w:p w:rsidR="00661E93" w:rsidRPr="00437E85" w:rsidRDefault="000C1910" w:rsidP="00661E93">
      <w:pPr>
        <w:pStyle w:val="TM2"/>
        <w:tabs>
          <w:tab w:val="right" w:leader="dot" w:pos="8777"/>
        </w:tabs>
        <w:rPr>
          <w:b w:val="0"/>
          <w:bCs w:val="0"/>
          <w:noProof/>
          <w:lang w:val="fr-BE" w:eastAsia="fr-BE"/>
        </w:rPr>
      </w:pPr>
      <w:hyperlink w:anchor="_Toc423095238" w:history="1">
        <w:r w:rsidR="00661E93" w:rsidRPr="00EF0F64">
          <w:rPr>
            <w:rStyle w:val="Lienhypertexte"/>
            <w:noProof/>
          </w:rPr>
          <w:t>Chapitre 2 – À nouvelle société, nouvelle institution éducative ?</w:t>
        </w:r>
      </w:hyperlink>
    </w:p>
    <w:p w:rsidR="00661E93" w:rsidRPr="00437E85" w:rsidRDefault="000C1910" w:rsidP="00661E93">
      <w:pPr>
        <w:pStyle w:val="TM2"/>
        <w:tabs>
          <w:tab w:val="right" w:leader="dot" w:pos="8777"/>
        </w:tabs>
        <w:rPr>
          <w:b w:val="0"/>
          <w:bCs w:val="0"/>
          <w:noProof/>
          <w:lang w:val="fr-BE" w:eastAsia="fr-BE"/>
        </w:rPr>
      </w:pPr>
      <w:hyperlink w:anchor="_Toc423095239" w:history="1">
        <w:r w:rsidR="00661E93" w:rsidRPr="00EF0F64">
          <w:rPr>
            <w:rStyle w:val="Lienhypertexte"/>
            <w:noProof/>
          </w:rPr>
          <w:t>Chapitre 3 – Sens et mutation des apprentissages dans un contexte d’accélération</w:t>
        </w:r>
      </w:hyperlink>
    </w:p>
    <w:p w:rsidR="00661E93" w:rsidRPr="00437E85" w:rsidRDefault="000C1910" w:rsidP="00661E93">
      <w:pPr>
        <w:pStyle w:val="TM2"/>
        <w:tabs>
          <w:tab w:val="right" w:leader="dot" w:pos="8777"/>
        </w:tabs>
        <w:rPr>
          <w:b w:val="0"/>
          <w:bCs w:val="0"/>
          <w:noProof/>
          <w:lang w:val="fr-BE" w:eastAsia="fr-BE"/>
        </w:rPr>
      </w:pPr>
      <w:hyperlink w:anchor="_Toc423095240" w:history="1">
        <w:r w:rsidR="00661E93" w:rsidRPr="00EF0F64">
          <w:rPr>
            <w:rStyle w:val="Lienhypertexte"/>
            <w:noProof/>
          </w:rPr>
          <w:t>Chapitre 4 – Entre savoirs stables et savoirs hors-jeu</w:t>
        </w:r>
      </w:hyperlink>
    </w:p>
    <w:p w:rsidR="00661E93" w:rsidRPr="00437E85" w:rsidRDefault="000C1910" w:rsidP="00661E93">
      <w:pPr>
        <w:pStyle w:val="TM2"/>
        <w:tabs>
          <w:tab w:val="right" w:leader="dot" w:pos="8777"/>
        </w:tabs>
        <w:rPr>
          <w:b w:val="0"/>
          <w:bCs w:val="0"/>
          <w:noProof/>
          <w:lang w:val="fr-BE" w:eastAsia="fr-BE"/>
        </w:rPr>
      </w:pPr>
      <w:hyperlink w:anchor="_Toc423095241" w:history="1">
        <w:r w:rsidR="00661E93" w:rsidRPr="00EF0F64">
          <w:rPr>
            <w:rStyle w:val="Lienhypertexte"/>
            <w:noProof/>
          </w:rPr>
          <w:t>Chapitre 5 – Individualisation des parcours et modularisation des formations</w:t>
        </w:r>
      </w:hyperlink>
    </w:p>
    <w:p w:rsidR="00661E93" w:rsidRPr="00437E85" w:rsidRDefault="000C1910" w:rsidP="00661E93">
      <w:pPr>
        <w:pStyle w:val="TM2"/>
        <w:tabs>
          <w:tab w:val="right" w:leader="dot" w:pos="8777"/>
        </w:tabs>
        <w:rPr>
          <w:b w:val="0"/>
          <w:bCs w:val="0"/>
          <w:noProof/>
          <w:lang w:val="fr-BE" w:eastAsia="fr-BE"/>
        </w:rPr>
      </w:pPr>
      <w:hyperlink w:anchor="_Toc423095242" w:history="1">
        <w:r w:rsidR="00661E93" w:rsidRPr="00EF0F64">
          <w:rPr>
            <w:rStyle w:val="Lienhypertexte"/>
            <w:noProof/>
          </w:rPr>
          <w:t>Chapitre 6 – Recompositions des professionnalités et des territoires du travail éducatif</w:t>
        </w:r>
      </w:hyperlink>
    </w:p>
    <w:p w:rsidR="00661E93" w:rsidRPr="00437E85" w:rsidRDefault="000C1910" w:rsidP="00661E93">
      <w:pPr>
        <w:pStyle w:val="TM2"/>
        <w:tabs>
          <w:tab w:val="right" w:leader="dot" w:pos="8777"/>
        </w:tabs>
        <w:rPr>
          <w:b w:val="0"/>
          <w:bCs w:val="0"/>
          <w:noProof/>
          <w:lang w:val="fr-BE" w:eastAsia="fr-BE"/>
        </w:rPr>
      </w:pPr>
      <w:hyperlink w:anchor="_Toc423095243" w:history="1">
        <w:r w:rsidR="00661E93" w:rsidRPr="00EF0F64">
          <w:rPr>
            <w:rStyle w:val="Lienhypertexte"/>
            <w:noProof/>
          </w:rPr>
          <w:t>Chapitre 7 – Récits concurrents à propos de la refondation de l’École</w:t>
        </w:r>
      </w:hyperlink>
    </w:p>
    <w:p w:rsidR="00661E93" w:rsidRPr="00437E85" w:rsidRDefault="000C1910" w:rsidP="00661E93">
      <w:pPr>
        <w:pStyle w:val="TM1"/>
        <w:rPr>
          <w:b w:val="0"/>
          <w:bCs w:val="0"/>
          <w:i w:val="0"/>
          <w:iCs w:val="0"/>
          <w:sz w:val="22"/>
          <w:szCs w:val="22"/>
          <w:lang w:val="fr-BE" w:eastAsia="fr-BE"/>
        </w:rPr>
      </w:pPr>
      <w:hyperlink w:anchor="_Toc423095244" w:history="1">
        <w:r w:rsidR="00661E93" w:rsidRPr="00EF0F64">
          <w:rPr>
            <w:rStyle w:val="Lienhypertexte"/>
          </w:rPr>
          <w:t>Partie 2. Proposer</w:t>
        </w:r>
      </w:hyperlink>
    </w:p>
    <w:p w:rsidR="00661E93" w:rsidRPr="00437E85" w:rsidRDefault="000C1910" w:rsidP="00661E93">
      <w:pPr>
        <w:pStyle w:val="TM2"/>
        <w:tabs>
          <w:tab w:val="right" w:leader="dot" w:pos="8777"/>
        </w:tabs>
        <w:rPr>
          <w:b w:val="0"/>
          <w:bCs w:val="0"/>
          <w:noProof/>
          <w:lang w:val="fr-BE" w:eastAsia="fr-BE"/>
        </w:rPr>
      </w:pPr>
      <w:hyperlink w:anchor="_Toc423095245" w:history="1">
        <w:r w:rsidR="00661E93" w:rsidRPr="00EF0F64">
          <w:rPr>
            <w:rStyle w:val="Lienhypertexte"/>
            <w:noProof/>
          </w:rPr>
          <w:t>Chapitre 8 – Pour de nouvelles finalités</w:t>
        </w:r>
      </w:hyperlink>
    </w:p>
    <w:p w:rsidR="00661E93" w:rsidRPr="00437E85" w:rsidRDefault="000C1910" w:rsidP="00661E93">
      <w:pPr>
        <w:pStyle w:val="TM2"/>
        <w:tabs>
          <w:tab w:val="right" w:leader="dot" w:pos="8777"/>
        </w:tabs>
        <w:rPr>
          <w:b w:val="0"/>
          <w:bCs w:val="0"/>
          <w:noProof/>
          <w:lang w:val="fr-BE" w:eastAsia="fr-BE"/>
        </w:rPr>
      </w:pPr>
      <w:hyperlink w:anchor="_Toc423095246" w:history="1">
        <w:r w:rsidR="00661E93" w:rsidRPr="00EF0F64">
          <w:rPr>
            <w:rStyle w:val="Lienhypertexte"/>
            <w:noProof/>
          </w:rPr>
          <w:t>Chapitre 9 – Pour des collectifs auteurs</w:t>
        </w:r>
      </w:hyperlink>
    </w:p>
    <w:p w:rsidR="00661E93" w:rsidRPr="00437E85" w:rsidRDefault="000C1910" w:rsidP="00661E93">
      <w:pPr>
        <w:pStyle w:val="TM2"/>
        <w:tabs>
          <w:tab w:val="right" w:leader="dot" w:pos="8777"/>
        </w:tabs>
        <w:rPr>
          <w:b w:val="0"/>
          <w:bCs w:val="0"/>
          <w:noProof/>
          <w:lang w:val="fr-BE" w:eastAsia="fr-BE"/>
        </w:rPr>
      </w:pPr>
      <w:hyperlink w:anchor="_Toc423095247" w:history="1">
        <w:r w:rsidR="00661E93" w:rsidRPr="00EF0F64">
          <w:rPr>
            <w:rStyle w:val="Lienhypertexte"/>
            <w:noProof/>
          </w:rPr>
          <w:t>Chapitre 10 – Pour un nouveau cursus</w:t>
        </w:r>
      </w:hyperlink>
    </w:p>
    <w:p w:rsidR="00661E93" w:rsidRPr="00437E85" w:rsidRDefault="000C1910" w:rsidP="00661E93">
      <w:pPr>
        <w:pStyle w:val="TM2"/>
        <w:tabs>
          <w:tab w:val="right" w:leader="dot" w:pos="8777"/>
        </w:tabs>
        <w:rPr>
          <w:b w:val="0"/>
          <w:bCs w:val="0"/>
          <w:noProof/>
          <w:lang w:val="fr-BE" w:eastAsia="fr-BE"/>
        </w:rPr>
      </w:pPr>
      <w:hyperlink w:anchor="_Toc423095248" w:history="1">
        <w:r w:rsidR="00661E93" w:rsidRPr="00EF0F64">
          <w:rPr>
            <w:rStyle w:val="Lienhypertexte"/>
            <w:noProof/>
          </w:rPr>
          <w:t>Références bibliographiques</w:t>
        </w:r>
      </w:hyperlink>
    </w:p>
    <w:p w:rsidR="00661E93" w:rsidRPr="00437E85" w:rsidRDefault="000C1910" w:rsidP="00661E93">
      <w:pPr>
        <w:pStyle w:val="TM2"/>
        <w:tabs>
          <w:tab w:val="right" w:leader="dot" w:pos="8777"/>
        </w:tabs>
        <w:rPr>
          <w:b w:val="0"/>
          <w:bCs w:val="0"/>
          <w:noProof/>
          <w:lang w:val="fr-BE" w:eastAsia="fr-BE"/>
        </w:rPr>
      </w:pPr>
      <w:hyperlink w:anchor="_Toc423095249" w:history="1">
        <w:r w:rsidR="00661E93" w:rsidRPr="00EF0F64">
          <w:rPr>
            <w:rStyle w:val="Lienhypertexte"/>
            <w:noProof/>
          </w:rPr>
          <w:t>Table des matières</w:t>
        </w:r>
      </w:hyperlink>
    </w:p>
    <w:p w:rsidR="00661E93" w:rsidRDefault="00661E93" w:rsidP="00661E93">
      <w:pPr>
        <w:pStyle w:val="DeBoeckcorpsdetexte"/>
        <w:ind w:firstLine="0"/>
        <w:rPr>
          <w:lang w:val="fr-BE"/>
        </w:rPr>
      </w:pPr>
      <w:r>
        <w:rPr>
          <w:lang w:val="fr-BE"/>
        </w:rPr>
        <w:fldChar w:fldCharType="end"/>
      </w:r>
    </w:p>
    <w:p w:rsidR="00661E93" w:rsidRDefault="00661E93" w:rsidP="00661E93">
      <w:pPr>
        <w:pStyle w:val="DeBoeckTitrepartie"/>
      </w:pPr>
      <w:bookmarkStart w:id="0" w:name="_GoBack"/>
      <w:bookmarkEnd w:id="0"/>
      <w:r>
        <w:br w:type="page"/>
      </w:r>
      <w:bookmarkStart w:id="1" w:name="_Toc423095236"/>
      <w:bookmarkStart w:id="2" w:name="_Toc423095254"/>
      <w:r>
        <w:lastRenderedPageBreak/>
        <w:t>Partie 1. Problématiser</w:t>
      </w:r>
      <w:bookmarkEnd w:id="1"/>
      <w:bookmarkEnd w:id="2"/>
    </w:p>
    <w:p w:rsidR="00661E93" w:rsidRDefault="00661E93" w:rsidP="00661E93">
      <w:pPr>
        <w:pStyle w:val="DeBoeckTitrechapitre"/>
      </w:pPr>
      <w:r>
        <w:br w:type="page"/>
      </w:r>
      <w:bookmarkStart w:id="3" w:name="_Toc423095237"/>
      <w:bookmarkStart w:id="4" w:name="_Toc423095255"/>
      <w:r>
        <w:lastRenderedPageBreak/>
        <w:t>Chapitre 1</w:t>
      </w:r>
      <w:r>
        <w:softHyphen/>
        <w:t xml:space="preserve"> – R</w:t>
      </w:r>
      <w:r w:rsidRPr="00785306">
        <w:t xml:space="preserve">écits contemporains sur la </w:t>
      </w:r>
      <w:r>
        <w:t>« </w:t>
      </w:r>
      <w:r w:rsidRPr="00785306">
        <w:t>fin de l’école</w:t>
      </w:r>
      <w:r>
        <w:t> »</w:t>
      </w:r>
      <w:bookmarkEnd w:id="3"/>
      <w:bookmarkEnd w:id="4"/>
    </w:p>
    <w:p w:rsidR="00661E93" w:rsidRDefault="00661E93" w:rsidP="00661E93">
      <w:pPr>
        <w:pStyle w:val="DeBoeckauteurchapitre"/>
      </w:pPr>
      <w:r w:rsidRPr="00785306">
        <w:t xml:space="preserve">Marie </w:t>
      </w:r>
      <w:proofErr w:type="spellStart"/>
      <w:r w:rsidRPr="00785306">
        <w:t>Verhoeven</w:t>
      </w:r>
      <w:proofErr w:type="spellEnd"/>
    </w:p>
    <w:p w:rsidR="00661E93" w:rsidRPr="00785306" w:rsidRDefault="00661E93" w:rsidP="00661E93">
      <w:pPr>
        <w:pStyle w:val="DeBoeckcitation"/>
        <w:rPr>
          <w:i/>
        </w:rPr>
      </w:pPr>
      <w:r>
        <w:rPr>
          <w:i/>
        </w:rPr>
        <w:t>« </w:t>
      </w:r>
      <w:r w:rsidRPr="00785306">
        <w:rPr>
          <w:i/>
        </w:rPr>
        <w:t>Je vois nos institutions luire d’un éclat semblable à celui des constellations dont les astronomes nous apprennent qu’elles sont mortes depuis longtemps</w:t>
      </w:r>
      <w:r>
        <w:rPr>
          <w:i/>
        </w:rPr>
        <w:t> »</w:t>
      </w:r>
      <w:r w:rsidRPr="00785306">
        <w:rPr>
          <w:i/>
        </w:rPr>
        <w:t xml:space="preserve"> </w:t>
      </w:r>
      <w:r>
        <w:t>(Michel Serres, 2012</w:t>
      </w:r>
      <w:r w:rsidRPr="00565740">
        <w:t>, p.22)</w:t>
      </w:r>
      <w:r>
        <w:t>.</w:t>
      </w:r>
    </w:p>
    <w:p w:rsidR="00661E93" w:rsidRDefault="00661E93" w:rsidP="00661E93">
      <w:pPr>
        <w:pStyle w:val="DeBoeckcitation"/>
      </w:pPr>
      <w:r>
        <w:rPr>
          <w:i/>
        </w:rPr>
        <w:t>« </w:t>
      </w:r>
      <w:r w:rsidRPr="00785306">
        <w:rPr>
          <w:i/>
        </w:rPr>
        <w:t>Voici des jeunes gens auxquels nous prétendons dispenser de l’enseignement, au sein de cadres datant d’un âge qu’ils ne reconnaissent plus</w:t>
      </w:r>
      <w:r>
        <w:rPr>
          <w:i/>
        </w:rPr>
        <w:t> :</w:t>
      </w:r>
      <w:r w:rsidRPr="00785306">
        <w:rPr>
          <w:i/>
        </w:rPr>
        <w:t xml:space="preserve"> bâtiments, cours de récréation, salles de classes, campus, bibliothèques… adaptés à une ère où les hommes et le monde étaient ce qu’ils ne sont plus</w:t>
      </w:r>
      <w:r>
        <w:rPr>
          <w:i/>
        </w:rPr>
        <w:t> »</w:t>
      </w:r>
      <w:r>
        <w:t xml:space="preserve"> (Michel Serres, 2012, p. 17</w:t>
      </w:r>
      <w:r w:rsidRPr="00785306">
        <w:t>).</w:t>
      </w:r>
    </w:p>
    <w:p w:rsidR="00661E93" w:rsidRDefault="00661E93" w:rsidP="00661E93">
      <w:pPr>
        <w:pStyle w:val="DeBoeckcorpsdetexte"/>
      </w:pPr>
      <w:r w:rsidRPr="00785306">
        <w:t xml:space="preserve">De nombreuses voix s’élèvent aujourd’hui pour constater, et parfois même appeler de leurs vœux, la </w:t>
      </w:r>
      <w:r>
        <w:t>« </w:t>
      </w:r>
      <w:r w:rsidRPr="00785306">
        <w:t>fin de l’école</w:t>
      </w:r>
      <w:r>
        <w:t> »</w:t>
      </w:r>
      <w:r w:rsidRPr="00785306">
        <w:t>. Un diagnostic partagé semble s’imposer, au-delà de la multiplicité des positions sociales des acteurs qui l’énoncent</w:t>
      </w:r>
      <w:r>
        <w:t> :</w:t>
      </w:r>
      <w:r w:rsidRPr="00785306">
        <w:t xml:space="preserve"> l’école, du moins dans sa forme moderne, serait en bout de course, inadaptée, obsolète face aux profondes mutations technologiques, culturelles et sociétales qui caractérisent nos sociétés. C’est une véritable rhétoriq</w:t>
      </w:r>
      <w:r>
        <w:t>ue d</w:t>
      </w:r>
      <w:r w:rsidRPr="00785306">
        <w:t>ue du changement nécessaire qui s’enracine dans ce diagnostic, sous la forme d’appels à l’innovation, à la réforme, voire à la révolution</w:t>
      </w:r>
      <w:r>
        <w:t> :</w:t>
      </w:r>
      <w:r w:rsidRPr="00785306">
        <w:t xml:space="preserve"> il faut </w:t>
      </w:r>
      <w:r>
        <w:t>« </w:t>
      </w:r>
      <w:r w:rsidRPr="00785306">
        <w:t>changer l’école</w:t>
      </w:r>
      <w:r>
        <w:t> »</w:t>
      </w:r>
      <w:r w:rsidRPr="00785306">
        <w:t>, dans sa forme comme dans ses finalités. Loin des grands récits fondateurs de l’</w:t>
      </w:r>
      <w:r>
        <w:t xml:space="preserve">école </w:t>
      </w:r>
      <w:r w:rsidRPr="00785306">
        <w:t>de la première modernité (le Progrès, la Raison, la Nation…), aujourd’hui épuisés, c’est un nouvel imaginaire éducatif qui se profile aujourd’hui.</w:t>
      </w:r>
    </w:p>
    <w:p w:rsidR="00661E93" w:rsidRPr="00785306" w:rsidRDefault="00661E93" w:rsidP="00661E93">
      <w:pPr>
        <w:pStyle w:val="DeBoeckcorpsdetexte"/>
      </w:pPr>
      <w:r w:rsidRPr="00785306">
        <w:t>Ce chapitre se propose de décrire et d’éclairer cette double critique de l’école – celle de sa forme, et celle de ses finalités et de l’imaginaire social qui les oriente.</w:t>
      </w:r>
    </w:p>
    <w:p w:rsidR="00661E93" w:rsidRDefault="00661E93" w:rsidP="00661E93">
      <w:pPr>
        <w:pStyle w:val="DeBoeckcorpsdetexte"/>
      </w:pPr>
      <w:r w:rsidRPr="00785306">
        <w:t xml:space="preserve">Nous commencerons par brosser un premier tableau, quelque peu impressionniste, des principales manifestations discursives de cette critique contemporaine de la forme scolaire, telles qu’elles sont énoncées par différents acteurs clés du champ (1). Dans un second temps, nous reviendrons sur la genèse et l’histoire de la </w:t>
      </w:r>
      <w:r>
        <w:t>« </w:t>
      </w:r>
      <w:r w:rsidRPr="00785306">
        <w:t>forme scolaire</w:t>
      </w:r>
      <w:r>
        <w:t> »</w:t>
      </w:r>
      <w:r w:rsidRPr="00785306">
        <w:t xml:space="preserve"> moderne, sur ses caractéristiques et sur les principaux imaginaires sociaux qui en ont fondé le projet (2). C’est sur cette toile de fond que pourront alors prendre sens les indices de discontinuité ou de rupture qui auront été listés (3). Ces indices seront interprétés au regard de leur écart par rapport à la forme scolaire moderne (3.1) et à son programme institutionnel (3.2). Ils seront également mis en perspective à travers la thèse critique de la </w:t>
      </w:r>
      <w:r>
        <w:t>« </w:t>
      </w:r>
      <w:r w:rsidRPr="00785306">
        <w:t>nouvelle école capitaliste</w:t>
      </w:r>
      <w:r>
        <w:t> »</w:t>
      </w:r>
      <w:r w:rsidRPr="00785306">
        <w:t xml:space="preserve"> (3.3.). Ces développements nous permettront de formuler, en conclusion, un certain nombre d’interrogations politiques quant à la </w:t>
      </w:r>
      <w:r>
        <w:t>« </w:t>
      </w:r>
      <w:r w:rsidRPr="00785306">
        <w:t>nature des critiques</w:t>
      </w:r>
      <w:r>
        <w:t> »</w:t>
      </w:r>
      <w:r w:rsidRPr="00785306">
        <w:t xml:space="preserve"> dont est l’objet l’</w:t>
      </w:r>
      <w:r>
        <w:t xml:space="preserve">école </w:t>
      </w:r>
      <w:r w:rsidRPr="00785306">
        <w:t>contemporaine (4).</w:t>
      </w:r>
    </w:p>
    <w:p w:rsidR="00661E93" w:rsidRPr="00785306" w:rsidRDefault="00661E93" w:rsidP="00661E93">
      <w:pPr>
        <w:pStyle w:val="DeBoecksous-titre1"/>
        <w:ind w:left="0" w:firstLine="0"/>
      </w:pPr>
      <w:bookmarkStart w:id="5" w:name="_Toc423095256"/>
      <w:r>
        <w:t>1.</w:t>
      </w:r>
      <w:r>
        <w:tab/>
      </w:r>
      <w:r w:rsidRPr="00785306">
        <w:t xml:space="preserve">La </w:t>
      </w:r>
      <w:r>
        <w:t>« </w:t>
      </w:r>
      <w:r w:rsidRPr="00785306">
        <w:t>fin de l’école</w:t>
      </w:r>
      <w:r>
        <w:t> »</w:t>
      </w:r>
      <w:r w:rsidRPr="00785306">
        <w:t xml:space="preserve"> ou sa nécessaire mutation</w:t>
      </w:r>
      <w:r>
        <w:t> :</w:t>
      </w:r>
      <w:r w:rsidRPr="00785306">
        <w:t xml:space="preserve"> variations sur un même thème</w:t>
      </w:r>
      <w:bookmarkEnd w:id="5"/>
    </w:p>
    <w:p w:rsidR="00661E93" w:rsidRPr="00785306" w:rsidRDefault="00661E93" w:rsidP="00661E93">
      <w:pPr>
        <w:pStyle w:val="DeBoeckcorpsdetexte"/>
      </w:pPr>
      <w:r w:rsidRPr="00785306">
        <w:t xml:space="preserve">Prenons d’abord le pouls de ces voix multiples qui s’élèvent aujourd’hui, depuis les </w:t>
      </w:r>
      <w:proofErr w:type="spellStart"/>
      <w:r w:rsidRPr="00785306">
        <w:rPr>
          <w:i/>
        </w:rPr>
        <w:t>think</w:t>
      </w:r>
      <w:proofErr w:type="spellEnd"/>
      <w:r w:rsidRPr="00785306">
        <w:rPr>
          <w:i/>
        </w:rPr>
        <w:t xml:space="preserve"> tank</w:t>
      </w:r>
      <w:r w:rsidRPr="00785306">
        <w:t xml:space="preserve"> internationaux, jusqu’aux journalistes et essayistes sur l’éducation, pour appeler à une refonte de l’École. Ces diagnostics et propositions tracent les coordonnées d’un nouveau sens commun, d’une nouvelle doxa sur ce que doit être – ou ne doit plus être – l’éducation.</w:t>
      </w:r>
    </w:p>
    <w:p w:rsidR="00661E93" w:rsidRDefault="00661E93" w:rsidP="00661E93">
      <w:pPr>
        <w:pStyle w:val="DeBoeckcorpsdetexte"/>
      </w:pPr>
      <w:r w:rsidRPr="00785306">
        <w:lastRenderedPageBreak/>
        <w:t xml:space="preserve">L’analyse du projet proposé par un important </w:t>
      </w:r>
      <w:proofErr w:type="spellStart"/>
      <w:r w:rsidRPr="00785306">
        <w:rPr>
          <w:i/>
        </w:rPr>
        <w:t>think</w:t>
      </w:r>
      <w:proofErr w:type="spellEnd"/>
      <w:r w:rsidRPr="00785306">
        <w:rPr>
          <w:i/>
        </w:rPr>
        <w:t xml:space="preserve"> tank</w:t>
      </w:r>
      <w:r w:rsidRPr="00785306">
        <w:t xml:space="preserve"> nord-américain, </w:t>
      </w:r>
      <w:r>
        <w:rPr>
          <w:i/>
        </w:rPr>
        <w:t>E</w:t>
      </w:r>
      <w:r w:rsidRPr="00785306">
        <w:rPr>
          <w:i/>
        </w:rPr>
        <w:t>ducation futures</w:t>
      </w:r>
      <w:r w:rsidRPr="00785306">
        <w:rPr>
          <w:rStyle w:val="Appelnotedebasdep"/>
        </w:rPr>
        <w:footnoteReference w:id="1"/>
      </w:r>
      <w:r w:rsidRPr="00785306">
        <w:t xml:space="preserve">, donnera le ton. Cette </w:t>
      </w:r>
      <w:r w:rsidRPr="00785306">
        <w:rPr>
          <w:bCs/>
        </w:rPr>
        <w:t>agence internationale de développement éducatif</w:t>
      </w:r>
      <w:r w:rsidRPr="00785306">
        <w:t xml:space="preserve"> récemment fondée par un réseau d’experts (en éducation, en gestion et communication) développe des programmes de soutien aux systèmes éducatifs, aux réseaux et aux établissements, en Amérique du Nord mais aussi en Amérique latine et en Europe. Ses slogans</w:t>
      </w:r>
      <w:r>
        <w:t xml:space="preserve"> – </w:t>
      </w:r>
      <w:r>
        <w:rPr>
          <w:i/>
        </w:rPr>
        <w:t>« </w:t>
      </w:r>
      <w:r w:rsidRPr="00785306">
        <w:rPr>
          <w:bCs/>
          <w:i/>
        </w:rPr>
        <w:t xml:space="preserve">1.0 </w:t>
      </w:r>
      <w:proofErr w:type="spellStart"/>
      <w:r w:rsidRPr="00785306">
        <w:rPr>
          <w:bCs/>
          <w:i/>
        </w:rPr>
        <w:t>schools</w:t>
      </w:r>
      <w:proofErr w:type="spellEnd"/>
      <w:r w:rsidRPr="00785306">
        <w:rPr>
          <w:bCs/>
          <w:i/>
        </w:rPr>
        <w:t xml:space="preserve"> </w:t>
      </w:r>
      <w:proofErr w:type="spellStart"/>
      <w:r w:rsidRPr="00785306">
        <w:rPr>
          <w:bCs/>
          <w:i/>
        </w:rPr>
        <w:t>cannot</w:t>
      </w:r>
      <w:proofErr w:type="spellEnd"/>
      <w:r w:rsidRPr="00785306">
        <w:rPr>
          <w:bCs/>
          <w:i/>
        </w:rPr>
        <w:t xml:space="preserve"> </w:t>
      </w:r>
      <w:proofErr w:type="spellStart"/>
      <w:r w:rsidRPr="00785306">
        <w:rPr>
          <w:bCs/>
          <w:i/>
        </w:rPr>
        <w:t>teach</w:t>
      </w:r>
      <w:proofErr w:type="spellEnd"/>
      <w:r w:rsidRPr="00785306">
        <w:rPr>
          <w:bCs/>
          <w:i/>
        </w:rPr>
        <w:t xml:space="preserve"> 3.0 </w:t>
      </w:r>
      <w:proofErr w:type="spellStart"/>
      <w:r w:rsidRPr="00785306">
        <w:rPr>
          <w:bCs/>
          <w:i/>
        </w:rPr>
        <w:t>students</w:t>
      </w:r>
      <w:proofErr w:type="spellEnd"/>
      <w:r>
        <w:rPr>
          <w:i/>
        </w:rPr>
        <w:t> » ;</w:t>
      </w:r>
      <w:r w:rsidRPr="00785306">
        <w:rPr>
          <w:i/>
        </w:rPr>
        <w:t xml:space="preserve"> </w:t>
      </w:r>
      <w:r w:rsidRPr="008616AA">
        <w:rPr>
          <w:bCs/>
        </w:rPr>
        <w:t xml:space="preserve">l’école doit </w:t>
      </w:r>
      <w:r>
        <w:rPr>
          <w:bCs/>
        </w:rPr>
        <w:t>« </w:t>
      </w:r>
      <w:r w:rsidRPr="008616AA">
        <w:rPr>
          <w:bCs/>
        </w:rPr>
        <w:t>changer de logiciel</w:t>
      </w:r>
      <w:r>
        <w:rPr>
          <w:i/>
        </w:rPr>
        <w:t> » ;</w:t>
      </w:r>
      <w:r w:rsidRPr="00785306">
        <w:rPr>
          <w:i/>
        </w:rPr>
        <w:t xml:space="preserve"> </w:t>
      </w:r>
      <w:r w:rsidRPr="00785306">
        <w:rPr>
          <w:bCs/>
          <w:i/>
        </w:rPr>
        <w:t xml:space="preserve">Education </w:t>
      </w:r>
      <w:proofErr w:type="spellStart"/>
      <w:r w:rsidRPr="00785306">
        <w:rPr>
          <w:bCs/>
          <w:i/>
        </w:rPr>
        <w:t>is</w:t>
      </w:r>
      <w:proofErr w:type="spellEnd"/>
      <w:r w:rsidRPr="00785306">
        <w:rPr>
          <w:bCs/>
          <w:i/>
        </w:rPr>
        <w:t xml:space="preserve"> more </w:t>
      </w:r>
      <w:proofErr w:type="spellStart"/>
      <w:r w:rsidRPr="00785306">
        <w:rPr>
          <w:bCs/>
          <w:i/>
        </w:rPr>
        <w:t>than</w:t>
      </w:r>
      <w:proofErr w:type="spellEnd"/>
      <w:r w:rsidRPr="00785306">
        <w:rPr>
          <w:bCs/>
          <w:i/>
        </w:rPr>
        <w:t xml:space="preserve"> </w:t>
      </w:r>
      <w:proofErr w:type="spellStart"/>
      <w:r w:rsidRPr="00785306">
        <w:rPr>
          <w:bCs/>
          <w:i/>
        </w:rPr>
        <w:t>schooling</w:t>
      </w:r>
      <w:proofErr w:type="spellEnd"/>
      <w:r w:rsidRPr="00785306">
        <w:t xml:space="preserve"> – dénoncent l’obsolescence et l’étroitesse de la forme scolaire face à l’ampleur des mutations contemporaines. Une certitude est énoncée</w:t>
      </w:r>
      <w:r>
        <w:t> :</w:t>
      </w:r>
      <w:r w:rsidRPr="00785306">
        <w:t xml:space="preserve"> </w:t>
      </w:r>
      <w:r>
        <w:t>« </w:t>
      </w:r>
      <w:r w:rsidRPr="00774DF0">
        <w:t>il est grand temps d’inventer une école répondant aux attentes du XX</w:t>
      </w:r>
      <w:r w:rsidRPr="00774DF0">
        <w:rPr>
          <w:vertAlign w:val="superscript"/>
        </w:rPr>
        <w:t>e</w:t>
      </w:r>
      <w:r w:rsidRPr="00774DF0">
        <w:t xml:space="preserve"> siècle </w:t>
      </w:r>
      <w:r>
        <w:t>»</w:t>
      </w:r>
      <w:r w:rsidRPr="00785306">
        <w:t>. Au nom d’une expertise technique mais aussi d’une certaine dose d’utopie, ces acteurs affirme</w:t>
      </w:r>
      <w:r w:rsidRPr="00774DF0">
        <w:t xml:space="preserve">nt vouloir « convertir toute organisation éducative en centre d’excellence innovant, allant au-devant du changement, et ajusté aux besoins de l’entreprise ». </w:t>
      </w:r>
      <w:r w:rsidRPr="00785306">
        <w:t xml:space="preserve">L’objectif affiché est la </w:t>
      </w:r>
      <w:r>
        <w:t>« </w:t>
      </w:r>
      <w:r w:rsidRPr="00785306">
        <w:t>désindustrialisation</w:t>
      </w:r>
      <w:r>
        <w:t> »</w:t>
      </w:r>
      <w:r w:rsidRPr="00785306">
        <w:t xml:space="preserve"> de l’éducation moderne (décrétée </w:t>
      </w:r>
      <w:r>
        <w:t>« </w:t>
      </w:r>
      <w:r w:rsidRPr="00785306">
        <w:t>obscurantiste</w:t>
      </w:r>
      <w:r>
        <w:t> »</w:t>
      </w:r>
      <w:r w:rsidRPr="00785306">
        <w:t xml:space="preserve">), qui permettra la venue d’une éducation entièrement tournée vers l’innovation, la créativité et la maximalisation des potentialités de chacun. </w:t>
      </w:r>
      <w:r w:rsidRPr="00774DF0">
        <w:t>La nouvelle écologie de l’éducation qui se profile passera par un processus de déscolarisation (fin de l’école « formelle » comme institution publique)</w:t>
      </w:r>
      <w:r>
        <w:t> ;</w:t>
      </w:r>
      <w:r w:rsidRPr="00774DF0">
        <w:t xml:space="preserve"> elle sera axée sur la valorisation des apprentissages invisibles, informels, « situés » et mobiles,</w:t>
      </w:r>
      <w:r w:rsidRPr="00785306">
        <w:t xml:space="preserve"> ainsi que sur le développement de l’autoapprentissage et de toutes les pédagogies centrées sur l’apprenant. Le </w:t>
      </w:r>
      <w:proofErr w:type="spellStart"/>
      <w:r w:rsidRPr="00785306">
        <w:rPr>
          <w:i/>
        </w:rPr>
        <w:t>think</w:t>
      </w:r>
      <w:proofErr w:type="spellEnd"/>
      <w:r w:rsidRPr="00785306">
        <w:rPr>
          <w:i/>
        </w:rPr>
        <w:t xml:space="preserve"> tank</w:t>
      </w:r>
      <w:r w:rsidRPr="00785306">
        <w:t xml:space="preserve"> inaugure ainsi la figure du </w:t>
      </w:r>
      <w:proofErr w:type="spellStart"/>
      <w:r w:rsidRPr="00785306">
        <w:rPr>
          <w:i/>
        </w:rPr>
        <w:t>knowmad</w:t>
      </w:r>
      <w:proofErr w:type="spellEnd"/>
      <w:r w:rsidRPr="00785306">
        <w:t xml:space="preserve"> ou </w:t>
      </w:r>
      <w:r>
        <w:t>« </w:t>
      </w:r>
      <w:r w:rsidRPr="00785306">
        <w:t>nomade de la connaissance</w:t>
      </w:r>
      <w:r>
        <w:t> »</w:t>
      </w:r>
      <w:r w:rsidRPr="00785306">
        <w:t>, métaphore de l’apprenant perpétuel, convertissant toute expérience de vie en occasion d’apprentissage, grâce au support des outils du numérique et des avancées des sciences cognitives. Le site web d’</w:t>
      </w:r>
      <w:r w:rsidRPr="00785306">
        <w:rPr>
          <w:i/>
        </w:rPr>
        <w:t>Education futures</w:t>
      </w:r>
      <w:r w:rsidRPr="00785306">
        <w:t xml:space="preserve"> annonce alors tout bonnement la fin de l’école pour les environs de 2040, ainsi que l’avènement un nouveau régime éducatif, qualifié de </w:t>
      </w:r>
      <w:r>
        <w:t>« </w:t>
      </w:r>
      <w:r w:rsidRPr="00785306">
        <w:t>singularité technologique</w:t>
      </w:r>
      <w:r>
        <w:t> »</w:t>
      </w:r>
      <w:r w:rsidRPr="00785306">
        <w:t xml:space="preserve"> </w:t>
      </w:r>
      <w:proofErr w:type="gramStart"/>
      <w:r w:rsidRPr="00785306">
        <w:t>au</w:t>
      </w:r>
      <w:proofErr w:type="gramEnd"/>
      <w:r w:rsidRPr="00785306">
        <w:t xml:space="preserve"> service des </w:t>
      </w:r>
      <w:proofErr w:type="spellStart"/>
      <w:r w:rsidRPr="00785306">
        <w:rPr>
          <w:i/>
        </w:rPr>
        <w:t>knowmads</w:t>
      </w:r>
      <w:proofErr w:type="spellEnd"/>
      <w:r w:rsidRPr="00785306">
        <w:t>.</w:t>
      </w:r>
    </w:p>
    <w:p w:rsidR="00661E93" w:rsidRDefault="00661E93" w:rsidP="00661E93">
      <w:pPr>
        <w:pStyle w:val="DeBoeckcorpsdetexte"/>
      </w:pPr>
      <w:r w:rsidRPr="00785306">
        <w:t>Chez nous, on trouve un écho de ce discours chez un certain nombre de nouveaux prestataires de services nouvellement apparus dans le champ éducatif (</w:t>
      </w:r>
      <w:r w:rsidRPr="00256278">
        <w:rPr>
          <w:i/>
        </w:rPr>
        <w:t>Step2you</w:t>
      </w:r>
      <w:r w:rsidRPr="00785306">
        <w:t xml:space="preserve">, </w:t>
      </w:r>
      <w:proofErr w:type="spellStart"/>
      <w:r w:rsidRPr="00256278">
        <w:rPr>
          <w:i/>
        </w:rPr>
        <w:t>Teach</w:t>
      </w:r>
      <w:proofErr w:type="spellEnd"/>
      <w:r w:rsidRPr="00256278">
        <w:rPr>
          <w:i/>
        </w:rPr>
        <w:t xml:space="preserve"> for </w:t>
      </w:r>
      <w:proofErr w:type="spellStart"/>
      <w:r w:rsidRPr="00256278">
        <w:rPr>
          <w:i/>
        </w:rPr>
        <w:t>Belgium</w:t>
      </w:r>
      <w:proofErr w:type="spellEnd"/>
      <w:r>
        <w:t>…</w:t>
      </w:r>
      <w:r w:rsidRPr="00785306">
        <w:t xml:space="preserve">). Sans pour autant préconiser la fin de l’école formelle, ces opérateurs visent à s’articuler aux structures éducatives en place, pour activer leurs ressources latentes et les soutenir grâce à des outils innovants. Leurs leitmotivs sont </w:t>
      </w:r>
      <w:r>
        <w:t>« </w:t>
      </w:r>
      <w:r w:rsidRPr="00785306">
        <w:t>l’excellence pour tous</w:t>
      </w:r>
      <w:r>
        <w:t> »</w:t>
      </w:r>
      <w:r w:rsidRPr="00785306">
        <w:t xml:space="preserve">, la réalisation d’une plus grande égalité des chances par le développement de la créativité et du potentiel de chacun, ainsi que la mobilisation collective des équipes au service de projets locaux, souvent à connotation entrepreneuriale. Au-delà des savoirs strictement scolaires, leur action vise plutôt à développer chez l’apprenant des compétences transversales, telles que la capacité à </w:t>
      </w:r>
      <w:r>
        <w:t>« </w:t>
      </w:r>
      <w:r w:rsidRPr="00785306">
        <w:t>penser autrement</w:t>
      </w:r>
      <w:r>
        <w:t> »</w:t>
      </w:r>
      <w:r w:rsidRPr="00785306">
        <w:t xml:space="preserve"> mise au service de la résolution de problèmes ou le développement des compétences humaines (</w:t>
      </w:r>
      <w:r w:rsidRPr="00785306">
        <w:rPr>
          <w:i/>
        </w:rPr>
        <w:t xml:space="preserve">soft </w:t>
      </w:r>
      <w:proofErr w:type="spellStart"/>
      <w:r w:rsidRPr="00785306">
        <w:rPr>
          <w:i/>
        </w:rPr>
        <w:t>skills</w:t>
      </w:r>
      <w:proofErr w:type="spellEnd"/>
      <w:r w:rsidRPr="00785306">
        <w:t>) telles que la confiance en soi, le travail en équipe</w:t>
      </w:r>
      <w:r>
        <w:t> ;</w:t>
      </w:r>
      <w:r w:rsidRPr="00785306">
        <w:t xml:space="preserve"> un discours entrepreneurial (capacité d’innover, de mise en projet, décloisonnement de l’école par rapport au monde de l’entreprise…) y est également présent.</w:t>
      </w:r>
    </w:p>
    <w:p w:rsidR="00661E93" w:rsidRPr="00785306" w:rsidRDefault="00661E93" w:rsidP="00661E93">
      <w:pPr>
        <w:pStyle w:val="DeBoeckcorpsdetexte"/>
      </w:pPr>
      <w:r w:rsidRPr="00785306">
        <w:t xml:space="preserve">Dans le même temps, les librairies regorgent d’ouvrages appelant une indispensable révolution du monde scolaire. Ainsi en est-il du récent essai du journaliste Emmanuel </w:t>
      </w:r>
      <w:proofErr w:type="spellStart"/>
      <w:r w:rsidRPr="00785306">
        <w:t>Davidenkoff</w:t>
      </w:r>
      <w:proofErr w:type="spellEnd"/>
      <w:r w:rsidRPr="00785306">
        <w:t xml:space="preserve"> (2014), intitulé </w:t>
      </w:r>
      <w:r w:rsidRPr="00774DF0">
        <w:t>« Le tsunami numérique. Éducation, tout va changer, êtes-vous prêts</w:t>
      </w:r>
      <w:r>
        <w:t> ?</w:t>
      </w:r>
      <w:r w:rsidRPr="00774DF0">
        <w:t xml:space="preserve"> ». </w:t>
      </w:r>
      <w:r w:rsidRPr="00785306">
        <w:t xml:space="preserve">L’ouvrage surfe sur un sentiment d’urgence concernant l’irrémédiable effondrement de l’école dans sa forme </w:t>
      </w:r>
      <w:r>
        <w:t>« </w:t>
      </w:r>
      <w:r w:rsidRPr="00785306">
        <w:t>moderne-industrielle</w:t>
      </w:r>
      <w:r>
        <w:t> »</w:t>
      </w:r>
      <w:r w:rsidRPr="00785306">
        <w:t xml:space="preserve">. Tout en se positionnant contre la </w:t>
      </w:r>
      <w:r>
        <w:t>« </w:t>
      </w:r>
      <w:r w:rsidRPr="00785306">
        <w:t>déscolarisation</w:t>
      </w:r>
      <w:r>
        <w:t> »</w:t>
      </w:r>
      <w:r w:rsidRPr="00785306">
        <w:t xml:space="preserve"> ou la privatisation de l’école, l’auteur exhorte l’institution scolaire à se transformer en profondeur. L’école, </w:t>
      </w:r>
      <w:r>
        <w:t>« </w:t>
      </w:r>
      <w:r w:rsidRPr="00785306">
        <w:t>mammouth</w:t>
      </w:r>
      <w:r>
        <w:t> »</w:t>
      </w:r>
      <w:r w:rsidRPr="00785306">
        <w:t xml:space="preserve"> hérité d’une ère révolue, doit s’adapter… ou périr. </w:t>
      </w:r>
      <w:r>
        <w:t>« </w:t>
      </w:r>
      <w:r w:rsidRPr="008616AA">
        <w:rPr>
          <w:iCs/>
        </w:rPr>
        <w:t xml:space="preserve">L’écosystème qui a converti en quelques décennies des milliards d’êtres humains </w:t>
      </w:r>
      <w:r w:rsidRPr="008616AA">
        <w:rPr>
          <w:iCs/>
        </w:rPr>
        <w:lastRenderedPageBreak/>
        <w:t>au smartphone et à internet a mis toute sa puissance de travail et d’innovation au service d’un objectif</w:t>
      </w:r>
      <w:r>
        <w:rPr>
          <w:iCs/>
        </w:rPr>
        <w:t> :</w:t>
      </w:r>
      <w:r w:rsidRPr="008616AA">
        <w:rPr>
          <w:iCs/>
        </w:rPr>
        <w:t xml:space="preserve"> réinventer l’éducation. […] Conçus dans la foulée de la révolution industrielle, les systèmes éducatifs occidentaux sont à bout de souffle. On ne formera pas les acteurs de la société numérique […] comme on formait des contremaîtres, des ouvriers ou des ingénieurs…</w:t>
      </w:r>
      <w:r>
        <w:rPr>
          <w:iCs/>
        </w:rPr>
        <w:t> »</w:t>
      </w:r>
      <w:r w:rsidRPr="00785306">
        <w:rPr>
          <w:i/>
          <w:iCs/>
        </w:rPr>
        <w:t xml:space="preserve"> </w:t>
      </w:r>
      <w:r>
        <w:t>(p.184).</w:t>
      </w:r>
    </w:p>
    <w:p w:rsidR="00661E93" w:rsidRPr="00785306" w:rsidRDefault="00661E93" w:rsidP="00661E93">
      <w:pPr>
        <w:pStyle w:val="DeBoeckcorpsdetexte"/>
      </w:pPr>
      <w:proofErr w:type="spellStart"/>
      <w:r w:rsidRPr="00785306">
        <w:t>Davidenkoff</w:t>
      </w:r>
      <w:proofErr w:type="spellEnd"/>
      <w:r w:rsidRPr="00785306">
        <w:t xml:space="preserve"> envisage donc la révolution technologique (et tout particulièrement le numérique) à la fois comme la source et la solution de la révolution éducative attendue. Les avancées technologiques – </w:t>
      </w:r>
      <w:r w:rsidRPr="00785306">
        <w:rPr>
          <w:i/>
        </w:rPr>
        <w:t>M</w:t>
      </w:r>
      <w:r w:rsidRPr="008A49CB">
        <w:rPr>
          <w:i/>
          <w:iCs/>
        </w:rPr>
        <w:t>assive Open Online Courses (</w:t>
      </w:r>
      <w:r w:rsidRPr="00785306">
        <w:t xml:space="preserve">MOOCS), </w:t>
      </w:r>
      <w:proofErr w:type="spellStart"/>
      <w:r w:rsidRPr="00785306">
        <w:rPr>
          <w:i/>
        </w:rPr>
        <w:t>seriou</w:t>
      </w:r>
      <w:r w:rsidRPr="00774DF0">
        <w:rPr>
          <w:i/>
        </w:rPr>
        <w:t>s</w:t>
      </w:r>
      <w:proofErr w:type="spellEnd"/>
      <w:r w:rsidRPr="00774DF0">
        <w:rPr>
          <w:i/>
        </w:rPr>
        <w:t xml:space="preserve"> </w:t>
      </w:r>
      <w:proofErr w:type="spellStart"/>
      <w:r w:rsidRPr="00774DF0">
        <w:rPr>
          <w:i/>
        </w:rPr>
        <w:t>games</w:t>
      </w:r>
      <w:proofErr w:type="spellEnd"/>
      <w:r w:rsidRPr="00774DF0">
        <w:rPr>
          <w:i/>
        </w:rPr>
        <w:t xml:space="preserve"> </w:t>
      </w:r>
      <w:r w:rsidRPr="00785306">
        <w:t xml:space="preserve">(jeux éducatifs), </w:t>
      </w:r>
      <w:proofErr w:type="spellStart"/>
      <w:r w:rsidRPr="00785306">
        <w:rPr>
          <w:i/>
        </w:rPr>
        <w:t>fablabs</w:t>
      </w:r>
      <w:proofErr w:type="spellEnd"/>
      <w:r w:rsidRPr="00785306">
        <w:t xml:space="preserve"> ou </w:t>
      </w:r>
      <w:proofErr w:type="spellStart"/>
      <w:r w:rsidRPr="00785306">
        <w:rPr>
          <w:i/>
        </w:rPr>
        <w:t>creative</w:t>
      </w:r>
      <w:proofErr w:type="spellEnd"/>
      <w:r w:rsidRPr="00785306">
        <w:rPr>
          <w:i/>
        </w:rPr>
        <w:t xml:space="preserve"> </w:t>
      </w:r>
      <w:proofErr w:type="spellStart"/>
      <w:r w:rsidRPr="00785306">
        <w:rPr>
          <w:i/>
        </w:rPr>
        <w:t>labs</w:t>
      </w:r>
      <w:proofErr w:type="spellEnd"/>
      <w:r w:rsidRPr="00785306">
        <w:t xml:space="preserve">, ou </w:t>
      </w:r>
      <w:r>
        <w:t>« </w:t>
      </w:r>
      <w:r w:rsidRPr="00785306">
        <w:t>laboratoires numériques</w:t>
      </w:r>
      <w:r>
        <w:t> »</w:t>
      </w:r>
      <w:r w:rsidRPr="00785306">
        <w:t xml:space="preserve"> de design créatif… – changeront l’éducation, tout comme ils changeront </w:t>
      </w:r>
      <w:r>
        <w:t>« </w:t>
      </w:r>
      <w:r w:rsidRPr="008616AA">
        <w:t>la vie, le commerce, l’économie mondiale</w:t>
      </w:r>
      <w:r>
        <w:t> »</w:t>
      </w:r>
      <w:r w:rsidRPr="008616AA">
        <w:t xml:space="preserve">. Il faut suivre la voie ouverte par les États-Unis, qui ont compris cet </w:t>
      </w:r>
      <w:r>
        <w:t>« </w:t>
      </w:r>
      <w:r w:rsidRPr="008616AA">
        <w:t xml:space="preserve">extraordinaire bouleversement et les </w:t>
      </w:r>
      <w:r w:rsidRPr="008616AA">
        <w:rPr>
          <w:bCs/>
        </w:rPr>
        <w:t>profits qu’on pourra en tirer, pour les élèves comme pour les entreprises</w:t>
      </w:r>
      <w:r>
        <w:rPr>
          <w:bCs/>
        </w:rPr>
        <w:t xml:space="preserve"> » </w:t>
      </w:r>
      <w:r w:rsidRPr="00785306">
        <w:t>(p.185). Les justifications avancées rappellent celles d’</w:t>
      </w:r>
      <w:proofErr w:type="spellStart"/>
      <w:r>
        <w:rPr>
          <w:i/>
        </w:rPr>
        <w:t>E</w:t>
      </w:r>
      <w:r w:rsidRPr="00785306">
        <w:rPr>
          <w:i/>
        </w:rPr>
        <w:t>ducationfutures</w:t>
      </w:r>
      <w:proofErr w:type="spellEnd"/>
      <w:r>
        <w:t> :</w:t>
      </w:r>
      <w:r w:rsidRPr="00785306">
        <w:t xml:space="preserve"> la finalité de l’éducation, c’est bien la formation d’individus innovants, créatifs, dont les potentialités développées pourront être mises au service des besoins de l’entreprise. Si elle n’innove pas radicalement, sur le plan pédagogique et organisationnel, l’école restera prisonnière de son </w:t>
      </w:r>
      <w:r w:rsidRPr="00774DF0">
        <w:t>« vieux silo »</w:t>
      </w:r>
      <w:r w:rsidRPr="00785306">
        <w:t xml:space="preserve"> et signera sa fin (p.193).</w:t>
      </w:r>
    </w:p>
    <w:p w:rsidR="00661E93" w:rsidRDefault="00661E93" w:rsidP="00661E93">
      <w:pPr>
        <w:pStyle w:val="DeBoeckcorpsdetexte"/>
      </w:pPr>
      <w:r w:rsidRPr="00785306">
        <w:t xml:space="preserve">Enfin, notons que, dans le rang des chercheurs, les interprétations en termes de mutation nécessaire ne manquent pas. Ainsi, </w:t>
      </w:r>
      <w:proofErr w:type="spellStart"/>
      <w:r w:rsidRPr="00785306">
        <w:t>Durpaire</w:t>
      </w:r>
      <w:proofErr w:type="spellEnd"/>
      <w:r w:rsidRPr="00785306">
        <w:t xml:space="preserve"> et </w:t>
      </w:r>
      <w:proofErr w:type="spellStart"/>
      <w:r w:rsidRPr="00785306">
        <w:t>Mabilon-Bonfils</w:t>
      </w:r>
      <w:proofErr w:type="spellEnd"/>
      <w:r w:rsidRPr="00785306">
        <w:t xml:space="preserve"> (2014) explorent à leur tour cet imaginaire de </w:t>
      </w:r>
      <w:r>
        <w:t>« </w:t>
      </w:r>
      <w:r w:rsidRPr="00785306">
        <w:t>fin de l’école</w:t>
      </w:r>
      <w:r>
        <w:t> »</w:t>
      </w:r>
      <w:r w:rsidRPr="00785306">
        <w:t xml:space="preserve">. Selon eux, la forme scolaire, dispositif historiquement situé, serait en passe de devenir </w:t>
      </w:r>
      <w:r>
        <w:t>« </w:t>
      </w:r>
      <w:r w:rsidRPr="00785306">
        <w:t>l’Ancien Régime de l’éducation</w:t>
      </w:r>
      <w:r>
        <w:t> »</w:t>
      </w:r>
      <w:r w:rsidRPr="00785306">
        <w:t xml:space="preserve">. </w:t>
      </w:r>
      <w:r w:rsidRPr="00774DF0">
        <w:t>« </w:t>
      </w:r>
      <w:r w:rsidRPr="00774DF0">
        <w:rPr>
          <w:bCs/>
          <w:iCs/>
        </w:rPr>
        <w:t>L’école est morte, vive l’éducation</w:t>
      </w:r>
      <w:r>
        <w:rPr>
          <w:bCs/>
          <w:iCs/>
        </w:rPr>
        <w:t> !</w:t>
      </w:r>
      <w:r w:rsidRPr="00774DF0">
        <w:rPr>
          <w:bCs/>
          <w:iCs/>
        </w:rPr>
        <w:t> »,</w:t>
      </w:r>
      <w:r w:rsidRPr="00785306">
        <w:rPr>
          <w:bCs/>
          <w:i/>
          <w:iCs/>
        </w:rPr>
        <w:t xml:space="preserve"> </w:t>
      </w:r>
      <w:r w:rsidRPr="00785306">
        <w:t>lancent-ils, diagnostiquant l’avènement d’une ère nouvelle</w:t>
      </w:r>
      <w:r>
        <w:t> :</w:t>
      </w:r>
      <w:r w:rsidRPr="00785306">
        <w:t xml:space="preserve"> celle du </w:t>
      </w:r>
      <w:r>
        <w:t>« </w:t>
      </w:r>
      <w:r w:rsidRPr="00785306">
        <w:t>savoir-relation</w:t>
      </w:r>
      <w:r>
        <w:t> »</w:t>
      </w:r>
      <w:r w:rsidRPr="00785306">
        <w:t>, où chaque individu apprendrait en solo, à partir de ressources informatiques adaptables à ses besoins, en tous lieux et selon son rythme propre.</w:t>
      </w:r>
      <w:r w:rsidRPr="00785306">
        <w:rPr>
          <w:bCs/>
          <w:i/>
          <w:iCs/>
        </w:rPr>
        <w:t xml:space="preserve"> </w:t>
      </w:r>
      <w:r w:rsidRPr="00785306">
        <w:t xml:space="preserve">Pour autant, les auteurs rejettent la version marchande d’un tel projet et affirment l’importance de gouverner politiquement l’éducation, dont la mission reste la construction du </w:t>
      </w:r>
      <w:r>
        <w:t>« </w:t>
      </w:r>
      <w:r w:rsidRPr="00785306">
        <w:t>commun</w:t>
      </w:r>
      <w:r>
        <w:t> »</w:t>
      </w:r>
      <w:r w:rsidRPr="00785306">
        <w:t xml:space="preserve"> (même au-delà du carcan des États-nations). Dès lors, si l’on peut penser une éducation </w:t>
      </w:r>
      <w:r>
        <w:t>« </w:t>
      </w:r>
      <w:r w:rsidRPr="00785306">
        <w:t>sans école</w:t>
      </w:r>
      <w:r>
        <w:t> »</w:t>
      </w:r>
      <w:r w:rsidRPr="00785306">
        <w:t xml:space="preserve">, il faut maintenir le principe d’un </w:t>
      </w:r>
      <w:r w:rsidRPr="00774DF0">
        <w:t>tiers éducatif,</w:t>
      </w:r>
      <w:r w:rsidRPr="00785306">
        <w:t xml:space="preserve"> c’est-à-dire de dispositifs permettant le décentrement du sujet par rapport à son expérience particulière. Dans un contexte marqué par la globalisation, la circulation des savoirs et les technologies de la communication, l’éducation doit s’ouvrir à la pluralité des savoirs et des modes d’être au monde. La verticalité de la relation pédagogique classique peut alors laisser place à des modes de transmission horizontaux et en réseau, mettant l’apprenant au cœur du processus d’apprentissage. Les MOOCS ou les classes inversées constituent des outils puissants au regard de ces nouvelles perspectives</w:t>
      </w:r>
      <w:r>
        <w:t>.</w:t>
      </w:r>
    </w:p>
    <w:p w:rsidR="00661E93" w:rsidRDefault="00661E93" w:rsidP="00661E93">
      <w:pPr>
        <w:pStyle w:val="DeBoeckcorpsdetexte"/>
        <w:rPr>
          <w:bCs/>
          <w:iCs/>
        </w:rPr>
      </w:pPr>
      <w:r w:rsidRPr="00785306">
        <w:rPr>
          <w:bCs/>
        </w:rPr>
        <w:t xml:space="preserve">Deux autres chercheurs, Muller et Normand (2013), formulent un ensemble de propositions, documentées par la recherche internationale, pour transformer l’école. Loin des modèles dominants de gouvernance néolibérale, les auteurs proposent de s’appuyer sur les innovations pédagogiques qui foisonnent sur le terrain, allant dans le sens d’une gouvernance collective et démocratique des environnements éducatifs. Il ne s’agit pas de </w:t>
      </w:r>
      <w:r w:rsidRPr="00774DF0">
        <w:rPr>
          <w:bCs/>
        </w:rPr>
        <w:t>« </w:t>
      </w:r>
      <w:r w:rsidRPr="00774DF0">
        <w:rPr>
          <w:bCs/>
          <w:iCs/>
        </w:rPr>
        <w:t>vouer l’école à une disparition annoncée ni même souhaitée, mais d’en garder l’essentiel, l’élévation qu’elle suppose, en en révolutionnant les pratiques, les programmes, les finalités, l’organisation »</w:t>
      </w:r>
      <w:r w:rsidRPr="00785306">
        <w:rPr>
          <w:bCs/>
          <w:i/>
          <w:iCs/>
        </w:rPr>
        <w:t xml:space="preserve">. </w:t>
      </w:r>
      <w:r w:rsidRPr="00785306">
        <w:rPr>
          <w:bCs/>
          <w:iCs/>
        </w:rPr>
        <w:t>Leurs propositions, proches du paradigme de l’organisation apprenante, mobilisent des mots clés tels qu’autonomie, créativité, direction collégiale, mutualisation des ressources, évaluation qualitative ou encore développement professionnel continu</w:t>
      </w:r>
      <w:r>
        <w:rPr>
          <w:bCs/>
          <w:iCs/>
        </w:rPr>
        <w:t>.</w:t>
      </w:r>
    </w:p>
    <w:p w:rsidR="00661E93" w:rsidRPr="00785306" w:rsidRDefault="00661E93" w:rsidP="00661E93">
      <w:pPr>
        <w:pStyle w:val="DeBoeckcorpsdetexte"/>
      </w:pPr>
      <w:r w:rsidRPr="00785306">
        <w:t xml:space="preserve">Plusieurs registres de justification sous-tendent ces plaidoyers pour un nouveau paradigme éducatif. Un registre de justice sociale invoque l’échec de la démocratisation scolaire et présente les nouvelles technologies et les </w:t>
      </w:r>
      <w:r w:rsidRPr="00785306">
        <w:rPr>
          <w:i/>
        </w:rPr>
        <w:t xml:space="preserve">open </w:t>
      </w:r>
      <w:proofErr w:type="spellStart"/>
      <w:r w:rsidRPr="00785306">
        <w:rPr>
          <w:i/>
        </w:rPr>
        <w:t>educative</w:t>
      </w:r>
      <w:proofErr w:type="spellEnd"/>
      <w:r w:rsidRPr="00785306">
        <w:rPr>
          <w:i/>
        </w:rPr>
        <w:t xml:space="preserve"> </w:t>
      </w:r>
      <w:proofErr w:type="spellStart"/>
      <w:r w:rsidRPr="00785306">
        <w:rPr>
          <w:i/>
        </w:rPr>
        <w:t>resources</w:t>
      </w:r>
      <w:proofErr w:type="spellEnd"/>
      <w:r w:rsidRPr="00785306">
        <w:t xml:space="preserve"> comme des outils au service de l’accès libre à la connaissance. Un registre épistémologique affirme la </w:t>
      </w:r>
      <w:r w:rsidRPr="00785306">
        <w:lastRenderedPageBreak/>
        <w:t xml:space="preserve">nécessité de développer un nouveau rapport aux savoirs, plus en phase avec le fonctionnement de la société en réseau et les attentes du marché. Apprendre à penser </w:t>
      </w:r>
      <w:r w:rsidRPr="00785306">
        <w:rPr>
          <w:i/>
        </w:rPr>
        <w:t>out of the box</w:t>
      </w:r>
      <w:r w:rsidRPr="00785306">
        <w:t xml:space="preserve"> est présenté comme une compétence recherchée pour s’insérer dans une société basée sur la complexité et le changement permanent. Un registre instrumental est également présent, lorsqu’est mise en avant la nécessité d’améliorer l’efficacité des systèmes éducatifs en les convertissant en organisations apprenantes, prenant appui sur la recherche et les technologies – souvent au service du marché. Enfin, sur le plan normatif, le discours soutient l’idée d’une éducation au service du développement des potentialités de l’individu.</w:t>
      </w:r>
    </w:p>
    <w:p w:rsidR="00661E93" w:rsidRPr="00785306" w:rsidRDefault="00661E93" w:rsidP="00661E93">
      <w:pPr>
        <w:pStyle w:val="DeBoecksous-titre1"/>
      </w:pPr>
      <w:bookmarkStart w:id="6" w:name="_Toc423095257"/>
      <w:r>
        <w:t>2.</w:t>
      </w:r>
      <w:r>
        <w:tab/>
      </w:r>
      <w:r w:rsidRPr="00785306">
        <w:t>La forme scolaire au cœur du programme institutionnel moderne</w:t>
      </w:r>
      <w:bookmarkEnd w:id="6"/>
    </w:p>
    <w:p w:rsidR="00661E93" w:rsidRPr="00785306" w:rsidRDefault="00661E93" w:rsidP="00661E93">
      <w:pPr>
        <w:pStyle w:val="DeBoeckcorpsdetexte"/>
      </w:pPr>
      <w:r w:rsidRPr="00785306">
        <w:t>Comment interpréter ce qui est en jeu derrière un tel diagnostic</w:t>
      </w:r>
      <w:r>
        <w:t> ?</w:t>
      </w:r>
      <w:r w:rsidRPr="00785306">
        <w:t xml:space="preserve"> Est-on en train d’assister à l’émergence d’un nouveau paradigme éducatif, à un renouvellement profond des modes de transmission des savoirs et de construction sociale des individus</w:t>
      </w:r>
      <w:r>
        <w:t> ?</w:t>
      </w:r>
      <w:r w:rsidRPr="00785306">
        <w:t xml:space="preserve"> Pour tenter de démêler ce qui est en gestation, un </w:t>
      </w:r>
      <w:r w:rsidRPr="00785306">
        <w:rPr>
          <w:bCs/>
        </w:rPr>
        <w:t>détour par le passé est nécessaire</w:t>
      </w:r>
      <w:r>
        <w:rPr>
          <w:bCs/>
        </w:rPr>
        <w:t> :</w:t>
      </w:r>
      <w:r w:rsidRPr="00785306">
        <w:t xml:space="preserve"> quelles sont les caractéristiques de cette </w:t>
      </w:r>
      <w:r>
        <w:t>« </w:t>
      </w:r>
      <w:r w:rsidRPr="00785306">
        <w:t>forme scolaire</w:t>
      </w:r>
      <w:r>
        <w:t> »</w:t>
      </w:r>
      <w:r w:rsidRPr="00785306">
        <w:t xml:space="preserve"> qu’on dit aujourd’hui dépassée</w:t>
      </w:r>
      <w:r>
        <w:t> ?</w:t>
      </w:r>
      <w:r w:rsidRPr="00785306">
        <w:t xml:space="preserve"> Dans quel contexte socio-historique a-t-elle émergé</w:t>
      </w:r>
      <w:r>
        <w:t> ?</w:t>
      </w:r>
      <w:r w:rsidRPr="00785306">
        <w:t xml:space="preserve"> Au service de quel projet, de quelles finalités ce dispositif </w:t>
      </w:r>
      <w:proofErr w:type="spellStart"/>
      <w:r w:rsidRPr="00785306">
        <w:t>a-t-il</w:t>
      </w:r>
      <w:proofErr w:type="spellEnd"/>
      <w:r w:rsidRPr="00785306">
        <w:t xml:space="preserve"> opéré</w:t>
      </w:r>
      <w:r>
        <w:t> ?</w:t>
      </w:r>
      <w:r w:rsidRPr="00785306">
        <w:t xml:space="preserve"> Un ensemble de travaux portant sur la genèse et l’histoire de la forme scolaire (Vincent, </w:t>
      </w:r>
      <w:proofErr w:type="spellStart"/>
      <w:r w:rsidRPr="00785306">
        <w:t>Lahire</w:t>
      </w:r>
      <w:proofErr w:type="spellEnd"/>
      <w:r w:rsidRPr="00785306">
        <w:t xml:space="preserve"> et </w:t>
      </w:r>
      <w:proofErr w:type="spellStart"/>
      <w:r w:rsidRPr="00785306">
        <w:t>Thin</w:t>
      </w:r>
      <w:proofErr w:type="spellEnd"/>
      <w:r w:rsidRPr="00785306">
        <w:t>, 1994</w:t>
      </w:r>
      <w:r>
        <w:t> ;</w:t>
      </w:r>
      <w:r w:rsidRPr="00785306">
        <w:t xml:space="preserve"> Robert, 2013</w:t>
      </w:r>
      <w:r>
        <w:t> ;</w:t>
      </w:r>
      <w:r w:rsidRPr="00785306">
        <w:t xml:space="preserve"> Dubet, 2002) nous permettront d’en brosser un portrait idéal-typique.</w:t>
      </w:r>
    </w:p>
    <w:p w:rsidR="00661E93" w:rsidRDefault="00661E93" w:rsidP="00661E93">
      <w:pPr>
        <w:pStyle w:val="DeBoecksous-titre2"/>
      </w:pPr>
      <w:bookmarkStart w:id="7" w:name="_Toc423095258"/>
      <w:r>
        <w:t>2.1.</w:t>
      </w:r>
      <w:r>
        <w:tab/>
      </w:r>
      <w:r w:rsidRPr="00785306">
        <w:t xml:space="preserve">Formes sociales orales et </w:t>
      </w:r>
      <w:proofErr w:type="spellStart"/>
      <w:r w:rsidRPr="00785306">
        <w:t>endo</w:t>
      </w:r>
      <w:proofErr w:type="spellEnd"/>
      <w:r w:rsidRPr="00785306">
        <w:t>-éducation</w:t>
      </w:r>
      <w:bookmarkEnd w:id="7"/>
    </w:p>
    <w:p w:rsidR="00661E93" w:rsidRDefault="00661E93" w:rsidP="00661E93">
      <w:pPr>
        <w:pStyle w:val="DeBoeckcorpsdetexte"/>
      </w:pPr>
      <w:r w:rsidRPr="00785306">
        <w:t>Avant tout, il faut rappeler une évidence socio-anthropologique</w:t>
      </w:r>
      <w:r>
        <w:t> :</w:t>
      </w:r>
      <w:r w:rsidRPr="00785306">
        <w:t xml:space="preserve"> il n’est pas de société sans socialisation, c’est-à-dire sans mécanismes d’intériorisation du social par les individus. Si l’École est sans doute l’incarnation la plus emblématique du processus de transmission des savoirs, des normes et des rôles sociaux, elle n’a pas toujours existé</w:t>
      </w:r>
      <w:r>
        <w:t> :</w:t>
      </w:r>
      <w:r w:rsidRPr="00785306">
        <w:t xml:space="preserve"> les modalités de la socialisation et de la transmission ont considérablement varié au cours de l’histoire. Dans les sociétés traditionnelles, la construction sociale des individus s’opère au sein même du milieu, de la communauté. Le savoir se confondant avec la sagesse héritée, l’apprentissage se fait </w:t>
      </w:r>
      <w:r w:rsidRPr="00785306">
        <w:rPr>
          <w:i/>
        </w:rPr>
        <w:t>in situ</w:t>
      </w:r>
      <w:r w:rsidRPr="00785306">
        <w:t xml:space="preserve">, sur le tas et par imitation (occasionnellement sous le regard d’un maître), au cœur même des activités de la vie quotidienne (en famille, au travail, etc.). </w:t>
      </w:r>
      <w:proofErr w:type="spellStart"/>
      <w:r w:rsidRPr="00785306">
        <w:t>Gellner</w:t>
      </w:r>
      <w:proofErr w:type="spellEnd"/>
      <w:r w:rsidRPr="00785306">
        <w:t xml:space="preserve"> (1989 [1984]) parle d'</w:t>
      </w:r>
      <w:proofErr w:type="spellStart"/>
      <w:r w:rsidRPr="00785306">
        <w:t>endo</w:t>
      </w:r>
      <w:proofErr w:type="spellEnd"/>
      <w:r w:rsidRPr="00785306">
        <w:t xml:space="preserve">-éducation, d'éducation </w:t>
      </w:r>
      <w:r>
        <w:t>« </w:t>
      </w:r>
      <w:r w:rsidRPr="00785306">
        <w:t>encastrée</w:t>
      </w:r>
      <w:r>
        <w:t> »</w:t>
      </w:r>
      <w:r w:rsidRPr="00785306">
        <w:t xml:space="preserve"> dans les autres sphères d'activité</w:t>
      </w:r>
      <w:r>
        <w:t> :</w:t>
      </w:r>
      <w:r w:rsidRPr="00785306">
        <w:t xml:space="preserve"> l'acte d'éduquer n'est pas séparé de la vie, il n'existe pas d'institution scolaire autonome</w:t>
      </w:r>
      <w:r>
        <w:t>.</w:t>
      </w:r>
    </w:p>
    <w:p w:rsidR="00661E93" w:rsidRDefault="00661E93" w:rsidP="00661E93">
      <w:pPr>
        <w:pStyle w:val="DeBoeckcorpsdetexte"/>
      </w:pPr>
      <w:r w:rsidRPr="00785306">
        <w:t xml:space="preserve">De même, s’attachant à décrire les modalités de la transmission propres aux sociétés </w:t>
      </w:r>
      <w:r>
        <w:t>« </w:t>
      </w:r>
      <w:r w:rsidRPr="00785306">
        <w:t>orales</w:t>
      </w:r>
      <w:r>
        <w:t> »</w:t>
      </w:r>
      <w:r w:rsidRPr="00785306">
        <w:t xml:space="preserve"> faiblement différenciées, Vincent, </w:t>
      </w:r>
      <w:proofErr w:type="spellStart"/>
      <w:r w:rsidRPr="00785306">
        <w:t>Lahire</w:t>
      </w:r>
      <w:proofErr w:type="spellEnd"/>
      <w:r w:rsidRPr="00785306">
        <w:t xml:space="preserve"> et </w:t>
      </w:r>
      <w:proofErr w:type="spellStart"/>
      <w:r w:rsidRPr="00785306">
        <w:t>Thin</w:t>
      </w:r>
      <w:proofErr w:type="spellEnd"/>
      <w:r w:rsidRPr="00785306">
        <w:t xml:space="preserve"> (1994) montrent que les savoirs et les normes qui fondent le groupe y sont reproduits et acquis à travers l’agir, de manière préréflexive.</w:t>
      </w:r>
      <w:r>
        <w:t xml:space="preserve"> </w:t>
      </w:r>
      <w:r w:rsidRPr="00774DF0">
        <w:t>« Les normes, savoirs et savoir-faire étant immanents aux pratiques sociales contextualisées, toujours concrètes, étant indissociablement liées à un faire, à un agir, ils sont donc fondus dans ce faire, cet agir »</w:t>
      </w:r>
      <w:r>
        <w:t xml:space="preserve"> </w:t>
      </w:r>
      <w:r w:rsidRPr="00785306">
        <w:t xml:space="preserve">(p.22-23). Les savoirs n’existent qu'à l'état incorporé, </w:t>
      </w:r>
      <w:r>
        <w:t>« </w:t>
      </w:r>
      <w:r w:rsidRPr="00785306">
        <w:t>agi</w:t>
      </w:r>
      <w:r>
        <w:t> »</w:t>
      </w:r>
      <w:r w:rsidRPr="00785306">
        <w:t xml:space="preserve"> dans des situations particulières d'usage. Dans ces contextes où le </w:t>
      </w:r>
      <w:r>
        <w:t>« </w:t>
      </w:r>
      <w:r w:rsidRPr="00785306">
        <w:t>nous</w:t>
      </w:r>
      <w:r>
        <w:t> »</w:t>
      </w:r>
      <w:r w:rsidRPr="00785306">
        <w:t>, la communauté, prédomine sur le sujet individuel, le rapport aux savoirs est immanent à l’expérience et non réflexif. L</w:t>
      </w:r>
      <w:r w:rsidRPr="00774DF0">
        <w:t>es savoirs « s'ignorant comme tels, […] rien ne permet alors de décaler ou de décoller le sujet parlant de sa parole pour lui en faire entrevoir le fonctionnement interne » (p.29).</w:t>
      </w:r>
    </w:p>
    <w:p w:rsidR="00661E93" w:rsidRPr="00785306" w:rsidRDefault="00661E93" w:rsidP="00661E93">
      <w:pPr>
        <w:pStyle w:val="DeBoecksous-titre2"/>
      </w:pPr>
      <w:bookmarkStart w:id="8" w:name="_Toc423095259"/>
      <w:r>
        <w:lastRenderedPageBreak/>
        <w:t>2.2.</w:t>
      </w:r>
      <w:r>
        <w:tab/>
      </w:r>
      <w:r w:rsidRPr="00785306">
        <w:t>La forme scolaire moderne et son programme institutionnel</w:t>
      </w:r>
      <w:bookmarkEnd w:id="8"/>
    </w:p>
    <w:p w:rsidR="00661E93" w:rsidRDefault="00661E93" w:rsidP="00661E93">
      <w:pPr>
        <w:pStyle w:val="DeBoeckcorpsdetexte"/>
      </w:pPr>
      <w:r w:rsidRPr="00785306">
        <w:t xml:space="preserve">La </w:t>
      </w:r>
      <w:r w:rsidRPr="00A21EB3">
        <w:t>forme scolaire</w:t>
      </w:r>
      <w:r w:rsidRPr="00785306">
        <w:t xml:space="preserve"> émerge aux alentours du XVII</w:t>
      </w:r>
      <w:r w:rsidRPr="00785306">
        <w:rPr>
          <w:vertAlign w:val="superscript"/>
        </w:rPr>
        <w:t>e</w:t>
      </w:r>
      <w:r w:rsidRPr="00785306">
        <w:t xml:space="preserve"> siècle, signant une véritable rupture épistémologique et sociologique par rapport à ces formes traditionnelles d’éducation. Elle survient dans le sillage d’innovations techniques (imprimerie) mais aussi de transformations culturelles profondes, dont l</w:t>
      </w:r>
      <w:r>
        <w:t>’« </w:t>
      </w:r>
      <w:r w:rsidRPr="00785306">
        <w:t>invention de l’enfance</w:t>
      </w:r>
      <w:r>
        <w:t> »</w:t>
      </w:r>
      <w:r w:rsidRPr="00785306">
        <w:t>, qui, comme l’a montré Ariès (1960), se constitue alors comme un âge spécifique de la vie, qu’il s’agit de protéger et de civiliser. Comme l’a bien montré Dubet (2002), c’est à cette époque que l’École se constitue véritablement comme un champ spécifique, distinct des autres activités de socialisation, accaparant le monopole légitime des savoirs à transmettre. Elle s’érige ainsi en institution garante des valeurs communes supérieures aux intérêts particuliers</w:t>
      </w:r>
      <w:r>
        <w:t>.</w:t>
      </w:r>
    </w:p>
    <w:p w:rsidR="00661E93" w:rsidRPr="00785306" w:rsidRDefault="00661E93" w:rsidP="00661E93">
      <w:pPr>
        <w:pStyle w:val="DeBoeckcorpsdetexte"/>
      </w:pPr>
      <w:r w:rsidRPr="00785306">
        <w:t xml:space="preserve">Vincent, </w:t>
      </w:r>
      <w:proofErr w:type="spellStart"/>
      <w:r w:rsidRPr="00785306">
        <w:t>Lahire</w:t>
      </w:r>
      <w:proofErr w:type="spellEnd"/>
      <w:r w:rsidRPr="00785306">
        <w:t xml:space="preserve"> et </w:t>
      </w:r>
      <w:proofErr w:type="spellStart"/>
      <w:r w:rsidRPr="00785306">
        <w:t>Thin</w:t>
      </w:r>
      <w:proofErr w:type="spellEnd"/>
      <w:r w:rsidRPr="00785306">
        <w:t xml:space="preserve"> (1994) ont bien mis en lumière les caractéristiques épistémologiques de cette forme scolaire, qui institue une relation sociale inédite</w:t>
      </w:r>
      <w:r>
        <w:t> :</w:t>
      </w:r>
      <w:r w:rsidRPr="00785306">
        <w:t xml:space="preserve"> la </w:t>
      </w:r>
      <w:r w:rsidRPr="00785306">
        <w:rPr>
          <w:i/>
        </w:rPr>
        <w:t>relation pédagogique</w:t>
      </w:r>
      <w:r w:rsidRPr="00785306">
        <w:t>. Ce processus repose essentiellement, avancent-ils, sur l’instauration d’un nouveau rapport au monde et aux savoirs, rendu possible et médiatisé par la culture de l’écrit. Plusieurs caractéristiques en sont constitutives</w:t>
      </w:r>
      <w:r>
        <w:t> :</w:t>
      </w:r>
      <w:r w:rsidRPr="00785306">
        <w:t xml:space="preserve"> les savoirs sont formalisés par l'écriture, ce qui permet leur accumulation et leur codification, et ils se constituent progressivement en </w:t>
      </w:r>
      <w:r w:rsidRPr="00785306">
        <w:rPr>
          <w:i/>
        </w:rPr>
        <w:t>disciplines</w:t>
      </w:r>
      <w:r w:rsidRPr="00785306">
        <w:t xml:space="preserve"> délimitées (voir chapitre 4). L'école devient le lieu spécifique, isolé du monde, dédié à l’apprentissage. Ce processus de rationalisation touche en même temps les méthodes d’enseignement, l’espace (qui fait l’objet d’un découpage rationnel, d’un quadrillage), le temps (qu’on organise en horaires, cycles, séquences d’apprentissages) ou l'interaction en classe (cadrée par des normes telles que l’attente de réponses courtes, univoques et générales). L’école s’érige du même coup en lieu central d’exercice et d’apprentissage d’une forme spécifiquement moderne du pouvoir</w:t>
      </w:r>
      <w:r>
        <w:t> :</w:t>
      </w:r>
      <w:r w:rsidRPr="00785306">
        <w:t xml:space="preserve"> la </w:t>
      </w:r>
      <w:r w:rsidRPr="00774DF0">
        <w:t>domination rationnelle-légale, qui suppose qu’« on n'obéit plus à une personne mais à des règles supra-personnelles qui s'imposent autant aux élèves qu'aux maîtres »</w:t>
      </w:r>
      <w:r w:rsidRPr="00785306">
        <w:rPr>
          <w:i/>
        </w:rPr>
        <w:t xml:space="preserve"> </w:t>
      </w:r>
      <w:r w:rsidRPr="00785306">
        <w:t xml:space="preserve">(Vincent, </w:t>
      </w:r>
      <w:proofErr w:type="spellStart"/>
      <w:r w:rsidRPr="00785306">
        <w:t>Lahire</w:t>
      </w:r>
      <w:proofErr w:type="spellEnd"/>
      <w:r w:rsidRPr="00785306">
        <w:t xml:space="preserve"> &amp; </w:t>
      </w:r>
      <w:proofErr w:type="spellStart"/>
      <w:r w:rsidRPr="00785306">
        <w:t>Thin</w:t>
      </w:r>
      <w:proofErr w:type="spellEnd"/>
      <w:r w:rsidRPr="00785306">
        <w:t>, 19</w:t>
      </w:r>
      <w:r>
        <w:t xml:space="preserve">94, p. 32, citant Max Weber, </w:t>
      </w:r>
      <w:r w:rsidRPr="00785306">
        <w:t xml:space="preserve">1971, p. 233). Enfin, pour ces auteurs, le passage systématique par l’écrit et la codification va stimuler chez le sujet apprenant une forme de décentrement, de </w:t>
      </w:r>
      <w:r>
        <w:t>« </w:t>
      </w:r>
      <w:r w:rsidRPr="00785306">
        <w:t>reprise réflexive</w:t>
      </w:r>
      <w:r>
        <w:t> »</w:t>
      </w:r>
      <w:r w:rsidRPr="00785306">
        <w:t xml:space="preserve"> ou de </w:t>
      </w:r>
      <w:r>
        <w:t>« </w:t>
      </w:r>
      <w:r w:rsidRPr="00785306">
        <w:t>rapport secondarisé</w:t>
      </w:r>
      <w:r>
        <w:t> »</w:t>
      </w:r>
      <w:r w:rsidRPr="00785306">
        <w:t xml:space="preserve"> aux objets de connaissance et au langage lui-même.</w:t>
      </w:r>
    </w:p>
    <w:p w:rsidR="00661E93" w:rsidRPr="00785306" w:rsidRDefault="00661E93" w:rsidP="00661E93">
      <w:pPr>
        <w:pStyle w:val="DeBoeckcorpsdetexte"/>
      </w:pPr>
      <w:r w:rsidRPr="00785306">
        <w:t xml:space="preserve">Les interprétations divergent quant aux fonctions sociales de cette forme scolaire, qui va connaître une extension sans précédent durant les deux siècles suivants. Certains voient dans la </w:t>
      </w:r>
      <w:r w:rsidRPr="00785306">
        <w:rPr>
          <w:i/>
        </w:rPr>
        <w:t>distanciation réflexive</w:t>
      </w:r>
      <w:r w:rsidRPr="00785306">
        <w:t xml:space="preserve"> qu’elle permet par rapport au monde l’outil même de l’émancipation appelée par les Lumières. Comme le formule très justement </w:t>
      </w:r>
      <w:proofErr w:type="spellStart"/>
      <w:r w:rsidRPr="00785306">
        <w:t>Derouet</w:t>
      </w:r>
      <w:proofErr w:type="spellEnd"/>
      <w:r w:rsidRPr="00785306">
        <w:t>, le projet de l’</w:t>
      </w:r>
      <w:r>
        <w:t xml:space="preserve">école </w:t>
      </w:r>
      <w:r w:rsidRPr="00785306">
        <w:t xml:space="preserve">moderne pose qu’éduquer, c’est </w:t>
      </w:r>
      <w:r w:rsidRPr="00774DF0">
        <w:t xml:space="preserve">« accompagner l’enfant vers l’universel », le « former à l’esprit critique, en lui inculquant les valeurs du monde qui doit être contre les évidences du monde qui est » </w:t>
      </w:r>
      <w:r w:rsidRPr="00785306">
        <w:t>(2003, p 70). En soumettant le sujet aux disciplines, on lui permet d’entrer dans un rapport réflexif à la connaissance et d’émancipation par rapport à l’ordre des choses. D’autres retiennent plutôt de la forme scolaire son format disciplinaire, quasi carcéral, d’assujettissement des individus, ainsi que le processus historique de domestication des masses qu’elle a accompagné, dans un contexte de constitution des États modernes et de leurs appareils de contrôle et de gestion rationnelle des populations (Bouillé, 1988</w:t>
      </w:r>
      <w:r>
        <w:t> ;</w:t>
      </w:r>
      <w:r w:rsidRPr="00785306">
        <w:t xml:space="preserve"> Robert, 2013).</w:t>
      </w:r>
    </w:p>
    <w:p w:rsidR="00661E93" w:rsidRPr="00785306" w:rsidRDefault="00661E93" w:rsidP="00661E93">
      <w:pPr>
        <w:pStyle w:val="DeBoeckcorpsdetexte"/>
      </w:pPr>
      <w:r w:rsidRPr="00785306">
        <w:t xml:space="preserve">Soulignons également que cette forme scolaire, tout en perdurant à travers les siècles, a servi plusieurs </w:t>
      </w:r>
      <w:r w:rsidRPr="00A21EB3">
        <w:t>imaginaires politiques</w:t>
      </w:r>
      <w:r w:rsidRPr="00785306">
        <w:t xml:space="preserve"> successifs. Après la période d’émergence (XVII</w:t>
      </w:r>
      <w:r w:rsidRPr="00785306">
        <w:rPr>
          <w:vertAlign w:val="superscript"/>
        </w:rPr>
        <w:t>e</w:t>
      </w:r>
      <w:r w:rsidRPr="00785306">
        <w:t>-XVIII</w:t>
      </w:r>
      <w:r w:rsidRPr="00785306">
        <w:rPr>
          <w:vertAlign w:val="superscript"/>
        </w:rPr>
        <w:t>e</w:t>
      </w:r>
      <w:r w:rsidRPr="00785306">
        <w:t xml:space="preserve"> siècles), Analysant plus particulièrement l’histoire de l’</w:t>
      </w:r>
      <w:r>
        <w:t xml:space="preserve">école </w:t>
      </w:r>
      <w:r w:rsidRPr="00785306">
        <w:t>française</w:t>
      </w:r>
      <w:r w:rsidRPr="00785306">
        <w:rPr>
          <w:rStyle w:val="Appelnotedebasdep"/>
        </w:rPr>
        <w:footnoteReference w:id="2"/>
      </w:r>
      <w:r w:rsidRPr="00785306">
        <w:t xml:space="preserve">, Robert (2013) </w:t>
      </w:r>
      <w:r w:rsidRPr="00785306">
        <w:lastRenderedPageBreak/>
        <w:t>distingue deux grandes étapes. De 1870 à 1945</w:t>
      </w:r>
      <w:r w:rsidRPr="00A21EB3">
        <w:t xml:space="preserve">, </w:t>
      </w:r>
      <w:r w:rsidRPr="00785306">
        <w:t xml:space="preserve">l’expansion systématique des écoles est encadrée par un État qui se veut </w:t>
      </w:r>
      <w:r w:rsidRPr="00785306">
        <w:rPr>
          <w:i/>
        </w:rPr>
        <w:t>éducateur</w:t>
      </w:r>
      <w:r w:rsidRPr="00785306">
        <w:t xml:space="preserve">. Le besoin d’individus scolarisés répond aux exigences nouvelles de l’appareil d’État et des économies nationales qui se déploient. L’imaginaire social dominant est celui d’une école conquérante et civilisatrice, arc-boutée sur l’idéal universaliste des Lumières et des révolutions démocratiques. En cette période coloniale, où la Raison (sous les oripeaux de la Nation) se pose en équivalent de l’Universalité et comme modèle exportable au nom de la justice et du progrès, l’École, bras avancé de l’État, opère comme un instrument de </w:t>
      </w:r>
      <w:r>
        <w:t>« </w:t>
      </w:r>
      <w:r w:rsidRPr="00785306">
        <w:t>civilisation</w:t>
      </w:r>
      <w:r>
        <w:t> »</w:t>
      </w:r>
      <w:r w:rsidRPr="00785306">
        <w:t>, avec toute la dimension de domination (sociale et coloniale) qui accompagne ce mouvement (</w:t>
      </w:r>
      <w:proofErr w:type="spellStart"/>
      <w:r w:rsidRPr="00785306">
        <w:t>Durpaire</w:t>
      </w:r>
      <w:proofErr w:type="spellEnd"/>
      <w:r w:rsidRPr="00785306">
        <w:t xml:space="preserve"> et </w:t>
      </w:r>
      <w:proofErr w:type="spellStart"/>
      <w:r w:rsidRPr="00785306">
        <w:t>Mabilon-Bonfils</w:t>
      </w:r>
      <w:proofErr w:type="spellEnd"/>
      <w:r w:rsidRPr="00785306">
        <w:t>, 2014, p.15).</w:t>
      </w:r>
    </w:p>
    <w:p w:rsidR="00661E93" w:rsidRDefault="00661E93" w:rsidP="00661E93">
      <w:pPr>
        <w:pStyle w:val="DeBoeckcorpsdetexte"/>
      </w:pPr>
      <w:r w:rsidRPr="00785306">
        <w:t xml:space="preserve">Durant les </w:t>
      </w:r>
      <w:r>
        <w:t>« </w:t>
      </w:r>
      <w:r w:rsidRPr="00785306">
        <w:t>Trente glorieuses</w:t>
      </w:r>
      <w:r>
        <w:t> »</w:t>
      </w:r>
      <w:r w:rsidRPr="00785306">
        <w:t xml:space="preserve">, la forme scolaire se généralise. On assiste à une vague sans précédent de démocratisation quantitative de l’école, sous les auspices d’un État qui se fait </w:t>
      </w:r>
      <w:r w:rsidRPr="00785306">
        <w:rPr>
          <w:i/>
        </w:rPr>
        <w:t>modernisateur</w:t>
      </w:r>
      <w:r w:rsidRPr="00785306">
        <w:t xml:space="preserve">, au service de l’économie (Robert, 2013). L’extension de la scolarité est notamment encouragée par la théorie économique du </w:t>
      </w:r>
      <w:r>
        <w:t>« </w:t>
      </w:r>
      <w:r w:rsidRPr="00785306">
        <w:t>capital humain</w:t>
      </w:r>
      <w:r>
        <w:t> »</w:t>
      </w:r>
      <w:r w:rsidRPr="00785306">
        <w:t xml:space="preserve"> (Becker, 1966), qui envisage l’éducation comme un investissement dans les compétences, savoirs et savoir-être des individus, pouvant être mis au service du développement des sociétés. La </w:t>
      </w:r>
      <w:r>
        <w:t>« </w:t>
      </w:r>
      <w:r w:rsidRPr="00785306">
        <w:t>massification</w:t>
      </w:r>
      <w:r>
        <w:t> »</w:t>
      </w:r>
      <w:r w:rsidRPr="00785306">
        <w:t xml:space="preserve"> scolaire est alors menée au nom de la modernisation de l’économie et de son besoin accru de main d’œuvre et de compétences solides et diversifiées</w:t>
      </w:r>
      <w:r>
        <w:t>.</w:t>
      </w:r>
    </w:p>
    <w:p w:rsidR="00661E93" w:rsidRDefault="00661E93" w:rsidP="00661E93">
      <w:pPr>
        <w:pStyle w:val="DeBoeckcorpsdetexte"/>
      </w:pPr>
      <w:r w:rsidRPr="00785306">
        <w:t>Mais l’</w:t>
      </w:r>
      <w:r>
        <w:t xml:space="preserve">école </w:t>
      </w:r>
      <w:r w:rsidRPr="00785306">
        <w:t>de l’après-guerre incarne également un projet de justice sociale à travers des objectifs de démocratisation et émancipation de tous, porté par des acteurs politiques et sociaux progressistes. Comme le montre magistralement Dubet (</w:t>
      </w:r>
      <w:r>
        <w:t>2002</w:t>
      </w:r>
      <w:r w:rsidRPr="00785306">
        <w:t xml:space="preserve">), le </w:t>
      </w:r>
      <w:r>
        <w:t>« </w:t>
      </w:r>
      <w:r w:rsidRPr="00785306">
        <w:t>grand récit</w:t>
      </w:r>
      <w:r>
        <w:t> »</w:t>
      </w:r>
      <w:r w:rsidRPr="00785306">
        <w:t xml:space="preserve"> qui soutient ce projet s’enracine dans un imaginaire historique particulier, associant universalisme de la Raison, émancipation du Sujet et construction de la Nation. C’est ce qu’il va appeler le </w:t>
      </w:r>
      <w:r>
        <w:t>« </w:t>
      </w:r>
      <w:r w:rsidRPr="00A21EB3">
        <w:t>programme institutionnel</w:t>
      </w:r>
      <w:r>
        <w:t> »</w:t>
      </w:r>
      <w:r w:rsidRPr="00785306">
        <w:t xml:space="preserve"> de la modernité, qui s’enracine lui aussi dans le projet des Lumières mais connaît en quelque sorte son apogée durant cette période. Ce programme inspire une matrice particulière de socialisation, qui constitue une forme sociale stable (au-delà même des variantes que constituent par exemple l’école Républicaine ou l’école chrétienne). Emblématique de ce programme, L’</w:t>
      </w:r>
      <w:r>
        <w:t xml:space="preserve">école </w:t>
      </w:r>
      <w:r w:rsidRPr="00785306">
        <w:t xml:space="preserve">moderne se pose comme institution médiatrice entre de grands principes qui s’énoncent comme universels (la Raison, la Science, le Progrès ou la Nation) et des individus (particuliers), qu’il s’agit de </w:t>
      </w:r>
      <w:r>
        <w:t>« </w:t>
      </w:r>
      <w:r w:rsidRPr="00785306">
        <w:t>socialiser</w:t>
      </w:r>
      <w:r>
        <w:t> »</w:t>
      </w:r>
      <w:r w:rsidRPr="00785306">
        <w:t>, par l’entremise d’un corps de spécialistes (les enseignants), de s</w:t>
      </w:r>
      <w:r>
        <w:t>avoirs et de règles (Dubet, 2002</w:t>
      </w:r>
      <w:r w:rsidRPr="00785306">
        <w:t>, p.13</w:t>
      </w:r>
      <w:r>
        <w:t> ;</w:t>
      </w:r>
      <w:r w:rsidRPr="00785306">
        <w:t xml:space="preserve"> p.26). La culture scolaire tire sa légitimité de la référence à ces principes, peu questionnables parce que posés comme des fondations quasi sacrées de l’ordre social (c’est ce que Dubet appelle les </w:t>
      </w:r>
      <w:r>
        <w:t>« </w:t>
      </w:r>
      <w:r w:rsidRPr="00785306">
        <w:t>garants méta-sociaux</w:t>
      </w:r>
      <w:r>
        <w:t> »</w:t>
      </w:r>
      <w:r w:rsidRPr="00785306">
        <w:t xml:space="preserve">). C’est aussi ce qui justifie le côté </w:t>
      </w:r>
      <w:r>
        <w:t>« </w:t>
      </w:r>
      <w:r w:rsidRPr="00785306">
        <w:t>sanctuaire</w:t>
      </w:r>
      <w:r>
        <w:t> »</w:t>
      </w:r>
      <w:r w:rsidRPr="00785306">
        <w:t xml:space="preserve"> de la forme scolaire, qui se sépare physiquement (par les murs, l’enceinte) et symboliquement du </w:t>
      </w:r>
      <w:r>
        <w:t>« </w:t>
      </w:r>
      <w:r w:rsidRPr="00785306">
        <w:t>monde profane</w:t>
      </w:r>
      <w:r>
        <w:t> »</w:t>
      </w:r>
      <w:r w:rsidRPr="00785306">
        <w:t xml:space="preserve"> de la vie quotidienne. Cette dimension sacralisée de la culture scolaire assoit également la légitimité de la professionnalité enseignante, basée sur un modèle de la </w:t>
      </w:r>
      <w:r>
        <w:t>« </w:t>
      </w:r>
      <w:r w:rsidRPr="00785306">
        <w:t>vocation</w:t>
      </w:r>
      <w:r>
        <w:t> »</w:t>
      </w:r>
      <w:r w:rsidRPr="00785306">
        <w:t xml:space="preserve">. En miroir, Dubet compare la socialisation des élèves à une </w:t>
      </w:r>
      <w:r>
        <w:t>« </w:t>
      </w:r>
      <w:r w:rsidRPr="00785306">
        <w:t>conversion</w:t>
      </w:r>
      <w:r>
        <w:t> »</w:t>
      </w:r>
      <w:r w:rsidRPr="00785306">
        <w:t xml:space="preserve">, à une transformation profonde du sujet par soumission à des valeurs universelles, quasi sacrées. C’est également cette puissance d’universalisation propre à la culture scolaire moderne qui a permis de faire tenir la forme </w:t>
      </w:r>
      <w:r>
        <w:t>« </w:t>
      </w:r>
      <w:r w:rsidRPr="00785306">
        <w:t>caserne</w:t>
      </w:r>
      <w:r>
        <w:t> »</w:t>
      </w:r>
      <w:r w:rsidRPr="00785306">
        <w:t xml:space="preserve"> de l’école, avec sa discipline rigoureuse, son organisation stricte du temps et de l’espace ainsi que ses formes verticales, transmissives, d’apprentissage (</w:t>
      </w:r>
      <w:proofErr w:type="spellStart"/>
      <w:r w:rsidRPr="00785306">
        <w:t>Verhoeven</w:t>
      </w:r>
      <w:proofErr w:type="spellEnd"/>
      <w:r w:rsidRPr="00785306">
        <w:t>, 2012</w:t>
      </w:r>
      <w:r>
        <w:t>a</w:t>
      </w:r>
      <w:r w:rsidRPr="00785306">
        <w:t>). Au cœur de ce grand récit, de cet imaginaire de l’éducation moderne, se trouve donc un paradoxe</w:t>
      </w:r>
      <w:r>
        <w:t> :</w:t>
      </w:r>
      <w:r w:rsidRPr="00785306">
        <w:t xml:space="preserve"> </w:t>
      </w:r>
      <w:r>
        <w:t>« </w:t>
      </w:r>
      <w:r w:rsidRPr="00785306">
        <w:t>dresser, c’est émanciper</w:t>
      </w:r>
      <w:r>
        <w:t> »</w:t>
      </w:r>
      <w:r w:rsidRPr="00785306">
        <w:t xml:space="preserve">, ou </w:t>
      </w:r>
      <w:r>
        <w:t>« </w:t>
      </w:r>
      <w:r w:rsidRPr="00785306">
        <w:t>obéir rend libre</w:t>
      </w:r>
      <w:r>
        <w:t> »</w:t>
      </w:r>
      <w:r w:rsidRPr="00785306">
        <w:t xml:space="preserve">. C’est en se soumettant à des principes, à des règles et à </w:t>
      </w:r>
      <w:r w:rsidRPr="00785306">
        <w:lastRenderedPageBreak/>
        <w:t xml:space="preserve">des savoirs </w:t>
      </w:r>
      <w:r>
        <w:t>« </w:t>
      </w:r>
      <w:r w:rsidRPr="00785306">
        <w:t>universels</w:t>
      </w:r>
      <w:r>
        <w:t> »</w:t>
      </w:r>
      <w:r w:rsidRPr="00785306">
        <w:t xml:space="preserve"> que l’élève va pouvoir développer sa capacité critique, sa réflexivité et son autonomie</w:t>
      </w:r>
      <w:r>
        <w:t>.</w:t>
      </w:r>
    </w:p>
    <w:p w:rsidR="00661E93" w:rsidRPr="00785306" w:rsidRDefault="00661E93" w:rsidP="00661E93">
      <w:pPr>
        <w:pStyle w:val="DeBoeckcorpsdetexte"/>
      </w:pPr>
      <w:r w:rsidRPr="00785306">
        <w:t>Concluons, en paraphrasant Dubet encore, que l’imaginaire fondateur de l’</w:t>
      </w:r>
      <w:r>
        <w:t xml:space="preserve">école </w:t>
      </w:r>
      <w:r w:rsidRPr="00785306">
        <w:t>moderne s’est avéré particulièrement puissant, en ce qu’il est parvenu à intégrer un triple récit</w:t>
      </w:r>
      <w:r>
        <w:t> :</w:t>
      </w:r>
      <w:r w:rsidRPr="00785306">
        <w:t xml:space="preserve"> un récit portant sur la fonction instrumentale de l’</w:t>
      </w:r>
      <w:r>
        <w:t xml:space="preserve">école </w:t>
      </w:r>
      <w:r w:rsidRPr="00785306">
        <w:t>(qui produit les compétences nécessaires au développement économique moderne), un récit portant sur sa fonction d’intégration sociale (en socialisant et en disciplinant les individus, l’école établit les bases de la solidarité collective et de la cohésion sociale), et un récit portant sur la justice sociale (la socialisation scolaire étant présentée comme un instrument central d’émancipation individuelle et collective).</w:t>
      </w:r>
    </w:p>
    <w:p w:rsidR="00661E93" w:rsidRDefault="00661E93" w:rsidP="00661E93">
      <w:pPr>
        <w:pStyle w:val="DeBoeckcorpsdetexte"/>
      </w:pPr>
      <w:r w:rsidRPr="00785306">
        <w:t xml:space="preserve">Mais la critique sociale (nourrie d’ailleurs par la sociologie critique) des années 60 et 70, en dévoilant la reproduction des inégalités sociales ou l’ethnocentrisme colonial à l’œuvre derrière le discours universaliste, viendra fragiliser ce programme institutionnel moderne. Le discours de la </w:t>
      </w:r>
      <w:r>
        <w:t>« </w:t>
      </w:r>
      <w:r w:rsidRPr="00785306">
        <w:t>crise de l’école</w:t>
      </w:r>
      <w:r>
        <w:t> »</w:t>
      </w:r>
      <w:r w:rsidRPr="00785306">
        <w:t xml:space="preserve"> qui traverse la fin du XX</w:t>
      </w:r>
      <w:r w:rsidRPr="00785306">
        <w:rPr>
          <w:vertAlign w:val="superscript"/>
        </w:rPr>
        <w:t>e</w:t>
      </w:r>
      <w:r w:rsidRPr="00785306">
        <w:t xml:space="preserve"> siècle jusqu’à nos jours peut d’ailleurs être considéré comme la décomposition progressive de cet imaginaire social puissant</w:t>
      </w:r>
      <w:r>
        <w:t>.</w:t>
      </w:r>
    </w:p>
    <w:p w:rsidR="00661E93" w:rsidRPr="00785306" w:rsidRDefault="00661E93" w:rsidP="00661E93">
      <w:pPr>
        <w:pStyle w:val="DeBoecksous-titre1"/>
      </w:pPr>
      <w:bookmarkStart w:id="9" w:name="_Toc423095260"/>
      <w:r>
        <w:t>3.</w:t>
      </w:r>
      <w:r>
        <w:tab/>
      </w:r>
      <w:r w:rsidRPr="00785306">
        <w:t>La rupture contemporaine</w:t>
      </w:r>
      <w:bookmarkEnd w:id="9"/>
    </w:p>
    <w:p w:rsidR="00661E93" w:rsidRPr="00785306" w:rsidRDefault="00661E93" w:rsidP="00661E93">
      <w:pPr>
        <w:pStyle w:val="DeBoeckcorpsdetexte"/>
      </w:pPr>
      <w:r w:rsidRPr="00785306">
        <w:t xml:space="preserve">Forts de ce détour par l’histoire et les fondements de la forme scolaire moderne, nous voilà en mesure de mieux comprendre les récits contemporains sur la </w:t>
      </w:r>
      <w:r>
        <w:t>« </w:t>
      </w:r>
      <w:r w:rsidRPr="00785306">
        <w:t>fin de l’école</w:t>
      </w:r>
      <w:r>
        <w:t> »</w:t>
      </w:r>
      <w:r w:rsidRPr="00785306">
        <w:t xml:space="preserve"> ainsi que les propositions pour </w:t>
      </w:r>
      <w:r>
        <w:t>« </w:t>
      </w:r>
      <w:r w:rsidRPr="00785306">
        <w:t>révolutionner</w:t>
      </w:r>
      <w:r>
        <w:t> »</w:t>
      </w:r>
      <w:r w:rsidRPr="00785306">
        <w:t xml:space="preserve"> l’éducation dont nous avons fait état en début de chapitre. Ces récits renferment une critique de la forme scolaire moderne, et énoncent des balises pour un projet et un format renouvelés pour l’éducation.</w:t>
      </w:r>
    </w:p>
    <w:p w:rsidR="00661E93" w:rsidRPr="00785306" w:rsidRDefault="00661E93" w:rsidP="00661E93">
      <w:pPr>
        <w:pStyle w:val="DeBoecksous-titre2"/>
      </w:pPr>
      <w:r w:rsidRPr="00785306">
        <w:t xml:space="preserve"> </w:t>
      </w:r>
      <w:bookmarkStart w:id="10" w:name="_Toc423095261"/>
      <w:r>
        <w:t>3.1.</w:t>
      </w:r>
      <w:r>
        <w:tab/>
      </w:r>
      <w:r w:rsidRPr="00785306">
        <w:t>Critique des dimensions constitutives de la forme scolaire</w:t>
      </w:r>
      <w:bookmarkEnd w:id="10"/>
    </w:p>
    <w:p w:rsidR="00661E93" w:rsidRDefault="00661E93" w:rsidP="00661E93">
      <w:pPr>
        <w:pStyle w:val="DeBoeckcorpsdetexte"/>
      </w:pPr>
      <w:r w:rsidRPr="00785306">
        <w:t xml:space="preserve">D’une part, c’est bien à une contestation systématique de la forme scolaire que nous assistons aujourd’hui, dans son rapport aux savoirs, sa </w:t>
      </w:r>
      <w:r>
        <w:t>« </w:t>
      </w:r>
      <w:r w:rsidRPr="00785306">
        <w:t>relation pédagogique</w:t>
      </w:r>
      <w:r>
        <w:t> »</w:t>
      </w:r>
      <w:r w:rsidRPr="00785306">
        <w:t xml:space="preserve">, son format </w:t>
      </w:r>
      <w:r>
        <w:t>« </w:t>
      </w:r>
      <w:r w:rsidRPr="00785306">
        <w:t>disciplinaire</w:t>
      </w:r>
      <w:r>
        <w:t> »</w:t>
      </w:r>
      <w:r w:rsidRPr="00785306">
        <w:t>, ou encore dans sa conception du processus de socialisation ou de construction du sujet</w:t>
      </w:r>
      <w:r>
        <w:t>.</w:t>
      </w:r>
    </w:p>
    <w:p w:rsidR="00661E93" w:rsidRDefault="00661E93" w:rsidP="00661E93">
      <w:pPr>
        <w:pStyle w:val="DeBoeckcorpsdetexte"/>
      </w:pPr>
      <w:r w:rsidRPr="00785306">
        <w:t xml:space="preserve">Penchons-nous tout d’abord sur la question des savoirs. L’analyse de l’univers conceptuel de la pédagogie contemporaine dépasserait le cadre du présent chapitre, mais on peut d’emblée y pointer l’importance des </w:t>
      </w:r>
      <w:r>
        <w:t>« </w:t>
      </w:r>
      <w:r w:rsidRPr="00785306">
        <w:t>savoir-faire</w:t>
      </w:r>
      <w:r>
        <w:t> »</w:t>
      </w:r>
      <w:r w:rsidRPr="00785306">
        <w:t xml:space="preserve">, des </w:t>
      </w:r>
      <w:r>
        <w:t>« </w:t>
      </w:r>
      <w:r w:rsidRPr="00785306">
        <w:t>savoirs ancrés</w:t>
      </w:r>
      <w:r>
        <w:t> »</w:t>
      </w:r>
      <w:r w:rsidRPr="00785306">
        <w:t xml:space="preserve">, des savoirs </w:t>
      </w:r>
      <w:r>
        <w:t>« </w:t>
      </w:r>
      <w:r w:rsidRPr="00785306">
        <w:t>d’action</w:t>
      </w:r>
      <w:r>
        <w:t> »</w:t>
      </w:r>
      <w:r w:rsidRPr="00785306">
        <w:t xml:space="preserve"> ou </w:t>
      </w:r>
      <w:r>
        <w:t>« </w:t>
      </w:r>
      <w:r w:rsidRPr="00785306">
        <w:t>d’expérience</w:t>
      </w:r>
      <w:r>
        <w:t> »</w:t>
      </w:r>
      <w:r w:rsidRPr="00785306">
        <w:t xml:space="preserve">. Ces notions marquent une rupture radicale par rapport à la forme scolaire, à la coupure qu’elle visait à instaurer avec l’expérience sensible. Aux savoirs disciplinaires, abstraits et formalisés, on semble aujourd’hui préférer la capacité à mobiliser ces savoirs pour comprendre et agir dans des situations concrètes (voir chapitre 4). En retour, l’expérience est utilisée comme levier de l’apprentissage (voir chapitre 3). Les savoirs scolaires, bornés par des frontières disciplinaires, sont de moins en moins considérés comme des fins en soi et davantage comme des outils, des ressources mises au service </w:t>
      </w:r>
      <w:r>
        <w:t>des capacités d’action (</w:t>
      </w:r>
      <w:proofErr w:type="spellStart"/>
      <w:r>
        <w:t>Letor</w:t>
      </w:r>
      <w:proofErr w:type="spellEnd"/>
      <w:r>
        <w:t xml:space="preserve"> &amp;</w:t>
      </w:r>
      <w:r w:rsidRPr="00785306">
        <w:t xml:space="preserve"> Mangez, 2008) ou de la pensée créative. C’est dans ce cadre qu’il faut comprendre l’injonction à penser </w:t>
      </w:r>
      <w:r w:rsidRPr="00785306">
        <w:rPr>
          <w:i/>
        </w:rPr>
        <w:t>out of the box</w:t>
      </w:r>
      <w:r w:rsidRPr="00785306">
        <w:t>, cette invitation, récurrente dans les positions analysées en première partie de chapitre, à transgresser les frontières des savoirs constitués pour produire des connaissances hybrides et innovantes</w:t>
      </w:r>
      <w:r>
        <w:t>.</w:t>
      </w:r>
    </w:p>
    <w:p w:rsidR="00661E93" w:rsidRPr="00785306" w:rsidRDefault="00661E93" w:rsidP="00661E93">
      <w:pPr>
        <w:pStyle w:val="DeBoeckcorpsdetexte"/>
      </w:pPr>
      <w:r w:rsidRPr="00785306">
        <w:t xml:space="preserve">Ce mouvement est par ailleurs inséparable du recours croissant à de nouveaux supports de la connaissance, non plus essentiellement écrits, mais numériques. En rendant </w:t>
      </w:r>
      <w:r w:rsidRPr="00785306">
        <w:lastRenderedPageBreak/>
        <w:t>quasi immédiat l’accès à des informations à la fois innombrables et singulières, les nouvelles technologies de l’information et de l’image viennent transformer de l’intérieur le rapport aux savoirs, (voir chapitre 2) nous éloignant progressivement du type de conceptualisation qui était lié à la codification par l’écrit, comme le pense le philosophe Michel Serres (2010, p. 45-46). Au fond, si l’on suit ce dernier, le recours au numérique nous dispense quasiment du concept pour appréhender le monde, en rendant possible un rapport massifié et direct à des connaissances toujours singulières et contextualisées.</w:t>
      </w:r>
    </w:p>
    <w:p w:rsidR="00661E93" w:rsidRDefault="00661E93" w:rsidP="00661E93">
      <w:pPr>
        <w:pStyle w:val="DeBoeckcorpsdetexte"/>
      </w:pPr>
      <w:r w:rsidRPr="00785306">
        <w:t xml:space="preserve">Parallèlement, c’est toute la dynamique de la relation pédagogique qui est invitée à muter. Aux formes frontales, verticales de transmission, on privilégiera des dispositifs marqués par l’horizontalité et la collaboration. De maître instruit, l’enseignant devient </w:t>
      </w:r>
      <w:r w:rsidRPr="00785306">
        <w:rPr>
          <w:i/>
        </w:rPr>
        <w:t>coach</w:t>
      </w:r>
      <w:r w:rsidRPr="00785306">
        <w:t xml:space="preserve"> ou facilitateur (voir chapitre 6). L’élève doit quitter sa position de passivité pour adopter une posture d’apprenant actif et réflexif – et devenir ce </w:t>
      </w:r>
      <w:r>
        <w:t>« </w:t>
      </w:r>
      <w:r w:rsidRPr="00785306">
        <w:t>nomade</w:t>
      </w:r>
      <w:r>
        <w:t> »</w:t>
      </w:r>
      <w:r w:rsidRPr="00785306">
        <w:t xml:space="preserve"> de la connaissance évoqué plus haut. Aux antipodes des schémas standardisés de répétition et séquençage des apprentissages propres à la forme scolaire, les approches contemporaines promeuvent des dispositifs adaptés au rythme et aux spécificités de chaque individu, éventuellement soutenus par les nouveaux outils technologiques (voir chapitre 5). Cette </w:t>
      </w:r>
      <w:r>
        <w:t>« </w:t>
      </w:r>
      <w:r w:rsidRPr="00785306">
        <w:t>individualisation de l’apprendre</w:t>
      </w:r>
      <w:r>
        <w:t> »</w:t>
      </w:r>
      <w:r w:rsidRPr="00785306">
        <w:t xml:space="preserve"> – ou singularisation des dispositifs d’apprentissage – que la plupart des acteurs de l’éducation cités en première partie de chapitre appellent de leur vœux, s’inscrit dans un mouvement plus large d’individualisation sociale</w:t>
      </w:r>
      <w:r w:rsidRPr="00785306">
        <w:rPr>
          <w:rStyle w:val="Appelnotedebasdep"/>
        </w:rPr>
        <w:footnoteReference w:id="3"/>
      </w:r>
      <w:r>
        <w:t>.</w:t>
      </w:r>
    </w:p>
    <w:p w:rsidR="00661E93" w:rsidRPr="00785306" w:rsidRDefault="00661E93" w:rsidP="00661E93">
      <w:pPr>
        <w:pStyle w:val="DeBoeckcorpsdetexte"/>
      </w:pPr>
      <w:r w:rsidRPr="00785306">
        <w:t xml:space="preserve">La critique de la forme scolaire touche aussi la </w:t>
      </w:r>
      <w:r>
        <w:t>« </w:t>
      </w:r>
      <w:r w:rsidRPr="00785306">
        <w:t>forme disciplinaire</w:t>
      </w:r>
      <w:r>
        <w:t> »</w:t>
      </w:r>
      <w:r w:rsidRPr="00785306">
        <w:t xml:space="preserve"> de l’institution moderne, ainsi que de la </w:t>
      </w:r>
      <w:r w:rsidRPr="00785306">
        <w:rPr>
          <w:i/>
        </w:rPr>
        <w:t>domination rationnelle-légale</w:t>
      </w:r>
      <w:r w:rsidRPr="00785306">
        <w:t xml:space="preserve"> (Weber, 1971) qui la sous-tendait. Les relations verticales et impersonnelles, qui prenaient sens au nom de la discipline et de la soumission à une culture scolaire quasi sacralisée, sont aujourd’hui perçues comme des formes relativement arbitraires de contrôle, voire comme des freins au déploiement du potentiel de chaque apprenant. En fait, l’école est critiquée pour ce qui en faisait autrefois la grandeur</w:t>
      </w:r>
      <w:r>
        <w:t> :</w:t>
      </w:r>
      <w:r w:rsidRPr="00785306">
        <w:t xml:space="preserve"> la coupure par rapport au monde profane. Alors que la clôture spatiale et symbolique de l’institution garantissait autrefois l’entrée dans l’universel, elle apparaît maintenant comme le signe d’un enfermement dénué de sens. La forme scolaire s’est muée en </w:t>
      </w:r>
      <w:r>
        <w:t>« </w:t>
      </w:r>
      <w:r w:rsidRPr="00785306">
        <w:t>caserne</w:t>
      </w:r>
      <w:r>
        <w:t> »</w:t>
      </w:r>
      <w:r w:rsidRPr="00785306">
        <w:t xml:space="preserve">, et ses connaissances abstraites sont qualifiées de </w:t>
      </w:r>
      <w:r>
        <w:t>« </w:t>
      </w:r>
      <w:r w:rsidRPr="00785306">
        <w:t>mortes</w:t>
      </w:r>
      <w:r>
        <w:t> »</w:t>
      </w:r>
      <w:r w:rsidRPr="00785306">
        <w:t xml:space="preserve">. Au contraire, c’est en se décloisonnant et en s’ouvrant au monde que l’École est appelée à reconstruire son sens et sa légitimité. Ainsi, on parle d’école extensive ou étendue, on enjoint l’école à </w:t>
      </w:r>
      <w:r>
        <w:t>« </w:t>
      </w:r>
      <w:r w:rsidRPr="00785306">
        <w:t>sortir de ses murs</w:t>
      </w:r>
      <w:r>
        <w:t> »</w:t>
      </w:r>
      <w:r w:rsidRPr="00785306">
        <w:t xml:space="preserve"> et les apprentissages à </w:t>
      </w:r>
      <w:r>
        <w:t>« </w:t>
      </w:r>
      <w:r w:rsidRPr="00785306">
        <w:t>coller aux situations</w:t>
      </w:r>
      <w:r>
        <w:t> »</w:t>
      </w:r>
      <w:r w:rsidRPr="00785306">
        <w:t xml:space="preserve">, et on recherche des supports mobiles d’apprentissage. Sur le plan de l’architecture scolaire, cette critique de la forme </w:t>
      </w:r>
      <w:r>
        <w:t>« </w:t>
      </w:r>
      <w:r w:rsidRPr="00785306">
        <w:t>caserne</w:t>
      </w:r>
      <w:r>
        <w:t> »</w:t>
      </w:r>
      <w:r w:rsidRPr="00785306">
        <w:t xml:space="preserve"> débouche sur la valorisation des espaces circulaires, horizontaux et en réseau</w:t>
      </w:r>
      <w:r>
        <w:t> ;</w:t>
      </w:r>
      <w:r w:rsidRPr="00785306">
        <w:t xml:space="preserve"> les classes </w:t>
      </w:r>
      <w:r>
        <w:t>« </w:t>
      </w:r>
      <w:r w:rsidRPr="00785306">
        <w:t>polyvalentes</w:t>
      </w:r>
      <w:r>
        <w:t> »</w:t>
      </w:r>
      <w:r w:rsidRPr="00785306">
        <w:t xml:space="preserve"> et les </w:t>
      </w:r>
      <w:r w:rsidRPr="00785306">
        <w:rPr>
          <w:i/>
        </w:rPr>
        <w:t xml:space="preserve">open </w:t>
      </w:r>
      <w:proofErr w:type="spellStart"/>
      <w:r w:rsidRPr="00785306">
        <w:rPr>
          <w:i/>
        </w:rPr>
        <w:t>spaces</w:t>
      </w:r>
      <w:proofErr w:type="spellEnd"/>
      <w:r w:rsidRPr="00785306">
        <w:t xml:space="preserve"> ont supplanté l’espace quadrillé et fixe de la classe</w:t>
      </w:r>
      <w:r>
        <w:t> ;</w:t>
      </w:r>
      <w:r w:rsidRPr="00785306">
        <w:t xml:space="preserve"> du banc, on souhaite passer à la </w:t>
      </w:r>
      <w:r>
        <w:t>« </w:t>
      </w:r>
      <w:r w:rsidRPr="00785306">
        <w:t>classe promenade</w:t>
      </w:r>
      <w:r>
        <w:t> »</w:t>
      </w:r>
      <w:r w:rsidRPr="00785306">
        <w:t xml:space="preserve"> et au </w:t>
      </w:r>
      <w:r w:rsidRPr="00785306">
        <w:rPr>
          <w:i/>
        </w:rPr>
        <w:t xml:space="preserve">mobile </w:t>
      </w:r>
      <w:proofErr w:type="spellStart"/>
      <w:r w:rsidRPr="00785306">
        <w:rPr>
          <w:i/>
        </w:rPr>
        <w:t>learning</w:t>
      </w:r>
      <w:proofErr w:type="spellEnd"/>
      <w:r>
        <w:t> ;</w:t>
      </w:r>
      <w:r w:rsidRPr="00785306">
        <w:t xml:space="preserve"> de la fixité, à la circulation, à l’expérience mob</w:t>
      </w:r>
      <w:r>
        <w:t>ile d’apprentissage (</w:t>
      </w:r>
      <w:proofErr w:type="spellStart"/>
      <w:r>
        <w:t>Durpaire</w:t>
      </w:r>
      <w:proofErr w:type="spellEnd"/>
      <w:r>
        <w:t xml:space="preserve"> &amp;</w:t>
      </w:r>
      <w:r w:rsidRPr="00785306">
        <w:t xml:space="preserve"> </w:t>
      </w:r>
      <w:proofErr w:type="spellStart"/>
      <w:r w:rsidRPr="00785306">
        <w:t>Mabilon-Bonfils</w:t>
      </w:r>
      <w:proofErr w:type="spellEnd"/>
      <w:r w:rsidRPr="00785306">
        <w:t>, 2014, p. 208).</w:t>
      </w:r>
    </w:p>
    <w:p w:rsidR="00661E93" w:rsidRDefault="00661E93" w:rsidP="00661E93">
      <w:pPr>
        <w:pStyle w:val="DeBoeckcorpsdetexte"/>
      </w:pPr>
      <w:r w:rsidRPr="00785306">
        <w:t xml:space="preserve">Enfin, alors que le processus de socialisation moderne passait par sa soumission à des normes et des savoirs universels, à un </w:t>
      </w:r>
      <w:r>
        <w:t>« </w:t>
      </w:r>
      <w:r w:rsidRPr="00785306">
        <w:t>tiers universel</w:t>
      </w:r>
      <w:r>
        <w:t xml:space="preserve"> protégé du monde » (</w:t>
      </w:r>
      <w:proofErr w:type="spellStart"/>
      <w:r>
        <w:t>Durpaire</w:t>
      </w:r>
      <w:proofErr w:type="spellEnd"/>
      <w:r>
        <w:t xml:space="preserve"> &amp;</w:t>
      </w:r>
      <w:r w:rsidRPr="00785306">
        <w:t xml:space="preserve"> </w:t>
      </w:r>
      <w:proofErr w:type="spellStart"/>
      <w:r w:rsidRPr="00785306">
        <w:t>Mabilon-Bonfils</w:t>
      </w:r>
      <w:proofErr w:type="spellEnd"/>
      <w:r w:rsidRPr="00785306">
        <w:t xml:space="preserve">, 2014), il s’apparente davantage aujourd’hui à un processus d’accompagnement de la mise au travail du sujet sur lui-même. La socialisation quitte le domaine du dressage pour devenir une injonction à la créativité et au développement de ses potentialités. Le professeur est supplanté par le </w:t>
      </w:r>
      <w:r w:rsidRPr="00785306">
        <w:rPr>
          <w:i/>
        </w:rPr>
        <w:t>coach</w:t>
      </w:r>
      <w:r w:rsidRPr="00785306">
        <w:t xml:space="preserve">, accompagnant l’apprenant dans ce </w:t>
      </w:r>
      <w:r w:rsidRPr="00785306">
        <w:lastRenderedPageBreak/>
        <w:t xml:space="preserve">travail continu de construction de lui-même, à partir de relations et d’expériences. Guidance, accompagnement, construction de la motivation et mobilisation dans les apprentissages sont devenus les maîtres mots de ce nouveau récit sur l’éducation, comme si l’effritement des grands récits </w:t>
      </w:r>
      <w:r>
        <w:t>« </w:t>
      </w:r>
      <w:r w:rsidRPr="00785306">
        <w:t>quasi sacrés</w:t>
      </w:r>
      <w:r>
        <w:t> »</w:t>
      </w:r>
      <w:r w:rsidRPr="00785306">
        <w:t xml:space="preserve"> de la modernité évoqués plus haut (la Raison, la Science, la Nation…) avait laissé le sujet seul face à lui-même (Dubet, 2009, p.101-103)</w:t>
      </w:r>
      <w:r>
        <w:t>.</w:t>
      </w:r>
    </w:p>
    <w:p w:rsidR="00661E93" w:rsidRPr="00785306" w:rsidRDefault="00661E93" w:rsidP="00661E93">
      <w:pPr>
        <w:pStyle w:val="DeBoeckcorpsdetexte"/>
      </w:pPr>
      <w:r w:rsidRPr="00785306">
        <w:t>Une question se pose alors</w:t>
      </w:r>
      <w:r>
        <w:t> :</w:t>
      </w:r>
      <w:r w:rsidRPr="00785306">
        <w:t xml:space="preserve"> comment préserver l’objectif d’émancipation du sujet, de désengagement réflexif par rapport au monde tel qu’il est, une fois qu’on a quitté le sanctuaire supposé abriter ce détour salvateur par l’universel</w:t>
      </w:r>
      <w:r>
        <w:t> ?</w:t>
      </w:r>
      <w:r w:rsidRPr="00785306">
        <w:t xml:space="preserve"> Le </w:t>
      </w:r>
      <w:r>
        <w:t>« </w:t>
      </w:r>
      <w:r w:rsidRPr="00785306">
        <w:t>retour réflexif</w:t>
      </w:r>
      <w:r>
        <w:t> »</w:t>
      </w:r>
      <w:r w:rsidRPr="00785306">
        <w:t xml:space="preserve"> sur l’expérience est-il suffisant</w:t>
      </w:r>
      <w:r>
        <w:t> ?</w:t>
      </w:r>
      <w:r w:rsidRPr="00785306">
        <w:t xml:space="preserve"> La singularisation des dispositifs d’apprentissage et leur articulation retrouvée au sensible et à la diversité des situations, qui présentent un air de famille avec l’</w:t>
      </w:r>
      <w:proofErr w:type="spellStart"/>
      <w:r w:rsidRPr="00785306">
        <w:t>endo</w:t>
      </w:r>
      <w:proofErr w:type="spellEnd"/>
      <w:r w:rsidRPr="00785306">
        <w:t>-éducation propre aux sociétés traditionnelles, ne risquent-ils pas d’entraîner la perte du potentiel de distanciation critique qu’a permis, malgré tout, l’</w:t>
      </w:r>
      <w:r>
        <w:t xml:space="preserve">école </w:t>
      </w:r>
      <w:r w:rsidRPr="00785306">
        <w:t>moderne</w:t>
      </w:r>
      <w:r>
        <w:t> ?</w:t>
      </w:r>
    </w:p>
    <w:p w:rsidR="00661E93" w:rsidRPr="00785306" w:rsidRDefault="00661E93" w:rsidP="00661E93">
      <w:pPr>
        <w:pStyle w:val="DeBoecksous-titre2"/>
      </w:pPr>
      <w:r w:rsidRPr="00785306">
        <w:t xml:space="preserve"> </w:t>
      </w:r>
      <w:bookmarkStart w:id="11" w:name="_Toc423095262"/>
      <w:r>
        <w:t>3.2.</w:t>
      </w:r>
      <w:r>
        <w:tab/>
        <w:t>E</w:t>
      </w:r>
      <w:r w:rsidRPr="00785306">
        <w:t>ffritement du programme institutionnel moderne</w:t>
      </w:r>
      <w:r>
        <w:t> ?</w:t>
      </w:r>
      <w:bookmarkEnd w:id="11"/>
    </w:p>
    <w:p w:rsidR="00661E93" w:rsidRDefault="00661E93" w:rsidP="00661E93">
      <w:pPr>
        <w:pStyle w:val="DeBoeckcorpsdetexte"/>
      </w:pPr>
      <w:r w:rsidRPr="00785306">
        <w:t xml:space="preserve">Les évolutions qui traversent aujourd’hui le champ éducatif nous amènent à poser l’hypothèse d’un double mouvement de sortie du programme institutionnel moderne et du </w:t>
      </w:r>
      <w:r>
        <w:t>« </w:t>
      </w:r>
      <w:r w:rsidRPr="00785306">
        <w:t>commun</w:t>
      </w:r>
      <w:r>
        <w:t> »</w:t>
      </w:r>
      <w:r w:rsidRPr="00785306">
        <w:t xml:space="preserve"> qu’il prétendait fonder</w:t>
      </w:r>
      <w:r>
        <w:t>.</w:t>
      </w:r>
    </w:p>
    <w:p w:rsidR="00661E93" w:rsidRPr="00785306" w:rsidRDefault="00661E93" w:rsidP="00661E93">
      <w:pPr>
        <w:pStyle w:val="DeBoeckcorpsdetexte"/>
      </w:pPr>
      <w:r w:rsidRPr="00785306">
        <w:t>D’une part, on observe un certain nombre de dynamiques centrifuges par rapport à l’</w:t>
      </w:r>
      <w:r>
        <w:t>école « </w:t>
      </w:r>
      <w:r w:rsidRPr="00785306">
        <w:t>commune</w:t>
      </w:r>
      <w:r>
        <w:t> »</w:t>
      </w:r>
      <w:r w:rsidRPr="00785306">
        <w:t xml:space="preserve">. Les données, en Belgique comme ailleurs en Occident, témoignent d’une croissance impressionnante du nombre de familles choisissant de ne pas envoyer leur progéniture dans des structures scolaires. </w:t>
      </w:r>
      <w:r>
        <w:t xml:space="preserve">Pour les États-Unis, </w:t>
      </w:r>
      <w:proofErr w:type="spellStart"/>
      <w:r>
        <w:t>Durpaire</w:t>
      </w:r>
      <w:proofErr w:type="spellEnd"/>
      <w:r>
        <w:t xml:space="preserve"> &amp;</w:t>
      </w:r>
      <w:r w:rsidRPr="00785306">
        <w:t xml:space="preserve"> </w:t>
      </w:r>
      <w:proofErr w:type="spellStart"/>
      <w:r w:rsidRPr="00785306">
        <w:t>Mabilon-Bonfils</w:t>
      </w:r>
      <w:proofErr w:type="spellEnd"/>
      <w:r w:rsidRPr="00785306">
        <w:t xml:space="preserve"> (2014) évoquent le chiffre de 2,7% des enfants en âge de scolarité obligatoire qui auraient opté pour le </w:t>
      </w:r>
      <w:proofErr w:type="spellStart"/>
      <w:r w:rsidRPr="00785306">
        <w:rPr>
          <w:i/>
        </w:rPr>
        <w:t>homeschooling</w:t>
      </w:r>
      <w:proofErr w:type="spellEnd"/>
      <w:r w:rsidRPr="00785306">
        <w:t xml:space="preserve">, l’école à la maison étant perçue comme plus propice à l’épanouissement des particularités de l’enfant. Le recours au marché privé du soutien scolaire, également en forte augmentation, manifeste une demande de suivi scolaire individualisé et, indirectement, l’impuissance de la forme scolaire classique à y répondre. D’autre part, la multiplication des écoles </w:t>
      </w:r>
      <w:r>
        <w:t>« </w:t>
      </w:r>
      <w:r w:rsidRPr="00785306">
        <w:t>particulières</w:t>
      </w:r>
      <w:r>
        <w:t> »</w:t>
      </w:r>
      <w:r w:rsidRPr="00785306">
        <w:t>, lancées au nom de projets éducatifs alternatifs, religieux, culturels ou pédagogiques, manifeste la difficulté que rencontre l’école commune à incarner un projet éducatif dans lequel l’ensemble des composantes de la nation se reconnaîtrait (voir chapitre 2).</w:t>
      </w:r>
    </w:p>
    <w:p w:rsidR="00661E93" w:rsidRDefault="00661E93" w:rsidP="00661E93">
      <w:pPr>
        <w:pStyle w:val="DeBoeckcorpsdetexte"/>
      </w:pPr>
      <w:r w:rsidRPr="00785306">
        <w:t>Ce mouvement de fragilisation et de fragmentation du projet moderne d’</w:t>
      </w:r>
      <w:r>
        <w:t xml:space="preserve">école </w:t>
      </w:r>
      <w:r w:rsidRPr="00785306">
        <w:t xml:space="preserve">commune s’appuie sur différents registres de critique. Les acteurs sociaux à l’initiative de la création de nouvelles écoles tout comme les familles recourant au marché privé du soutien scolaire dénoncent d’abord l’incapacité de l’école commune à réaliser </w:t>
      </w:r>
      <w:r w:rsidRPr="00785306">
        <w:rPr>
          <w:i/>
        </w:rPr>
        <w:t>l’égalité des chances</w:t>
      </w:r>
      <w:r w:rsidRPr="00785306">
        <w:t xml:space="preserve">, légitimant ainsi l’existence de dispositifs scolaires susceptibles de garantir plus efficacement l’acquisition des savoirs scolaires à des enfants aux profils </w:t>
      </w:r>
      <w:r>
        <w:t>« </w:t>
      </w:r>
      <w:r w:rsidRPr="00785306">
        <w:t>différents</w:t>
      </w:r>
      <w:r>
        <w:t> »</w:t>
      </w:r>
      <w:r w:rsidRPr="00785306">
        <w:t>, ou encore de permettre l’accès à une éducation de qualité aux groupes sociaux particulièrement touchés par les processus de relégation ou de discrimination qui continuent à marquer les systèmes éducatifs</w:t>
      </w:r>
      <w:r>
        <w:t>.</w:t>
      </w:r>
    </w:p>
    <w:p w:rsidR="00661E93" w:rsidRPr="00785306" w:rsidRDefault="00661E93" w:rsidP="00661E93">
      <w:pPr>
        <w:pStyle w:val="DeBoeckcorpsdetexte"/>
      </w:pPr>
      <w:r w:rsidRPr="00785306">
        <w:t xml:space="preserve">Mais, au-delà de cette dénonciation, un </w:t>
      </w:r>
      <w:r w:rsidRPr="00785306">
        <w:rPr>
          <w:i/>
        </w:rPr>
        <w:t>doute</w:t>
      </w:r>
      <w:r w:rsidRPr="00785306">
        <w:t xml:space="preserve"> plus fondamental est jeté quant à la </w:t>
      </w:r>
      <w:r w:rsidRPr="00785306">
        <w:rPr>
          <w:i/>
        </w:rPr>
        <w:t>possibilité même d’un projet éducatif commun</w:t>
      </w:r>
      <w:r w:rsidRPr="00785306">
        <w:t xml:space="preserve">. Ce </w:t>
      </w:r>
      <w:r>
        <w:t>« </w:t>
      </w:r>
      <w:r w:rsidRPr="00785306">
        <w:t>commun</w:t>
      </w:r>
      <w:r>
        <w:t> »</w:t>
      </w:r>
      <w:r w:rsidRPr="00785306">
        <w:t xml:space="preserve"> est fragilisé par la demande croissante de parcours d’apprentissage singularisés, de plus en plus légitimes dès lors qu’on pense l’éducation comme un processus de révélation et de maximisation des potentialités du sujet (voir chapitre 5). Il est également mis en cause, sur le plan des valeurs, par les demandes de reconnaissance de projets éducatifs particuliers à la base des écoles religieuses ou ethniques. L’école </w:t>
      </w:r>
      <w:r>
        <w:t>« </w:t>
      </w:r>
      <w:r w:rsidRPr="00785306">
        <w:t>pour tous</w:t>
      </w:r>
      <w:r>
        <w:t> »</w:t>
      </w:r>
      <w:r w:rsidRPr="00785306">
        <w:t xml:space="preserve"> se voit ainsi dépouillée de son aura d’universalité et </w:t>
      </w:r>
      <w:r w:rsidRPr="00785306">
        <w:lastRenderedPageBreak/>
        <w:t>présentée à son tour comme un projet d’éducation parmi d’autres, en réalité occidental, ethnocentriste et sécularisé.</w:t>
      </w:r>
    </w:p>
    <w:p w:rsidR="00661E93" w:rsidRPr="00785306" w:rsidRDefault="00661E93" w:rsidP="00661E93">
      <w:pPr>
        <w:pStyle w:val="DeBoeckcorpsdetexte"/>
      </w:pPr>
      <w:r w:rsidRPr="00785306">
        <w:t>Pour comprendre ce mouvement de fragilisation et de fragmentation de l’</w:t>
      </w:r>
      <w:r>
        <w:t xml:space="preserve">école </w:t>
      </w:r>
      <w:r w:rsidRPr="00785306">
        <w:t xml:space="preserve">commune, on peut notamment se référer à la thèse développée par Dubet (2002) concernant le </w:t>
      </w:r>
      <w:r w:rsidRPr="00785306">
        <w:rPr>
          <w:i/>
        </w:rPr>
        <w:t>déclin du programme institutionnel</w:t>
      </w:r>
      <w:r w:rsidRPr="00785306">
        <w:t xml:space="preserve"> moderne. Pour lui, la </w:t>
      </w:r>
      <w:r>
        <w:t>« </w:t>
      </w:r>
      <w:r w:rsidRPr="00785306">
        <w:t>modernité avancée</w:t>
      </w:r>
      <w:r>
        <w:t> »</w:t>
      </w:r>
      <w:r w:rsidRPr="00785306">
        <w:t xml:space="preserve"> se caractérise par un mouvement sociohistorique de désenchantement par rapport aux </w:t>
      </w:r>
      <w:r>
        <w:t>« </w:t>
      </w:r>
      <w:r w:rsidRPr="00785306">
        <w:t>grands récits</w:t>
      </w:r>
      <w:r>
        <w:t> »</w:t>
      </w:r>
      <w:r w:rsidRPr="00785306">
        <w:t xml:space="preserve"> de la modernité (la Science, la Raison, le Progrès ou la Civilisation). Les institutions modernes (dont l’École), une fois dépouillées de l’aura de sacralité que leur conféraient ces principes universels, apparaissaient soudain crûment dans toutes leurs limites (verticalité, formalisme, enfermement…). Ce processus de </w:t>
      </w:r>
      <w:r>
        <w:t>« </w:t>
      </w:r>
      <w:r w:rsidRPr="00785306">
        <w:t>désacralisation</w:t>
      </w:r>
      <w:r>
        <w:t> »</w:t>
      </w:r>
      <w:r w:rsidRPr="00785306">
        <w:t xml:space="preserve"> déstabilise la légitimité de la culture scolaire, aujourd’hui perçue comme une culture parmi d’autres, étriquée et située. Alors même que le principe d’arrachement au monde fondait la légitimité des savoirs dans l’imaginaire moderne, l’école est aujourd’hui sommée de s’ouvrir au monde, et les savoirs scolaires taxés de trop livresques, déconnectés de l’expérience.</w:t>
      </w:r>
    </w:p>
    <w:p w:rsidR="00661E93" w:rsidRPr="00785306" w:rsidRDefault="00661E93" w:rsidP="00661E93">
      <w:pPr>
        <w:pStyle w:val="DeBoeckcorpsdetexte"/>
      </w:pPr>
      <w:r w:rsidRPr="00785306">
        <w:t xml:space="preserve">L’École, ainsi désacralisée et </w:t>
      </w:r>
      <w:r>
        <w:t>« </w:t>
      </w:r>
      <w:r w:rsidRPr="00785306">
        <w:t>ouverte</w:t>
      </w:r>
      <w:r>
        <w:t> »</w:t>
      </w:r>
      <w:r w:rsidRPr="00785306">
        <w:t xml:space="preserve"> au monde profane, est alors en quelque sorte rattrapée par toute la diversité des conceptions éducatives en présence dans nos sociétés plurielles. Elle se transforme en une arène traversée par de multiples projets en concurrence (voir chapitres 2 et 7), ce qui vient déstabiliser l’ordre scolaire, soumis à d’incessantes demandes de justification (</w:t>
      </w:r>
      <w:proofErr w:type="spellStart"/>
      <w:r w:rsidRPr="00785306">
        <w:t>Derouet</w:t>
      </w:r>
      <w:proofErr w:type="spellEnd"/>
      <w:r w:rsidRPr="00785306">
        <w:t xml:space="preserve">, 1992). La professionnalité enseignante s’en trouve également bouleversée </w:t>
      </w:r>
      <w:r>
        <w:t>(voir ch</w:t>
      </w:r>
      <w:r w:rsidRPr="00785306">
        <w:t>apitre 6)</w:t>
      </w:r>
      <w:r>
        <w:t> :</w:t>
      </w:r>
      <w:r w:rsidRPr="00785306">
        <w:t xml:space="preserve"> ne pouvant plus asseoir sa légitimité sur le modèle de la vocation, l’enseignant est appelé à se transformer à la fois en expert de l’apprentissage efficace (registre instrumental) et en </w:t>
      </w:r>
      <w:r w:rsidRPr="00785306">
        <w:rPr>
          <w:i/>
        </w:rPr>
        <w:t>coach</w:t>
      </w:r>
      <w:r w:rsidRPr="00785306">
        <w:t xml:space="preserve"> capable de </w:t>
      </w:r>
      <w:r>
        <w:t>« </w:t>
      </w:r>
      <w:r w:rsidRPr="00785306">
        <w:t>gérer</w:t>
      </w:r>
      <w:r>
        <w:t> »</w:t>
      </w:r>
      <w:r w:rsidRPr="00785306">
        <w:t xml:space="preserve"> une relation pédagogique qui se pense de plus en plus comme une relation interpersonnelle entre une personnalité enseignante et un groupe classe situé, caractérisé par une </w:t>
      </w:r>
      <w:r>
        <w:t>« </w:t>
      </w:r>
      <w:r w:rsidRPr="00785306">
        <w:t>dynamique</w:t>
      </w:r>
      <w:r>
        <w:t> »</w:t>
      </w:r>
      <w:r w:rsidRPr="00785306">
        <w:t xml:space="preserve"> propre et composé d’individualités irréductibles (</w:t>
      </w:r>
      <w:proofErr w:type="spellStart"/>
      <w:r w:rsidRPr="00785306">
        <w:t>Verhoeven</w:t>
      </w:r>
      <w:proofErr w:type="spellEnd"/>
      <w:r w:rsidRPr="00785306">
        <w:t>, 2012</w:t>
      </w:r>
      <w:r>
        <w:t>b</w:t>
      </w:r>
      <w:r w:rsidRPr="00785306">
        <w:t xml:space="preserve">). La socialisation de l’élève se conçoit alors moins comme une </w:t>
      </w:r>
      <w:r>
        <w:t>« </w:t>
      </w:r>
      <w:r w:rsidRPr="00785306">
        <w:t>conversion</w:t>
      </w:r>
      <w:r>
        <w:t> »</w:t>
      </w:r>
      <w:r w:rsidRPr="00785306">
        <w:t xml:space="preserve"> prenant appui sur des valeurs universelles, que comme un processus de révélation à soi-même au travers de l’expérience scolaire.</w:t>
      </w:r>
    </w:p>
    <w:p w:rsidR="00661E93" w:rsidRDefault="00661E93" w:rsidP="00661E93">
      <w:pPr>
        <w:pStyle w:val="DeBoeckcorpsdetexte"/>
      </w:pPr>
      <w:r w:rsidRPr="00785306">
        <w:t xml:space="preserve">Pour Dubet, c’est aussi le déclin du programme institutionnel qui permet d’expliquer la montée de nouveaux modèles de gouvernance, axés sur la quête de </w:t>
      </w:r>
      <w:r>
        <w:t>« </w:t>
      </w:r>
      <w:r w:rsidRPr="00785306">
        <w:t>performativité</w:t>
      </w:r>
      <w:r>
        <w:t> »</w:t>
      </w:r>
      <w:r w:rsidRPr="00785306">
        <w:t> (</w:t>
      </w:r>
      <w:proofErr w:type="spellStart"/>
      <w:r w:rsidRPr="00785306">
        <w:t>Maroy</w:t>
      </w:r>
      <w:proofErr w:type="spellEnd"/>
      <w:r w:rsidRPr="00785306">
        <w:t xml:space="preserve">, 2008). Les </w:t>
      </w:r>
      <w:r>
        <w:t>« </w:t>
      </w:r>
      <w:r w:rsidRPr="00785306">
        <w:t>grands récits</w:t>
      </w:r>
      <w:r>
        <w:t> »</w:t>
      </w:r>
      <w:r w:rsidRPr="00785306">
        <w:t xml:space="preserve"> qui fondaient l’</w:t>
      </w:r>
      <w:r>
        <w:t xml:space="preserve">école </w:t>
      </w:r>
      <w:r w:rsidRPr="00785306">
        <w:t xml:space="preserve">moderne se trouvant ainsi fragilisés, c’est la quête d’efficacité qui domine à présent les référentiels de l’action publique en éducation. Il s’agit avant tout d’atteindre des objectifs, des </w:t>
      </w:r>
      <w:r>
        <w:t>« </w:t>
      </w:r>
      <w:r w:rsidRPr="00785306">
        <w:t>standards</w:t>
      </w:r>
      <w:r>
        <w:t> »</w:t>
      </w:r>
      <w:r w:rsidRPr="00785306">
        <w:t>, à travers la mobilisation efficace de ressources réflexives et l’engagement d’</w:t>
      </w:r>
      <w:r>
        <w:t>un réseau d’acteurs (Dubet, 2002</w:t>
      </w:r>
      <w:r w:rsidRPr="00785306">
        <w:t xml:space="preserve">, p. 62). Au fond, c’est la définition même de l’intérêt général qui se réorganise autour d’un nouvel imaginaire social. La </w:t>
      </w:r>
      <w:r>
        <w:t>« </w:t>
      </w:r>
      <w:r w:rsidRPr="00785306">
        <w:t>rationalité instrumentale</w:t>
      </w:r>
      <w:r>
        <w:t> »</w:t>
      </w:r>
      <w:r w:rsidRPr="00785306">
        <w:t xml:space="preserve">, le consensus sur l’efficience – celle de la gestion des apprentissages ou de la classe – prennent en quelque sorte la place d’introuvables valeurs </w:t>
      </w:r>
      <w:r>
        <w:t>« </w:t>
      </w:r>
      <w:r w:rsidRPr="00785306">
        <w:t>universelles</w:t>
      </w:r>
      <w:r>
        <w:t> »</w:t>
      </w:r>
      <w:r w:rsidRPr="00785306">
        <w:t xml:space="preserve"> (voir chapitre 2)</w:t>
      </w:r>
      <w:r>
        <w:t>.</w:t>
      </w:r>
    </w:p>
    <w:p w:rsidR="00661E93" w:rsidRDefault="00661E93" w:rsidP="00661E93">
      <w:pPr>
        <w:pStyle w:val="DeBoeckcorpsdetexte"/>
      </w:pPr>
      <w:r w:rsidRPr="00785306">
        <w:t xml:space="preserve">Dubet ajoute que, là où la </w:t>
      </w:r>
      <w:r>
        <w:t>« </w:t>
      </w:r>
      <w:r w:rsidRPr="00785306">
        <w:t>magie</w:t>
      </w:r>
      <w:r>
        <w:t> »</w:t>
      </w:r>
      <w:r w:rsidRPr="00785306">
        <w:t xml:space="preserve"> du programme institutionnel moderne opérait en faisant passer pour harmonieuses les différentes fonctions de l’école (production de compétences, socialisation et émancipation), les tensions entre ces dimensions apparaissent aujourd’hui plus crûment. En effet, les contradictions du système se font plus apparentes que jamais</w:t>
      </w:r>
      <w:r>
        <w:t> :</w:t>
      </w:r>
      <w:r w:rsidRPr="00785306">
        <w:t xml:space="preserve"> les grandes enquêtes telles que PISA dénoncent l’inefficacité des systèmes éducatifs et révèlent la persistance d’inégalités sociales et culturelles à l’école, mettant au jour la brutalité de la sélection scolaire. Jamais la définition de standards communs n’a fait l’objet de tant d’attention, alors même que l’école commune peine à garder sa place de garante du vivre ensemble. Quant à la fonction de socialisation, comment ne pas en reconnaître la crise profonde</w:t>
      </w:r>
      <w:r>
        <w:t> :</w:t>
      </w:r>
      <w:r w:rsidRPr="00785306">
        <w:t xml:space="preserve"> la lutte contre le décrochage ou la démotivation scolaire est devenue un objectif politique central, et le maintien de la discipline apparaît de plus en plus comme une composante essentielle de la professionnalisation enseignante</w:t>
      </w:r>
      <w:r>
        <w:t>.</w:t>
      </w:r>
    </w:p>
    <w:p w:rsidR="00661E93" w:rsidRPr="00785306" w:rsidRDefault="00661E93" w:rsidP="00661E93">
      <w:pPr>
        <w:pStyle w:val="DeBoecksous-titre2"/>
      </w:pPr>
      <w:r w:rsidRPr="00785306">
        <w:lastRenderedPageBreak/>
        <w:t xml:space="preserve"> </w:t>
      </w:r>
      <w:bookmarkStart w:id="12" w:name="_Toc423095263"/>
      <w:r>
        <w:t>3.3.</w:t>
      </w:r>
      <w:r>
        <w:tab/>
      </w:r>
      <w:r w:rsidRPr="00785306">
        <w:t>Mutations de la forme scolaire et régime néolibéral de la connaissance</w:t>
      </w:r>
      <w:bookmarkEnd w:id="12"/>
    </w:p>
    <w:p w:rsidR="00661E93" w:rsidRPr="00785306" w:rsidRDefault="00661E93" w:rsidP="00661E93">
      <w:pPr>
        <w:pStyle w:val="DeBoeckcorpsdetexte"/>
      </w:pPr>
      <w:r w:rsidRPr="00785306">
        <w:rPr>
          <w:bCs/>
        </w:rPr>
        <w:t xml:space="preserve">Plus ancrés dans une vision conflictuelle d’inspiration </w:t>
      </w:r>
      <w:r>
        <w:rPr>
          <w:bCs/>
        </w:rPr>
        <w:t>« </w:t>
      </w:r>
      <w:r w:rsidRPr="00785306">
        <w:rPr>
          <w:bCs/>
        </w:rPr>
        <w:t>marxienne</w:t>
      </w:r>
      <w:r>
        <w:rPr>
          <w:bCs/>
        </w:rPr>
        <w:t> »</w:t>
      </w:r>
      <w:r w:rsidRPr="00785306">
        <w:rPr>
          <w:bCs/>
        </w:rPr>
        <w:t xml:space="preserve"> des évolutions contemporaines, </w:t>
      </w:r>
      <w:r>
        <w:rPr>
          <w:bCs/>
        </w:rPr>
        <w:t>Laval, Vergne, Clément et Dreux (2</w:t>
      </w:r>
      <w:r w:rsidRPr="00785306">
        <w:rPr>
          <w:bCs/>
        </w:rPr>
        <w:t xml:space="preserve">012) suggèrent une tout autre lecture des transformations du champ éducatif. Ils cherchent eux aussi à rendre compte de l’émergence d’un nouveau rapport à la connaissance et aux savoirs scolaires, et de la montée de modes de gouvernance érigeant l’utilité instrumentale en critère d’évaluation principal de ce que doit </w:t>
      </w:r>
      <w:r>
        <w:rPr>
          <w:bCs/>
        </w:rPr>
        <w:t>« </w:t>
      </w:r>
      <w:r w:rsidRPr="00785306">
        <w:rPr>
          <w:bCs/>
        </w:rPr>
        <w:t>produire</w:t>
      </w:r>
      <w:r>
        <w:rPr>
          <w:bCs/>
        </w:rPr>
        <w:t> »</w:t>
      </w:r>
      <w:r w:rsidRPr="00785306">
        <w:rPr>
          <w:bCs/>
        </w:rPr>
        <w:t xml:space="preserve"> l’école. Mais pour eux, c’est le cadre de l’économie néolibérale</w:t>
      </w:r>
      <w:r w:rsidRPr="00A21EB3">
        <w:rPr>
          <w:bCs/>
        </w:rPr>
        <w:t xml:space="preserve"> </w:t>
      </w:r>
      <w:r w:rsidRPr="00785306">
        <w:t>mondialisée qui est à l’origine de ces mutations.</w:t>
      </w:r>
    </w:p>
    <w:p w:rsidR="00661E93" w:rsidRDefault="00661E93" w:rsidP="00661E93">
      <w:pPr>
        <w:pStyle w:val="DeBoeckcorpsdetexte"/>
        <w:rPr>
          <w:bCs/>
        </w:rPr>
      </w:pPr>
      <w:r w:rsidRPr="00785306">
        <w:t xml:space="preserve">Sous la pression croissante de ce régime de production, </w:t>
      </w:r>
      <w:r w:rsidRPr="00785306">
        <w:rPr>
          <w:bCs/>
        </w:rPr>
        <w:t xml:space="preserve">le champ scolaire deviendrait de plus en plus hétéronome, c’est-à-dire régi par des critères externes à lui-même, essentiellement liés au champ économique. Plus qu’un simple </w:t>
      </w:r>
      <w:r>
        <w:rPr>
          <w:bCs/>
        </w:rPr>
        <w:t>« </w:t>
      </w:r>
      <w:r w:rsidRPr="00785306">
        <w:rPr>
          <w:bCs/>
        </w:rPr>
        <w:t>envahissement par le marché</w:t>
      </w:r>
      <w:r>
        <w:rPr>
          <w:bCs/>
        </w:rPr>
        <w:t> »</w:t>
      </w:r>
      <w:r w:rsidRPr="00785306">
        <w:rPr>
          <w:bCs/>
        </w:rPr>
        <w:t xml:space="preserve">, c’est bien la nature profonde du système éducatif qui se voit selon eux transformée dans ses fondements, ses normes et ses pratiques pédagogiques. La légitimité de cette nouvelle école capitaliste serait fondée sur l’utilitarisme de la connaissance. La rationalité instrumentale, édictant des normes de performance et d’efficacité, secondarise voire efface les finalités culturelles, morales et politiques de l’école. C’est tout un </w:t>
      </w:r>
      <w:r>
        <w:rPr>
          <w:bCs/>
        </w:rPr>
        <w:t>« </w:t>
      </w:r>
      <w:r w:rsidRPr="00785306">
        <w:rPr>
          <w:bCs/>
        </w:rPr>
        <w:t>nouveau régime de connaissance</w:t>
      </w:r>
      <w:r w:rsidRPr="00785306">
        <w:rPr>
          <w:rStyle w:val="Appelnotedebasdep"/>
          <w:bCs/>
        </w:rPr>
        <w:footnoteReference w:id="4"/>
      </w:r>
      <w:r>
        <w:rPr>
          <w:bCs/>
        </w:rPr>
        <w:t> »</w:t>
      </w:r>
      <w:r w:rsidRPr="00785306">
        <w:rPr>
          <w:bCs/>
        </w:rPr>
        <w:t xml:space="preserve"> qu’impulse ainsi le néolibéralisme</w:t>
      </w:r>
      <w:r>
        <w:rPr>
          <w:bCs/>
        </w:rPr>
        <w:t> :</w:t>
      </w:r>
      <w:r w:rsidRPr="00785306">
        <w:rPr>
          <w:bCs/>
        </w:rPr>
        <w:t xml:space="preserve"> c’est l’utilité dans la sphère productive, la </w:t>
      </w:r>
      <w:r>
        <w:rPr>
          <w:bCs/>
        </w:rPr>
        <w:t>« </w:t>
      </w:r>
      <w:r w:rsidRPr="00785306">
        <w:rPr>
          <w:bCs/>
        </w:rPr>
        <w:t>valeur d’échange</w:t>
      </w:r>
      <w:r>
        <w:rPr>
          <w:bCs/>
        </w:rPr>
        <w:t> »</w:t>
      </w:r>
      <w:r w:rsidRPr="00785306">
        <w:rPr>
          <w:bCs/>
        </w:rPr>
        <w:t xml:space="preserve">, qui fonde désormais la légitimité des savoirs scolaires. La montée des notions d’économie de la connaissance, de capital humain, de compétences et d’employabilité témoigne de cette mise en équivalence symbolique de la sphère éducative avec la sphère marchande. La connaissance devient un </w:t>
      </w:r>
      <w:r>
        <w:rPr>
          <w:bCs/>
        </w:rPr>
        <w:t>« </w:t>
      </w:r>
      <w:r w:rsidRPr="00785306">
        <w:rPr>
          <w:bCs/>
        </w:rPr>
        <w:t>capital immatériel</w:t>
      </w:r>
      <w:r>
        <w:rPr>
          <w:bCs/>
        </w:rPr>
        <w:t> »</w:t>
      </w:r>
      <w:r w:rsidRPr="00785306">
        <w:rPr>
          <w:bCs/>
        </w:rPr>
        <w:t xml:space="preserve"> dans lequel il convient d’investir, pour soutenir l’innovation et la créativité des entreprises. Les </w:t>
      </w:r>
      <w:proofErr w:type="spellStart"/>
      <w:r w:rsidRPr="00785306">
        <w:rPr>
          <w:bCs/>
          <w:i/>
        </w:rPr>
        <w:t>creative</w:t>
      </w:r>
      <w:proofErr w:type="spellEnd"/>
      <w:r w:rsidRPr="00785306">
        <w:rPr>
          <w:bCs/>
          <w:i/>
        </w:rPr>
        <w:t xml:space="preserve"> </w:t>
      </w:r>
      <w:proofErr w:type="spellStart"/>
      <w:r w:rsidRPr="00785306">
        <w:rPr>
          <w:bCs/>
          <w:i/>
        </w:rPr>
        <w:t>labs</w:t>
      </w:r>
      <w:proofErr w:type="spellEnd"/>
      <w:r w:rsidRPr="00785306">
        <w:rPr>
          <w:bCs/>
        </w:rPr>
        <w:t xml:space="preserve"> ou les </w:t>
      </w:r>
      <w:proofErr w:type="spellStart"/>
      <w:r w:rsidRPr="00785306">
        <w:rPr>
          <w:bCs/>
          <w:i/>
        </w:rPr>
        <w:t>fab</w:t>
      </w:r>
      <w:proofErr w:type="spellEnd"/>
      <w:r w:rsidRPr="00785306">
        <w:rPr>
          <w:bCs/>
          <w:i/>
        </w:rPr>
        <w:t xml:space="preserve"> </w:t>
      </w:r>
      <w:proofErr w:type="spellStart"/>
      <w:r w:rsidRPr="00785306">
        <w:rPr>
          <w:bCs/>
          <w:i/>
        </w:rPr>
        <w:t>labs</w:t>
      </w:r>
      <w:proofErr w:type="spellEnd"/>
      <w:r w:rsidRPr="00785306">
        <w:rPr>
          <w:bCs/>
        </w:rPr>
        <w:t xml:space="preserve"> évoqués en première partie de ce chapitre peuvent ainsi être compris comme des outils au service de cette nouvelle conception de la connaissance. Plus largement, le contrôle des significations culturelles contribue à la production des richesses – ce qui explique sans doute l’investissement du champ éducatif par les acteurs économiques mis en lumière au chapitre 7</w:t>
      </w:r>
      <w:r>
        <w:rPr>
          <w:bCs/>
        </w:rPr>
        <w:t>.</w:t>
      </w:r>
    </w:p>
    <w:p w:rsidR="00661E93" w:rsidRPr="00785306" w:rsidRDefault="00661E93" w:rsidP="00661E93">
      <w:pPr>
        <w:pStyle w:val="DeBoeckcorpsdetexte"/>
      </w:pPr>
      <w:r w:rsidRPr="00785306">
        <w:rPr>
          <w:bCs/>
        </w:rPr>
        <w:t>Au niveau de la gouvernance, ces mutations se font sous l’égide de l’État managérial qui promeut un pilotage par les instruments (</w:t>
      </w:r>
      <w:proofErr w:type="spellStart"/>
      <w:r>
        <w:rPr>
          <w:bCs/>
        </w:rPr>
        <w:t>Maroy</w:t>
      </w:r>
      <w:proofErr w:type="spellEnd"/>
      <w:r w:rsidRPr="00785306">
        <w:rPr>
          <w:bCs/>
        </w:rPr>
        <w:t>, 2013) ainsi que de nouveaux outils de management des établissements scolaires (</w:t>
      </w:r>
      <w:proofErr w:type="spellStart"/>
      <w:r w:rsidRPr="00785306">
        <w:rPr>
          <w:bCs/>
        </w:rPr>
        <w:t>Barrère</w:t>
      </w:r>
      <w:proofErr w:type="spellEnd"/>
      <w:r w:rsidRPr="00785306">
        <w:rPr>
          <w:bCs/>
        </w:rPr>
        <w:t xml:space="preserve">, 2013). Au niveau de la socialisation des individus, les auteurs soutiennent que ce régime néolibéral va de pair avec de nouvelles formes de </w:t>
      </w:r>
      <w:r>
        <w:rPr>
          <w:bCs/>
        </w:rPr>
        <w:t>« </w:t>
      </w:r>
      <w:r w:rsidRPr="00785306">
        <w:rPr>
          <w:bCs/>
        </w:rPr>
        <w:t>gouvernement de la subjectivité</w:t>
      </w:r>
      <w:r>
        <w:rPr>
          <w:bCs/>
        </w:rPr>
        <w:t> »</w:t>
      </w:r>
      <w:r w:rsidRPr="00785306">
        <w:rPr>
          <w:bCs/>
        </w:rPr>
        <w:t xml:space="preserve">, veillant moins à </w:t>
      </w:r>
      <w:r>
        <w:rPr>
          <w:bCs/>
        </w:rPr>
        <w:t>« </w:t>
      </w:r>
      <w:r w:rsidRPr="00785306">
        <w:rPr>
          <w:bCs/>
        </w:rPr>
        <w:t>discipliner</w:t>
      </w:r>
      <w:r>
        <w:rPr>
          <w:bCs/>
        </w:rPr>
        <w:t> »</w:t>
      </w:r>
      <w:r w:rsidRPr="00785306">
        <w:rPr>
          <w:bCs/>
        </w:rPr>
        <w:t xml:space="preserve"> ou à contraindre l’individu qu’à mobiliser activement sa subjectivité et ses affects pour qu’il se conforme aux dispositifs en place. </w:t>
      </w:r>
      <w:r w:rsidRPr="00785306">
        <w:t xml:space="preserve">C’est ainsi que l’émergence du discours sur les </w:t>
      </w:r>
      <w:r w:rsidRPr="00785306">
        <w:rPr>
          <w:i/>
        </w:rPr>
        <w:t xml:space="preserve">soft </w:t>
      </w:r>
      <w:proofErr w:type="spellStart"/>
      <w:r w:rsidRPr="00785306">
        <w:rPr>
          <w:i/>
        </w:rPr>
        <w:t>skills</w:t>
      </w:r>
      <w:proofErr w:type="spellEnd"/>
      <w:r w:rsidRPr="00785306">
        <w:t xml:space="preserve"> (compétences </w:t>
      </w:r>
      <w:r>
        <w:t>« </w:t>
      </w:r>
      <w:r w:rsidRPr="00785306">
        <w:t>humaines</w:t>
      </w:r>
      <w:r>
        <w:t> »</w:t>
      </w:r>
      <w:r w:rsidRPr="00785306">
        <w:t xml:space="preserve"> et sociales) également mis en l</w:t>
      </w:r>
      <w:r>
        <w:t>umière en première partie de ce</w:t>
      </w:r>
      <w:r w:rsidRPr="00785306">
        <w:t xml:space="preserve"> chapitre est interprété par ces auteurs comme tout à fait fonctionnel par rapport aux attentes de cette économie néolibérale de la connaissance.</w:t>
      </w:r>
    </w:p>
    <w:p w:rsidR="00661E93" w:rsidRPr="00A21EB3" w:rsidRDefault="00661E93" w:rsidP="00661E93">
      <w:pPr>
        <w:pStyle w:val="DeBoeckcorpsdetexte"/>
        <w:rPr>
          <w:bCs/>
        </w:rPr>
      </w:pPr>
      <w:r w:rsidRPr="00785306">
        <w:t xml:space="preserve">Enfin, Laval et ses collègues reviennent sur le renforcement des inégalités scolaires ainsi que sur la dynamique d’exclusion permanente qui caractérisent la nouvelle école capitaliste. Tout se passe comme si la logique de la performativité engendrait chez les usagers une insécurité scolaire permanente, une </w:t>
      </w:r>
      <w:r>
        <w:t>« </w:t>
      </w:r>
      <w:r w:rsidRPr="00785306">
        <w:t>peur du déclassement</w:t>
      </w:r>
      <w:r>
        <w:t> »</w:t>
      </w:r>
      <w:r w:rsidRPr="00785306">
        <w:t xml:space="preserve"> et une lutte permanente pour les </w:t>
      </w:r>
      <w:r>
        <w:t>« </w:t>
      </w:r>
      <w:r w:rsidRPr="00785306">
        <w:t>meilleures places scolaires</w:t>
      </w:r>
      <w:r>
        <w:t> »</w:t>
      </w:r>
      <w:r w:rsidRPr="00785306">
        <w:t xml:space="preserve"> – ce processus préparant en quelque sorte les individus à vivre dans un monde marqué par l’insécurité sociale.</w:t>
      </w:r>
    </w:p>
    <w:p w:rsidR="00661E93" w:rsidRPr="00785306" w:rsidRDefault="00661E93" w:rsidP="00661E93">
      <w:pPr>
        <w:pStyle w:val="DeBoecksous-titre1"/>
      </w:pPr>
      <w:bookmarkStart w:id="13" w:name="_Toc423095264"/>
      <w:r>
        <w:lastRenderedPageBreak/>
        <w:t>4.</w:t>
      </w:r>
      <w:r>
        <w:tab/>
      </w:r>
      <w:r w:rsidRPr="00785306">
        <w:t>Conclusion</w:t>
      </w:r>
      <w:bookmarkEnd w:id="13"/>
    </w:p>
    <w:p w:rsidR="00661E93" w:rsidRPr="00785306" w:rsidRDefault="00661E93" w:rsidP="00661E93">
      <w:pPr>
        <w:pStyle w:val="DeBoeckcorpsdetexte"/>
      </w:pPr>
      <w:r w:rsidRPr="00785306">
        <w:rPr>
          <w:bCs/>
        </w:rPr>
        <w:t xml:space="preserve">Dans ce chapitre, nous nous sommes attelée à mettre en évidence la structuration récente, dans divers espaces sociaux, d’un discours relatif à l’inévitable </w:t>
      </w:r>
      <w:r>
        <w:rPr>
          <w:bCs/>
        </w:rPr>
        <w:t>« </w:t>
      </w:r>
      <w:r w:rsidRPr="00785306">
        <w:rPr>
          <w:bCs/>
        </w:rPr>
        <w:t>fin de l’école</w:t>
      </w:r>
      <w:r>
        <w:rPr>
          <w:bCs/>
        </w:rPr>
        <w:t> »</w:t>
      </w:r>
      <w:r w:rsidRPr="00785306">
        <w:rPr>
          <w:bCs/>
        </w:rPr>
        <w:t xml:space="preserve">. La dénonciation de </w:t>
      </w:r>
      <w:r>
        <w:rPr>
          <w:bCs/>
        </w:rPr>
        <w:t>« </w:t>
      </w:r>
      <w:r w:rsidRPr="00785306">
        <w:rPr>
          <w:bCs/>
        </w:rPr>
        <w:t>l’obsolescence</w:t>
      </w:r>
      <w:r>
        <w:rPr>
          <w:bCs/>
        </w:rPr>
        <w:t> »</w:t>
      </w:r>
      <w:r w:rsidRPr="00785306">
        <w:rPr>
          <w:bCs/>
        </w:rPr>
        <w:t xml:space="preserve"> de la forme scolaire se décline en une critique en règle de l’ensemble de ses composantes</w:t>
      </w:r>
      <w:r>
        <w:rPr>
          <w:bCs/>
        </w:rPr>
        <w:t> :</w:t>
      </w:r>
      <w:r w:rsidRPr="00785306">
        <w:rPr>
          <w:bCs/>
        </w:rPr>
        <w:t xml:space="preserve"> clôture spatiale et rationalisation des espaces et du temps scolaires, codification et formalisation des savoirs et de la relation pédagogique, standardisation des parcours et </w:t>
      </w:r>
      <w:r>
        <w:rPr>
          <w:bCs/>
        </w:rPr>
        <w:t>« </w:t>
      </w:r>
      <w:r w:rsidRPr="00785306">
        <w:rPr>
          <w:bCs/>
        </w:rPr>
        <w:t>sanctuarisation</w:t>
      </w:r>
      <w:r>
        <w:rPr>
          <w:bCs/>
        </w:rPr>
        <w:t> »</w:t>
      </w:r>
      <w:r w:rsidRPr="00785306">
        <w:rPr>
          <w:bCs/>
        </w:rPr>
        <w:t xml:space="preserve"> de la culture scolaire.</w:t>
      </w:r>
    </w:p>
    <w:p w:rsidR="00661E93" w:rsidRDefault="00661E93" w:rsidP="00661E93">
      <w:pPr>
        <w:pStyle w:val="DeBoeckcorpsdetexte"/>
      </w:pPr>
      <w:r w:rsidRPr="00785306">
        <w:t>Ainsi, les savoirs mobiles, créatifs semblent renvoyer au second plan les savoirs disciplinaires codifiés par l’</w:t>
      </w:r>
      <w:r>
        <w:t xml:space="preserve">école </w:t>
      </w:r>
      <w:r w:rsidRPr="00785306">
        <w:t xml:space="preserve">de la première modernité. Contre les savoirs abstraits, on en appelle à ancrer les savoirs dans l’expérience et les situations concrètes. L’image du </w:t>
      </w:r>
      <w:r>
        <w:t>« </w:t>
      </w:r>
      <w:r w:rsidRPr="00785306">
        <w:t>nomade de la connaissance</w:t>
      </w:r>
      <w:r>
        <w:t> »</w:t>
      </w:r>
      <w:r w:rsidRPr="00785306">
        <w:t xml:space="preserve"> se substitue à celle de l’élève docile et discipliné. Les parcours d’apprentissage se morcellent et se singularisent pour coller de plus près aux spécificités des apprenants. Alors qu’elle se proposait d’émanciper les individus en les arrachant au monde tel qu’il est, l’éducation affirme aujourd’hui vouloir réinvestir le réel</w:t>
      </w:r>
      <w:r>
        <w:t>.</w:t>
      </w:r>
    </w:p>
    <w:p w:rsidR="00661E93" w:rsidRDefault="00661E93" w:rsidP="00661E93">
      <w:pPr>
        <w:pStyle w:val="DeBoeckcorpsdetexte"/>
      </w:pPr>
      <w:r w:rsidRPr="00785306">
        <w:t xml:space="preserve">Cet appel à une mutation de la forme scolaire s’accompagne d’une transformation en profondeur des récits sur les finalités de l’École, dans un contexte d’affaiblissement des </w:t>
      </w:r>
      <w:r>
        <w:t>« </w:t>
      </w:r>
      <w:r w:rsidRPr="00785306">
        <w:t>grands récits</w:t>
      </w:r>
      <w:r>
        <w:t> »</w:t>
      </w:r>
      <w:r w:rsidRPr="00785306">
        <w:t xml:space="preserve"> quasi sacralisés de la première modernité. On observe alors une montée de la rationalité instrumentale comme logique organisatrice du champ scolaire</w:t>
      </w:r>
      <w:r>
        <w:t>.</w:t>
      </w:r>
    </w:p>
    <w:p w:rsidR="00661E93" w:rsidRDefault="00661E93" w:rsidP="00661E93">
      <w:pPr>
        <w:pStyle w:val="DeBoeckcorpsdetexte"/>
      </w:pPr>
      <w:r w:rsidRPr="00785306">
        <w:t>En présentant des lectures sociologiques contrastées de ce processus, notre ambition était d’en montrer la complexité, au-delà de l’interprétation commune qui en est souvent proposée, expliquant cette mutation par les effets des mutations technologiques et de la globalisation économique. Mais nous souhaitions aussi mettre en évidence la diversité des registres de la critique contemporaine de l’École. Derrière un vocable en surface largement commun, cette critique prend en effet appui sur des registres contrastés, qu’il convient d’appréhender comme des répertoires politiques</w:t>
      </w:r>
      <w:r>
        <w:t>.</w:t>
      </w:r>
    </w:p>
    <w:p w:rsidR="00661E93" w:rsidRDefault="00661E93" w:rsidP="00661E93">
      <w:pPr>
        <w:pStyle w:val="DeBoeckcorpsdetexte"/>
      </w:pPr>
      <w:r w:rsidRPr="00785306">
        <w:t xml:space="preserve">Un premier axe de la critique s’appuie sur la conception du Sujet valorisée par la seconde modernité. En réclamant davantage de singularisation des parcours d’apprentissage, ou encore en brandissant des idéaux d’épanouissement et de créativité, cette dénonciation peut être interprétée comme une forme de </w:t>
      </w:r>
      <w:r>
        <w:t>« </w:t>
      </w:r>
      <w:r w:rsidRPr="00785306">
        <w:t>résistance</w:t>
      </w:r>
      <w:r>
        <w:t> »</w:t>
      </w:r>
      <w:r w:rsidRPr="00785306">
        <w:t xml:space="preserve"> de l’authenticité du Sujet face à la rationalisation instrumentale du monde (Touraine, 1992). Cependant, il ne faut pas négliger la capacité des systèmes sociaux contemporains à récupérer cette </w:t>
      </w:r>
      <w:r>
        <w:t>« critique artiste » (Boltanski &amp;</w:t>
      </w:r>
      <w:r w:rsidRPr="00785306">
        <w:t xml:space="preserve"> </w:t>
      </w:r>
      <w:proofErr w:type="spellStart"/>
      <w:r w:rsidRPr="00785306">
        <w:t>Chiapello</w:t>
      </w:r>
      <w:proofErr w:type="spellEnd"/>
      <w:r w:rsidRPr="00785306">
        <w:t xml:space="preserve">, 1999). Un grand nombre de concepts mobilisateurs aujourd’hui dans le champ pédagogique (par exemple, le suivi individualisé de l’apprenant, l’insistance sur la motivation, le développement des potentialités de chacun, l’élaboration d’un projet éducatif individualisé, ou encore l’accent mis sur les compétences humaines et sociales) risquent fort de faire l’objet d’un détournement de sens et d’être instrumentalisés, mis au service du </w:t>
      </w:r>
      <w:r>
        <w:t>« </w:t>
      </w:r>
      <w:r w:rsidRPr="00785306">
        <w:t>nouvel espri</w:t>
      </w:r>
      <w:r>
        <w:t>t du capitalisme « (Boltanski &amp;</w:t>
      </w:r>
      <w:r w:rsidRPr="00785306">
        <w:t xml:space="preserve"> </w:t>
      </w:r>
      <w:proofErr w:type="spellStart"/>
      <w:r w:rsidRPr="00785306">
        <w:t>Chiapello</w:t>
      </w:r>
      <w:proofErr w:type="spellEnd"/>
      <w:r w:rsidRPr="00785306">
        <w:t xml:space="preserve">, 1999). Ainsi, lorsque la pensée créative devient </w:t>
      </w:r>
      <w:proofErr w:type="spellStart"/>
      <w:r w:rsidRPr="00785306">
        <w:rPr>
          <w:i/>
        </w:rPr>
        <w:t>innovative</w:t>
      </w:r>
      <w:proofErr w:type="spellEnd"/>
      <w:r w:rsidRPr="00785306">
        <w:rPr>
          <w:i/>
        </w:rPr>
        <w:t xml:space="preserve"> </w:t>
      </w:r>
      <w:proofErr w:type="spellStart"/>
      <w:r w:rsidRPr="00785306">
        <w:rPr>
          <w:i/>
        </w:rPr>
        <w:t>thinking</w:t>
      </w:r>
      <w:proofErr w:type="spellEnd"/>
      <w:r w:rsidRPr="00785306">
        <w:t>, elle signe la fin d’une pensée critique authentique</w:t>
      </w:r>
      <w:r>
        <w:t>.</w:t>
      </w:r>
    </w:p>
    <w:p w:rsidR="00661E93" w:rsidRPr="00785306" w:rsidRDefault="00661E93" w:rsidP="00661E93">
      <w:pPr>
        <w:pStyle w:val="DeBoeckcorpsdetexte"/>
      </w:pPr>
      <w:r w:rsidRPr="00785306">
        <w:t xml:space="preserve">Un second registre s’appuie sur la dénonciation des inégalités scolaires. Cette dimension est repérable dans la critique de la forme scolaire, qui n’est plus perçue comme la garantie d’une élévation vers l’universel, mais comme une ruse de la culture dominante contribuant à exclure les groupes sociaux les plus éloignés des codes scolaires. Cette critique sociale, assez classique, prend aujourd’hui un tournant inattendu, lorsque, face aux limites de la démocratisation scolaire, on propose une différenciation de l’offre éducative qui prétend concilier </w:t>
      </w:r>
      <w:r>
        <w:t>« </w:t>
      </w:r>
      <w:r w:rsidRPr="00785306">
        <w:t>différence</w:t>
      </w:r>
      <w:r>
        <w:t> »</w:t>
      </w:r>
      <w:r w:rsidRPr="00785306">
        <w:t xml:space="preserve"> (de talents, d’aptitudes) et </w:t>
      </w:r>
      <w:r>
        <w:t>« </w:t>
      </w:r>
      <w:r w:rsidRPr="00785306">
        <w:t>égalité des chances</w:t>
      </w:r>
      <w:r>
        <w:t> »</w:t>
      </w:r>
      <w:r w:rsidRPr="00785306">
        <w:t>… sans pour autant remettre en question la profonde inégalité des places sociales auxquelles cette scolarisation</w:t>
      </w:r>
      <w:r>
        <w:t xml:space="preserve"> différenciée prépare (</w:t>
      </w:r>
      <w:proofErr w:type="spellStart"/>
      <w:r>
        <w:t>Hambye</w:t>
      </w:r>
      <w:proofErr w:type="spellEnd"/>
      <w:r>
        <w:t xml:space="preserve"> &amp;</w:t>
      </w:r>
      <w:r w:rsidRPr="00785306">
        <w:t xml:space="preserve"> </w:t>
      </w:r>
      <w:proofErr w:type="spellStart"/>
      <w:r w:rsidRPr="00785306">
        <w:t>Siroux</w:t>
      </w:r>
      <w:proofErr w:type="spellEnd"/>
      <w:r w:rsidRPr="00785306">
        <w:t>, 2014).</w:t>
      </w:r>
    </w:p>
    <w:p w:rsidR="00661E93" w:rsidRPr="00785306" w:rsidRDefault="00661E93" w:rsidP="00661E93">
      <w:pPr>
        <w:pStyle w:val="DeBoeckcorpsdetexte"/>
      </w:pPr>
      <w:r w:rsidRPr="00785306">
        <w:lastRenderedPageBreak/>
        <w:t xml:space="preserve">Enfin, un troisième axe de la critique prend la forme d’une dénonciation de la </w:t>
      </w:r>
      <w:r>
        <w:t>« </w:t>
      </w:r>
      <w:r w:rsidRPr="00785306">
        <w:t>forme caserne</w:t>
      </w:r>
      <w:r>
        <w:t> »</w:t>
      </w:r>
      <w:r w:rsidRPr="00785306">
        <w:t xml:space="preserve"> de l’école. La critique des institutions modernes avait donné lieu, au fil du XX</w:t>
      </w:r>
      <w:r w:rsidRPr="00785306">
        <w:rPr>
          <w:vertAlign w:val="superscript"/>
        </w:rPr>
        <w:t>e</w:t>
      </w:r>
      <w:r w:rsidRPr="00785306">
        <w:t xml:space="preserve"> siècle, à des projets éducatifs basés sur l’utopie d’une école ouverte, décloisonnée et profondément démocratique (voir chapitre 7). On en retrouve un écho dans la valorisation croissante de l’école </w:t>
      </w:r>
      <w:r>
        <w:t>« </w:t>
      </w:r>
      <w:r w:rsidRPr="00785306">
        <w:t>extensive</w:t>
      </w:r>
      <w:r>
        <w:t> »</w:t>
      </w:r>
      <w:r w:rsidRPr="00785306">
        <w:t xml:space="preserve">, de la mobilité, des apprentissages </w:t>
      </w:r>
      <w:r>
        <w:t>« </w:t>
      </w:r>
      <w:r w:rsidRPr="00785306">
        <w:t>ancrés dans des situations</w:t>
      </w:r>
      <w:r>
        <w:t> »</w:t>
      </w:r>
      <w:r w:rsidRPr="00785306">
        <w:t>, des réseaux horizontaux d’apprenants, etc.</w:t>
      </w:r>
      <w:r>
        <w:t> ;</w:t>
      </w:r>
      <w:r w:rsidRPr="00785306">
        <w:t xml:space="preserve"> mais aujourd’hui, de tels dispositifs semblent parfaitement </w:t>
      </w:r>
      <w:r>
        <w:t>« </w:t>
      </w:r>
      <w:r w:rsidRPr="00785306">
        <w:t>fonctionnels</w:t>
      </w:r>
      <w:r>
        <w:t> »</w:t>
      </w:r>
      <w:r w:rsidRPr="00785306">
        <w:t xml:space="preserve"> par rapport à l’organisation sociale du capitalisme postfordiste et</w:t>
      </w:r>
      <w:r>
        <w:t xml:space="preserve"> à sa forme-réseau (Boltanski &amp;</w:t>
      </w:r>
      <w:r w:rsidRPr="00785306">
        <w:t xml:space="preserve"> </w:t>
      </w:r>
      <w:proofErr w:type="spellStart"/>
      <w:r w:rsidRPr="00785306">
        <w:t>Chiapello</w:t>
      </w:r>
      <w:proofErr w:type="spellEnd"/>
      <w:r w:rsidRPr="00785306">
        <w:t>, 1999</w:t>
      </w:r>
      <w:r>
        <w:t> ;</w:t>
      </w:r>
      <w:r w:rsidRPr="00785306">
        <w:t xml:space="preserve"> Sennett, 2000).</w:t>
      </w:r>
    </w:p>
    <w:p w:rsidR="00661E93" w:rsidRPr="00785306" w:rsidRDefault="00661E93" w:rsidP="00661E93">
      <w:pPr>
        <w:pStyle w:val="DeBoeckcorpsdetexte"/>
      </w:pPr>
      <w:r w:rsidRPr="00785306">
        <w:t xml:space="preserve">Loin d’entériner une mutation </w:t>
      </w:r>
      <w:r>
        <w:t>« </w:t>
      </w:r>
      <w:r w:rsidRPr="00785306">
        <w:t>inéluctable</w:t>
      </w:r>
      <w:r>
        <w:t> »</w:t>
      </w:r>
      <w:r w:rsidRPr="00785306">
        <w:t xml:space="preserve"> de la forme scolaire, nous ne devons pas renoncer à gouverner politiquement l’École. Mettre au jour les différents registres de la critique dont elle fait l’objet permettra, nous l’espérons, d’éclairer ce projet. Le défi majeur qui se dessine est celui de la poursuite du projet des Lumières d’émancipation et de démocratisation, en actant, pour partie, les mutations des rapports entre apprentissage et expérience sensible, entre réflexivité et action, entre épanouissement du sujet et construction de nouvelles formes de commun.</w:t>
      </w:r>
    </w:p>
    <w:p w:rsidR="00DE5C2F" w:rsidRDefault="00661E93" w:rsidP="00661E93">
      <w:r>
        <w:br w:type="page"/>
      </w:r>
    </w:p>
    <w:sectPr w:rsidR="00DE5C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910" w:rsidRDefault="000C1910" w:rsidP="00661E93">
      <w:r>
        <w:separator/>
      </w:r>
    </w:p>
  </w:endnote>
  <w:endnote w:type="continuationSeparator" w:id="0">
    <w:p w:rsidR="000C1910" w:rsidRDefault="000C1910" w:rsidP="00661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E93" w:rsidRDefault="00661E93" w:rsidP="001B175F">
    <w:pPr>
      <w:pStyle w:val="Pieddepage"/>
      <w:jc w:val="right"/>
    </w:pPr>
    <w:r>
      <w:fldChar w:fldCharType="begin"/>
    </w:r>
    <w:r>
      <w:instrText>PAGE   \* MERGEFORMAT</w:instrText>
    </w:r>
    <w:r>
      <w:fldChar w:fldCharType="separate"/>
    </w:r>
    <w:r w:rsidR="0046657C">
      <w:rPr>
        <w:noProof/>
      </w:rP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910" w:rsidRDefault="000C1910" w:rsidP="00661E93">
      <w:r>
        <w:separator/>
      </w:r>
    </w:p>
  </w:footnote>
  <w:footnote w:type="continuationSeparator" w:id="0">
    <w:p w:rsidR="000C1910" w:rsidRDefault="000C1910" w:rsidP="00661E93">
      <w:r>
        <w:continuationSeparator/>
      </w:r>
    </w:p>
  </w:footnote>
  <w:footnote w:id="1">
    <w:p w:rsidR="00661E93" w:rsidRPr="009A34BD" w:rsidRDefault="00661E93" w:rsidP="00661E93">
      <w:pPr>
        <w:pStyle w:val="DeBoecknotedebasdepage"/>
        <w:rPr>
          <w:lang w:val="en-US"/>
        </w:rPr>
      </w:pPr>
      <w:r w:rsidRPr="009A34BD">
        <w:rPr>
          <w:rStyle w:val="Appelnotedebasdep"/>
        </w:rPr>
        <w:footnoteRef/>
      </w:r>
      <w:r w:rsidRPr="009A34BD">
        <w:t xml:space="preserve"> </w:t>
      </w:r>
      <w:r w:rsidRPr="00AB6CD8">
        <w:t>h</w:t>
      </w:r>
      <w:r>
        <w:t>ttps://www.educationfutures.com</w:t>
      </w:r>
      <w:r w:rsidRPr="009A34BD">
        <w:t>, consulté en novembre 2014 et mars 2015</w:t>
      </w:r>
      <w:r>
        <w:t> ;</w:t>
      </w:r>
      <w:r w:rsidRPr="009A34BD">
        <w:t xml:space="preserve"> voir également leurs ouvrages phares</w:t>
      </w:r>
      <w:r>
        <w:t> :</w:t>
      </w:r>
      <w:r w:rsidRPr="009A34BD">
        <w:t xml:space="preserve"> J. W. </w:t>
      </w:r>
      <w:proofErr w:type="spellStart"/>
      <w:r w:rsidRPr="009A34BD">
        <w:t>Moravec</w:t>
      </w:r>
      <w:proofErr w:type="spellEnd"/>
      <w:r w:rsidRPr="009A34BD">
        <w:t xml:space="preserve"> (</w:t>
      </w:r>
      <w:proofErr w:type="spellStart"/>
      <w:r w:rsidRPr="009A34BD">
        <w:t>ed</w:t>
      </w:r>
      <w:proofErr w:type="spellEnd"/>
      <w:r w:rsidRPr="009A34BD">
        <w:t xml:space="preserve">), The </w:t>
      </w:r>
      <w:proofErr w:type="spellStart"/>
      <w:r w:rsidRPr="009A34BD">
        <w:rPr>
          <w:i/>
        </w:rPr>
        <w:t>Knowmad</w:t>
      </w:r>
      <w:proofErr w:type="spellEnd"/>
      <w:r w:rsidRPr="009A34BD">
        <w:rPr>
          <w:i/>
        </w:rPr>
        <w:t xml:space="preserve"> society</w:t>
      </w:r>
      <w:r w:rsidRPr="009A34BD">
        <w:t xml:space="preserve"> ou C. </w:t>
      </w:r>
      <w:proofErr w:type="spellStart"/>
      <w:r w:rsidRPr="009A34BD">
        <w:t>Cobbo</w:t>
      </w:r>
      <w:proofErr w:type="spellEnd"/>
      <w:r w:rsidRPr="009A34BD">
        <w:t xml:space="preserve">, J.W. </w:t>
      </w:r>
      <w:proofErr w:type="spellStart"/>
      <w:r w:rsidRPr="009A34BD">
        <w:t>Moravec</w:t>
      </w:r>
      <w:proofErr w:type="spellEnd"/>
      <w:r w:rsidRPr="009A34BD">
        <w:t xml:space="preserve">, </w:t>
      </w:r>
      <w:r w:rsidRPr="009A34BD">
        <w:rPr>
          <w:i/>
        </w:rPr>
        <w:t xml:space="preserve">The invisible </w:t>
      </w:r>
      <w:proofErr w:type="spellStart"/>
      <w:r w:rsidRPr="009A34BD">
        <w:rPr>
          <w:i/>
        </w:rPr>
        <w:t>learning</w:t>
      </w:r>
      <w:proofErr w:type="spellEnd"/>
      <w:r w:rsidRPr="009A34BD">
        <w:rPr>
          <w:i/>
        </w:rPr>
        <w:t xml:space="preserve">. </w:t>
      </w:r>
      <w:r w:rsidRPr="009A34BD">
        <w:rPr>
          <w:i/>
          <w:lang w:val="en-US"/>
        </w:rPr>
        <w:t xml:space="preserve">Towards a new ecology of education (open resources </w:t>
      </w:r>
      <w:proofErr w:type="spellStart"/>
      <w:r w:rsidRPr="009A34BD">
        <w:rPr>
          <w:i/>
          <w:lang w:val="en-US"/>
        </w:rPr>
        <w:t>editées</w:t>
      </w:r>
      <w:proofErr w:type="spellEnd"/>
      <w:r w:rsidRPr="009A34BD">
        <w:rPr>
          <w:i/>
          <w:lang w:val="en-US"/>
        </w:rPr>
        <w:t xml:space="preserve"> par </w:t>
      </w:r>
      <w:proofErr w:type="spellStart"/>
      <w:r w:rsidRPr="009A34BD">
        <w:rPr>
          <w:i/>
          <w:lang w:val="en-US"/>
        </w:rPr>
        <w:t>educationfutures</w:t>
      </w:r>
      <w:proofErr w:type="spellEnd"/>
      <w:r w:rsidRPr="009A34BD">
        <w:rPr>
          <w:i/>
          <w:lang w:val="en-US"/>
        </w:rPr>
        <w:t>).</w:t>
      </w:r>
    </w:p>
  </w:footnote>
  <w:footnote w:id="2">
    <w:p w:rsidR="00661E93" w:rsidRPr="009A34BD" w:rsidRDefault="00661E93" w:rsidP="00661E93">
      <w:pPr>
        <w:pStyle w:val="DeBoecknotedebasdepage"/>
      </w:pPr>
      <w:r w:rsidRPr="009A34BD">
        <w:rPr>
          <w:rStyle w:val="Appelnotedebasdep"/>
        </w:rPr>
        <w:footnoteRef/>
      </w:r>
      <w:r w:rsidRPr="009A34BD">
        <w:t xml:space="preserve"> Précisons que nous pensons que les développements qui suivent concernant les imaginaires éducatifs et le programme institutionnel de l’École moderne, s’ils ont été pensés par des chercheurs enracinés dans la réalité française, fournissent néanmoins des clefs d’analyse largement transposables au cas belge, du moins si l’on s’en tient aux processus sociologiques de fond qu’ils décrivent, et non à la particularité républicaine</w:t>
      </w:r>
      <w:r>
        <w:t xml:space="preserve"> – en acceptant, par exemple, que le récit universalisant de l’École chrétienne comme le projet de l’École laïque se fondent également, chacun à leur manière, sur l'affirmation d'un idéal d’émancipation du Sujet exigeant un détour par des principes supérieurs.</w:t>
      </w:r>
    </w:p>
  </w:footnote>
  <w:footnote w:id="3">
    <w:p w:rsidR="00661E93" w:rsidRPr="009A34BD" w:rsidRDefault="00661E93" w:rsidP="00661E93">
      <w:pPr>
        <w:pStyle w:val="DeBoecknotedebasdepage"/>
      </w:pPr>
      <w:r w:rsidRPr="009A34BD">
        <w:rPr>
          <w:rStyle w:val="Appelnotedebasdep"/>
        </w:rPr>
        <w:footnoteRef/>
      </w:r>
      <w:r w:rsidRPr="009A34BD">
        <w:t xml:space="preserve"> La notion d’individualisation renvoie, pour les sociologues de la modernité, à un double processus de </w:t>
      </w:r>
      <w:proofErr w:type="spellStart"/>
      <w:r w:rsidRPr="009A34BD">
        <w:t>désencastrement</w:t>
      </w:r>
      <w:proofErr w:type="spellEnd"/>
      <w:r w:rsidRPr="009A34BD">
        <w:t xml:space="preserve"> du sujet par rapport aux rôles et schémas sociaux hérités (lié à la complexité et à la différentiation croissante des structures sociales), et à une norme poussant chaque individu à se révéler à lui-même et à s’épanouir en développant ses potentialit</w:t>
      </w:r>
      <w:r>
        <w:t>és propres (</w:t>
      </w:r>
      <w:proofErr w:type="spellStart"/>
      <w:r>
        <w:t>Martuccelli</w:t>
      </w:r>
      <w:proofErr w:type="spellEnd"/>
      <w:r>
        <w:t>, 2002).</w:t>
      </w:r>
    </w:p>
  </w:footnote>
  <w:footnote w:id="4">
    <w:p w:rsidR="00661E93" w:rsidRPr="009A34BD" w:rsidRDefault="00661E93" w:rsidP="00661E93">
      <w:pPr>
        <w:pStyle w:val="DeBoecknotedebasdepage"/>
      </w:pPr>
      <w:r w:rsidRPr="009A34BD">
        <w:rPr>
          <w:rStyle w:val="Appelnotedebasdep"/>
        </w:rPr>
        <w:footnoteRef/>
      </w:r>
      <w:r w:rsidRPr="009A34BD">
        <w:t xml:space="preserve"> Un développement des composantes de ce </w:t>
      </w:r>
      <w:r>
        <w:t>« </w:t>
      </w:r>
      <w:r w:rsidRPr="009A34BD">
        <w:t>nouveau régime de la connaissance</w:t>
      </w:r>
      <w:r>
        <w:t> »</w:t>
      </w:r>
      <w:r w:rsidRPr="009A34BD">
        <w:t xml:space="preserve"> est présenté au chapitre 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E93"/>
    <w:rsid w:val="000C1910"/>
    <w:rsid w:val="00107479"/>
    <w:rsid w:val="0046657C"/>
    <w:rsid w:val="00632774"/>
    <w:rsid w:val="00661E93"/>
    <w:rsid w:val="00CD317E"/>
    <w:rsid w:val="00DE5C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E93"/>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Boeckcitation">
    <w:name w:val="De Boeck citation"/>
    <w:basedOn w:val="Normal"/>
    <w:qFormat/>
    <w:rsid w:val="00661E93"/>
    <w:pPr>
      <w:spacing w:after="120"/>
      <w:ind w:left="851"/>
      <w:jc w:val="both"/>
    </w:pPr>
    <w:rPr>
      <w:sz w:val="20"/>
    </w:rPr>
  </w:style>
  <w:style w:type="character" w:styleId="Lienhypertexte">
    <w:name w:val="Hyperlink"/>
    <w:uiPriority w:val="99"/>
    <w:unhideWhenUsed/>
    <w:rsid w:val="00661E93"/>
    <w:rPr>
      <w:color w:val="0000FF"/>
      <w:u w:val="single"/>
    </w:rPr>
  </w:style>
  <w:style w:type="paragraph" w:customStyle="1" w:styleId="DeBoeckTitreouvrage">
    <w:name w:val="De Boeck Titre ouvrage"/>
    <w:basedOn w:val="Normal"/>
    <w:qFormat/>
    <w:rsid w:val="00661E93"/>
    <w:pPr>
      <w:spacing w:before="2400" w:after="1800"/>
      <w:jc w:val="center"/>
    </w:pPr>
    <w:rPr>
      <w:rFonts w:ascii="Comic Sans MS" w:eastAsia="Batang" w:hAnsi="Comic Sans MS"/>
      <w:b/>
      <w:sz w:val="44"/>
    </w:rPr>
  </w:style>
  <w:style w:type="paragraph" w:customStyle="1" w:styleId="DeBoecksousladirectionde">
    <w:name w:val="De Boeck sous la direction de"/>
    <w:qFormat/>
    <w:rsid w:val="00661E93"/>
    <w:pPr>
      <w:spacing w:after="0" w:line="240" w:lineRule="auto"/>
    </w:pPr>
    <w:rPr>
      <w:rFonts w:ascii="Comic Sans MS" w:eastAsia="Batang" w:hAnsi="Comic Sans MS" w:cs="Times New Roman"/>
      <w:i/>
      <w:sz w:val="28"/>
      <w:szCs w:val="24"/>
      <w:lang w:val="fr-FR" w:eastAsia="fr-FR"/>
    </w:rPr>
  </w:style>
  <w:style w:type="paragraph" w:customStyle="1" w:styleId="DeBoeckTitrepartie">
    <w:name w:val="De Boeck Titre partie"/>
    <w:basedOn w:val="Normal"/>
    <w:qFormat/>
    <w:rsid w:val="00661E93"/>
    <w:pPr>
      <w:pBdr>
        <w:top w:val="single" w:sz="4" w:space="10" w:color="auto"/>
        <w:left w:val="single" w:sz="4" w:space="4" w:color="auto"/>
        <w:bottom w:val="single" w:sz="4" w:space="10" w:color="auto"/>
        <w:right w:val="single" w:sz="4" w:space="4" w:color="auto"/>
      </w:pBdr>
      <w:spacing w:before="2880" w:after="60"/>
      <w:jc w:val="center"/>
      <w:outlineLvl w:val="0"/>
    </w:pPr>
    <w:rPr>
      <w:rFonts w:ascii="Arial" w:hAnsi="Arial"/>
      <w:b/>
      <w:caps/>
      <w:kern w:val="32"/>
      <w:sz w:val="32"/>
    </w:rPr>
  </w:style>
  <w:style w:type="paragraph" w:customStyle="1" w:styleId="DeBoeckTitrechapitre">
    <w:name w:val="De Boeck Titre chapitre"/>
    <w:basedOn w:val="Normal"/>
    <w:qFormat/>
    <w:rsid w:val="00661E93"/>
    <w:pPr>
      <w:spacing w:before="360" w:after="600"/>
      <w:jc w:val="center"/>
      <w:outlineLvl w:val="1"/>
    </w:pPr>
    <w:rPr>
      <w:rFonts w:ascii="Arial" w:hAnsi="Arial"/>
      <w:b/>
    </w:rPr>
  </w:style>
  <w:style w:type="paragraph" w:customStyle="1" w:styleId="DeBoeckauteurchapitre">
    <w:name w:val="De Boeck auteur chapitre"/>
    <w:basedOn w:val="Normal"/>
    <w:qFormat/>
    <w:rsid w:val="00661E93"/>
    <w:pPr>
      <w:pBdr>
        <w:top w:val="single" w:sz="4" w:space="1" w:color="auto"/>
      </w:pBdr>
      <w:tabs>
        <w:tab w:val="left" w:pos="567"/>
        <w:tab w:val="left" w:pos="2700"/>
      </w:tabs>
      <w:spacing w:after="480"/>
      <w:jc w:val="right"/>
    </w:pPr>
    <w:rPr>
      <w:rFonts w:eastAsia="SimSun"/>
      <w:bCs/>
      <w:smallCaps/>
      <w:color w:val="000000"/>
      <w:kern w:val="28"/>
      <w:sz w:val="20"/>
      <w:lang w:val="fr-BE" w:eastAsia="zh-CN"/>
    </w:rPr>
  </w:style>
  <w:style w:type="paragraph" w:customStyle="1" w:styleId="DeBoeckcorpsdetexte">
    <w:name w:val="De Boeck corps de texte"/>
    <w:basedOn w:val="Normal"/>
    <w:qFormat/>
    <w:rsid w:val="00661E93"/>
    <w:pPr>
      <w:spacing w:after="120"/>
      <w:ind w:firstLine="709"/>
      <w:jc w:val="both"/>
    </w:pPr>
  </w:style>
  <w:style w:type="paragraph" w:customStyle="1" w:styleId="DeBoecksous-titre1">
    <w:name w:val="De Boeck sous-titre 1"/>
    <w:basedOn w:val="Normal"/>
    <w:qFormat/>
    <w:rsid w:val="00661E93"/>
    <w:pPr>
      <w:keepNext/>
      <w:tabs>
        <w:tab w:val="left" w:pos="357"/>
      </w:tabs>
      <w:spacing w:before="600" w:after="240"/>
      <w:ind w:left="357" w:hanging="357"/>
      <w:outlineLvl w:val="2"/>
    </w:pPr>
    <w:rPr>
      <w:b/>
    </w:rPr>
  </w:style>
  <w:style w:type="paragraph" w:customStyle="1" w:styleId="DeBoecksous-titre2">
    <w:name w:val="De Boeck sous-titre 2"/>
    <w:basedOn w:val="Normal"/>
    <w:qFormat/>
    <w:rsid w:val="00661E93"/>
    <w:pPr>
      <w:keepNext/>
      <w:tabs>
        <w:tab w:val="left" w:pos="454"/>
      </w:tabs>
      <w:spacing w:before="480" w:after="240"/>
      <w:ind w:left="454" w:hanging="454"/>
      <w:outlineLvl w:val="3"/>
    </w:pPr>
    <w:rPr>
      <w:b/>
      <w:i/>
    </w:rPr>
  </w:style>
  <w:style w:type="paragraph" w:customStyle="1" w:styleId="DeBoecknotedebasdepage">
    <w:name w:val="De Boeck note de bas de page"/>
    <w:basedOn w:val="Normal"/>
    <w:qFormat/>
    <w:rsid w:val="00661E93"/>
    <w:pPr>
      <w:tabs>
        <w:tab w:val="left" w:pos="360"/>
      </w:tabs>
      <w:spacing w:after="120"/>
      <w:ind w:left="448" w:hanging="448"/>
      <w:jc w:val="both"/>
    </w:pPr>
    <w:rPr>
      <w:sz w:val="20"/>
      <w:szCs w:val="20"/>
    </w:rPr>
  </w:style>
  <w:style w:type="paragraph" w:styleId="Pieddepage">
    <w:name w:val="footer"/>
    <w:basedOn w:val="Normal"/>
    <w:link w:val="PieddepageCar"/>
    <w:uiPriority w:val="99"/>
    <w:rsid w:val="00661E93"/>
    <w:pPr>
      <w:tabs>
        <w:tab w:val="center" w:pos="4536"/>
        <w:tab w:val="right" w:pos="9072"/>
      </w:tabs>
    </w:pPr>
  </w:style>
  <w:style w:type="character" w:customStyle="1" w:styleId="PieddepageCar">
    <w:name w:val="Pied de page Car"/>
    <w:basedOn w:val="Policepardfaut"/>
    <w:link w:val="Pieddepage"/>
    <w:uiPriority w:val="99"/>
    <w:rsid w:val="00661E93"/>
    <w:rPr>
      <w:rFonts w:ascii="Times New Roman" w:eastAsia="Times New Roman" w:hAnsi="Times New Roman" w:cs="Times New Roman"/>
      <w:sz w:val="24"/>
      <w:szCs w:val="24"/>
      <w:lang w:val="fr-FR" w:eastAsia="fr-FR"/>
    </w:rPr>
  </w:style>
  <w:style w:type="character" w:styleId="Appelnotedebasdep">
    <w:name w:val="footnote reference"/>
    <w:unhideWhenUsed/>
    <w:rsid w:val="00661E93"/>
    <w:rPr>
      <w:vertAlign w:val="superscript"/>
    </w:rPr>
  </w:style>
  <w:style w:type="paragraph" w:styleId="TM1">
    <w:name w:val="toc 1"/>
    <w:basedOn w:val="Normal"/>
    <w:next w:val="Normal"/>
    <w:autoRedefine/>
    <w:uiPriority w:val="39"/>
    <w:rsid w:val="00661E93"/>
    <w:pPr>
      <w:tabs>
        <w:tab w:val="right" w:leader="underscore" w:pos="8777"/>
      </w:tabs>
      <w:spacing w:before="120"/>
    </w:pPr>
    <w:rPr>
      <w:rFonts w:ascii="Calibri" w:hAnsi="Calibri"/>
      <w:b/>
      <w:bCs/>
      <w:i/>
      <w:iCs/>
      <w:noProof/>
    </w:rPr>
  </w:style>
  <w:style w:type="paragraph" w:styleId="TM2">
    <w:name w:val="toc 2"/>
    <w:basedOn w:val="Normal"/>
    <w:next w:val="Normal"/>
    <w:autoRedefine/>
    <w:uiPriority w:val="39"/>
    <w:rsid w:val="00661E93"/>
    <w:pPr>
      <w:spacing w:before="120"/>
      <w:ind w:left="240"/>
    </w:pPr>
    <w:rPr>
      <w:rFonts w:ascii="Calibri" w:hAnsi="Calibri"/>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E93"/>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Boeckcitation">
    <w:name w:val="De Boeck citation"/>
    <w:basedOn w:val="Normal"/>
    <w:qFormat/>
    <w:rsid w:val="00661E93"/>
    <w:pPr>
      <w:spacing w:after="120"/>
      <w:ind w:left="851"/>
      <w:jc w:val="both"/>
    </w:pPr>
    <w:rPr>
      <w:sz w:val="20"/>
    </w:rPr>
  </w:style>
  <w:style w:type="character" w:styleId="Lienhypertexte">
    <w:name w:val="Hyperlink"/>
    <w:uiPriority w:val="99"/>
    <w:unhideWhenUsed/>
    <w:rsid w:val="00661E93"/>
    <w:rPr>
      <w:color w:val="0000FF"/>
      <w:u w:val="single"/>
    </w:rPr>
  </w:style>
  <w:style w:type="paragraph" w:customStyle="1" w:styleId="DeBoeckTitreouvrage">
    <w:name w:val="De Boeck Titre ouvrage"/>
    <w:basedOn w:val="Normal"/>
    <w:qFormat/>
    <w:rsid w:val="00661E93"/>
    <w:pPr>
      <w:spacing w:before="2400" w:after="1800"/>
      <w:jc w:val="center"/>
    </w:pPr>
    <w:rPr>
      <w:rFonts w:ascii="Comic Sans MS" w:eastAsia="Batang" w:hAnsi="Comic Sans MS"/>
      <w:b/>
      <w:sz w:val="44"/>
    </w:rPr>
  </w:style>
  <w:style w:type="paragraph" w:customStyle="1" w:styleId="DeBoecksousladirectionde">
    <w:name w:val="De Boeck sous la direction de"/>
    <w:qFormat/>
    <w:rsid w:val="00661E93"/>
    <w:pPr>
      <w:spacing w:after="0" w:line="240" w:lineRule="auto"/>
    </w:pPr>
    <w:rPr>
      <w:rFonts w:ascii="Comic Sans MS" w:eastAsia="Batang" w:hAnsi="Comic Sans MS" w:cs="Times New Roman"/>
      <w:i/>
      <w:sz w:val="28"/>
      <w:szCs w:val="24"/>
      <w:lang w:val="fr-FR" w:eastAsia="fr-FR"/>
    </w:rPr>
  </w:style>
  <w:style w:type="paragraph" w:customStyle="1" w:styleId="DeBoeckTitrepartie">
    <w:name w:val="De Boeck Titre partie"/>
    <w:basedOn w:val="Normal"/>
    <w:qFormat/>
    <w:rsid w:val="00661E93"/>
    <w:pPr>
      <w:pBdr>
        <w:top w:val="single" w:sz="4" w:space="10" w:color="auto"/>
        <w:left w:val="single" w:sz="4" w:space="4" w:color="auto"/>
        <w:bottom w:val="single" w:sz="4" w:space="10" w:color="auto"/>
        <w:right w:val="single" w:sz="4" w:space="4" w:color="auto"/>
      </w:pBdr>
      <w:spacing w:before="2880" w:after="60"/>
      <w:jc w:val="center"/>
      <w:outlineLvl w:val="0"/>
    </w:pPr>
    <w:rPr>
      <w:rFonts w:ascii="Arial" w:hAnsi="Arial"/>
      <w:b/>
      <w:caps/>
      <w:kern w:val="32"/>
      <w:sz w:val="32"/>
    </w:rPr>
  </w:style>
  <w:style w:type="paragraph" w:customStyle="1" w:styleId="DeBoeckTitrechapitre">
    <w:name w:val="De Boeck Titre chapitre"/>
    <w:basedOn w:val="Normal"/>
    <w:qFormat/>
    <w:rsid w:val="00661E93"/>
    <w:pPr>
      <w:spacing w:before="360" w:after="600"/>
      <w:jc w:val="center"/>
      <w:outlineLvl w:val="1"/>
    </w:pPr>
    <w:rPr>
      <w:rFonts w:ascii="Arial" w:hAnsi="Arial"/>
      <w:b/>
    </w:rPr>
  </w:style>
  <w:style w:type="paragraph" w:customStyle="1" w:styleId="DeBoeckauteurchapitre">
    <w:name w:val="De Boeck auteur chapitre"/>
    <w:basedOn w:val="Normal"/>
    <w:qFormat/>
    <w:rsid w:val="00661E93"/>
    <w:pPr>
      <w:pBdr>
        <w:top w:val="single" w:sz="4" w:space="1" w:color="auto"/>
      </w:pBdr>
      <w:tabs>
        <w:tab w:val="left" w:pos="567"/>
        <w:tab w:val="left" w:pos="2700"/>
      </w:tabs>
      <w:spacing w:after="480"/>
      <w:jc w:val="right"/>
    </w:pPr>
    <w:rPr>
      <w:rFonts w:eastAsia="SimSun"/>
      <w:bCs/>
      <w:smallCaps/>
      <w:color w:val="000000"/>
      <w:kern w:val="28"/>
      <w:sz w:val="20"/>
      <w:lang w:val="fr-BE" w:eastAsia="zh-CN"/>
    </w:rPr>
  </w:style>
  <w:style w:type="paragraph" w:customStyle="1" w:styleId="DeBoeckcorpsdetexte">
    <w:name w:val="De Boeck corps de texte"/>
    <w:basedOn w:val="Normal"/>
    <w:qFormat/>
    <w:rsid w:val="00661E93"/>
    <w:pPr>
      <w:spacing w:after="120"/>
      <w:ind w:firstLine="709"/>
      <w:jc w:val="both"/>
    </w:pPr>
  </w:style>
  <w:style w:type="paragraph" w:customStyle="1" w:styleId="DeBoecksous-titre1">
    <w:name w:val="De Boeck sous-titre 1"/>
    <w:basedOn w:val="Normal"/>
    <w:qFormat/>
    <w:rsid w:val="00661E93"/>
    <w:pPr>
      <w:keepNext/>
      <w:tabs>
        <w:tab w:val="left" w:pos="357"/>
      </w:tabs>
      <w:spacing w:before="600" w:after="240"/>
      <w:ind w:left="357" w:hanging="357"/>
      <w:outlineLvl w:val="2"/>
    </w:pPr>
    <w:rPr>
      <w:b/>
    </w:rPr>
  </w:style>
  <w:style w:type="paragraph" w:customStyle="1" w:styleId="DeBoecksous-titre2">
    <w:name w:val="De Boeck sous-titre 2"/>
    <w:basedOn w:val="Normal"/>
    <w:qFormat/>
    <w:rsid w:val="00661E93"/>
    <w:pPr>
      <w:keepNext/>
      <w:tabs>
        <w:tab w:val="left" w:pos="454"/>
      </w:tabs>
      <w:spacing w:before="480" w:after="240"/>
      <w:ind w:left="454" w:hanging="454"/>
      <w:outlineLvl w:val="3"/>
    </w:pPr>
    <w:rPr>
      <w:b/>
      <w:i/>
    </w:rPr>
  </w:style>
  <w:style w:type="paragraph" w:customStyle="1" w:styleId="DeBoecknotedebasdepage">
    <w:name w:val="De Boeck note de bas de page"/>
    <w:basedOn w:val="Normal"/>
    <w:qFormat/>
    <w:rsid w:val="00661E93"/>
    <w:pPr>
      <w:tabs>
        <w:tab w:val="left" w:pos="360"/>
      </w:tabs>
      <w:spacing w:after="120"/>
      <w:ind w:left="448" w:hanging="448"/>
      <w:jc w:val="both"/>
    </w:pPr>
    <w:rPr>
      <w:sz w:val="20"/>
      <w:szCs w:val="20"/>
    </w:rPr>
  </w:style>
  <w:style w:type="paragraph" w:styleId="Pieddepage">
    <w:name w:val="footer"/>
    <w:basedOn w:val="Normal"/>
    <w:link w:val="PieddepageCar"/>
    <w:uiPriority w:val="99"/>
    <w:rsid w:val="00661E93"/>
    <w:pPr>
      <w:tabs>
        <w:tab w:val="center" w:pos="4536"/>
        <w:tab w:val="right" w:pos="9072"/>
      </w:tabs>
    </w:pPr>
  </w:style>
  <w:style w:type="character" w:customStyle="1" w:styleId="PieddepageCar">
    <w:name w:val="Pied de page Car"/>
    <w:basedOn w:val="Policepardfaut"/>
    <w:link w:val="Pieddepage"/>
    <w:uiPriority w:val="99"/>
    <w:rsid w:val="00661E93"/>
    <w:rPr>
      <w:rFonts w:ascii="Times New Roman" w:eastAsia="Times New Roman" w:hAnsi="Times New Roman" w:cs="Times New Roman"/>
      <w:sz w:val="24"/>
      <w:szCs w:val="24"/>
      <w:lang w:val="fr-FR" w:eastAsia="fr-FR"/>
    </w:rPr>
  </w:style>
  <w:style w:type="character" w:styleId="Appelnotedebasdep">
    <w:name w:val="footnote reference"/>
    <w:unhideWhenUsed/>
    <w:rsid w:val="00661E93"/>
    <w:rPr>
      <w:vertAlign w:val="superscript"/>
    </w:rPr>
  </w:style>
  <w:style w:type="paragraph" w:styleId="TM1">
    <w:name w:val="toc 1"/>
    <w:basedOn w:val="Normal"/>
    <w:next w:val="Normal"/>
    <w:autoRedefine/>
    <w:uiPriority w:val="39"/>
    <w:rsid w:val="00661E93"/>
    <w:pPr>
      <w:tabs>
        <w:tab w:val="right" w:leader="underscore" w:pos="8777"/>
      </w:tabs>
      <w:spacing w:before="120"/>
    </w:pPr>
    <w:rPr>
      <w:rFonts w:ascii="Calibri" w:hAnsi="Calibri"/>
      <w:b/>
      <w:bCs/>
      <w:i/>
      <w:iCs/>
      <w:noProof/>
    </w:rPr>
  </w:style>
  <w:style w:type="paragraph" w:styleId="TM2">
    <w:name w:val="toc 2"/>
    <w:basedOn w:val="Normal"/>
    <w:next w:val="Normal"/>
    <w:autoRedefine/>
    <w:uiPriority w:val="39"/>
    <w:rsid w:val="00661E93"/>
    <w:pPr>
      <w:spacing w:before="120"/>
      <w:ind w:left="240"/>
    </w:pPr>
    <w:rPr>
      <w:rFonts w:ascii="Calibri" w:hAnsi="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7465</Words>
  <Characters>41061</Characters>
  <Application>Microsoft Office Word</Application>
  <DocSecurity>0</DocSecurity>
  <Lines>342</Lines>
  <Paragraphs>96</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48430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SIWS</dc:creator>
  <cp:lastModifiedBy>Marie Verhoeven</cp:lastModifiedBy>
  <cp:revision>3</cp:revision>
  <dcterms:created xsi:type="dcterms:W3CDTF">2017-01-26T16:23:00Z</dcterms:created>
  <dcterms:modified xsi:type="dcterms:W3CDTF">2017-01-26T16:24:00Z</dcterms:modified>
</cp:coreProperties>
</file>