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ABC334" w14:textId="1C039218" w:rsidR="00EA6824" w:rsidRPr="001A7C9E" w:rsidRDefault="0075560C" w:rsidP="004B4ECC">
      <w:pPr>
        <w:jc w:val="center"/>
        <w:rPr>
          <w:b/>
        </w:rPr>
      </w:pPr>
      <w:r w:rsidRPr="001A7C9E">
        <w:rPr>
          <w:b/>
        </w:rPr>
        <w:t>Paul Wynant</w:t>
      </w:r>
      <w:r w:rsidR="000E0AF5">
        <w:rPr>
          <w:b/>
        </w:rPr>
        <w:t>s</w:t>
      </w:r>
      <w:r w:rsidRPr="001A7C9E">
        <w:rPr>
          <w:b/>
        </w:rPr>
        <w:t xml:space="preserve"> (1954-2018),</w:t>
      </w:r>
    </w:p>
    <w:p w14:paraId="406C45B5" w14:textId="77777777" w:rsidR="0075560C" w:rsidRDefault="0075560C" w:rsidP="004B4ECC">
      <w:pPr>
        <w:jc w:val="center"/>
      </w:pPr>
      <w:r w:rsidRPr="001A7C9E">
        <w:rPr>
          <w:b/>
        </w:rPr>
        <w:t>historien namurois et nivellois</w:t>
      </w:r>
    </w:p>
    <w:p w14:paraId="065F0331" w14:textId="77777777" w:rsidR="00BE41A8" w:rsidRDefault="00BE41A8"/>
    <w:p w14:paraId="6CB975D7" w14:textId="77777777" w:rsidR="0001002C" w:rsidRDefault="0001002C" w:rsidP="007E75C4">
      <w:pPr>
        <w:jc w:val="both"/>
      </w:pPr>
    </w:p>
    <w:p w14:paraId="21EAB5F0" w14:textId="70407359" w:rsidR="0001002C" w:rsidRPr="009D4878" w:rsidRDefault="00B67730" w:rsidP="007E75C4">
      <w:pPr>
        <w:jc w:val="both"/>
        <w:rPr>
          <w:color w:val="A6A6A6" w:themeColor="background1" w:themeShade="A6"/>
        </w:rPr>
      </w:pPr>
      <w:r>
        <w:tab/>
      </w:r>
      <w:r w:rsidR="0001002C">
        <w:t>Le professeur Paul Wynants nous a quitté</w:t>
      </w:r>
      <w:r w:rsidR="00E27FAD">
        <w:t>s</w:t>
      </w:r>
      <w:r w:rsidR="0001002C">
        <w:t xml:space="preserve">. </w:t>
      </w:r>
      <w:r w:rsidR="007A67EE">
        <w:t xml:space="preserve">Historien de la vie politique belge, historien du monde catholique et de l’enseignement, historien </w:t>
      </w:r>
      <w:r w:rsidR="009D4878">
        <w:t>du Brabant wallon, pilier de l’U</w:t>
      </w:r>
      <w:r w:rsidR="007A67EE">
        <w:t>niversité de Namur et du CRISP, c’est un spécialiste respecté de la période contemporaine (19</w:t>
      </w:r>
      <w:r w:rsidR="007A67EE" w:rsidRPr="007A67EE">
        <w:rPr>
          <w:vertAlign w:val="superscript"/>
        </w:rPr>
        <w:t>e</w:t>
      </w:r>
      <w:r w:rsidR="007A67EE">
        <w:t>-20</w:t>
      </w:r>
      <w:r w:rsidR="007A67EE" w:rsidRPr="007A67EE">
        <w:rPr>
          <w:vertAlign w:val="superscript"/>
        </w:rPr>
        <w:t>e</w:t>
      </w:r>
      <w:r w:rsidR="007A67EE">
        <w:t xml:space="preserve"> s.) et de la vie politique</w:t>
      </w:r>
      <w:r w:rsidR="001351F6">
        <w:t>,</w:t>
      </w:r>
      <w:r w:rsidR="007A67EE">
        <w:t xml:space="preserve"> </w:t>
      </w:r>
      <w:r w:rsidR="001351F6">
        <w:t xml:space="preserve">dont </w:t>
      </w:r>
      <w:r w:rsidR="009D4878">
        <w:t>son université</w:t>
      </w:r>
      <w:r w:rsidR="009D4878">
        <w:rPr>
          <w:rStyle w:val="Marquenotebasdepage"/>
        </w:rPr>
        <w:footnoteReference w:id="1"/>
      </w:r>
      <w:r w:rsidR="009D4878">
        <w:t xml:space="preserve"> et la presse</w:t>
      </w:r>
      <w:r w:rsidR="009D4878">
        <w:rPr>
          <w:rStyle w:val="Marquenotebasdepage"/>
        </w:rPr>
        <w:footnoteReference w:id="2"/>
      </w:r>
      <w:r w:rsidR="001351F6">
        <w:t xml:space="preserve"> regrettent le décès</w:t>
      </w:r>
      <w:r w:rsidR="007A67EE">
        <w:t>.</w:t>
      </w:r>
      <w:r w:rsidR="009D4878">
        <w:t xml:space="preserve"> </w:t>
      </w:r>
      <w:r w:rsidR="0001002C">
        <w:t>Le Chirel BW perd un de ses fondateurs, un de ses soutiens les plus fidèles, un ami.</w:t>
      </w:r>
    </w:p>
    <w:p w14:paraId="5A810FD2" w14:textId="77777777" w:rsidR="0001002C" w:rsidRDefault="0001002C" w:rsidP="007E75C4">
      <w:pPr>
        <w:jc w:val="both"/>
      </w:pPr>
    </w:p>
    <w:p w14:paraId="586ECE99" w14:textId="34D61441" w:rsidR="009D4878" w:rsidRDefault="009D4878" w:rsidP="009D4878">
      <w:pPr>
        <w:jc w:val="center"/>
      </w:pPr>
      <w:r>
        <w:t>* * *</w:t>
      </w:r>
    </w:p>
    <w:p w14:paraId="2DF8976E" w14:textId="77777777" w:rsidR="009D4878" w:rsidRDefault="009D4878" w:rsidP="007E75C4">
      <w:pPr>
        <w:jc w:val="both"/>
      </w:pPr>
    </w:p>
    <w:p w14:paraId="1A4BABCC" w14:textId="2DB82E16" w:rsidR="0001002C" w:rsidRDefault="00B67730" w:rsidP="007E75C4">
      <w:pPr>
        <w:jc w:val="both"/>
      </w:pPr>
      <w:r>
        <w:tab/>
      </w:r>
      <w:r w:rsidR="0001002C">
        <w:t>Né à Haine-Saint-Paul le 16 février 1954, Paul a grandi à Huy, étudié et travaillé à</w:t>
      </w:r>
      <w:r w:rsidR="00AA33FF">
        <w:t xml:space="preserve"> Namur, et vécu à Nivelles. </w:t>
      </w:r>
      <w:r w:rsidR="00D41DB8">
        <w:t xml:space="preserve">Comme de surcroît certains de ses travaux de jeunesse ont porté sur le Luxembourg, il est </w:t>
      </w:r>
      <w:r w:rsidR="0001002C">
        <w:t xml:space="preserve">de la sorte </w:t>
      </w:r>
      <w:r w:rsidR="00AA33FF">
        <w:t xml:space="preserve">lié </w:t>
      </w:r>
      <w:r w:rsidR="00D41DB8">
        <w:t>aux cinq provinces wallonnes</w:t>
      </w:r>
      <w:r w:rsidR="0001002C">
        <w:t>.</w:t>
      </w:r>
      <w:r w:rsidR="005A0CA3">
        <w:t xml:space="preserve"> </w:t>
      </w:r>
      <w:r w:rsidR="00574F6D">
        <w:t>Son milieu familial</w:t>
      </w:r>
      <w:r w:rsidR="005A0CA3">
        <w:t xml:space="preserve"> baigne aussi dans l’action politique et sociale et dans le monde catholique progressiste ; son père Arnold Wynants</w:t>
      </w:r>
      <w:r w:rsidR="00574F6D">
        <w:t xml:space="preserve"> (1921-1977)</w:t>
      </w:r>
      <w:r w:rsidR="005A0CA3">
        <w:t xml:space="preserve"> fut secrétaire politique du </w:t>
      </w:r>
      <w:r w:rsidR="00574F6D">
        <w:t>Mouvement ouvrier chrétien (</w:t>
      </w:r>
      <w:r w:rsidR="005A0CA3">
        <w:t>MOC</w:t>
      </w:r>
      <w:r w:rsidR="00574F6D">
        <w:t>)</w:t>
      </w:r>
      <w:r w:rsidR="005A0CA3">
        <w:t xml:space="preserve"> et sa mère Jeanine </w:t>
      </w:r>
      <w:r w:rsidR="00574F6D">
        <w:t>Wynants-</w:t>
      </w:r>
      <w:r w:rsidR="005A0CA3">
        <w:t xml:space="preserve">Kemps </w:t>
      </w:r>
      <w:r w:rsidR="00574F6D">
        <w:t xml:space="preserve">(1925-2017) </w:t>
      </w:r>
      <w:r w:rsidR="005A0CA3">
        <w:t>en fut vice-présidente puis présidente.</w:t>
      </w:r>
      <w:r w:rsidR="00574F6D">
        <w:t xml:space="preserve"> Plus jeunes, l’un et l’autre avaient présidé les branches masculine et féminine de la Jeunesse ouvrière chrétienne (JOC).</w:t>
      </w:r>
    </w:p>
    <w:p w14:paraId="44528357" w14:textId="6401841A" w:rsidR="0001002C" w:rsidRDefault="00B67730" w:rsidP="007E75C4">
      <w:pPr>
        <w:jc w:val="both"/>
      </w:pPr>
      <w:r>
        <w:tab/>
      </w:r>
      <w:r w:rsidR="0001002C">
        <w:t>Après des gréco-latines au collège Saint-Quirin de Huy</w:t>
      </w:r>
      <w:r w:rsidR="00332414">
        <w:t xml:space="preserve"> et une expérience de militant </w:t>
      </w:r>
      <w:r w:rsidR="008A558A">
        <w:t xml:space="preserve">(il fonde à 18 ans un groupe local de rassemblement </w:t>
      </w:r>
      <w:r w:rsidR="00015CF3">
        <w:t xml:space="preserve">des </w:t>
      </w:r>
      <w:r w:rsidR="00332414">
        <w:t>progressiste</w:t>
      </w:r>
      <w:r w:rsidR="00015CF3">
        <w:t>s</w:t>
      </w:r>
      <w:r w:rsidR="008A558A">
        <w:t>)</w:t>
      </w:r>
      <w:r w:rsidR="0001002C">
        <w:t>, il étudie aux Facultés universitaires Notre-Dame de la Paix (aujourd’hui université de Namur) de 1972 à 1974, puis à l’Université catholique de Louvain en 1974-1976, où il obtient successivement la candidature (1974), la licence et l’agrégation en histoire (1976). Solli</w:t>
      </w:r>
      <w:r w:rsidR="00E27FAD">
        <w:t>cité par le Père Camille Joset s.j</w:t>
      </w:r>
      <w:r w:rsidR="0001002C">
        <w:t xml:space="preserve">., professeur à l’université de Namur, il rejoint celle-ci dès la fin de ses études et travaille </w:t>
      </w:r>
      <w:r w:rsidR="00332414">
        <w:t xml:space="preserve">comme chercheur </w:t>
      </w:r>
      <w:r w:rsidR="0001002C">
        <w:t xml:space="preserve">de 1976 à 1985 au sein de l’Unité Meuse-Moselle, qui avait pour objectif la publication d’un atlas historique transfrontalier, couvrant une région qui </w:t>
      </w:r>
      <w:r w:rsidR="00AA33FF">
        <w:t>transcende les frontières de</w:t>
      </w:r>
      <w:r w:rsidR="0001002C">
        <w:t xml:space="preserve"> la Belgique, </w:t>
      </w:r>
      <w:r w:rsidR="00AA33FF">
        <w:t>de la France, du</w:t>
      </w:r>
      <w:r w:rsidR="0001002C">
        <w:t xml:space="preserve"> Grand-Duché</w:t>
      </w:r>
      <w:r w:rsidR="00BA10EA">
        <w:t>, des Pays-Bas</w:t>
      </w:r>
      <w:r w:rsidR="0001002C">
        <w:t xml:space="preserve"> et </w:t>
      </w:r>
      <w:r w:rsidR="00AA33FF">
        <w:t xml:space="preserve">de </w:t>
      </w:r>
      <w:r w:rsidR="0001002C">
        <w:t xml:space="preserve">l’Allemagne. </w:t>
      </w:r>
      <w:r w:rsidR="0092256E">
        <w:t xml:space="preserve">Une quinzaine de cartes et </w:t>
      </w:r>
      <w:r w:rsidR="0050341C">
        <w:t>un bon millier de pages de répertoire</w:t>
      </w:r>
      <w:r w:rsidR="0092256E">
        <w:t xml:space="preserve"> de cet atlas portent sa signature</w:t>
      </w:r>
      <w:r w:rsidR="0050341C">
        <w:t>, et concernent tant la période contemporaine que les 16</w:t>
      </w:r>
      <w:r w:rsidR="0050341C" w:rsidRPr="0050341C">
        <w:rPr>
          <w:vertAlign w:val="superscript"/>
        </w:rPr>
        <w:t>e</w:t>
      </w:r>
      <w:r w:rsidR="0050341C">
        <w:t>-18</w:t>
      </w:r>
      <w:r w:rsidR="0050341C" w:rsidRPr="0050341C">
        <w:rPr>
          <w:vertAlign w:val="superscript"/>
        </w:rPr>
        <w:t>e</w:t>
      </w:r>
      <w:r w:rsidR="0050341C">
        <w:t xml:space="preserve"> siècles</w:t>
      </w:r>
      <w:r w:rsidR="0092256E">
        <w:t xml:space="preserve">. </w:t>
      </w:r>
      <w:r w:rsidR="0001002C">
        <w:t xml:space="preserve">Simultanément, il mène à bien une thèse de doctorat, qu’il soutient à l’UCL en 1981. </w:t>
      </w:r>
      <w:r w:rsidR="00332414">
        <w:t>Alors que son mémoire de licence avait porté sur la campagne de la JOC en faveur des jeunes chômeurs en 1930-36, sa thèse avait pour objet la congrégation des Sœurs de la Providence de Champion</w:t>
      </w:r>
      <w:r w:rsidR="000238F5">
        <w:t xml:space="preserve"> (1833-1914)</w:t>
      </w:r>
      <w:r w:rsidR="00332414">
        <w:t xml:space="preserve">, dans la double perspective d’une histoire de la vie religieuse et d’une histoire de l’enseignement en Belgique. </w:t>
      </w:r>
      <w:r w:rsidR="000238F5">
        <w:t xml:space="preserve">Il en tira un livre de 374 pages en 1984. </w:t>
      </w:r>
      <w:r w:rsidR="0001002C">
        <w:t>Promu premier assistant en 1983 puis chef de travaux en 1987, il bénéficie à partir de 1985 du double statut d’aca</w:t>
      </w:r>
      <w:r w:rsidR="00AA33FF">
        <w:t xml:space="preserve">démique et scientifique, puisque, passant à mi-temps, </w:t>
      </w:r>
      <w:r w:rsidR="0001002C">
        <w:t>il sera simultanément chargé de cours</w:t>
      </w:r>
      <w:r w:rsidR="00AA33FF">
        <w:t xml:space="preserve"> à mi-temps pendant trois ans. En 1988, il devient académique à temps plein ; il est promu professeur en 1993 puis professeur ordinaire en 1997.</w:t>
      </w:r>
      <w:r w:rsidR="00584467">
        <w:t xml:space="preserve"> Il </w:t>
      </w:r>
      <w:r>
        <w:t>aurait dû</w:t>
      </w:r>
      <w:r w:rsidR="008262C6">
        <w:t xml:space="preserve"> accéder à l’éméritat en 2019.</w:t>
      </w:r>
    </w:p>
    <w:p w14:paraId="5418BCFC" w14:textId="2CDDC969" w:rsidR="00BA0587" w:rsidRDefault="00B67730" w:rsidP="007E75C4">
      <w:pPr>
        <w:jc w:val="both"/>
      </w:pPr>
      <w:r>
        <w:tab/>
      </w:r>
      <w:r w:rsidR="00BA0587">
        <w:t xml:space="preserve">Au sein des structures de l’université, </w:t>
      </w:r>
      <w:r w:rsidR="004B4ECC">
        <w:t>Paul Wynants</w:t>
      </w:r>
      <w:r w:rsidR="00BA0587">
        <w:t xml:space="preserve"> joue </w:t>
      </w:r>
      <w:r w:rsidR="00332414">
        <w:t xml:space="preserve">très vite </w:t>
      </w:r>
      <w:r w:rsidR="00BA0587">
        <w:t>un rôle essentiel. Membre du conseil d’administration de deux asbl périphérique</w:t>
      </w:r>
      <w:r w:rsidR="007B4EF8">
        <w:t>s</w:t>
      </w:r>
      <w:r w:rsidR="00BA0587">
        <w:t xml:space="preserve"> de soutien à la recherche, il en sera administrateur délégué à deux reprises. Dans la foulée, si l’on peut dire, d</w:t>
      </w:r>
      <w:r w:rsidR="00B63E9C">
        <w:t xml:space="preserve">e son premier mandat, il sera administrateur chargé des affaires estudiantines (1995-1999), une fonction qui correspond à celle de vice-recteur aux affaires étudiantes dans la configuration de </w:t>
      </w:r>
      <w:r w:rsidR="00B63E9C">
        <w:lastRenderedPageBreak/>
        <w:t>l’époque</w:t>
      </w:r>
      <w:r w:rsidR="007B4EF8">
        <w:t xml:space="preserve"> et qu’il inaugurait à Namur</w:t>
      </w:r>
      <w:r w:rsidR="00B63E9C">
        <w:t>. Il sera en outre, à deux reprises, doyen de la Faculté des sciences économiques, sociales et de gestion (2002-2007 puis 2015-2018)</w:t>
      </w:r>
      <w:r w:rsidR="007B4EF8">
        <w:t>, et dans l’intervalle directeur du programme de bachelier de cette Faculté (2013-2015)</w:t>
      </w:r>
      <w:r w:rsidR="00B63E9C">
        <w:t xml:space="preserve">. Dans la perspective d’une fusion entre les Facultés de Namur, l’UCL, les Fucam de Mons et les Facultés Saint-Louis de Bruxelles, il assuma </w:t>
      </w:r>
      <w:r w:rsidR="007B4EF8">
        <w:t xml:space="preserve">comme ancien doyen </w:t>
      </w:r>
      <w:r w:rsidR="00B63E9C">
        <w:t xml:space="preserve">la direction de la « Coordination du Projet Louvain » ou CPL, la coupole interuniversitaire chargée d’opérationnaliser les décisions prises par les autorités des quatre universités et de coordonner les équipes d’administratifs, d’enseignants et de chercheurs rassemblées en « chantiers » et en « projets » (2008-2010), une mission extrêmement prenante, menée hélas en vain, suite à l’échec </w:t>
      </w:r>
      <w:r w:rsidR="001351F6">
        <w:t xml:space="preserve">politique </w:t>
      </w:r>
      <w:r w:rsidR="00E27FAD">
        <w:t>du processus</w:t>
      </w:r>
      <w:r w:rsidR="00B63E9C">
        <w:t>.</w:t>
      </w:r>
      <w:r w:rsidR="008262C6">
        <w:t xml:space="preserve"> Depuis 2010, </w:t>
      </w:r>
      <w:r w:rsidR="001351F6">
        <w:t>Paul Wynants</w:t>
      </w:r>
      <w:r w:rsidR="008262C6">
        <w:t xml:space="preserve"> représentait en outre son université comme administrateur au sein de l’Association chrétienne des Institutions sociales et de s</w:t>
      </w:r>
      <w:r w:rsidR="004B4ECC">
        <w:t>anté (ACIS). Celle-ci</w:t>
      </w:r>
      <w:r w:rsidR="00DF73EA">
        <w:t xml:space="preserve"> venait de le choisir</w:t>
      </w:r>
      <w:r w:rsidR="00EC350C">
        <w:t xml:space="preserve"> comme président (été 2018), une mission qu’il envisageait </w:t>
      </w:r>
      <w:r w:rsidR="008262C6">
        <w:t>avec enthousiasme et qui en dit long sur les qualités de gestionnaire qui lui étaient reconnues</w:t>
      </w:r>
      <w:r w:rsidR="00DF73EA">
        <w:t xml:space="preserve"> (on parle de 6270 employés, </w:t>
      </w:r>
      <w:r w:rsidR="004630C6">
        <w:t>8000 patients et résidents, répartis en 80 établissements : maisons de repos, hôpitaux, crèches, etc.</w:t>
      </w:r>
      <w:r w:rsidR="004630C6">
        <w:rPr>
          <w:rStyle w:val="Marquenotebasdepage"/>
        </w:rPr>
        <w:footnoteReference w:id="3"/>
      </w:r>
      <w:r w:rsidR="004630C6">
        <w:t>)</w:t>
      </w:r>
      <w:r w:rsidR="008262C6">
        <w:t>.</w:t>
      </w:r>
    </w:p>
    <w:p w14:paraId="4C551B0D" w14:textId="31176F14" w:rsidR="008262C6" w:rsidRDefault="00B67730" w:rsidP="008262C6">
      <w:pPr>
        <w:jc w:val="both"/>
      </w:pPr>
      <w:r>
        <w:tab/>
      </w:r>
      <w:r w:rsidR="007B4EF8">
        <w:t>Paul a assuré de nombreux enseignement</w:t>
      </w:r>
      <w:r w:rsidR="00FD3E90">
        <w:t>s</w:t>
      </w:r>
      <w:r w:rsidR="0059749A">
        <w:t xml:space="preserve"> aux étudiants de la Faculté des sciences économiques, sociales et de gestion, de la Faculté de droit et de la Faculté de philosophie et lettres</w:t>
      </w:r>
      <w:r w:rsidR="00FD3E90">
        <w:t>, en particulier l’histoire des institutions belges, l’histoire économique et sociale, des Exercices d’histoire contemporaine, des Questions d’histoire politique de Belgique, puis de politique belge, et des Questions d’histoire économique, sociale, culturelle ou religieuse de la période contemporaine</w:t>
      </w:r>
      <w:r w:rsidR="0059749A">
        <w:t xml:space="preserve">. </w:t>
      </w:r>
      <w:r w:rsidR="00015CF3">
        <w:t>Surnommé « Terminator » par les étudiants de Droit, en raison de ses exigences à l’examen, il estime cette réputation en partie usurpée, sans toutefois la démentir, puisqu’elle incitait les étudiants à prendre au sérieux leur travail</w:t>
      </w:r>
      <w:r w:rsidR="00015CF3">
        <w:rPr>
          <w:rStyle w:val="Marquenotebasdepage"/>
        </w:rPr>
        <w:footnoteReference w:id="4"/>
      </w:r>
      <w:r w:rsidR="00015CF3">
        <w:t xml:space="preserve">. </w:t>
      </w:r>
      <w:r w:rsidR="009D4878">
        <w:t>Deux témoignages</w:t>
      </w:r>
      <w:r w:rsidR="002F20DF">
        <w:t xml:space="preserve"> méritent d’être rapportés. </w:t>
      </w:r>
      <w:r w:rsidR="00817D48">
        <w:t>Ancien étudiant de Namur et aujourd’hui professeur à l’UCL après un détour par le CNR</w:t>
      </w:r>
      <w:r w:rsidR="001351F6">
        <w:t>S français, Paul Bertrand a twee</w:t>
      </w:r>
      <w:r w:rsidR="00817D48">
        <w:t>té ceci le 27 décembre 2018 : « </w:t>
      </w:r>
      <w:r w:rsidR="00817D48" w:rsidRPr="00817D48">
        <w:rPr>
          <w:i/>
          <w:color w:val="101214"/>
          <w:lang w:eastAsia="ja-JP"/>
        </w:rPr>
        <w:t>Le professeur Paul Wynants est décédé hier</w:t>
      </w:r>
      <w:r w:rsidR="005506B6">
        <w:rPr>
          <w:i/>
          <w:color w:val="101214"/>
          <w:lang w:eastAsia="ja-JP"/>
        </w:rPr>
        <w:t xml:space="preserve"> [sic]</w:t>
      </w:r>
      <w:r w:rsidR="00817D48" w:rsidRPr="00817D48">
        <w:rPr>
          <w:i/>
          <w:color w:val="101214"/>
          <w:lang w:eastAsia="ja-JP"/>
        </w:rPr>
        <w:t>. Un vrai chercheur, un remarquable enseignant qui a transformé la vie de centaines d'étudiants, un homme dévoué à son université @UNamur - un Maître</w:t>
      </w:r>
      <w:r w:rsidR="00817D48" w:rsidRPr="00817D48">
        <w:rPr>
          <w:color w:val="101214"/>
          <w:lang w:eastAsia="ja-JP"/>
        </w:rPr>
        <w:t>. »</w:t>
      </w:r>
      <w:r w:rsidR="006E0D60">
        <w:rPr>
          <w:color w:val="101214"/>
          <w:lang w:eastAsia="ja-JP"/>
        </w:rPr>
        <w:t xml:space="preserve"> Et en réponse, un autre médiéviste formé à Namur, N</w:t>
      </w:r>
      <w:r w:rsidR="00FD3E90">
        <w:t>icolas Ruffini</w:t>
      </w:r>
      <w:r w:rsidR="006E0D60">
        <w:t>-Ro</w:t>
      </w:r>
      <w:r w:rsidR="001351F6">
        <w:t>nzani, docteur en histoire, tweet</w:t>
      </w:r>
      <w:r w:rsidR="006E0D60">
        <w:t>ait ceci : « </w:t>
      </w:r>
      <w:r w:rsidR="006E0D60" w:rsidRPr="006E0D60">
        <w:rPr>
          <w:i/>
        </w:rPr>
        <w:t>Il y a treize ans, je suais à grosses gouttes en étudiant son cours d'Histoire des institutions belges. Un cours exigeant, mais tellement utile pour comprendre le pays. Comme beaucoup de monde, j'y repense souvent en regardant le JT</w:t>
      </w:r>
      <w:r w:rsidR="006E0D60" w:rsidRPr="006E0D60">
        <w:t>.</w:t>
      </w:r>
      <w:r w:rsidR="006E0D60">
        <w:t> »</w:t>
      </w:r>
    </w:p>
    <w:p w14:paraId="7919C1AA" w14:textId="040C6F3B" w:rsidR="005E1E7F" w:rsidRDefault="00CF625D" w:rsidP="005E1E7F">
      <w:pPr>
        <w:jc w:val="both"/>
      </w:pPr>
      <w:r>
        <w:tab/>
      </w:r>
      <w:r w:rsidR="00FD3E90">
        <w:t>D</w:t>
      </w:r>
      <w:r w:rsidR="00D41DB8">
        <w:t>e manière un peu a</w:t>
      </w:r>
      <w:r w:rsidR="008262C6">
        <w:t xml:space="preserve">typique, Paul Wynants n’a pas dirigé de thèse — il faut dire que Namur n’est habilitée à organiser des doctorats </w:t>
      </w:r>
      <w:r w:rsidR="00FD3E90">
        <w:t xml:space="preserve">en histoire </w:t>
      </w:r>
      <w:r w:rsidR="008262C6">
        <w:t xml:space="preserve">qu’à partir du moment précis où Paul prend en charge, de façon presque ininterrompue, de lourdes et exigeantes charges liées à la gouvernance universitaire — mais il a siégé dans les jurys d’une demi-douzaine de thèses à la KU Leuven, à la VUB et à l’université de Gand. </w:t>
      </w:r>
      <w:r>
        <w:t>Son expertise lui vaut aussi d’être appelé dans plusieurs organes, souvent en lien la préservation ou la valorisation des archives, ce matériau premier de l’historien. Il</w:t>
      </w:r>
      <w:r w:rsidR="005E1E7F">
        <w:t xml:space="preserve"> a</w:t>
      </w:r>
      <w:r>
        <w:t xml:space="preserve"> notamment</w:t>
      </w:r>
      <w:r w:rsidR="005E1E7F">
        <w:t xml:space="preserve"> siégé au conseil des Centres d’archives privées (1995-2002), dans la commission scientifique du Ceges (2000-2011), au conseil scientifique des Archives générales du Royaume (2005-2013), au conseil scientifique des Archives de l’Evêché de Liège (depuis 2007), au conseil des archives de la JOC-JOCF (depuis 1996), au sein du CARHOP (« Centre d’animation et de recherche en histoire ouvrière et populaire », depuis 1996) et au conseil scientifique du Centre des Archives communistes en Belgique (depuis 2011). Il a été secrétaire de rédaction de la </w:t>
      </w:r>
      <w:r w:rsidR="005E1E7F" w:rsidRPr="00951686">
        <w:rPr>
          <w:i/>
        </w:rPr>
        <w:t>Revue belge d’histoire contemporaine/</w:t>
      </w:r>
      <w:r w:rsidR="005E1E7F" w:rsidRPr="00951686">
        <w:rPr>
          <w:i/>
          <w:lang w:val="nl-NL"/>
        </w:rPr>
        <w:t>Belgish Tijdschrift voor Nieuwste Geschiedenis</w:t>
      </w:r>
      <w:r>
        <w:rPr>
          <w:lang w:val="nl-NL"/>
        </w:rPr>
        <w:t xml:space="preserve"> (1995-2000)</w:t>
      </w:r>
      <w:r w:rsidR="005E1E7F">
        <w:t xml:space="preserve">, et du côté des revues de débat, membre du conseil de rédaction de la </w:t>
      </w:r>
      <w:r w:rsidR="005E1E7F" w:rsidRPr="00951686">
        <w:rPr>
          <w:i/>
        </w:rPr>
        <w:t>Revue nouvelle</w:t>
      </w:r>
      <w:r>
        <w:t xml:space="preserve"> (depuis 2009)</w:t>
      </w:r>
      <w:r w:rsidR="005E1E7F">
        <w:t>.</w:t>
      </w:r>
    </w:p>
    <w:p w14:paraId="6B500D43" w14:textId="37E913CB" w:rsidR="005E1E7F" w:rsidRDefault="00CF625D" w:rsidP="008262C6">
      <w:pPr>
        <w:jc w:val="both"/>
      </w:pPr>
      <w:r>
        <w:tab/>
        <w:t xml:space="preserve">Son intérêt pour </w:t>
      </w:r>
      <w:r w:rsidR="002F20DF">
        <w:t xml:space="preserve">l’analyse de </w:t>
      </w:r>
      <w:r>
        <w:t xml:space="preserve">la vie politique belge lui vaut depuis 1999 d’être </w:t>
      </w:r>
      <w:r w:rsidR="005E1E7F">
        <w:t xml:space="preserve">administrateur du </w:t>
      </w:r>
      <w:r>
        <w:t xml:space="preserve">Centre de recherches et d’information socio-politiques (le </w:t>
      </w:r>
      <w:r w:rsidR="005E1E7F">
        <w:t>CRISP</w:t>
      </w:r>
      <w:r>
        <w:t>), un centre de recherche indépendant</w:t>
      </w:r>
      <w:r w:rsidR="005E1E7F">
        <w:t xml:space="preserve">, pour lequel il rédige aussi, seul ou en collaboration, </w:t>
      </w:r>
      <w:r>
        <w:t>douze</w:t>
      </w:r>
      <w:r w:rsidR="005E1E7F">
        <w:t xml:space="preserve"> </w:t>
      </w:r>
      <w:r w:rsidR="002F20DF">
        <w:t>numéros</w:t>
      </w:r>
      <w:r w:rsidR="005E1E7F">
        <w:t xml:space="preserve"> du renommé </w:t>
      </w:r>
      <w:r w:rsidR="005E1E7F" w:rsidRPr="00CF625D">
        <w:rPr>
          <w:i/>
        </w:rPr>
        <w:t>Courrier hebdomadaire du CRISP</w:t>
      </w:r>
      <w:r>
        <w:t xml:space="preserve">. Il envisage notamment dans ceux-ci </w:t>
      </w:r>
      <w:r w:rsidR="005E1E7F">
        <w:t>la transformation du PSC en CDH et l’évolution de ce dernier (1981-2011), mais aussi le libéralisme du PLP au MR (1961-2011), l’implantation du FDF à Bruxelles (1964-2012) ou encore l’attitude d’André Oleffe face au fédéralisme.</w:t>
      </w:r>
    </w:p>
    <w:p w14:paraId="0B4760B1" w14:textId="19B377BD" w:rsidR="008262C6" w:rsidRDefault="00CF625D" w:rsidP="007E75C4">
      <w:pPr>
        <w:jc w:val="both"/>
      </w:pPr>
      <w:r>
        <w:tab/>
      </w:r>
      <w:r w:rsidR="005A00EB">
        <w:t xml:space="preserve">Outre plusieurs ouvrages, </w:t>
      </w:r>
      <w:r w:rsidR="00B67730">
        <w:t>Paul Wynants est l’auteur d’environ 170 articles et contributions à des ouvrages collectifs</w:t>
      </w:r>
      <w:r w:rsidR="00A85705">
        <w:t xml:space="preserve">, </w:t>
      </w:r>
      <w:r w:rsidR="00B67730">
        <w:t xml:space="preserve">d’une cinquantaine de notices de dictionnaire ou de répertoire biographique, </w:t>
      </w:r>
      <w:r w:rsidR="00A85705">
        <w:t>et d’une centaine de notes de chronique et de comptes rendus d’ouvrages</w:t>
      </w:r>
      <w:r w:rsidR="002D3C18">
        <w:rPr>
          <w:rStyle w:val="Marquenotebasdepage"/>
        </w:rPr>
        <w:footnoteReference w:id="5"/>
      </w:r>
      <w:r w:rsidR="00A85705">
        <w:t>.</w:t>
      </w:r>
      <w:r w:rsidR="005A00EB">
        <w:t xml:space="preserve"> Il y traite d’histoire de la vie des religieuses, d’histoire scolaire (avec tout ce que cette question implique, en Belgique, de conflits entre cléricaux et anticléricaux), d’histoire du monde catholique plus largement et d’histoire politique de la Belgique. A côté d’ouvrages majeurs comme l’</w:t>
      </w:r>
      <w:r w:rsidR="005A00EB" w:rsidRPr="005A00EB">
        <w:rPr>
          <w:i/>
        </w:rPr>
        <w:t xml:space="preserve">Histoire du Mouvement ouvrier chrétien en Belgique </w:t>
      </w:r>
      <w:r w:rsidR="005A00EB">
        <w:t xml:space="preserve">(2 vol., codirigé avec E. Gerard, 1994) ou l’histoire de </w:t>
      </w:r>
      <w:r w:rsidR="005A00EB" w:rsidRPr="005A00EB">
        <w:rPr>
          <w:i/>
        </w:rPr>
        <w:t>L’enseignement catholique en Belgique : des identités en évolution 19</w:t>
      </w:r>
      <w:r w:rsidR="005A00EB" w:rsidRPr="005A00EB">
        <w:rPr>
          <w:i/>
          <w:vertAlign w:val="superscript"/>
        </w:rPr>
        <w:t>e</w:t>
      </w:r>
      <w:r w:rsidR="005A00EB" w:rsidRPr="005A00EB">
        <w:rPr>
          <w:i/>
        </w:rPr>
        <w:t>-21</w:t>
      </w:r>
      <w:r w:rsidR="005A00EB" w:rsidRPr="005A00EB">
        <w:rPr>
          <w:i/>
          <w:vertAlign w:val="superscript"/>
        </w:rPr>
        <w:t>e</w:t>
      </w:r>
      <w:r w:rsidR="005A00EB" w:rsidRPr="005A00EB">
        <w:rPr>
          <w:i/>
        </w:rPr>
        <w:t xml:space="preserve"> siècles</w:t>
      </w:r>
      <w:r w:rsidR="005A00EB">
        <w:t xml:space="preserve"> (codirigé avec J. De Maeyer et paru également en néerlandais, 2016), il</w:t>
      </w:r>
      <w:r w:rsidR="00584467">
        <w:t xml:space="preserve"> confie </w:t>
      </w:r>
      <w:r w:rsidR="00883BAD">
        <w:t xml:space="preserve">aussi des articles </w:t>
      </w:r>
      <w:r w:rsidR="00584467">
        <w:t>à de nombreuses revues d’histoire locale</w:t>
      </w:r>
      <w:r w:rsidR="003823AF">
        <w:t xml:space="preserve">, allant de </w:t>
      </w:r>
      <w:r w:rsidR="003823AF" w:rsidRPr="003823AF">
        <w:rPr>
          <w:i/>
        </w:rPr>
        <w:t>Au pays des Rièzes et des Sarts</w:t>
      </w:r>
      <w:r w:rsidR="003823AF">
        <w:t xml:space="preserve"> aux </w:t>
      </w:r>
      <w:r w:rsidR="003823AF" w:rsidRPr="003823AF">
        <w:rPr>
          <w:i/>
        </w:rPr>
        <w:t>Annales</w:t>
      </w:r>
      <w:r w:rsidR="003823AF">
        <w:t xml:space="preserve"> du Cercle d’histoire d’Ath </w:t>
      </w:r>
      <w:r w:rsidR="00584467">
        <w:t>et</w:t>
      </w:r>
      <w:r w:rsidR="003823AF">
        <w:t xml:space="preserve">, bien sûr, à la </w:t>
      </w:r>
      <w:r w:rsidR="003823AF" w:rsidRPr="003823AF">
        <w:rPr>
          <w:i/>
        </w:rPr>
        <w:t>Revue d’histoire du Brabant wallon</w:t>
      </w:r>
      <w:r w:rsidR="003823AF">
        <w:t xml:space="preserve"> du Chirel BW</w:t>
      </w:r>
      <w:r w:rsidR="00584467">
        <w:t>.</w:t>
      </w:r>
    </w:p>
    <w:p w14:paraId="2C858190" w14:textId="77777777" w:rsidR="0001002C" w:rsidRDefault="0001002C" w:rsidP="007E75C4">
      <w:pPr>
        <w:jc w:val="both"/>
      </w:pPr>
    </w:p>
    <w:p w14:paraId="2AA6F8E0" w14:textId="5682DBD9" w:rsidR="00951686" w:rsidRDefault="0032645B" w:rsidP="0032645B">
      <w:pPr>
        <w:jc w:val="center"/>
      </w:pPr>
      <w:r>
        <w:t>* * *</w:t>
      </w:r>
    </w:p>
    <w:p w14:paraId="41405B31" w14:textId="506A5DBC" w:rsidR="00E876AD" w:rsidRDefault="00B67730" w:rsidP="007E75C4">
      <w:pPr>
        <w:jc w:val="both"/>
      </w:pPr>
      <w:r>
        <w:tab/>
      </w:r>
      <w:r w:rsidR="00E876AD">
        <w:t xml:space="preserve">Paul a été membre du Chirel BW depuis la </w:t>
      </w:r>
      <w:r w:rsidR="00AA285E">
        <w:t>fondation de l’association (1983</w:t>
      </w:r>
      <w:bookmarkStart w:id="0" w:name="_GoBack"/>
      <w:bookmarkEnd w:id="0"/>
      <w:r w:rsidR="00E876AD">
        <w:t>). Il en fut administrateur durant plus de 25 ans, d’abord de 1986 à 1996, puis de 2001 à 20</w:t>
      </w:r>
      <w:r w:rsidR="00E27FAD" w:rsidRPr="00E27FAD">
        <w:t>15</w:t>
      </w:r>
      <w:r w:rsidR="00E876AD">
        <w:t xml:space="preserve">. En parallèle, il a siégé depuis 1987 au comité de rédaction de </w:t>
      </w:r>
      <w:r w:rsidR="0032645B">
        <w:t>notre</w:t>
      </w:r>
      <w:r w:rsidR="00E876AD">
        <w:t xml:space="preserve"> revue.</w:t>
      </w:r>
      <w:r>
        <w:t xml:space="preserve"> </w:t>
      </w:r>
      <w:r w:rsidR="005E1E7F">
        <w:t>Il représentait aussi le Chirel BW depuis 2013 au sein de l’</w:t>
      </w:r>
      <w:r w:rsidR="005E1E7F" w:rsidRPr="00951686">
        <w:rPr>
          <w:i/>
          <w:lang w:val="nl-NL"/>
        </w:rPr>
        <w:t>Expertenforum</w:t>
      </w:r>
      <w:r w:rsidR="005E1E7F">
        <w:t xml:space="preserve"> du KADOC (dont il était également membre de l’</w:t>
      </w:r>
      <w:r w:rsidR="005E1E7F" w:rsidRPr="003F1F76">
        <w:rPr>
          <w:i/>
          <w:lang w:val="nl-NL"/>
        </w:rPr>
        <w:t>Adviesraad</w:t>
      </w:r>
      <w:r w:rsidR="0032645B">
        <w:t>).</w:t>
      </w:r>
    </w:p>
    <w:p w14:paraId="18590BBC" w14:textId="70317E35" w:rsidR="0032645B" w:rsidRDefault="0032645B" w:rsidP="007E75C4">
      <w:pPr>
        <w:jc w:val="both"/>
      </w:pPr>
      <w:r>
        <w:tab/>
        <w:t xml:space="preserve">Si le rôle de Paul a été déterminant dans son université, il le fut </w:t>
      </w:r>
      <w:r w:rsidR="001351F6">
        <w:t>également</w:t>
      </w:r>
      <w:r>
        <w:t xml:space="preserve"> pour le Chirel BW. Sans doute son intérêt scientifique pour l’histoire du monde catholique et sa conscience de l’importance d’en préserver les archives ont-ils joué ici un rôle, mais son engagement est aussi une affaire de liens humains tissés dans une entreprise commune mêlant historiens professionnels et amateurs passionnés. Au fil du temps, toute son expérience et sa personnalité aident les organes de l’association à définir le cap et prendre les bonnes décisions, parfois délicates </w:t>
      </w:r>
      <w:r w:rsidR="003823AF">
        <w:t xml:space="preserve">et </w:t>
      </w:r>
      <w:r>
        <w:t xml:space="preserve">à </w:t>
      </w:r>
      <w:r w:rsidR="003823AF">
        <w:t xml:space="preserve">bien </w:t>
      </w:r>
      <w:r>
        <w:t xml:space="preserve">peser. A la fois méticuleux, </w:t>
      </w:r>
      <w:r w:rsidR="003823AF">
        <w:t xml:space="preserve">rassurant, </w:t>
      </w:r>
      <w:r>
        <w:t xml:space="preserve">prudent et pragmatique, il était aussi soucieux du bon ordre et de l’horaire des réunions — intervenant si nécessaire </w:t>
      </w:r>
      <w:r w:rsidR="003823AF">
        <w:t xml:space="preserve">sur ce point </w:t>
      </w:r>
      <w:r>
        <w:t>mais toujours avec diplomatie</w:t>
      </w:r>
      <w:r w:rsidR="003823AF">
        <w:t xml:space="preserve"> à l’égard du président — ;</w:t>
      </w:r>
      <w:r>
        <w:t xml:space="preserve"> il a contribué à établir les contacts nécessaires à plusieurs momen</w:t>
      </w:r>
      <w:r w:rsidR="003823AF">
        <w:t>ts critiques de la vie de l’asbl, il s’est impliqué dans les entretiens d’embauche lorsqu’il a fallu renouveler partiellement l’équipe de permanentes, il a proposé d’utiles synergies entre l’association et son université. C’est ainsi que plusieurs projets ont pu être financés sous la forme d’un partenariat éditorial avec Ceruna, asbl de soutien à la recherche de l’université de Namur. Mais son apport ne s’est pas limité à la gouvernance de notre association. Paul était un chercheur.</w:t>
      </w:r>
    </w:p>
    <w:p w14:paraId="2F8A0155" w14:textId="1EB487EE" w:rsidR="00BA0587" w:rsidRDefault="0032645B" w:rsidP="007E75C4">
      <w:pPr>
        <w:jc w:val="both"/>
      </w:pPr>
      <w:r>
        <w:tab/>
      </w:r>
      <w:r w:rsidR="00BA0587">
        <w:t xml:space="preserve">Pour le Chirel BW, il a notamment réalisé une biographie de Marcel Plasman, mutuelliste, bourgmestre de Nivelles et ministre (2007), et une étude sur les rapports entre pouvoirs publics et fabriques d’église (2012), parues dans notre collection de </w:t>
      </w:r>
      <w:r w:rsidR="00BA0587" w:rsidRPr="00613D0E">
        <w:rPr>
          <w:i/>
        </w:rPr>
        <w:t>Cahiers</w:t>
      </w:r>
      <w:r w:rsidR="00BA0587">
        <w:t xml:space="preserve"> (n° 14 et n° 16), </w:t>
      </w:r>
      <w:r w:rsidR="00DE0028">
        <w:t xml:space="preserve">et pas moins de 40 </w:t>
      </w:r>
      <w:r w:rsidR="00BA0587">
        <w:t xml:space="preserve">articles </w:t>
      </w:r>
      <w:r w:rsidR="00C84565">
        <w:t xml:space="preserve">(et 28 comptes rendus) </w:t>
      </w:r>
      <w:r w:rsidR="00BA0587">
        <w:t xml:space="preserve">pour la </w:t>
      </w:r>
      <w:r w:rsidR="00BA0587" w:rsidRPr="00BA0587">
        <w:rPr>
          <w:i/>
        </w:rPr>
        <w:t>Revue d’histoire du Brabant wallon</w:t>
      </w:r>
      <w:r w:rsidR="00BA0587">
        <w:t xml:space="preserve">. </w:t>
      </w:r>
      <w:r w:rsidR="00DD733E">
        <w:t xml:space="preserve">On épingle des études portant sur des enjeux scolaires, politiques ou archivistiques à Beauvechain, Rixensart, La Hulpe, Argenteuil, Court-Saint-Etienne, Saint-Jean-Geest, Gentinnes, Hévillers, Rebecq, Quenast, Bossut-Gottechain, Néthen, Vieusart, Grez, des notices brèves sur d’autres localités, et, depuis une dizaine d’années, plusieurs travaux sur la vie </w:t>
      </w:r>
      <w:r w:rsidR="002F20DF">
        <w:t>politique nivelloise, mêlant le niveau</w:t>
      </w:r>
      <w:r w:rsidR="00DD733E">
        <w:t xml:space="preserve"> de la commune, </w:t>
      </w:r>
      <w:r w:rsidR="002F20DF">
        <w:t xml:space="preserve">celui </w:t>
      </w:r>
      <w:r w:rsidR="00DD733E">
        <w:t xml:space="preserve">de l’arrondissement et </w:t>
      </w:r>
      <w:r w:rsidR="002F20DF">
        <w:t>le niveau</w:t>
      </w:r>
      <w:r w:rsidR="00DD733E">
        <w:t xml:space="preserve"> national. Bien qu’il eût pu </w:t>
      </w:r>
      <w:r w:rsidR="00883BAD">
        <w:t xml:space="preserve">« placer » plusieurs de ces </w:t>
      </w:r>
      <w:r w:rsidR="003823AF">
        <w:t xml:space="preserve">articles </w:t>
      </w:r>
      <w:r w:rsidR="00883BAD">
        <w:t xml:space="preserve">dans des revues nationales, il a fait le choix de les donner à </w:t>
      </w:r>
      <w:r w:rsidR="001351F6">
        <w:t>notre</w:t>
      </w:r>
      <w:r w:rsidR="00883BAD">
        <w:t xml:space="preserve"> revue régionale, soutenant ainsi la démarche </w:t>
      </w:r>
      <w:r w:rsidR="008A600C">
        <w:t>scientifique</w:t>
      </w:r>
      <w:r w:rsidR="00883BAD">
        <w:t xml:space="preserve"> de celle-ci. </w:t>
      </w:r>
      <w:r w:rsidR="00BA0587">
        <w:t xml:space="preserve">Particulièrement productif, Paul confiait régulièrement ses textes à l’avance, ce qui pour une revue </w:t>
      </w:r>
      <w:r w:rsidR="00883BAD">
        <w:t>associative</w:t>
      </w:r>
      <w:r w:rsidR="00BA0587">
        <w:t xml:space="preserve"> au rythme trimestriel, permet</w:t>
      </w:r>
      <w:r w:rsidR="00DE0028">
        <w:t>tait</w:t>
      </w:r>
      <w:r w:rsidR="00BA0587">
        <w:t xml:space="preserve"> d’anticiper </w:t>
      </w:r>
      <w:r w:rsidR="00DE0028">
        <w:t xml:space="preserve">avec bonheur </w:t>
      </w:r>
      <w:r w:rsidR="00BA0587">
        <w:t xml:space="preserve">les vides laissés par des auteurs en retard. </w:t>
      </w:r>
      <w:r w:rsidR="00B67730">
        <w:t xml:space="preserve">C’est ainsi que sa générosité même d’auteur permettait à l’association </w:t>
      </w:r>
      <w:r w:rsidR="00D41DB8">
        <w:t xml:space="preserve">et à ses permanentes </w:t>
      </w:r>
      <w:r w:rsidR="00B67730">
        <w:t xml:space="preserve">de </w:t>
      </w:r>
      <w:r w:rsidR="00A119DE">
        <w:t xml:space="preserve">mieux planifier </w:t>
      </w:r>
      <w:r w:rsidR="00D41DB8">
        <w:t>le</w:t>
      </w:r>
      <w:r w:rsidR="00A119DE">
        <w:t xml:space="preserve"> travail</w:t>
      </w:r>
      <w:r w:rsidR="00B67730">
        <w:t xml:space="preserve">. </w:t>
      </w:r>
      <w:r w:rsidR="00BA0587">
        <w:t xml:space="preserve">A tel point que trois </w:t>
      </w:r>
      <w:r w:rsidR="00B67730">
        <w:t xml:space="preserve">futurs </w:t>
      </w:r>
      <w:r w:rsidR="00BA0587">
        <w:t xml:space="preserve">articles </w:t>
      </w:r>
      <w:r w:rsidR="00B67730">
        <w:t>étaient déjà remis au moment de son décès. Leur publication posthume nous permettra ainsi de découvrir ses derniers travaux.</w:t>
      </w:r>
    </w:p>
    <w:p w14:paraId="7C733ADF" w14:textId="77777777" w:rsidR="002F20DF" w:rsidRDefault="002F20DF" w:rsidP="007E75C4">
      <w:pPr>
        <w:jc w:val="both"/>
      </w:pPr>
    </w:p>
    <w:p w14:paraId="3A70B1C4" w14:textId="12B67355" w:rsidR="002F20DF" w:rsidRDefault="002F20DF" w:rsidP="002F20DF">
      <w:pPr>
        <w:jc w:val="center"/>
      </w:pPr>
      <w:r>
        <w:t>* * *</w:t>
      </w:r>
    </w:p>
    <w:p w14:paraId="27E2EAD2" w14:textId="77777777" w:rsidR="002F20DF" w:rsidRDefault="002F20DF" w:rsidP="002F20DF">
      <w:pPr>
        <w:jc w:val="center"/>
      </w:pPr>
    </w:p>
    <w:p w14:paraId="6D25C55F" w14:textId="53849DC1" w:rsidR="00B63E9C" w:rsidRPr="002F20DF" w:rsidRDefault="002F20DF" w:rsidP="007E75C4">
      <w:pPr>
        <w:jc w:val="both"/>
      </w:pPr>
      <w:r>
        <w:rPr>
          <w:color w:val="A6A6A6" w:themeColor="background1" w:themeShade="A6"/>
        </w:rPr>
        <w:tab/>
      </w:r>
      <w:r w:rsidRPr="002F20DF">
        <w:t>Comme bien d’autres, je venais de noter à l’agenda la date prévue par ses collègues namurois pour le célébrer à l’occasion de son départ à l’éméritat, l’année de ses 65 ans. Nous nous en réjouissions à l’avance. Mais Paul nous a quitté</w:t>
      </w:r>
      <w:r w:rsidR="00E27FAD">
        <w:t>s</w:t>
      </w:r>
      <w:r w:rsidRPr="002F20DF">
        <w:t>, de manière abrupte et inattendue. Alors qu’il venait de vaincre une terrible et pénible maladie, traversée avec courage et détermination, une banale chute dans un escalier lui est fatale ce 27 décembre 2018.  C’est à Nivelles, dans une Collégiale remplie de collègues et d’amis, que ses funérailles ont été célébrées le 3 janvier 2019.</w:t>
      </w:r>
    </w:p>
    <w:p w14:paraId="65718E1E" w14:textId="0ECF790D" w:rsidR="004F60D0" w:rsidRDefault="004F60D0" w:rsidP="007E75C4">
      <w:pPr>
        <w:jc w:val="both"/>
      </w:pPr>
      <w:r>
        <w:tab/>
        <w:t xml:space="preserve">A l’issue de </w:t>
      </w:r>
      <w:r w:rsidR="002F20DF">
        <w:t>celles-ci</w:t>
      </w:r>
      <w:r>
        <w:t xml:space="preserve">, c’est sur l’air de </w:t>
      </w:r>
      <w:r w:rsidRPr="004F60D0">
        <w:rPr>
          <w:i/>
        </w:rPr>
        <w:t>Grãndola, vila morena</w:t>
      </w:r>
      <w:r w:rsidR="006501F0" w:rsidRPr="006501F0">
        <w:t xml:space="preserve"> de J. Afonso</w:t>
      </w:r>
      <w:r w:rsidRPr="006501F0">
        <w:t xml:space="preserve">, </w:t>
      </w:r>
      <w:r w:rsidR="00196EBA">
        <w:t>le chant de la Révolution des Œ</w:t>
      </w:r>
      <w:r>
        <w:t>illets (</w:t>
      </w:r>
      <w:r w:rsidR="00A119DE">
        <w:t xml:space="preserve">avril </w:t>
      </w:r>
      <w:r>
        <w:t>1974) que le cercueil de Paul a quitté la Collégiale</w:t>
      </w:r>
      <w:r w:rsidR="00787A42">
        <w:t> : « Grã</w:t>
      </w:r>
      <w:r w:rsidR="00787A42" w:rsidRPr="00787A42">
        <w:t>ndola, ville brune / Terre de fraternité</w:t>
      </w:r>
      <w:r w:rsidR="00787A42">
        <w:t> </w:t>
      </w:r>
      <w:r w:rsidR="00787A42" w:rsidRPr="00787A42">
        <w:t>/ C’est le peuple qui commande</w:t>
      </w:r>
      <w:r w:rsidR="00787A42">
        <w:t> </w:t>
      </w:r>
      <w:r w:rsidR="00787A42" w:rsidRPr="00787A42">
        <w:t>/ En toi, ô cité</w:t>
      </w:r>
      <w:r w:rsidR="00196EBA">
        <w:t>. (...) Un ami à chaque coin de rue, l’égalité sur chaque visage</w:t>
      </w:r>
      <w:r w:rsidR="00787A42">
        <w:t> »</w:t>
      </w:r>
      <w:r>
        <w:t>.</w:t>
      </w:r>
      <w:r w:rsidR="00787A42">
        <w:t xml:space="preserve"> </w:t>
      </w:r>
      <w:r>
        <w:t xml:space="preserve">Son choix. Un choix d’historien. </w:t>
      </w:r>
      <w:r w:rsidR="00196EBA">
        <w:t xml:space="preserve">Un </w:t>
      </w:r>
      <w:r w:rsidR="00A037CD">
        <w:t>écho</w:t>
      </w:r>
      <w:r w:rsidR="00196EBA">
        <w:t xml:space="preserve"> d</w:t>
      </w:r>
      <w:r w:rsidR="000125A5">
        <w:t>e ses années d</w:t>
      </w:r>
      <w:r w:rsidR="00196EBA">
        <w:t xml:space="preserve">’étudiant. </w:t>
      </w:r>
      <w:r w:rsidR="003823AF">
        <w:t xml:space="preserve">De ses engagements. </w:t>
      </w:r>
      <w:r w:rsidR="00196EBA">
        <w:t xml:space="preserve">Un message. </w:t>
      </w:r>
      <w:r>
        <w:t>Quelle allure...</w:t>
      </w:r>
    </w:p>
    <w:p w14:paraId="5065FEFF" w14:textId="77777777" w:rsidR="004F60D0" w:rsidRDefault="004F60D0" w:rsidP="007E75C4">
      <w:pPr>
        <w:jc w:val="both"/>
      </w:pPr>
    </w:p>
    <w:p w14:paraId="6EFBA342" w14:textId="46B301DA" w:rsidR="002F20DF" w:rsidRDefault="002F20DF" w:rsidP="002F20DF">
      <w:pPr>
        <w:jc w:val="center"/>
      </w:pPr>
      <w:r>
        <w:t>* * *</w:t>
      </w:r>
    </w:p>
    <w:p w14:paraId="5C5AF12B" w14:textId="77777777" w:rsidR="002F20DF" w:rsidRDefault="002F20DF" w:rsidP="002F20DF">
      <w:pPr>
        <w:jc w:val="center"/>
      </w:pPr>
    </w:p>
    <w:p w14:paraId="6CF20A4D" w14:textId="45A3DA3B" w:rsidR="0001002C" w:rsidRDefault="00B67730" w:rsidP="007E75C4">
      <w:pPr>
        <w:jc w:val="both"/>
      </w:pPr>
      <w:r>
        <w:tab/>
      </w:r>
      <w:r w:rsidR="0001002C">
        <w:t>Ces lignes</w:t>
      </w:r>
      <w:r>
        <w:t>-ci</w:t>
      </w:r>
      <w:r w:rsidR="0001002C">
        <w:t xml:space="preserve"> paraîtront au moment de l’ouverture de la pêche. </w:t>
      </w:r>
      <w:r>
        <w:t xml:space="preserve">Un moment où nous savions qu’il ne fallait pas placer de réunion du CA, car il était sacré. </w:t>
      </w:r>
      <w:r w:rsidR="0001002C">
        <w:t xml:space="preserve">Pour Paul, ce sera le temps d’une dernière pêche devant l’Eternel, </w:t>
      </w:r>
      <w:r w:rsidR="000A55CA">
        <w:t xml:space="preserve">pêche sportive en rivière, </w:t>
      </w:r>
      <w:r w:rsidR="0001002C">
        <w:t xml:space="preserve">miraculeuse on l’espère, </w:t>
      </w:r>
      <w:r>
        <w:t xml:space="preserve">belle et bonne, </w:t>
      </w:r>
      <w:r w:rsidR="0001002C">
        <w:t>quelque part peut-être entre Meuse et Moselle...</w:t>
      </w:r>
    </w:p>
    <w:sectPr w:rsidR="0001002C" w:rsidSect="00EA6824">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6EB583" w14:textId="77777777" w:rsidR="00D41DB8" w:rsidRDefault="00D41DB8" w:rsidP="00C333C5">
      <w:r>
        <w:separator/>
      </w:r>
    </w:p>
  </w:endnote>
  <w:endnote w:type="continuationSeparator" w:id="0">
    <w:p w14:paraId="76BBFC91" w14:textId="77777777" w:rsidR="00D41DB8" w:rsidRDefault="00D41DB8" w:rsidP="00C333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2A87" w:usb1="80000000" w:usb2="00000008" w:usb3="00000000" w:csb0="000001F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00002A87" w:usb1="80000000" w:usb2="00000008"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7D9A45" w14:textId="77777777" w:rsidR="00D41DB8" w:rsidRDefault="00D41DB8" w:rsidP="00C333C5">
      <w:r>
        <w:separator/>
      </w:r>
    </w:p>
  </w:footnote>
  <w:footnote w:type="continuationSeparator" w:id="0">
    <w:p w14:paraId="064244D8" w14:textId="77777777" w:rsidR="00D41DB8" w:rsidRDefault="00D41DB8" w:rsidP="00C333C5">
      <w:r>
        <w:continuationSeparator/>
      </w:r>
    </w:p>
  </w:footnote>
  <w:footnote w:id="1">
    <w:p w14:paraId="56497FC0" w14:textId="786EE0C2" w:rsidR="00D41DB8" w:rsidRPr="009D4878" w:rsidRDefault="00D41DB8" w:rsidP="001351F6">
      <w:pPr>
        <w:pStyle w:val="Notedebasdepage"/>
        <w:jc w:val="both"/>
        <w:rPr>
          <w:sz w:val="20"/>
          <w:szCs w:val="20"/>
        </w:rPr>
      </w:pPr>
      <w:r w:rsidRPr="009D4878">
        <w:rPr>
          <w:rStyle w:val="Marquenotebasdepage"/>
          <w:sz w:val="20"/>
          <w:szCs w:val="20"/>
        </w:rPr>
        <w:footnoteRef/>
      </w:r>
      <w:r w:rsidRPr="009D4878">
        <w:rPr>
          <w:sz w:val="20"/>
          <w:szCs w:val="20"/>
        </w:rPr>
        <w:t xml:space="preserve"> </w:t>
      </w:r>
      <w:r w:rsidRPr="009D4878">
        <w:rPr>
          <w:i/>
          <w:sz w:val="20"/>
          <w:szCs w:val="20"/>
        </w:rPr>
        <w:t>Hommage à Paul Wynants</w:t>
      </w:r>
      <w:r w:rsidRPr="009D4878">
        <w:rPr>
          <w:sz w:val="20"/>
          <w:szCs w:val="20"/>
        </w:rPr>
        <w:t>, &lt;</w:t>
      </w:r>
      <w:r w:rsidRPr="009D4878">
        <w:rPr>
          <w:sz w:val="20"/>
          <w:szCs w:val="20"/>
          <w:lang w:eastAsia="ja-JP"/>
        </w:rPr>
        <w:t>https://nouvelles.unamur.be/upnews.2019-01-09.0570226016/view&gt;, consulté le 17 janvier 2019.</w:t>
      </w:r>
    </w:p>
  </w:footnote>
  <w:footnote w:id="2">
    <w:p w14:paraId="4E7C2A9A" w14:textId="096BC1AB" w:rsidR="00D41DB8" w:rsidRDefault="00D41DB8" w:rsidP="001351F6">
      <w:pPr>
        <w:pStyle w:val="Notedebasdepage"/>
        <w:jc w:val="both"/>
      </w:pPr>
      <w:r w:rsidRPr="009D4878">
        <w:rPr>
          <w:rStyle w:val="Marquenotebasdepage"/>
          <w:sz w:val="20"/>
          <w:szCs w:val="20"/>
        </w:rPr>
        <w:footnoteRef/>
      </w:r>
      <w:r w:rsidRPr="009D4878">
        <w:rPr>
          <w:sz w:val="20"/>
          <w:szCs w:val="20"/>
        </w:rPr>
        <w:t xml:space="preserve"> Christian </w:t>
      </w:r>
      <w:r w:rsidRPr="009D4878">
        <w:rPr>
          <w:smallCaps/>
          <w:sz w:val="20"/>
          <w:szCs w:val="20"/>
        </w:rPr>
        <w:t>Laporte</w:t>
      </w:r>
      <w:r w:rsidRPr="009D4878">
        <w:rPr>
          <w:sz w:val="20"/>
          <w:szCs w:val="20"/>
        </w:rPr>
        <w:t xml:space="preserve">, </w:t>
      </w:r>
      <w:r w:rsidRPr="009D4878">
        <w:rPr>
          <w:i/>
          <w:sz w:val="20"/>
          <w:szCs w:val="20"/>
        </w:rPr>
        <w:t>Paul Wynants, historien engagé et très ouvert, nous a quittés</w:t>
      </w:r>
      <w:r w:rsidRPr="009D4878">
        <w:rPr>
          <w:sz w:val="20"/>
          <w:szCs w:val="20"/>
        </w:rPr>
        <w:t xml:space="preserve">, dans </w:t>
      </w:r>
      <w:r w:rsidRPr="009D4878">
        <w:rPr>
          <w:i/>
          <w:sz w:val="20"/>
          <w:szCs w:val="20"/>
        </w:rPr>
        <w:t>La Libre Belgique</w:t>
      </w:r>
      <w:r w:rsidRPr="009D4878">
        <w:rPr>
          <w:sz w:val="20"/>
          <w:szCs w:val="20"/>
        </w:rPr>
        <w:t>, mercredi 2 janvier 2019.</w:t>
      </w:r>
    </w:p>
  </w:footnote>
  <w:footnote w:id="3">
    <w:p w14:paraId="272E9540" w14:textId="0CD83FE4" w:rsidR="00D41DB8" w:rsidRPr="009D4878" w:rsidRDefault="00D41DB8">
      <w:pPr>
        <w:pStyle w:val="Notedebasdepage"/>
        <w:rPr>
          <w:sz w:val="20"/>
          <w:szCs w:val="20"/>
        </w:rPr>
      </w:pPr>
      <w:r w:rsidRPr="009D4878">
        <w:rPr>
          <w:rStyle w:val="Marquenotebasdepage"/>
          <w:sz w:val="20"/>
          <w:szCs w:val="20"/>
        </w:rPr>
        <w:footnoteRef/>
      </w:r>
      <w:r w:rsidRPr="009D4878">
        <w:rPr>
          <w:sz w:val="20"/>
          <w:szCs w:val="20"/>
        </w:rPr>
        <w:t xml:space="preserve"> Morgane </w:t>
      </w:r>
      <w:r w:rsidRPr="009D4878">
        <w:rPr>
          <w:smallCaps/>
          <w:sz w:val="20"/>
          <w:szCs w:val="20"/>
        </w:rPr>
        <w:t>Belin</w:t>
      </w:r>
      <w:r w:rsidRPr="009D4878">
        <w:rPr>
          <w:sz w:val="20"/>
          <w:szCs w:val="20"/>
        </w:rPr>
        <w:t xml:space="preserve"> (propos recueillis par),  </w:t>
      </w:r>
      <w:r w:rsidRPr="009D4878">
        <w:rPr>
          <w:i/>
          <w:sz w:val="20"/>
          <w:szCs w:val="20"/>
        </w:rPr>
        <w:t>Paul Wynants</w:t>
      </w:r>
      <w:r w:rsidRPr="009D4878">
        <w:rPr>
          <w:sz w:val="20"/>
          <w:szCs w:val="20"/>
        </w:rPr>
        <w:t>, &lt;</w:t>
      </w:r>
      <w:r w:rsidRPr="009D4878">
        <w:rPr>
          <w:sz w:val="20"/>
          <w:szCs w:val="20"/>
          <w:lang w:eastAsia="ja-JP"/>
        </w:rPr>
        <w:t xml:space="preserve">https://www.unamur.be/anciens/parcours/pwynants&gt;, </w:t>
      </w:r>
      <w:r>
        <w:rPr>
          <w:sz w:val="20"/>
          <w:szCs w:val="20"/>
          <w:lang w:eastAsia="ja-JP"/>
        </w:rPr>
        <w:t>juillet</w:t>
      </w:r>
      <w:r w:rsidRPr="009D4878">
        <w:rPr>
          <w:sz w:val="20"/>
          <w:szCs w:val="20"/>
          <w:lang w:eastAsia="ja-JP"/>
        </w:rPr>
        <w:t xml:space="preserve"> 2018, consulté le 17 janvier 2019.</w:t>
      </w:r>
    </w:p>
  </w:footnote>
  <w:footnote w:id="4">
    <w:p w14:paraId="503A22C0" w14:textId="4457E6C6" w:rsidR="00D41DB8" w:rsidRDefault="00D41DB8">
      <w:pPr>
        <w:pStyle w:val="Notedebasdepage"/>
      </w:pPr>
      <w:r w:rsidRPr="009D4878">
        <w:rPr>
          <w:rStyle w:val="Marquenotebasdepage"/>
          <w:sz w:val="20"/>
          <w:szCs w:val="20"/>
        </w:rPr>
        <w:footnoteRef/>
      </w:r>
      <w:r w:rsidRPr="009D4878">
        <w:rPr>
          <w:sz w:val="20"/>
          <w:szCs w:val="20"/>
        </w:rPr>
        <w:t xml:space="preserve"> Morgane </w:t>
      </w:r>
      <w:r w:rsidRPr="009D4878">
        <w:rPr>
          <w:smallCaps/>
          <w:sz w:val="20"/>
          <w:szCs w:val="20"/>
        </w:rPr>
        <w:t>Belin</w:t>
      </w:r>
      <w:r w:rsidRPr="009D4878">
        <w:rPr>
          <w:sz w:val="20"/>
          <w:szCs w:val="20"/>
        </w:rPr>
        <w:t xml:space="preserve"> (propos recueillis par),  </w:t>
      </w:r>
      <w:r w:rsidRPr="002F20DF">
        <w:rPr>
          <w:i/>
          <w:sz w:val="20"/>
          <w:szCs w:val="20"/>
        </w:rPr>
        <w:t>op. cit</w:t>
      </w:r>
      <w:r w:rsidRPr="009D4878">
        <w:rPr>
          <w:sz w:val="20"/>
          <w:szCs w:val="20"/>
          <w:lang w:eastAsia="ja-JP"/>
        </w:rPr>
        <w:t>.</w:t>
      </w:r>
    </w:p>
  </w:footnote>
  <w:footnote w:id="5">
    <w:p w14:paraId="15055465" w14:textId="207C903F" w:rsidR="00D41DB8" w:rsidRPr="002D3C18" w:rsidRDefault="00D41DB8" w:rsidP="002D3C18">
      <w:pPr>
        <w:pStyle w:val="Notedebasdepage"/>
        <w:jc w:val="both"/>
        <w:rPr>
          <w:sz w:val="20"/>
          <w:szCs w:val="20"/>
        </w:rPr>
      </w:pPr>
      <w:r w:rsidRPr="002D3C18">
        <w:rPr>
          <w:rStyle w:val="Marquenotebasdepage"/>
          <w:sz w:val="20"/>
          <w:szCs w:val="20"/>
        </w:rPr>
        <w:footnoteRef/>
      </w:r>
      <w:r w:rsidRPr="002D3C18">
        <w:rPr>
          <w:sz w:val="20"/>
          <w:szCs w:val="20"/>
        </w:rPr>
        <w:t xml:space="preserve"> Le curriculum vitae de Paul Wynants, </w:t>
      </w:r>
      <w:r>
        <w:rPr>
          <w:sz w:val="20"/>
          <w:szCs w:val="20"/>
        </w:rPr>
        <w:t xml:space="preserve">fort de 24 pages </w:t>
      </w:r>
      <w:r w:rsidRPr="002D3C18">
        <w:rPr>
          <w:sz w:val="20"/>
          <w:szCs w:val="20"/>
        </w:rPr>
        <w:t>en date de 2016, figure sur le site de son université, &lt;</w:t>
      </w:r>
      <w:r w:rsidRPr="002D3C18">
        <w:rPr>
          <w:sz w:val="20"/>
          <w:szCs w:val="20"/>
          <w:lang w:eastAsia="ja-JP"/>
        </w:rPr>
        <w:t>htt</w:t>
      </w:r>
      <w:r>
        <w:rPr>
          <w:sz w:val="20"/>
          <w:szCs w:val="20"/>
          <w:lang w:eastAsia="ja-JP"/>
        </w:rPr>
        <w:t>p://perso.fundp.ac.be/~pwynants</w:t>
      </w:r>
      <w:r w:rsidRPr="002D3C18">
        <w:rPr>
          <w:sz w:val="20"/>
          <w:szCs w:val="20"/>
          <w:lang w:eastAsia="ja-JP"/>
        </w:rPr>
        <w:t>&gt;</w:t>
      </w:r>
      <w:r>
        <w:rPr>
          <w:sz w:val="20"/>
          <w:szCs w:val="20"/>
          <w:lang w:eastAsia="ja-JP"/>
        </w:rPr>
        <w:t>, consulté le 17 janvier 2019. La liste de ses publications, à jour en 2018, figure aussi sur le dépôt institutionnel de l’Université de Namur : &lt;</w:t>
      </w:r>
      <w:r w:rsidRPr="002D3C18">
        <w:rPr>
          <w:sz w:val="20"/>
          <w:szCs w:val="20"/>
          <w:lang w:eastAsia="ja-JP"/>
        </w:rPr>
        <w:t>https://researchportal.unamur.be/fr/pe</w:t>
      </w:r>
      <w:r>
        <w:rPr>
          <w:sz w:val="20"/>
          <w:szCs w:val="20"/>
          <w:lang w:eastAsia="ja-JP"/>
        </w:rPr>
        <w:t>rsons/paul-wynants/publications&gt;, consulté le 17 janvier 2019.</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08"/>
  <w:hyphenationZone w:val="425"/>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3785"/>
    <w:rsid w:val="0001002C"/>
    <w:rsid w:val="000125A5"/>
    <w:rsid w:val="00015CF3"/>
    <w:rsid w:val="00022DD6"/>
    <w:rsid w:val="000238F5"/>
    <w:rsid w:val="000A55CA"/>
    <w:rsid w:val="000E0AF5"/>
    <w:rsid w:val="001351F6"/>
    <w:rsid w:val="00196EBA"/>
    <w:rsid w:val="001A7C9E"/>
    <w:rsid w:val="001E3785"/>
    <w:rsid w:val="002D3C18"/>
    <w:rsid w:val="002F20DF"/>
    <w:rsid w:val="00306459"/>
    <w:rsid w:val="0032645B"/>
    <w:rsid w:val="00332414"/>
    <w:rsid w:val="003823AF"/>
    <w:rsid w:val="003F1F76"/>
    <w:rsid w:val="004630C6"/>
    <w:rsid w:val="004B4ECC"/>
    <w:rsid w:val="004C0D55"/>
    <w:rsid w:val="004F60D0"/>
    <w:rsid w:val="0050341C"/>
    <w:rsid w:val="005506B6"/>
    <w:rsid w:val="00574F6D"/>
    <w:rsid w:val="00584467"/>
    <w:rsid w:val="0059749A"/>
    <w:rsid w:val="005A00EB"/>
    <w:rsid w:val="005A0CA3"/>
    <w:rsid w:val="005A65F5"/>
    <w:rsid w:val="005E1E7F"/>
    <w:rsid w:val="00613D0E"/>
    <w:rsid w:val="006501F0"/>
    <w:rsid w:val="006A333C"/>
    <w:rsid w:val="006E0D60"/>
    <w:rsid w:val="0075560C"/>
    <w:rsid w:val="00787A42"/>
    <w:rsid w:val="007A67EE"/>
    <w:rsid w:val="007B4EF8"/>
    <w:rsid w:val="007E1568"/>
    <w:rsid w:val="007E75C4"/>
    <w:rsid w:val="00817D48"/>
    <w:rsid w:val="008262C6"/>
    <w:rsid w:val="00883BAD"/>
    <w:rsid w:val="00894854"/>
    <w:rsid w:val="008A558A"/>
    <w:rsid w:val="008A600C"/>
    <w:rsid w:val="008C1A08"/>
    <w:rsid w:val="00900A46"/>
    <w:rsid w:val="0092256E"/>
    <w:rsid w:val="00951686"/>
    <w:rsid w:val="009D4878"/>
    <w:rsid w:val="009F7E5C"/>
    <w:rsid w:val="00A020B2"/>
    <w:rsid w:val="00A037CD"/>
    <w:rsid w:val="00A119DE"/>
    <w:rsid w:val="00A47345"/>
    <w:rsid w:val="00A61180"/>
    <w:rsid w:val="00A85705"/>
    <w:rsid w:val="00AA285E"/>
    <w:rsid w:val="00AA33FF"/>
    <w:rsid w:val="00B63E9C"/>
    <w:rsid w:val="00B67730"/>
    <w:rsid w:val="00BA0587"/>
    <w:rsid w:val="00BA10EA"/>
    <w:rsid w:val="00BE41A8"/>
    <w:rsid w:val="00C1789A"/>
    <w:rsid w:val="00C333C5"/>
    <w:rsid w:val="00C84565"/>
    <w:rsid w:val="00CF625D"/>
    <w:rsid w:val="00D41DB8"/>
    <w:rsid w:val="00D9384E"/>
    <w:rsid w:val="00DD733E"/>
    <w:rsid w:val="00DE0028"/>
    <w:rsid w:val="00DF73EA"/>
    <w:rsid w:val="00E27FAD"/>
    <w:rsid w:val="00E876AD"/>
    <w:rsid w:val="00EA6824"/>
    <w:rsid w:val="00EC350C"/>
    <w:rsid w:val="00FD3E90"/>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oNotEmbedSmartTags/>
  <w:decimalSymbol w:val=","/>
  <w:listSeparator w:val=";"/>
  <w14:docId w14:val="658F868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semiHidden/>
    <w:rsid w:val="00CF7F36"/>
    <w:rPr>
      <w:rFonts w:ascii="Lucida Grande" w:hAnsi="Lucida Grande"/>
      <w:sz w:val="18"/>
      <w:szCs w:val="18"/>
    </w:rPr>
  </w:style>
  <w:style w:type="paragraph" w:styleId="Notedebasdepage">
    <w:name w:val="footnote text"/>
    <w:basedOn w:val="Normal"/>
    <w:link w:val="NotedebasdepageCar"/>
    <w:uiPriority w:val="99"/>
    <w:unhideWhenUsed/>
    <w:rsid w:val="00C333C5"/>
  </w:style>
  <w:style w:type="character" w:customStyle="1" w:styleId="NotedebasdepageCar">
    <w:name w:val="Note de bas de page Car"/>
    <w:basedOn w:val="Policepardfaut"/>
    <w:link w:val="Notedebasdepage"/>
    <w:uiPriority w:val="99"/>
    <w:rsid w:val="00C333C5"/>
    <w:rPr>
      <w:sz w:val="24"/>
      <w:szCs w:val="24"/>
      <w:lang w:eastAsia="fr-FR"/>
    </w:rPr>
  </w:style>
  <w:style w:type="character" w:styleId="Marquenotebasdepage">
    <w:name w:val="footnote reference"/>
    <w:basedOn w:val="Policepardfaut"/>
    <w:uiPriority w:val="99"/>
    <w:unhideWhenUsed/>
    <w:rsid w:val="00C333C5"/>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fr-F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semiHidden/>
    <w:rsid w:val="00CF7F36"/>
    <w:rPr>
      <w:rFonts w:ascii="Lucida Grande" w:hAnsi="Lucida Grande"/>
      <w:sz w:val="18"/>
      <w:szCs w:val="18"/>
    </w:rPr>
  </w:style>
  <w:style w:type="paragraph" w:styleId="Notedebasdepage">
    <w:name w:val="footnote text"/>
    <w:basedOn w:val="Normal"/>
    <w:link w:val="NotedebasdepageCar"/>
    <w:uiPriority w:val="99"/>
    <w:unhideWhenUsed/>
    <w:rsid w:val="00C333C5"/>
  </w:style>
  <w:style w:type="character" w:customStyle="1" w:styleId="NotedebasdepageCar">
    <w:name w:val="Note de bas de page Car"/>
    <w:basedOn w:val="Policepardfaut"/>
    <w:link w:val="Notedebasdepage"/>
    <w:uiPriority w:val="99"/>
    <w:rsid w:val="00C333C5"/>
    <w:rPr>
      <w:sz w:val="24"/>
      <w:szCs w:val="24"/>
      <w:lang w:eastAsia="fr-FR"/>
    </w:rPr>
  </w:style>
  <w:style w:type="character" w:styleId="Marquenotebasdepage">
    <w:name w:val="footnote reference"/>
    <w:basedOn w:val="Policepardfaut"/>
    <w:uiPriority w:val="99"/>
    <w:unhideWhenUsed/>
    <w:rsid w:val="00C333C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4</Pages>
  <Words>2135</Words>
  <Characters>11745</Characters>
  <Application>Microsoft Macintosh Word</Application>
  <DocSecurity>0</DocSecurity>
  <Lines>97</Lines>
  <Paragraphs>27</Paragraphs>
  <ScaleCrop>false</ScaleCrop>
  <Company/>
  <LinksUpToDate>false</LinksUpToDate>
  <CharactersWithSpaces>13853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sinfo fusl</dc:creator>
  <cp:keywords/>
  <dc:description/>
  <cp:lastModifiedBy>sinfo fusl</cp:lastModifiedBy>
  <cp:revision>4</cp:revision>
  <dcterms:created xsi:type="dcterms:W3CDTF">2019-03-19T08:29:00Z</dcterms:created>
  <dcterms:modified xsi:type="dcterms:W3CDTF">2019-03-19T08:33:00Z</dcterms:modified>
</cp:coreProperties>
</file>