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CD815" w14:textId="23D94EC7" w:rsidR="00CF79E3" w:rsidRDefault="00747088" w:rsidP="00747088">
      <w:pPr>
        <w:pStyle w:val="Heading1"/>
      </w:pPr>
      <w:r>
        <w:t>Editor bios (max 1800 characters including spaces; subtract 45 characters for every co-editor)</w:t>
      </w:r>
    </w:p>
    <w:p w14:paraId="0151BC8B" w14:textId="227346A5" w:rsidR="00DF337D" w:rsidRDefault="00DF337D" w:rsidP="00DF337D">
      <w:pPr>
        <w:jc w:val="both"/>
        <w:rPr>
          <w:rFonts w:ascii="Open Sans" w:eastAsia="Open Sans" w:hAnsi="Open Sans" w:cs="Open Sans"/>
          <w:sz w:val="20"/>
          <w:szCs w:val="20"/>
        </w:rPr>
      </w:pPr>
      <w:r w:rsidRPr="00DF337D">
        <w:rPr>
          <w:rFonts w:ascii="Open Sans" w:eastAsia="Open Sans" w:hAnsi="Open Sans" w:cs="Open Sans"/>
          <w:b/>
          <w:bCs/>
          <w:sz w:val="20"/>
          <w:szCs w:val="20"/>
          <w:lang w:val="en-GB"/>
        </w:rPr>
        <w:t>Marleen Brans</w:t>
      </w:r>
      <w:r w:rsidRPr="076A6AC9">
        <w:rPr>
          <w:rFonts w:ascii="Open Sans" w:eastAsia="Open Sans" w:hAnsi="Open Sans" w:cs="Open Sans"/>
          <w:sz w:val="20"/>
          <w:szCs w:val="20"/>
          <w:lang w:val="en-GB"/>
        </w:rPr>
        <w:t xml:space="preserve"> holds a PhD in Political Science from the European University Institute in Florence, Italy. As Professor at the KU Leuven Public Governance Institute, she conducts research on the production and consumption of policy advice by various actors inside and outside government. She co-founded the International Public Policy Association (IPPA).</w:t>
      </w:r>
    </w:p>
    <w:p w14:paraId="762A61AA" w14:textId="07BCA1EF" w:rsidR="00DF337D" w:rsidRDefault="00DF337D" w:rsidP="00DF337D">
      <w:pPr>
        <w:rPr>
          <w:rFonts w:ascii="Open Sans" w:eastAsia="Open Sans" w:hAnsi="Open Sans" w:cs="Open Sans"/>
          <w:sz w:val="20"/>
          <w:szCs w:val="20"/>
        </w:rPr>
      </w:pPr>
      <w:r w:rsidRPr="00DF337D">
        <w:rPr>
          <w:rFonts w:ascii="Open Sans" w:eastAsia="Open Sans" w:hAnsi="Open Sans" w:cs="Open Sans"/>
          <w:b/>
          <w:bCs/>
          <w:color w:val="000000" w:themeColor="text1"/>
          <w:sz w:val="20"/>
          <w:szCs w:val="20"/>
          <w:lang w:val="en-GB"/>
        </w:rPr>
        <w:t>Petra Meier</w:t>
      </w:r>
      <w:r w:rsidRPr="076A6AC9">
        <w:rPr>
          <w:rFonts w:ascii="Open Sans" w:eastAsia="Open Sans" w:hAnsi="Open Sans" w:cs="Open Sans"/>
          <w:color w:val="000000" w:themeColor="text1"/>
          <w:sz w:val="20"/>
          <w:szCs w:val="20"/>
          <w:lang w:val="en-GB"/>
        </w:rPr>
        <w:t xml:space="preserve"> is Professor in Political Science, and co-chair of A*, the Antwerp Gender &amp; Sexuality Studies Network, at the University of Antwerp (</w:t>
      </w:r>
      <w:proofErr w:type="spellStart"/>
      <w:r w:rsidRPr="076A6AC9">
        <w:rPr>
          <w:rFonts w:ascii="Open Sans" w:eastAsia="Open Sans" w:hAnsi="Open Sans" w:cs="Open Sans"/>
          <w:color w:val="000000" w:themeColor="text1"/>
          <w:sz w:val="20"/>
          <w:szCs w:val="20"/>
          <w:lang w:val="en-GB"/>
        </w:rPr>
        <w:t>UAntwerpen</w:t>
      </w:r>
      <w:proofErr w:type="spellEnd"/>
      <w:r w:rsidRPr="076A6AC9">
        <w:rPr>
          <w:rFonts w:ascii="Open Sans" w:eastAsia="Open Sans" w:hAnsi="Open Sans" w:cs="Open Sans"/>
          <w:color w:val="000000" w:themeColor="text1"/>
          <w:sz w:val="20"/>
          <w:szCs w:val="20"/>
          <w:lang w:val="en-GB"/>
        </w:rPr>
        <w:t xml:space="preserve">). </w:t>
      </w:r>
      <w:r w:rsidRPr="076A6AC9">
        <w:rPr>
          <w:rFonts w:ascii="Open Sans" w:eastAsia="Open Sans" w:hAnsi="Open Sans" w:cs="Open Sans"/>
          <w:sz w:val="20"/>
          <w:szCs w:val="20"/>
        </w:rPr>
        <w:t xml:space="preserve">Her research focuses on the (re)presentation of gender and other social markers in politics and policies. </w:t>
      </w:r>
      <w:r w:rsidRPr="076A6AC9">
        <w:rPr>
          <w:rFonts w:ascii="Open Sans" w:eastAsia="Open Sans" w:hAnsi="Open Sans" w:cs="Open Sans"/>
          <w:color w:val="000000" w:themeColor="text1"/>
          <w:sz w:val="20"/>
          <w:szCs w:val="20"/>
          <w:lang w:val="en-GB"/>
        </w:rPr>
        <w:t>She investigates how (in)formal institutions (re)produce inequality, dynamics of exclusion in political spaces and how this shapes power relations among social groups, and what contributes to fostering equality in a sustainable way.</w:t>
      </w:r>
    </w:p>
    <w:p w14:paraId="07E19791" w14:textId="79BF609C" w:rsidR="00DF337D" w:rsidRPr="00DF337D" w:rsidRDefault="00DF337D" w:rsidP="00DF337D">
      <w:pPr>
        <w:jc w:val="both"/>
        <w:rPr>
          <w:rFonts w:ascii="Open Sans" w:eastAsia="Open Sans" w:hAnsi="Open Sans" w:cs="Open Sans"/>
          <w:color w:val="000000" w:themeColor="text1"/>
          <w:sz w:val="20"/>
          <w:szCs w:val="20"/>
        </w:rPr>
      </w:pPr>
      <w:r w:rsidRPr="00DF337D">
        <w:rPr>
          <w:rFonts w:ascii="Open Sans" w:eastAsia="Open Sans" w:hAnsi="Open Sans" w:cs="Open Sans"/>
          <w:b/>
          <w:bCs/>
          <w:color w:val="000000" w:themeColor="text1"/>
          <w:sz w:val="20"/>
          <w:szCs w:val="20"/>
          <w:lang w:val="en-GB"/>
        </w:rPr>
        <w:t xml:space="preserve">Min </w:t>
      </w:r>
      <w:proofErr w:type="spellStart"/>
      <w:r w:rsidRPr="00DF337D">
        <w:rPr>
          <w:rFonts w:ascii="Open Sans" w:eastAsia="Open Sans" w:hAnsi="Open Sans" w:cs="Open Sans"/>
          <w:b/>
          <w:bCs/>
          <w:color w:val="000000" w:themeColor="text1"/>
          <w:sz w:val="20"/>
          <w:szCs w:val="20"/>
          <w:lang w:val="en-GB"/>
        </w:rPr>
        <w:t>Reuchamps</w:t>
      </w:r>
      <w:proofErr w:type="spellEnd"/>
      <w:r w:rsidRPr="076A6AC9">
        <w:rPr>
          <w:rFonts w:ascii="Open Sans" w:eastAsia="Open Sans" w:hAnsi="Open Sans" w:cs="Open Sans"/>
          <w:color w:val="000000" w:themeColor="text1"/>
          <w:sz w:val="20"/>
          <w:szCs w:val="20"/>
          <w:lang w:val="en-GB"/>
        </w:rPr>
        <w:t xml:space="preserve"> is Professor of Political Science at </w:t>
      </w:r>
      <w:proofErr w:type="spellStart"/>
      <w:r w:rsidRPr="076A6AC9">
        <w:rPr>
          <w:rFonts w:ascii="Open Sans" w:eastAsia="Open Sans" w:hAnsi="Open Sans" w:cs="Open Sans"/>
          <w:color w:val="000000" w:themeColor="text1"/>
          <w:sz w:val="20"/>
          <w:szCs w:val="20"/>
          <w:lang w:val="en-GB"/>
        </w:rPr>
        <w:t>UCLouvain</w:t>
      </w:r>
      <w:proofErr w:type="spellEnd"/>
      <w:r w:rsidRPr="076A6AC9">
        <w:rPr>
          <w:rFonts w:ascii="Open Sans" w:eastAsia="Open Sans" w:hAnsi="Open Sans" w:cs="Open Sans"/>
          <w:color w:val="000000" w:themeColor="text1"/>
          <w:sz w:val="20"/>
          <w:szCs w:val="20"/>
          <w:lang w:val="en-GB"/>
        </w:rPr>
        <w:t>, Belgium. He graduated from the Université de Liège (</w:t>
      </w:r>
      <w:proofErr w:type="spellStart"/>
      <w:r w:rsidRPr="076A6AC9">
        <w:rPr>
          <w:rFonts w:ascii="Open Sans" w:eastAsia="Open Sans" w:hAnsi="Open Sans" w:cs="Open Sans"/>
          <w:color w:val="000000" w:themeColor="text1"/>
          <w:sz w:val="20"/>
          <w:szCs w:val="20"/>
          <w:lang w:val="en-GB"/>
        </w:rPr>
        <w:t>ULiège</w:t>
      </w:r>
      <w:proofErr w:type="spellEnd"/>
      <w:r w:rsidRPr="076A6AC9">
        <w:rPr>
          <w:rFonts w:ascii="Open Sans" w:eastAsia="Open Sans" w:hAnsi="Open Sans" w:cs="Open Sans"/>
          <w:color w:val="000000" w:themeColor="text1"/>
          <w:sz w:val="20"/>
          <w:szCs w:val="20"/>
          <w:lang w:val="en-GB"/>
        </w:rPr>
        <w:t>), Belgium, and from Boston University, USA. His teaching and research interests include federalism and multi-level governance, democracy and its transformations and innovations, participatory and deliberative methods, as well as relations between language(s) and politics and in particular the role of metaphors in political discourse.</w:t>
      </w:r>
    </w:p>
    <w:p w14:paraId="1515269D" w14:textId="74805164" w:rsidR="00747088" w:rsidRDefault="00DF337D" w:rsidP="00DF337D">
      <w:r w:rsidRPr="00DF337D">
        <w:rPr>
          <w:rFonts w:ascii="Open Sans" w:eastAsia="Open Sans" w:hAnsi="Open Sans" w:cs="Open Sans"/>
          <w:b/>
          <w:bCs/>
          <w:sz w:val="20"/>
          <w:szCs w:val="20"/>
        </w:rPr>
        <w:t>Emilie van Haute</w:t>
      </w:r>
      <w:r w:rsidRPr="076A6AC9">
        <w:rPr>
          <w:rFonts w:ascii="Open Sans" w:eastAsia="Open Sans" w:hAnsi="Open Sans" w:cs="Open Sans"/>
          <w:sz w:val="20"/>
          <w:szCs w:val="20"/>
        </w:rPr>
        <w:t xml:space="preserve"> is Professor of Political Science at the Université libre de </w:t>
      </w:r>
      <w:proofErr w:type="spellStart"/>
      <w:r w:rsidRPr="076A6AC9">
        <w:rPr>
          <w:rFonts w:ascii="Open Sans" w:eastAsia="Open Sans" w:hAnsi="Open Sans" w:cs="Open Sans"/>
          <w:sz w:val="20"/>
          <w:szCs w:val="20"/>
        </w:rPr>
        <w:t>Bruxelles</w:t>
      </w:r>
      <w:proofErr w:type="spellEnd"/>
      <w:r w:rsidRPr="076A6AC9">
        <w:rPr>
          <w:rFonts w:ascii="Open Sans" w:eastAsia="Open Sans" w:hAnsi="Open Sans" w:cs="Open Sans"/>
          <w:sz w:val="20"/>
          <w:szCs w:val="20"/>
        </w:rPr>
        <w:t xml:space="preserve"> (ULB). Her research focuses on political parties, elections and voting </w:t>
      </w:r>
      <w:proofErr w:type="spellStart"/>
      <w:r w:rsidRPr="076A6AC9">
        <w:rPr>
          <w:rFonts w:ascii="Open Sans" w:eastAsia="Open Sans" w:hAnsi="Open Sans" w:cs="Open Sans"/>
          <w:sz w:val="20"/>
          <w:szCs w:val="20"/>
        </w:rPr>
        <w:t>behaviour</w:t>
      </w:r>
      <w:proofErr w:type="spellEnd"/>
      <w:r w:rsidRPr="076A6AC9">
        <w:rPr>
          <w:rFonts w:ascii="Open Sans" w:eastAsia="Open Sans" w:hAnsi="Open Sans" w:cs="Open Sans"/>
          <w:sz w:val="20"/>
          <w:szCs w:val="20"/>
        </w:rPr>
        <w:t xml:space="preserve">, political participation and representation, and democracy. She is the co-editor of the </w:t>
      </w:r>
      <w:r w:rsidRPr="076A6AC9">
        <w:rPr>
          <w:rFonts w:ascii="Open Sans" w:eastAsia="Open Sans" w:hAnsi="Open Sans" w:cs="Open Sans"/>
          <w:i/>
          <w:iCs/>
          <w:sz w:val="20"/>
          <w:szCs w:val="20"/>
        </w:rPr>
        <w:t>European Journal of Political Research</w:t>
      </w:r>
      <w:r w:rsidRPr="076A6AC9">
        <w:rPr>
          <w:rFonts w:ascii="Open Sans" w:eastAsia="Open Sans" w:hAnsi="Open Sans" w:cs="Open Sans"/>
          <w:sz w:val="20"/>
          <w:szCs w:val="20"/>
        </w:rPr>
        <w:t xml:space="preserve">. Her work has appeared in </w:t>
      </w:r>
      <w:r w:rsidRPr="076A6AC9">
        <w:rPr>
          <w:rFonts w:ascii="Open Sans" w:eastAsia="Open Sans" w:hAnsi="Open Sans" w:cs="Open Sans"/>
          <w:i/>
          <w:iCs/>
          <w:sz w:val="20"/>
          <w:szCs w:val="20"/>
        </w:rPr>
        <w:t>Electoral Studies</w:t>
      </w:r>
      <w:r w:rsidRPr="076A6AC9">
        <w:rPr>
          <w:rFonts w:ascii="Open Sans" w:eastAsia="Open Sans" w:hAnsi="Open Sans" w:cs="Open Sans"/>
          <w:sz w:val="20"/>
          <w:szCs w:val="20"/>
        </w:rPr>
        <w:t xml:space="preserve">, </w:t>
      </w:r>
      <w:r w:rsidRPr="076A6AC9">
        <w:rPr>
          <w:rFonts w:ascii="Open Sans" w:eastAsia="Open Sans" w:hAnsi="Open Sans" w:cs="Open Sans"/>
          <w:i/>
          <w:iCs/>
          <w:sz w:val="20"/>
          <w:szCs w:val="20"/>
        </w:rPr>
        <w:t>Party Politics</w:t>
      </w:r>
      <w:r w:rsidRPr="076A6AC9">
        <w:rPr>
          <w:rFonts w:ascii="Open Sans" w:eastAsia="Open Sans" w:hAnsi="Open Sans" w:cs="Open Sans"/>
          <w:sz w:val="20"/>
          <w:szCs w:val="20"/>
        </w:rPr>
        <w:t xml:space="preserve">, </w:t>
      </w:r>
      <w:r w:rsidRPr="076A6AC9">
        <w:rPr>
          <w:rFonts w:ascii="Open Sans" w:eastAsia="Open Sans" w:hAnsi="Open Sans" w:cs="Open Sans"/>
          <w:i/>
          <w:iCs/>
          <w:sz w:val="20"/>
          <w:szCs w:val="20"/>
        </w:rPr>
        <w:t>Representation</w:t>
      </w:r>
      <w:r w:rsidRPr="076A6AC9">
        <w:rPr>
          <w:rFonts w:ascii="Open Sans" w:eastAsia="Open Sans" w:hAnsi="Open Sans" w:cs="Open Sans"/>
          <w:sz w:val="20"/>
          <w:szCs w:val="20"/>
        </w:rPr>
        <w:t xml:space="preserve">, </w:t>
      </w:r>
      <w:r w:rsidRPr="076A6AC9">
        <w:rPr>
          <w:rFonts w:ascii="Open Sans" w:eastAsia="Open Sans" w:hAnsi="Open Sans" w:cs="Open Sans"/>
          <w:i/>
          <w:iCs/>
          <w:sz w:val="20"/>
          <w:szCs w:val="20"/>
        </w:rPr>
        <w:t>European Journal of Political Research</w:t>
      </w:r>
      <w:r w:rsidRPr="076A6AC9">
        <w:rPr>
          <w:rFonts w:ascii="Open Sans" w:eastAsia="Open Sans" w:hAnsi="Open Sans" w:cs="Open Sans"/>
          <w:sz w:val="20"/>
          <w:szCs w:val="20"/>
        </w:rPr>
        <w:t xml:space="preserve">, or </w:t>
      </w:r>
      <w:r w:rsidRPr="076A6AC9">
        <w:rPr>
          <w:rFonts w:ascii="Open Sans" w:eastAsia="Open Sans" w:hAnsi="Open Sans" w:cs="Open Sans"/>
          <w:i/>
          <w:iCs/>
          <w:sz w:val="20"/>
          <w:szCs w:val="20"/>
        </w:rPr>
        <w:t>Regional Studies, Regional Science</w:t>
      </w:r>
      <w:r w:rsidRPr="076A6AC9">
        <w:rPr>
          <w:rFonts w:ascii="Open Sans" w:eastAsia="Open Sans" w:hAnsi="Open Sans" w:cs="Open Sans"/>
          <w:sz w:val="20"/>
          <w:szCs w:val="20"/>
        </w:rPr>
        <w:t>.</w:t>
      </w:r>
    </w:p>
    <w:p w14:paraId="5D579235" w14:textId="38B47EA5" w:rsidR="00747088" w:rsidRDefault="00747088" w:rsidP="00747088">
      <w:pPr>
        <w:pStyle w:val="Heading1"/>
      </w:pPr>
      <w:r>
        <w:t>Description (1-2 paragraphs; max 1560 characters including spaces)</w:t>
      </w:r>
    </w:p>
    <w:p w14:paraId="2447B8A6" w14:textId="43F6036F" w:rsidR="00B43089" w:rsidRDefault="00B43089" w:rsidP="00B43089">
      <w:pPr>
        <w:pStyle w:val="NormalWeb"/>
        <w:rPr>
          <w:rFonts w:ascii="Open Sans" w:eastAsiaTheme="minorHAnsi" w:hAnsi="Open Sans" w:cs="Open Sans"/>
          <w:sz w:val="20"/>
          <w:szCs w:val="20"/>
          <w:lang w:val="en-US" w:eastAsia="en-US"/>
        </w:rPr>
      </w:pPr>
      <w:r w:rsidRPr="001B35CD">
        <w:rPr>
          <w:rFonts w:ascii="Open Sans" w:eastAsiaTheme="minorHAnsi" w:hAnsi="Open Sans" w:cs="Open Sans"/>
          <w:sz w:val="20"/>
          <w:szCs w:val="20"/>
          <w:lang w:eastAsia="en-US"/>
        </w:rPr>
        <w:t xml:space="preserve">Belgium is a paradoxical case: a country that some argue should not exist, yet one that has been a model of both democratic innovation and political fragmentation. </w:t>
      </w:r>
      <w:r w:rsidRPr="00B43089">
        <w:rPr>
          <w:rFonts w:ascii="Open Sans" w:eastAsiaTheme="minorHAnsi" w:hAnsi="Open Sans" w:cs="Open Sans"/>
          <w:i/>
          <w:iCs/>
          <w:sz w:val="20"/>
          <w:szCs w:val="20"/>
          <w:lang w:eastAsia="en-US"/>
        </w:rPr>
        <w:t>The</w:t>
      </w:r>
      <w:r w:rsidRPr="001B35CD">
        <w:rPr>
          <w:rFonts w:ascii="Open Sans" w:eastAsiaTheme="minorHAnsi" w:hAnsi="Open Sans" w:cs="Open Sans"/>
          <w:sz w:val="20"/>
          <w:szCs w:val="20"/>
          <w:lang w:eastAsia="en-US"/>
        </w:rPr>
        <w:t xml:space="preserve"> </w:t>
      </w:r>
      <w:r w:rsidRPr="001B35CD">
        <w:rPr>
          <w:rFonts w:ascii="Open Sans" w:eastAsiaTheme="minorHAnsi" w:hAnsi="Open Sans" w:cs="Open Sans"/>
          <w:i/>
          <w:iCs/>
          <w:sz w:val="20"/>
          <w:szCs w:val="20"/>
          <w:lang w:eastAsia="en-US"/>
        </w:rPr>
        <w:t>Oxford Handbook of Belgian Politics</w:t>
      </w:r>
      <w:r w:rsidRPr="001B35CD">
        <w:rPr>
          <w:rFonts w:ascii="Open Sans" w:eastAsiaTheme="minorHAnsi" w:hAnsi="Open Sans" w:cs="Open Sans"/>
          <w:sz w:val="20"/>
          <w:szCs w:val="20"/>
          <w:lang w:eastAsia="en-US"/>
        </w:rPr>
        <w:t xml:space="preserve"> dissects Belgium’s unique institutional architecture, its complex linguistic and community divides, and its evolving federal structure. Despite its small size and historically precarious existence, Belgium has played an outsized role in both political practice and political science scholarship. This volume brings together leading Belgian and international scholars to provide a comprehensive examination of Belgian politics, offering insights that extend far beyond its borders.</w:t>
      </w:r>
    </w:p>
    <w:p w14:paraId="12139D38" w14:textId="4FEE836D" w:rsidR="00B43089" w:rsidRPr="00B43089" w:rsidRDefault="00B43089" w:rsidP="00B43089">
      <w:pPr>
        <w:pStyle w:val="NormalWeb"/>
        <w:rPr>
          <w:rFonts w:ascii="Open Sans" w:eastAsiaTheme="minorHAnsi" w:hAnsi="Open Sans" w:cs="Open Sans"/>
          <w:sz w:val="20"/>
          <w:szCs w:val="20"/>
          <w:lang w:val="en-US" w:eastAsia="en-US"/>
        </w:rPr>
      </w:pPr>
      <w:r w:rsidRPr="001B35CD">
        <w:rPr>
          <w:rFonts w:ascii="Open Sans" w:eastAsiaTheme="minorHAnsi" w:hAnsi="Open Sans" w:cs="Open Sans"/>
          <w:sz w:val="20"/>
          <w:szCs w:val="20"/>
          <w:lang w:eastAsia="en-US"/>
        </w:rPr>
        <w:t xml:space="preserve">Structured into five thematic sections, the Handbook explores key dimensions of Belgian polity, politics, and policies. </w:t>
      </w:r>
      <w:r>
        <w:rPr>
          <w:rFonts w:ascii="Open Sans" w:eastAsiaTheme="minorHAnsi" w:hAnsi="Open Sans" w:cs="Open Sans"/>
          <w:sz w:val="20"/>
          <w:szCs w:val="20"/>
          <w:lang w:val="en-US" w:eastAsia="en-US"/>
        </w:rPr>
        <w:t>In</w:t>
      </w:r>
      <w:r w:rsidRPr="001B35CD">
        <w:rPr>
          <w:rFonts w:ascii="Open Sans" w:eastAsiaTheme="minorHAnsi" w:hAnsi="Open Sans" w:cs="Open Sans"/>
          <w:sz w:val="20"/>
          <w:szCs w:val="20"/>
          <w:lang w:eastAsia="en-US"/>
        </w:rPr>
        <w:t xml:space="preserve"> forty meticulously crafted chapters, contributors analyze how Belgian politics </w:t>
      </w:r>
      <w:r w:rsidRPr="001B35CD">
        <w:rPr>
          <w:rFonts w:ascii="Open Sans" w:eastAsiaTheme="minorHAnsi" w:hAnsi="Open Sans" w:cs="Open Sans"/>
          <w:sz w:val="20"/>
          <w:szCs w:val="20"/>
          <w:lang w:eastAsia="en-US"/>
        </w:rPr>
        <w:lastRenderedPageBreak/>
        <w:t>serves as both an inspiration and a cautionary tale. The country has pioneered electoral reforms, social policies, and LGBTQI+ rights, positioning itself as a laboratory of democratic experimentation. At the same time, it has experienced extreme governmental instability, record-breaking coalition negotiations, and a deeply entrenched partitocracy.</w:t>
      </w:r>
      <w:r w:rsidRPr="00B43089">
        <w:rPr>
          <w:rFonts w:ascii="Open Sans" w:eastAsiaTheme="minorHAnsi" w:hAnsi="Open Sans" w:cs="Open Sans"/>
          <w:sz w:val="20"/>
          <w:szCs w:val="20"/>
          <w:lang w:eastAsia="en-US"/>
        </w:rPr>
        <w:t xml:space="preserve"> </w:t>
      </w:r>
      <w:r w:rsidRPr="001B35CD">
        <w:rPr>
          <w:rFonts w:ascii="Open Sans" w:eastAsiaTheme="minorHAnsi" w:hAnsi="Open Sans" w:cs="Open Sans"/>
          <w:sz w:val="20"/>
          <w:szCs w:val="20"/>
          <w:lang w:eastAsia="en-US"/>
        </w:rPr>
        <w:t>Whether viewed as a beacon of democratic resilience or an emblem of institutional gridlock, Belgium remains a compelling case for understanding the broader dynamics of governance in divided and multilingual societies worldwide.</w:t>
      </w:r>
    </w:p>
    <w:p w14:paraId="2A5654B1" w14:textId="7DA73A48" w:rsidR="00747088" w:rsidRDefault="00747088" w:rsidP="00F5477D">
      <w:pPr>
        <w:pStyle w:val="Heading1"/>
      </w:pPr>
      <w:r>
        <w:t>Online-only: selling points (each starts with a verb)</w:t>
      </w:r>
    </w:p>
    <w:p w14:paraId="698E9844" w14:textId="77777777" w:rsidR="00F5477D" w:rsidRDefault="00F5477D" w:rsidP="00F5477D">
      <w:r>
        <w:t>Systematically embeds research on the Belgian case in comparative international perspective</w:t>
      </w:r>
    </w:p>
    <w:p w14:paraId="244C2AFE" w14:textId="77777777" w:rsidR="00F5477D" w:rsidRDefault="00F5477D" w:rsidP="00F5477D">
      <w:r>
        <w:t>Offers comprehensive overview of the literature on most facets of Belgian politics</w:t>
      </w:r>
    </w:p>
    <w:p w14:paraId="0607AD9D" w14:textId="7AF0A999" w:rsidR="00F5477D" w:rsidRDefault="00F5477D" w:rsidP="00F5477D">
      <w:r>
        <w:t>Identifies avenues for future research for scholars in specific fields, beyond the Belgian case</w:t>
      </w:r>
    </w:p>
    <w:p w14:paraId="3D23DCC5" w14:textId="1B2F70D0" w:rsidR="00747088" w:rsidRDefault="00F5477D" w:rsidP="00F5477D">
      <w:r>
        <w:t xml:space="preserve">Achieves </w:t>
      </w:r>
      <w:proofErr w:type="gramStart"/>
      <w:r>
        <w:t>a great</w:t>
      </w:r>
      <w:proofErr w:type="gramEnd"/>
      <w:r>
        <w:t xml:space="preserve"> diversity in terms of institutional affiliations, language, gender, seniority, or field of expertise</w:t>
      </w:r>
    </w:p>
    <w:sectPr w:rsidR="007470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FF6"/>
    <w:rsid w:val="00590761"/>
    <w:rsid w:val="00747088"/>
    <w:rsid w:val="007F48B9"/>
    <w:rsid w:val="00826150"/>
    <w:rsid w:val="00B43089"/>
    <w:rsid w:val="00CA3FF6"/>
    <w:rsid w:val="00CF79E3"/>
    <w:rsid w:val="00DF337D"/>
    <w:rsid w:val="00F54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427F9"/>
  <w15:chartTrackingRefBased/>
  <w15:docId w15:val="{5CDEEABA-495C-428D-8D17-D635637A3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3F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3F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3F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3F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3F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3F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3F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3F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3F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3F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3F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3F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3F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3F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3F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3F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3F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3FF6"/>
    <w:rPr>
      <w:rFonts w:eastAsiaTheme="majorEastAsia" w:cstheme="majorBidi"/>
      <w:color w:val="272727" w:themeColor="text1" w:themeTint="D8"/>
    </w:rPr>
  </w:style>
  <w:style w:type="paragraph" w:styleId="Title">
    <w:name w:val="Title"/>
    <w:basedOn w:val="Normal"/>
    <w:next w:val="Normal"/>
    <w:link w:val="TitleChar"/>
    <w:uiPriority w:val="10"/>
    <w:qFormat/>
    <w:rsid w:val="00CA3F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3F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3F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3F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3FF6"/>
    <w:pPr>
      <w:spacing w:before="160"/>
      <w:jc w:val="center"/>
    </w:pPr>
    <w:rPr>
      <w:i/>
      <w:iCs/>
      <w:color w:val="404040" w:themeColor="text1" w:themeTint="BF"/>
    </w:rPr>
  </w:style>
  <w:style w:type="character" w:customStyle="1" w:styleId="QuoteChar">
    <w:name w:val="Quote Char"/>
    <w:basedOn w:val="DefaultParagraphFont"/>
    <w:link w:val="Quote"/>
    <w:uiPriority w:val="29"/>
    <w:rsid w:val="00CA3FF6"/>
    <w:rPr>
      <w:i/>
      <w:iCs/>
      <w:color w:val="404040" w:themeColor="text1" w:themeTint="BF"/>
    </w:rPr>
  </w:style>
  <w:style w:type="paragraph" w:styleId="ListParagraph">
    <w:name w:val="List Paragraph"/>
    <w:basedOn w:val="Normal"/>
    <w:uiPriority w:val="34"/>
    <w:qFormat/>
    <w:rsid w:val="00CA3FF6"/>
    <w:pPr>
      <w:ind w:left="720"/>
      <w:contextualSpacing/>
    </w:pPr>
  </w:style>
  <w:style w:type="character" w:styleId="IntenseEmphasis">
    <w:name w:val="Intense Emphasis"/>
    <w:basedOn w:val="DefaultParagraphFont"/>
    <w:uiPriority w:val="21"/>
    <w:qFormat/>
    <w:rsid w:val="00CA3FF6"/>
    <w:rPr>
      <w:i/>
      <w:iCs/>
      <w:color w:val="0F4761" w:themeColor="accent1" w:themeShade="BF"/>
    </w:rPr>
  </w:style>
  <w:style w:type="paragraph" w:styleId="IntenseQuote">
    <w:name w:val="Intense Quote"/>
    <w:basedOn w:val="Normal"/>
    <w:next w:val="Normal"/>
    <w:link w:val="IntenseQuoteChar"/>
    <w:uiPriority w:val="30"/>
    <w:qFormat/>
    <w:rsid w:val="00CA3F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3FF6"/>
    <w:rPr>
      <w:i/>
      <w:iCs/>
      <w:color w:val="0F4761" w:themeColor="accent1" w:themeShade="BF"/>
    </w:rPr>
  </w:style>
  <w:style w:type="character" w:styleId="IntenseReference">
    <w:name w:val="Intense Reference"/>
    <w:basedOn w:val="DefaultParagraphFont"/>
    <w:uiPriority w:val="32"/>
    <w:qFormat/>
    <w:rsid w:val="00CA3FF6"/>
    <w:rPr>
      <w:b/>
      <w:bCs/>
      <w:smallCaps/>
      <w:color w:val="0F4761" w:themeColor="accent1" w:themeShade="BF"/>
      <w:spacing w:val="5"/>
    </w:rPr>
  </w:style>
  <w:style w:type="character" w:styleId="Hyperlink">
    <w:name w:val="Hyperlink"/>
    <w:basedOn w:val="DefaultParagraphFont"/>
    <w:uiPriority w:val="99"/>
    <w:unhideWhenUsed/>
    <w:rsid w:val="00DF337D"/>
    <w:rPr>
      <w:color w:val="467886" w:themeColor="hyperlink"/>
      <w:u w:val="single"/>
    </w:rPr>
  </w:style>
  <w:style w:type="paragraph" w:styleId="Revision">
    <w:name w:val="Revision"/>
    <w:hidden/>
    <w:uiPriority w:val="99"/>
    <w:semiHidden/>
    <w:rsid w:val="00DF337D"/>
    <w:pPr>
      <w:spacing w:after="0" w:line="240" w:lineRule="auto"/>
    </w:pPr>
  </w:style>
  <w:style w:type="paragraph" w:styleId="NormalWeb">
    <w:name w:val="Normal (Web)"/>
    <w:basedOn w:val="Normal"/>
    <w:uiPriority w:val="99"/>
    <w:unhideWhenUsed/>
    <w:rsid w:val="00B43089"/>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38C593CEF2404DAB077F987914299A" ma:contentTypeVersion="14" ma:contentTypeDescription="Crée un document." ma:contentTypeScope="" ma:versionID="88427adfef95859c705608b5af28ea93">
  <xsd:schema xmlns:xsd="http://www.w3.org/2001/XMLSchema" xmlns:xs="http://www.w3.org/2001/XMLSchema" xmlns:p="http://schemas.microsoft.com/office/2006/metadata/properties" xmlns:ns2="e987359d-a2bb-48f7-a222-4f6937f7dea0" xmlns:ns3="3e3f592e-70de-40a5-add5-2cc6baddb41e" targetNamespace="http://schemas.microsoft.com/office/2006/metadata/properties" ma:root="true" ma:fieldsID="845b536bfea942d50f0ca4de843b3c05" ns2:_="" ns3:_="">
    <xsd:import namespace="e987359d-a2bb-48f7-a222-4f6937f7dea0"/>
    <xsd:import namespace="3e3f592e-70de-40a5-add5-2cc6baddb4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87359d-a2bb-48f7-a222-4f6937f7de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Balises d’images" ma:readOnly="false" ma:fieldId="{5cf76f15-5ced-4ddc-b409-7134ff3c332f}" ma:taxonomyMulti="true" ma:sspId="6e87909b-6f91-4c34-a78b-ec0d666c48e5"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e3f592e-70de-40a5-add5-2cc6baddb41e" elementFormDefault="qualified">
    <xsd:import namespace="http://schemas.microsoft.com/office/2006/documentManagement/types"/>
    <xsd:import namespace="http://schemas.microsoft.com/office/infopath/2007/PartnerControls"/>
    <xsd:element name="SharedWithUsers" ma:index="16"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Partagé avec détails" ma:internalName="SharedWithDetails" ma:readOnly="true">
      <xsd:simpleType>
        <xsd:restriction base="dms:Note">
          <xsd:maxLength value="255"/>
        </xsd:restriction>
      </xsd:simpleType>
    </xsd:element>
    <xsd:element name="TaxCatchAll" ma:index="20" nillable="true" ma:displayName="Taxonomy Catch All Column" ma:hidden="true" ma:list="{e4f636a7-5865-435d-9684-a38e7ffd893b}" ma:internalName="TaxCatchAll" ma:showField="CatchAllData" ma:web="3e3f592e-70de-40a5-add5-2cc6baddb4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e3f592e-70de-40a5-add5-2cc6baddb41e" xsi:nil="true"/>
    <lcf76f155ced4ddcb4097134ff3c332f xmlns="e987359d-a2bb-48f7-a222-4f6937f7dea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B351B2E-1915-47D0-A11A-97CFA78201B0}"/>
</file>

<file path=customXml/itemProps2.xml><?xml version="1.0" encoding="utf-8"?>
<ds:datastoreItem xmlns:ds="http://schemas.openxmlformats.org/officeDocument/2006/customXml" ds:itemID="{C969F619-EBFF-47B1-84E6-51B20964A1A4}"/>
</file>

<file path=customXml/itemProps3.xml><?xml version="1.0" encoding="utf-8"?>
<ds:datastoreItem xmlns:ds="http://schemas.openxmlformats.org/officeDocument/2006/customXml" ds:itemID="{8B50695B-EFFF-4D20-8CFC-AB50861C1AE7}"/>
</file>

<file path=docProps/app.xml><?xml version="1.0" encoding="utf-8"?>
<Properties xmlns="http://schemas.openxmlformats.org/officeDocument/2006/extended-properties" xmlns:vt="http://schemas.openxmlformats.org/officeDocument/2006/docPropsVTypes">
  <Template>Normal</Template>
  <TotalTime>18</TotalTime>
  <Pages>2</Pages>
  <Words>571</Words>
  <Characters>3259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Mitchell</dc:creator>
  <cp:keywords/>
  <dc:description/>
  <cp:lastModifiedBy>Holly Mitchell</cp:lastModifiedBy>
  <cp:revision>4</cp:revision>
  <dcterms:created xsi:type="dcterms:W3CDTF">2025-02-12T21:04:00Z</dcterms:created>
  <dcterms:modified xsi:type="dcterms:W3CDTF">2025-03-27T20:53:00Z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5cb09a-2992-49d6-8ac9-5f63e7b1ad2f_Enabled">
    <vt:lpwstr>true</vt:lpwstr>
  </property>
  <property fmtid="{D5CDD505-2E9C-101B-9397-08002B2CF9AE}" pid="3" name="MSIP_Label_be5cb09a-2992-49d6-8ac9-5f63e7b1ad2f_SetDate">
    <vt:lpwstr>2025-02-12T21:07:31Z</vt:lpwstr>
  </property>
  <property fmtid="{D5CDD505-2E9C-101B-9397-08002B2CF9AE}" pid="4" name="MSIP_Label_be5cb09a-2992-49d6-8ac9-5f63e7b1ad2f_Method">
    <vt:lpwstr>Standard</vt:lpwstr>
  </property>
  <property fmtid="{D5CDD505-2E9C-101B-9397-08002B2CF9AE}" pid="5" name="MSIP_Label_be5cb09a-2992-49d6-8ac9-5f63e7b1ad2f_Name">
    <vt:lpwstr>Controlled</vt:lpwstr>
  </property>
  <property fmtid="{D5CDD505-2E9C-101B-9397-08002B2CF9AE}" pid="6" name="MSIP_Label_be5cb09a-2992-49d6-8ac9-5f63e7b1ad2f_SiteId">
    <vt:lpwstr>91761b62-4c45-43f5-9f0e-be8ad9b551ff</vt:lpwstr>
  </property>
  <property fmtid="{D5CDD505-2E9C-101B-9397-08002B2CF9AE}" pid="7" name="MSIP_Label_be5cb09a-2992-49d6-8ac9-5f63e7b1ad2f_ActionId">
    <vt:lpwstr>e3997d72-dfe5-415c-a18d-bbe5897e2b17</vt:lpwstr>
  </property>
  <property fmtid="{D5CDD505-2E9C-101B-9397-08002B2CF9AE}" pid="8" name="MSIP_Label_be5cb09a-2992-49d6-8ac9-5f63e7b1ad2f_ContentBits">
    <vt:lpwstr>0</vt:lpwstr>
  </property>
  <property fmtid="{D5CDD505-2E9C-101B-9397-08002B2CF9AE}" pid="9" name="MSIP_Label_be5cb09a-2992-49d6-8ac9-5f63e7b1ad2f_Tag">
    <vt:lpwstr>10, 3, 0, 1</vt:lpwstr>
  </property>
  <property fmtid="{D5CDD505-2E9C-101B-9397-08002B2CF9AE}" pid="10" name="ContentTypeId">
    <vt:lpwstr>0x0101005738C593CEF2404DAB077F987914299A</vt:lpwstr>
  </property>
</Properties>
</file>