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2B" w:rsidRDefault="0038162B" w:rsidP="0038162B">
      <w:pPr>
        <w:spacing w:before="75" w:after="24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</w:pPr>
      <w:r w:rsidRPr="0038162B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  <w:t>e14060</w:t>
      </w:r>
    </w:p>
    <w:p w:rsidR="0038162B" w:rsidRPr="0038162B" w:rsidRDefault="0038162B" w:rsidP="0038162B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</w:pPr>
      <w:r w:rsidRPr="003816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  <w:t xml:space="preserve">Phase II trial of preoperative radiotherapy (RT) and </w:t>
      </w:r>
      <w:proofErr w:type="spellStart"/>
      <w:r w:rsidRPr="003816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  <w:t>panitumumab</w:t>
      </w:r>
      <w:proofErr w:type="spellEnd"/>
      <w:r w:rsidRPr="003816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  <w:t xml:space="preserve"> (PAN) in KRAS wild type (</w:t>
      </w:r>
      <w:proofErr w:type="spellStart"/>
      <w:r w:rsidRPr="003816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  <w:t>wt</w:t>
      </w:r>
      <w:proofErr w:type="spellEnd"/>
      <w:r w:rsidRPr="003816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val="en-US" w:eastAsia="fr-BE"/>
        </w:rPr>
        <w:t>) rectal cancer (RC).</w:t>
      </w:r>
      <w:bookmarkStart w:id="0" w:name="_GoBack"/>
      <w:bookmarkEnd w:id="0"/>
    </w:p>
    <w:p w:rsidR="0038162B" w:rsidRDefault="0038162B" w:rsidP="0038162B">
      <w:pPr>
        <w:spacing w:before="75" w:after="24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</w:pPr>
      <w:r w:rsidRPr="0038162B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  <w:t>Background: 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The addition of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anti Epidermal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Growth Factor Receptor (EGFR) monoclonal antibodies (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) to preoperative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chemoradiation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in RC has produced low pathological complete response (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pCR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) rate. The postulated reasons for the poor outcome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are: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lack of patient selection, suboptimal treatment sequencing, and potential negative interaction between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and chemotherapy (CT) when used concurrently as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radiosensitizers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. Given these issues, we conducted a phase II trial of PAN in combination with preoperative RT in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Kras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wt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RC. </w:t>
      </w:r>
      <w:r w:rsidRPr="0038162B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  <w:t>Methods: 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We studied several treatment sequences in murine models of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Kras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wt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human colorectal cancer. Next, we used our preclinical results to design the treatment schedule of the phase II trial. PAN (6mg/kg/q2w) was combined with RT (45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Gy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) to treat T3-4,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Kras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wt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RC. Surgery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was done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6-8 weeks after the end of RT. The primary endpoint, the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pCR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rate on surgical specimen, was assessed centrally (Simon: H0=5%, H1=17%, 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eastAsia="fr-BE"/>
        </w:rPr>
        <w:t>α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=0.05, 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eastAsia="fr-BE"/>
        </w:rPr>
        <w:t>β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=0.2). </w:t>
      </w:r>
      <w:r w:rsidRPr="0038162B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  <w:t>Results: 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In our murine models, the addition of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to RT significantly improved response when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were started during RT and extended after the end of RT (p&lt;0.05). No benefit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was found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when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were given before the start of RT. In the phase II trial, we therefore started RT on day 1 and introduced PAN 7 days later (day 8). After RT ended (day 36), PAN treatment was continued to day 50. To fully explore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PAN’s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potential as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radiosensitizer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, CT was not given during RT but postoperatively.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19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patients were evaluable for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pCR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.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47%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of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tumours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were cT3N+. Hypomagnesemia (16%) and hypophosphatemia (16%) were most common grade ≥3 toxicities. As no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pCR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was found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, the study was closed prematurely for lack of efficacy according to the statistical rule. </w:t>
      </w:r>
      <w:proofErr w:type="gram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7</w:t>
      </w:r>
      <w:proofErr w:type="gram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patients (41%) had &gt;50% pathological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tumour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regression (grade 3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Dworak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) and 12 (70%) showed &gt;2mm of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tumour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-free circumferential resection margin. </w:t>
      </w:r>
      <w:r w:rsidRPr="0038162B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BE"/>
        </w:rPr>
        <w:t>Conclusions: </w:t>
      </w: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Preclinical data confirm the need of optimal treatment sequencing to potentiate synergism between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and RT. However, the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pCR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rate in our phase II trial remains low despite adequate patient selection and optimized study design. Thus, we do not recommend the concurrent use of anti EGFR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mabs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and RT in the </w:t>
      </w:r>
      <w:proofErr w:type="spellStart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neoadjuvant</w:t>
      </w:r>
      <w:proofErr w:type="spellEnd"/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 xml:space="preserve"> treatment of RC.</w:t>
      </w:r>
    </w:p>
    <w:p w:rsidR="0038162B" w:rsidRPr="0038162B" w:rsidRDefault="0038162B" w:rsidP="0038162B">
      <w:pPr>
        <w:spacing w:before="75" w:after="24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</w:pP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ARTICLE CITATION</w:t>
      </w:r>
    </w:p>
    <w:p w:rsidR="0038162B" w:rsidRPr="0038162B" w:rsidRDefault="0038162B" w:rsidP="0038162B">
      <w:pPr>
        <w:spacing w:before="75" w:after="24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</w:pP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DOI: 10.1200/jco.2012.30.15_suppl.e14060 Journal of Cli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nical Oncology 30, no. 15_suppl</w:t>
      </w:r>
    </w:p>
    <w:p w:rsidR="0038162B" w:rsidRPr="0038162B" w:rsidRDefault="0038162B" w:rsidP="0038162B">
      <w:pPr>
        <w:spacing w:before="75" w:after="24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</w:pP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Published online May 20, 2012.</w:t>
      </w:r>
    </w:p>
    <w:p w:rsidR="000433E0" w:rsidRPr="0038162B" w:rsidRDefault="0038162B" w:rsidP="0038162B">
      <w:pPr>
        <w:rPr>
          <w:lang w:val="en-US"/>
        </w:rPr>
      </w:pPr>
      <w:r w:rsidRPr="0038162B">
        <w:rPr>
          <w:rFonts w:ascii="Arial" w:eastAsia="Times New Roman" w:hAnsi="Arial" w:cs="Arial"/>
          <w:color w:val="000000"/>
          <w:sz w:val="21"/>
          <w:szCs w:val="21"/>
          <w:lang w:val="en-US" w:eastAsia="fr-BE"/>
        </w:rPr>
        <w:t>© 2012 by American Society of Clinical Oncology</w:t>
      </w:r>
    </w:p>
    <w:sectPr w:rsidR="000433E0" w:rsidRPr="00381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2B"/>
    <w:rsid w:val="000433E0"/>
    <w:rsid w:val="0038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B12B"/>
  <w15:chartTrackingRefBased/>
  <w15:docId w15:val="{399D0D69-281E-48AE-B7D5-FE408660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81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38162B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Cliniques Universitaires Saint-Luc (CUSL)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MOURLHOU Paul</dc:creator>
  <cp:keywords/>
  <dc:description/>
  <cp:lastModifiedBy>MOURLHOU Paul</cp:lastModifiedBy>
  <cp:revision>1</cp:revision>
  <dcterms:created xsi:type="dcterms:W3CDTF">2023-09-14T16:05:00Z</dcterms:created>
  <dcterms:modified xsi:type="dcterms:W3CDTF">2023-09-14T16:05:00Z</dcterms:modified>
</cp:coreProperties>
</file>