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4750E4" w14:textId="2B2CBD3D" w:rsidR="004554E9" w:rsidRPr="0004467D" w:rsidRDefault="00485984" w:rsidP="004554E9">
      <w:pPr>
        <w:spacing w:after="0"/>
        <w:jc w:val="both"/>
        <w:rPr>
          <w:lang w:val="fr-BE"/>
        </w:rPr>
      </w:pPr>
      <w:r>
        <w:rPr>
          <w:lang w:val="en-US"/>
        </w:rPr>
        <w:t xml:space="preserve">Clairy Palyvou, </w:t>
      </w:r>
      <w:proofErr w:type="spellStart"/>
      <w:r w:rsidR="004554E9" w:rsidRPr="004554E9">
        <w:rPr>
          <w:i/>
          <w:iCs/>
          <w:lang w:val="en-US"/>
        </w:rPr>
        <w:t>Daidalos</w:t>
      </w:r>
      <w:proofErr w:type="spellEnd"/>
      <w:r w:rsidR="004554E9" w:rsidRPr="004554E9">
        <w:rPr>
          <w:i/>
          <w:iCs/>
          <w:lang w:val="en-US"/>
        </w:rPr>
        <w:t xml:space="preserve"> at </w:t>
      </w:r>
      <w:r w:rsidR="000E25E1">
        <w:rPr>
          <w:i/>
          <w:iCs/>
          <w:lang w:val="en-US"/>
        </w:rPr>
        <w:t>w</w:t>
      </w:r>
      <w:r w:rsidR="004554E9" w:rsidRPr="004554E9">
        <w:rPr>
          <w:i/>
          <w:iCs/>
          <w:lang w:val="en-US"/>
        </w:rPr>
        <w:t xml:space="preserve">ork. A </w:t>
      </w:r>
      <w:r w:rsidR="000E25E1">
        <w:rPr>
          <w:i/>
          <w:iCs/>
          <w:lang w:val="en-US"/>
        </w:rPr>
        <w:t>p</w:t>
      </w:r>
      <w:r w:rsidR="004554E9" w:rsidRPr="004554E9">
        <w:rPr>
          <w:i/>
          <w:iCs/>
          <w:lang w:val="en-US"/>
        </w:rPr>
        <w:t xml:space="preserve">henomenological </w:t>
      </w:r>
      <w:r w:rsidR="000E25E1">
        <w:rPr>
          <w:i/>
          <w:iCs/>
          <w:lang w:val="en-US"/>
        </w:rPr>
        <w:t>a</w:t>
      </w:r>
      <w:r w:rsidR="004554E9" w:rsidRPr="004554E9">
        <w:rPr>
          <w:i/>
          <w:iCs/>
          <w:lang w:val="en-US"/>
        </w:rPr>
        <w:t xml:space="preserve">pproach to the </w:t>
      </w:r>
      <w:r w:rsidR="000E25E1">
        <w:rPr>
          <w:i/>
          <w:iCs/>
          <w:lang w:val="en-US"/>
        </w:rPr>
        <w:t>s</w:t>
      </w:r>
      <w:r w:rsidR="004554E9" w:rsidRPr="004554E9">
        <w:rPr>
          <w:i/>
          <w:iCs/>
          <w:lang w:val="en-US"/>
        </w:rPr>
        <w:t xml:space="preserve">tudy of Minoan </w:t>
      </w:r>
      <w:r w:rsidR="000E25E1">
        <w:rPr>
          <w:i/>
          <w:iCs/>
          <w:lang w:val="en-US"/>
        </w:rPr>
        <w:t>a</w:t>
      </w:r>
      <w:r w:rsidR="004554E9" w:rsidRPr="004554E9">
        <w:rPr>
          <w:i/>
          <w:iCs/>
          <w:lang w:val="en-US"/>
        </w:rPr>
        <w:t>rchitecture</w:t>
      </w:r>
      <w:r w:rsidR="004554E9">
        <w:rPr>
          <w:lang w:val="en-US"/>
        </w:rPr>
        <w:t xml:space="preserve">, </w:t>
      </w:r>
      <w:r>
        <w:rPr>
          <w:lang w:val="en-US"/>
        </w:rPr>
        <w:t xml:space="preserve">INSTAP Academic Press, Philadelphia, PA (2018). </w:t>
      </w:r>
      <w:r w:rsidR="0092048B" w:rsidRPr="0004467D">
        <w:rPr>
          <w:lang w:val="fr-BE"/>
        </w:rPr>
        <w:t xml:space="preserve">Compte-rendu par Maud Devolder (AEGIS </w:t>
      </w:r>
      <w:proofErr w:type="spellStart"/>
      <w:r w:rsidR="0092048B" w:rsidRPr="0004467D">
        <w:rPr>
          <w:lang w:val="fr-BE"/>
        </w:rPr>
        <w:t>Research</w:t>
      </w:r>
      <w:proofErr w:type="spellEnd"/>
      <w:r w:rsidR="0092048B" w:rsidRPr="0004467D">
        <w:rPr>
          <w:lang w:val="fr-BE"/>
        </w:rPr>
        <w:t xml:space="preserve"> Group – UCLouva</w:t>
      </w:r>
      <w:r w:rsidR="00B66082" w:rsidRPr="0004467D">
        <w:rPr>
          <w:lang w:val="fr-BE"/>
        </w:rPr>
        <w:t>i</w:t>
      </w:r>
      <w:r w:rsidR="0092048B" w:rsidRPr="0004467D">
        <w:rPr>
          <w:lang w:val="fr-BE"/>
        </w:rPr>
        <w:t>n, INCAL/CEMA)</w:t>
      </w:r>
    </w:p>
    <w:p w14:paraId="37F72680" w14:textId="77777777" w:rsidR="0092048B" w:rsidRPr="0004467D" w:rsidRDefault="0092048B" w:rsidP="004554E9">
      <w:pPr>
        <w:spacing w:after="0"/>
        <w:jc w:val="both"/>
        <w:rPr>
          <w:lang w:val="fr-BE"/>
        </w:rPr>
      </w:pPr>
    </w:p>
    <w:p w14:paraId="1F8CD704" w14:textId="4A66489F" w:rsidR="007047E1" w:rsidRDefault="0092048B" w:rsidP="004554E9">
      <w:pPr>
        <w:spacing w:after="0"/>
        <w:jc w:val="both"/>
        <w:rPr>
          <w:lang w:val="fr-BE"/>
        </w:rPr>
      </w:pPr>
      <w:r>
        <w:rPr>
          <w:lang w:val="fr-BE"/>
        </w:rPr>
        <w:t xml:space="preserve">Clairy Palyvou offre dans cet ouvrage une lecture phénoménologique de l’architecture </w:t>
      </w:r>
      <w:r w:rsidR="000E02BB">
        <w:rPr>
          <w:lang w:val="fr-BE"/>
        </w:rPr>
        <w:t xml:space="preserve">du </w:t>
      </w:r>
      <w:r w:rsidR="00DE07FF">
        <w:rPr>
          <w:lang w:val="fr-BE"/>
        </w:rPr>
        <w:t>2</w:t>
      </w:r>
      <w:r w:rsidR="00DE07FF" w:rsidRPr="00DE07FF">
        <w:rPr>
          <w:vertAlign w:val="superscript"/>
          <w:lang w:val="fr-BE"/>
        </w:rPr>
        <w:t>ème</w:t>
      </w:r>
      <w:r w:rsidR="0004467D">
        <w:rPr>
          <w:lang w:val="fr-BE"/>
        </w:rPr>
        <w:t> </w:t>
      </w:r>
      <w:r w:rsidR="000E02BB">
        <w:rPr>
          <w:lang w:val="fr-BE"/>
        </w:rPr>
        <w:t>millénaire</w:t>
      </w:r>
      <w:r>
        <w:rPr>
          <w:lang w:val="fr-BE"/>
        </w:rPr>
        <w:t xml:space="preserve"> </w:t>
      </w:r>
      <w:r w:rsidR="00DE07FF">
        <w:rPr>
          <w:lang w:val="fr-BE"/>
        </w:rPr>
        <w:t xml:space="preserve">av. J.-C. </w:t>
      </w:r>
      <w:r>
        <w:rPr>
          <w:lang w:val="fr-BE"/>
        </w:rPr>
        <w:t>en Crète et sur le site d’Akrotiri-</w:t>
      </w:r>
      <w:proofErr w:type="spellStart"/>
      <w:r>
        <w:rPr>
          <w:lang w:val="fr-BE"/>
        </w:rPr>
        <w:t>Th</w:t>
      </w:r>
      <w:r w:rsidR="00DE07FF">
        <w:rPr>
          <w:lang w:val="fr-BE"/>
        </w:rPr>
        <w:t>é</w:t>
      </w:r>
      <w:r>
        <w:rPr>
          <w:lang w:val="fr-BE"/>
        </w:rPr>
        <w:t>ra</w:t>
      </w:r>
      <w:proofErr w:type="spellEnd"/>
      <w:r w:rsidR="00DE07FF">
        <w:rPr>
          <w:lang w:val="fr-BE"/>
        </w:rPr>
        <w:t xml:space="preserve"> dans les Cyclades</w:t>
      </w:r>
      <w:r w:rsidR="0004467D">
        <w:rPr>
          <w:lang w:val="fr-BE"/>
        </w:rPr>
        <w:t>, et explore ainsi</w:t>
      </w:r>
      <w:r w:rsidR="00DE07FF">
        <w:rPr>
          <w:lang w:val="fr-BE"/>
        </w:rPr>
        <w:t xml:space="preserve"> </w:t>
      </w:r>
      <w:r>
        <w:rPr>
          <w:lang w:val="fr-BE"/>
        </w:rPr>
        <w:t>l</w:t>
      </w:r>
      <w:r w:rsidR="00DE07FF">
        <w:rPr>
          <w:lang w:val="fr-BE"/>
        </w:rPr>
        <w:t>’effet</w:t>
      </w:r>
      <w:r w:rsidR="00F56467">
        <w:rPr>
          <w:lang w:val="fr-BE"/>
        </w:rPr>
        <w:t xml:space="preserve"> produit par l’environnement bâti sur ses usagers</w:t>
      </w:r>
      <w:r w:rsidR="0004467D">
        <w:rPr>
          <w:lang w:val="fr-BE"/>
        </w:rPr>
        <w:t>. L</w:t>
      </w:r>
      <w:r w:rsidR="00F56467">
        <w:rPr>
          <w:lang w:val="fr-BE"/>
        </w:rPr>
        <w:t>es termes ambiance, performance, émotion, expérience, perception, rythme, effort ou état d’esprit viennent</w:t>
      </w:r>
      <w:r w:rsidR="00DE07FF">
        <w:rPr>
          <w:lang w:val="fr-BE"/>
        </w:rPr>
        <w:t xml:space="preserve"> ainsi</w:t>
      </w:r>
      <w:r w:rsidR="00F56467">
        <w:rPr>
          <w:lang w:val="fr-BE"/>
        </w:rPr>
        <w:t xml:space="preserve"> émailler une synthèse dont l’auteure </w:t>
      </w:r>
      <w:r w:rsidR="0004467D">
        <w:rPr>
          <w:lang w:val="fr-BE"/>
        </w:rPr>
        <w:t>souligne</w:t>
      </w:r>
      <w:r w:rsidR="00F56467">
        <w:rPr>
          <w:lang w:val="fr-BE"/>
        </w:rPr>
        <w:t xml:space="preserve"> qu’elle peut manquer de fondements normatifs</w:t>
      </w:r>
      <w:r w:rsidR="0052604C">
        <w:rPr>
          <w:lang w:val="fr-BE"/>
        </w:rPr>
        <w:t xml:space="preserve"> ou scientifiques</w:t>
      </w:r>
      <w:r w:rsidR="00F56467">
        <w:rPr>
          <w:lang w:val="fr-BE"/>
        </w:rPr>
        <w:t xml:space="preserve">, mais dans laquelle elle livre une vision </w:t>
      </w:r>
      <w:r w:rsidR="00DE07FF" w:rsidRPr="00F53D06">
        <w:rPr>
          <w:lang w:val="fr-BE"/>
        </w:rPr>
        <w:t>intégr</w:t>
      </w:r>
      <w:r w:rsidR="00291EF6" w:rsidRPr="00F53D06">
        <w:rPr>
          <w:lang w:val="fr-BE"/>
        </w:rPr>
        <w:t>é</w:t>
      </w:r>
      <w:r w:rsidR="00DE07FF" w:rsidRPr="00F53D06">
        <w:rPr>
          <w:lang w:val="fr-BE"/>
        </w:rPr>
        <w:t>e</w:t>
      </w:r>
      <w:r w:rsidR="00BA6CD6" w:rsidRPr="00F53D06">
        <w:rPr>
          <w:lang w:val="fr-BE"/>
        </w:rPr>
        <w:t xml:space="preserve"> </w:t>
      </w:r>
      <w:r w:rsidR="007047E1">
        <w:rPr>
          <w:lang w:val="fr-BE"/>
        </w:rPr>
        <w:t>de l’architecture minoenne.</w:t>
      </w:r>
    </w:p>
    <w:p w14:paraId="7921781C" w14:textId="5355C4AE" w:rsidR="0092048B" w:rsidRDefault="00732CA5" w:rsidP="00022F84">
      <w:pPr>
        <w:spacing w:after="0"/>
        <w:ind w:firstLine="708"/>
        <w:jc w:val="both"/>
        <w:rPr>
          <w:lang w:val="fr-BE"/>
        </w:rPr>
      </w:pPr>
      <w:r>
        <w:rPr>
          <w:lang w:val="fr-BE"/>
        </w:rPr>
        <w:t xml:space="preserve">L’ouvrage débute par une </w:t>
      </w:r>
      <w:r w:rsidR="008D1E30">
        <w:rPr>
          <w:lang w:val="fr-BE"/>
        </w:rPr>
        <w:t>présentation</w:t>
      </w:r>
      <w:r>
        <w:rPr>
          <w:lang w:val="fr-BE"/>
        </w:rPr>
        <w:t xml:space="preserve"> d</w:t>
      </w:r>
      <w:r w:rsidR="00BA6CD6">
        <w:rPr>
          <w:lang w:val="fr-BE"/>
        </w:rPr>
        <w:t>e l’</w:t>
      </w:r>
      <w:r>
        <w:rPr>
          <w:lang w:val="fr-BE"/>
        </w:rPr>
        <w:t>approche holistique ou phénoménologique</w:t>
      </w:r>
      <w:r w:rsidR="008D1E30">
        <w:rPr>
          <w:lang w:val="fr-BE"/>
        </w:rPr>
        <w:t>, qui explore la manière dont l’humain fait l’expérience</w:t>
      </w:r>
      <w:r w:rsidR="00B66082">
        <w:rPr>
          <w:lang w:val="fr-BE"/>
        </w:rPr>
        <w:t xml:space="preserve"> </w:t>
      </w:r>
      <w:r w:rsidR="008D1E30">
        <w:rPr>
          <w:lang w:val="fr-BE"/>
        </w:rPr>
        <w:t xml:space="preserve">du monde qui l’entoure </w:t>
      </w:r>
      <w:r w:rsidR="00B66082">
        <w:rPr>
          <w:lang w:val="fr-BE"/>
        </w:rPr>
        <w:t>(</w:t>
      </w:r>
      <w:r w:rsidR="00AE37CE">
        <w:rPr>
          <w:lang w:val="fr-BE"/>
        </w:rPr>
        <w:t>p. </w:t>
      </w:r>
      <w:r w:rsidR="00B66082">
        <w:rPr>
          <w:lang w:val="fr-BE"/>
        </w:rPr>
        <w:t>3-6)</w:t>
      </w:r>
      <w:r w:rsidR="00BA6CD6">
        <w:rPr>
          <w:lang w:val="fr-BE"/>
        </w:rPr>
        <w:t xml:space="preserve">. </w:t>
      </w:r>
      <w:r w:rsidR="008D1E30">
        <w:rPr>
          <w:lang w:val="fr-BE"/>
        </w:rPr>
        <w:t>Cette approche</w:t>
      </w:r>
      <w:r>
        <w:rPr>
          <w:lang w:val="fr-BE"/>
        </w:rPr>
        <w:t xml:space="preserve"> permet</w:t>
      </w:r>
      <w:r w:rsidR="00291EF6">
        <w:rPr>
          <w:lang w:val="fr-BE"/>
        </w:rPr>
        <w:t xml:space="preserve"> selon l’auteure</w:t>
      </w:r>
      <w:r>
        <w:rPr>
          <w:lang w:val="fr-BE"/>
        </w:rPr>
        <w:t xml:space="preserve"> une compréhension approfondie de </w:t>
      </w:r>
      <w:r w:rsidR="00291EF6">
        <w:rPr>
          <w:lang w:val="fr-BE"/>
        </w:rPr>
        <w:t>l’architecture minoenne</w:t>
      </w:r>
      <w:r w:rsidR="008D1E30">
        <w:rPr>
          <w:lang w:val="fr-BE"/>
        </w:rPr>
        <w:t xml:space="preserve"> car elle l’envisage</w:t>
      </w:r>
      <w:r w:rsidR="00291EF6">
        <w:rPr>
          <w:lang w:val="fr-BE"/>
        </w:rPr>
        <w:t xml:space="preserve"> </w:t>
      </w:r>
      <w:r w:rsidR="003412FB" w:rsidRPr="005D4034">
        <w:rPr>
          <w:lang w:val="fr-BE"/>
        </w:rPr>
        <w:t>sans l</w:t>
      </w:r>
      <w:r w:rsidR="00291EF6">
        <w:rPr>
          <w:lang w:val="fr-BE"/>
        </w:rPr>
        <w:t>a</w:t>
      </w:r>
      <w:r w:rsidR="003412FB" w:rsidRPr="005D4034">
        <w:rPr>
          <w:lang w:val="fr-BE"/>
        </w:rPr>
        <w:t xml:space="preserve"> réduire </w:t>
      </w:r>
      <w:r w:rsidR="008D1E30">
        <w:rPr>
          <w:lang w:val="fr-BE"/>
        </w:rPr>
        <w:t xml:space="preserve">aux </w:t>
      </w:r>
      <w:r w:rsidRPr="005D4034">
        <w:rPr>
          <w:lang w:val="fr-BE"/>
        </w:rPr>
        <w:t xml:space="preserve">catégories </w:t>
      </w:r>
      <w:r w:rsidR="00BA6CD6" w:rsidRPr="005D4034">
        <w:rPr>
          <w:lang w:val="fr-BE"/>
        </w:rPr>
        <w:t>analytiques</w:t>
      </w:r>
      <w:r w:rsidR="003412FB" w:rsidRPr="005D4034">
        <w:rPr>
          <w:lang w:val="fr-BE"/>
        </w:rPr>
        <w:t xml:space="preserve"> </w:t>
      </w:r>
      <w:r w:rsidRPr="005D4034">
        <w:rPr>
          <w:lang w:val="fr-BE"/>
        </w:rPr>
        <w:t xml:space="preserve">souvent </w:t>
      </w:r>
      <w:r>
        <w:rPr>
          <w:lang w:val="fr-BE"/>
        </w:rPr>
        <w:t>dématérialisées</w:t>
      </w:r>
      <w:r w:rsidR="00C23A37">
        <w:rPr>
          <w:lang w:val="fr-BE"/>
        </w:rPr>
        <w:t xml:space="preserve"> </w:t>
      </w:r>
      <w:r w:rsidR="00AE37CE">
        <w:rPr>
          <w:lang w:val="fr-BE"/>
        </w:rPr>
        <w:t>qui fondent</w:t>
      </w:r>
      <w:r w:rsidR="00C23A37">
        <w:rPr>
          <w:lang w:val="fr-BE"/>
        </w:rPr>
        <w:t xml:space="preserve"> l’approche scientifique</w:t>
      </w:r>
      <w:r>
        <w:rPr>
          <w:lang w:val="fr-BE"/>
        </w:rPr>
        <w:t xml:space="preserve">. </w:t>
      </w:r>
      <w:r w:rsidR="00BA6CD6">
        <w:rPr>
          <w:lang w:val="fr-BE"/>
        </w:rPr>
        <w:t>Reconnaissant</w:t>
      </w:r>
      <w:r w:rsidR="00291EF6">
        <w:rPr>
          <w:lang w:val="fr-BE"/>
        </w:rPr>
        <w:t xml:space="preserve"> </w:t>
      </w:r>
      <w:r w:rsidR="003412FB">
        <w:rPr>
          <w:lang w:val="fr-BE"/>
        </w:rPr>
        <w:t xml:space="preserve">la fragilité épistémologique et la subjectivité de </w:t>
      </w:r>
      <w:r w:rsidR="00C23A37">
        <w:rPr>
          <w:lang w:val="fr-BE"/>
        </w:rPr>
        <w:t>l’</w:t>
      </w:r>
      <w:r w:rsidR="003412FB">
        <w:rPr>
          <w:lang w:val="fr-BE"/>
        </w:rPr>
        <w:t>approche</w:t>
      </w:r>
      <w:r w:rsidR="00C23A37">
        <w:rPr>
          <w:lang w:val="fr-BE"/>
        </w:rPr>
        <w:t xml:space="preserve"> phénoménologique</w:t>
      </w:r>
      <w:r w:rsidR="003412FB">
        <w:rPr>
          <w:lang w:val="fr-BE"/>
        </w:rPr>
        <w:t xml:space="preserve">, </w:t>
      </w:r>
      <w:r w:rsidR="00322E60">
        <w:rPr>
          <w:lang w:val="fr-BE"/>
        </w:rPr>
        <w:t>Clairy Palyvou</w:t>
      </w:r>
      <w:r w:rsidR="00322E60" w:rsidRPr="000622F6">
        <w:rPr>
          <w:lang w:val="fr-BE"/>
        </w:rPr>
        <w:t xml:space="preserve"> </w:t>
      </w:r>
      <w:r w:rsidR="003412FB" w:rsidRPr="000622F6">
        <w:rPr>
          <w:lang w:val="fr-BE"/>
        </w:rPr>
        <w:t xml:space="preserve">passe au crible les données et </w:t>
      </w:r>
      <w:r w:rsidR="000622F6" w:rsidRPr="000622F6">
        <w:rPr>
          <w:lang w:val="fr-BE"/>
        </w:rPr>
        <w:t>biais méthodologiques</w:t>
      </w:r>
      <w:r w:rsidR="003412FB" w:rsidRPr="000622F6">
        <w:rPr>
          <w:lang w:val="fr-BE"/>
        </w:rPr>
        <w:t xml:space="preserve"> susceptibles d</w:t>
      </w:r>
      <w:r w:rsidR="005D4034" w:rsidRPr="000622F6">
        <w:rPr>
          <w:lang w:val="fr-BE"/>
        </w:rPr>
        <w:t>’avoir un impact sur</w:t>
      </w:r>
      <w:r w:rsidR="003412FB" w:rsidRPr="000622F6">
        <w:rPr>
          <w:lang w:val="fr-BE"/>
        </w:rPr>
        <w:t xml:space="preserve"> son </w:t>
      </w:r>
      <w:r w:rsidR="00BA6CD6">
        <w:rPr>
          <w:lang w:val="fr-BE"/>
        </w:rPr>
        <w:t>étude. Elle fournit ainsi une analyse détaillée du bagage conceptuel (imagination et extrapolation), technique (reconstruction et imagerie)</w:t>
      </w:r>
      <w:r w:rsidR="00B66082">
        <w:rPr>
          <w:lang w:val="fr-BE"/>
        </w:rPr>
        <w:t xml:space="preserve"> (</w:t>
      </w:r>
      <w:r w:rsidR="00AE37CE">
        <w:rPr>
          <w:lang w:val="fr-BE"/>
        </w:rPr>
        <w:t>p. </w:t>
      </w:r>
      <w:r w:rsidR="00B66082">
        <w:rPr>
          <w:lang w:val="fr-BE"/>
        </w:rPr>
        <w:t>6-10)</w:t>
      </w:r>
      <w:r w:rsidR="00BA6CD6">
        <w:rPr>
          <w:lang w:val="fr-BE"/>
        </w:rPr>
        <w:t xml:space="preserve"> et historiographique</w:t>
      </w:r>
      <w:r w:rsidR="00B66082">
        <w:rPr>
          <w:lang w:val="fr-BE"/>
        </w:rPr>
        <w:t xml:space="preserve"> (</w:t>
      </w:r>
      <w:r w:rsidR="00AE37CE">
        <w:rPr>
          <w:lang w:val="fr-BE"/>
        </w:rPr>
        <w:t>chap. 1</w:t>
      </w:r>
      <w:r w:rsidR="00B66082">
        <w:rPr>
          <w:lang w:val="fr-BE"/>
        </w:rPr>
        <w:t xml:space="preserve">) dont </w:t>
      </w:r>
      <w:r w:rsidR="00A125E9">
        <w:rPr>
          <w:lang w:val="fr-BE"/>
        </w:rPr>
        <w:t>ell</w:t>
      </w:r>
      <w:r w:rsidR="008D1E30">
        <w:rPr>
          <w:lang w:val="fr-BE"/>
        </w:rPr>
        <w:t>e</w:t>
      </w:r>
      <w:r w:rsidR="00B66082">
        <w:rPr>
          <w:lang w:val="fr-BE"/>
        </w:rPr>
        <w:t xml:space="preserve"> dispose – ou doit se départir – avant d’entamer </w:t>
      </w:r>
      <w:r w:rsidR="00AE37CE">
        <w:rPr>
          <w:lang w:val="fr-BE"/>
        </w:rPr>
        <w:t>l’</w:t>
      </w:r>
      <w:r w:rsidR="00B66082">
        <w:rPr>
          <w:lang w:val="fr-BE"/>
        </w:rPr>
        <w:t xml:space="preserve">étude des différents aspects de l’architecture minoenne qui se prêtent à </w:t>
      </w:r>
      <w:r w:rsidR="000E02BB">
        <w:rPr>
          <w:lang w:val="fr-BE"/>
        </w:rPr>
        <w:t>son</w:t>
      </w:r>
      <w:r w:rsidR="00B66082">
        <w:rPr>
          <w:lang w:val="fr-BE"/>
        </w:rPr>
        <w:t xml:space="preserve"> approche holistique</w:t>
      </w:r>
      <w:r w:rsidR="00CE3E3F">
        <w:rPr>
          <w:lang w:val="fr-BE"/>
        </w:rPr>
        <w:t xml:space="preserve"> (chap. 2-</w:t>
      </w:r>
      <w:r w:rsidR="008E5AFA">
        <w:rPr>
          <w:lang w:val="fr-BE"/>
        </w:rPr>
        <w:t>8</w:t>
      </w:r>
      <w:r w:rsidR="00CE3E3F">
        <w:rPr>
          <w:lang w:val="fr-BE"/>
        </w:rPr>
        <w:t>)</w:t>
      </w:r>
      <w:r w:rsidR="00C23A37">
        <w:rPr>
          <w:lang w:val="fr-BE"/>
        </w:rPr>
        <w:t>.</w:t>
      </w:r>
    </w:p>
    <w:p w14:paraId="0A5D8482" w14:textId="5FD4FE93" w:rsidR="000E02BB" w:rsidRDefault="00CE3E3F" w:rsidP="004554E9">
      <w:pPr>
        <w:spacing w:after="0"/>
        <w:jc w:val="both"/>
        <w:rPr>
          <w:lang w:val="fr-BE"/>
        </w:rPr>
      </w:pPr>
      <w:r>
        <w:rPr>
          <w:lang w:val="fr-BE"/>
        </w:rPr>
        <w:tab/>
      </w:r>
      <w:r w:rsidR="00A849E6">
        <w:rPr>
          <w:lang w:val="fr-BE"/>
        </w:rPr>
        <w:t>Le paysage naturel</w:t>
      </w:r>
      <w:r>
        <w:rPr>
          <w:lang w:val="fr-BE"/>
        </w:rPr>
        <w:t xml:space="preserve"> est d’abord envisagé en mettant en évidence, au-delà des contraintes physiques qu’il impose à l’architecture, son impact social, émotionnel et spirituel</w:t>
      </w:r>
      <w:r w:rsidR="005D4034">
        <w:rPr>
          <w:lang w:val="fr-BE"/>
        </w:rPr>
        <w:t xml:space="preserve"> (chap. 2)</w:t>
      </w:r>
      <w:r>
        <w:rPr>
          <w:lang w:val="fr-BE"/>
        </w:rPr>
        <w:t xml:space="preserve">. </w:t>
      </w:r>
      <w:r w:rsidR="00322E60">
        <w:rPr>
          <w:lang w:val="fr-BE"/>
        </w:rPr>
        <w:t>Clairy</w:t>
      </w:r>
      <w:r w:rsidR="00F53D06">
        <w:rPr>
          <w:lang w:val="fr-BE"/>
        </w:rPr>
        <w:t> </w:t>
      </w:r>
      <w:r w:rsidR="00322E60">
        <w:rPr>
          <w:lang w:val="fr-BE"/>
        </w:rPr>
        <w:t>Palyvou</w:t>
      </w:r>
      <w:r>
        <w:rPr>
          <w:lang w:val="fr-BE"/>
        </w:rPr>
        <w:t xml:space="preserve"> démontre ainsi l’interaction profonde entre </w:t>
      </w:r>
      <w:r w:rsidR="00A849E6">
        <w:rPr>
          <w:lang w:val="fr-BE"/>
        </w:rPr>
        <w:t xml:space="preserve">les </w:t>
      </w:r>
      <w:r>
        <w:rPr>
          <w:lang w:val="fr-BE"/>
        </w:rPr>
        <w:t xml:space="preserve">éléments naturels et </w:t>
      </w:r>
      <w:r w:rsidR="00A849E6">
        <w:rPr>
          <w:lang w:val="fr-BE"/>
        </w:rPr>
        <w:t xml:space="preserve">ceux </w:t>
      </w:r>
      <w:r>
        <w:rPr>
          <w:lang w:val="fr-BE"/>
        </w:rPr>
        <w:t>créés par l’homme</w:t>
      </w:r>
      <w:r w:rsidR="00A849E6">
        <w:rPr>
          <w:lang w:val="fr-BE"/>
        </w:rPr>
        <w:t>, interaction</w:t>
      </w:r>
      <w:r w:rsidR="00A55E99">
        <w:rPr>
          <w:lang w:val="fr-BE"/>
        </w:rPr>
        <w:t xml:space="preserve"> </w:t>
      </w:r>
      <w:r>
        <w:rPr>
          <w:lang w:val="fr-BE"/>
        </w:rPr>
        <w:t xml:space="preserve">perceptible </w:t>
      </w:r>
      <w:r w:rsidR="00A55E99">
        <w:rPr>
          <w:lang w:val="fr-BE"/>
        </w:rPr>
        <w:t xml:space="preserve">tant </w:t>
      </w:r>
      <w:r>
        <w:rPr>
          <w:lang w:val="fr-BE"/>
        </w:rPr>
        <w:t xml:space="preserve">dans </w:t>
      </w:r>
      <w:r w:rsidR="00A55E99">
        <w:rPr>
          <w:lang w:val="fr-BE"/>
        </w:rPr>
        <w:t>l’approche aux édifices que dans les modes de nivellement ou l’agencement du bâti</w:t>
      </w:r>
      <w:r w:rsidR="00A45D6C">
        <w:rPr>
          <w:lang w:val="fr-BE"/>
        </w:rPr>
        <w:t>, dont l’environnement physique fait partie intégrante</w:t>
      </w:r>
      <w:r w:rsidR="00E63ED8">
        <w:rPr>
          <w:lang w:val="fr-BE"/>
        </w:rPr>
        <w:t>.</w:t>
      </w:r>
      <w:r w:rsidR="00A55E99">
        <w:rPr>
          <w:lang w:val="fr-BE"/>
        </w:rPr>
        <w:t xml:space="preserve"> L’échelle humaine dont elle juge qu’elle caractérise le paysage crétois </w:t>
      </w:r>
      <w:r w:rsidR="00E63ED8">
        <w:rPr>
          <w:lang w:val="fr-BE"/>
        </w:rPr>
        <w:t xml:space="preserve">trouve </w:t>
      </w:r>
      <w:r w:rsidR="00A45D6C">
        <w:rPr>
          <w:lang w:val="fr-BE"/>
        </w:rPr>
        <w:t>aussi</w:t>
      </w:r>
      <w:r w:rsidR="00E63ED8">
        <w:rPr>
          <w:lang w:val="fr-BE"/>
        </w:rPr>
        <w:t xml:space="preserve"> écho</w:t>
      </w:r>
      <w:r w:rsidR="00A55E99">
        <w:rPr>
          <w:lang w:val="fr-BE"/>
        </w:rPr>
        <w:t xml:space="preserve"> dans son architecture à l’Âge du Bronze : </w:t>
      </w:r>
      <w:r w:rsidR="00A55E99" w:rsidRPr="005D738F">
        <w:rPr>
          <w:i/>
          <w:iCs/>
          <w:lang w:val="fr-BE"/>
        </w:rPr>
        <w:t>des formes ouvertes, des contours flous, des volumes grad</w:t>
      </w:r>
      <w:r w:rsidR="00E63ED8">
        <w:rPr>
          <w:i/>
          <w:iCs/>
          <w:lang w:val="fr-BE"/>
        </w:rPr>
        <w:t>ués</w:t>
      </w:r>
      <w:r w:rsidR="00A55E99" w:rsidRPr="005D738F">
        <w:rPr>
          <w:i/>
          <w:iCs/>
          <w:lang w:val="fr-BE"/>
        </w:rPr>
        <w:t xml:space="preserve">, une certaine irrégularité et une variété qui n’ont </w:t>
      </w:r>
      <w:r w:rsidR="00E63ED8">
        <w:rPr>
          <w:i/>
          <w:iCs/>
          <w:lang w:val="fr-BE"/>
        </w:rPr>
        <w:t xml:space="preserve">cependant </w:t>
      </w:r>
      <w:r w:rsidR="00A55E99" w:rsidRPr="005D738F">
        <w:rPr>
          <w:i/>
          <w:iCs/>
          <w:lang w:val="fr-BE"/>
        </w:rPr>
        <w:t>rien à voir avec le pittoresque, le hasard et l’agglomératif</w:t>
      </w:r>
      <w:r w:rsidR="00AE37CE">
        <w:rPr>
          <w:i/>
          <w:iCs/>
          <w:lang w:val="fr-BE"/>
        </w:rPr>
        <w:t xml:space="preserve"> </w:t>
      </w:r>
      <w:r w:rsidR="00AE37CE">
        <w:rPr>
          <w:lang w:val="fr-BE"/>
        </w:rPr>
        <w:t>(p. 33)</w:t>
      </w:r>
      <w:r w:rsidR="00A55E99">
        <w:rPr>
          <w:lang w:val="fr-BE"/>
        </w:rPr>
        <w:t>.</w:t>
      </w:r>
      <w:r w:rsidR="005D738F">
        <w:rPr>
          <w:lang w:val="fr-BE"/>
        </w:rPr>
        <w:t xml:space="preserve"> Le fort potentiel émotionnel et symbolique de l’île, avec ses pics montagneux et ses grottes profondes, vient encore renforcer celui des édifices qu</w:t>
      </w:r>
      <w:r w:rsidR="005D4034">
        <w:rPr>
          <w:lang w:val="fr-BE"/>
        </w:rPr>
        <w:t>i sont établis sur ses pentes ou qu</w:t>
      </w:r>
      <w:r w:rsidR="00A45D6C">
        <w:rPr>
          <w:lang w:val="fr-BE"/>
        </w:rPr>
        <w:t>i</w:t>
      </w:r>
      <w:r w:rsidR="005D4034">
        <w:rPr>
          <w:lang w:val="fr-BE"/>
        </w:rPr>
        <w:t xml:space="preserve"> sont </w:t>
      </w:r>
      <w:r w:rsidR="00A125E9">
        <w:rPr>
          <w:lang w:val="fr-BE"/>
        </w:rPr>
        <w:t>conçus</w:t>
      </w:r>
      <w:r w:rsidR="005D4034">
        <w:rPr>
          <w:lang w:val="fr-BE"/>
        </w:rPr>
        <w:t xml:space="preserve"> en intégrant des paramètres cosmologiques (orientation de la cour centrale des palais ; positionnement de certains éléments architecturaux selon la course des astres) ou de sorte à être en interaction visuelle avec des points précis du paysage (sanctuaires de sommet visibles depuis les palais). </w:t>
      </w:r>
      <w:r w:rsidR="00A45D6C">
        <w:rPr>
          <w:lang w:val="fr-BE"/>
        </w:rPr>
        <w:t xml:space="preserve">Ainsi, si </w:t>
      </w:r>
      <w:r w:rsidR="00322E60">
        <w:rPr>
          <w:lang w:val="fr-BE"/>
        </w:rPr>
        <w:t xml:space="preserve">Clairy Palyvou </w:t>
      </w:r>
      <w:r w:rsidR="00A45D6C">
        <w:rPr>
          <w:lang w:val="fr-BE"/>
        </w:rPr>
        <w:t>met en garde contre une interprétation déterministe du paysage crétois, elle souligne qu</w:t>
      </w:r>
      <w:r w:rsidR="00AE37CE">
        <w:rPr>
          <w:lang w:val="fr-BE"/>
        </w:rPr>
        <w:t xml:space="preserve">e celui-ci est </w:t>
      </w:r>
      <w:r w:rsidR="00A45D6C">
        <w:rPr>
          <w:lang w:val="fr-BE"/>
        </w:rPr>
        <w:t>un</w:t>
      </w:r>
      <w:r w:rsidR="00A849E6">
        <w:rPr>
          <w:lang w:val="fr-BE"/>
        </w:rPr>
        <w:t>e</w:t>
      </w:r>
      <w:r w:rsidR="00A45D6C">
        <w:rPr>
          <w:lang w:val="fr-BE"/>
        </w:rPr>
        <w:t xml:space="preserve"> </w:t>
      </w:r>
      <w:r w:rsidR="00A849E6">
        <w:rPr>
          <w:lang w:val="fr-BE"/>
        </w:rPr>
        <w:t>composante essentielle de la création architecturale.</w:t>
      </w:r>
      <w:r w:rsidR="000622F6">
        <w:rPr>
          <w:lang w:val="fr-BE"/>
        </w:rPr>
        <w:t xml:space="preserve"> Au sein de cet environnement physique, l</w:t>
      </w:r>
      <w:r w:rsidR="00827008">
        <w:rPr>
          <w:lang w:val="fr-BE"/>
        </w:rPr>
        <w:t xml:space="preserve">es motivations profondes liées au choix de formes architecturales particulières, rendues explicites </w:t>
      </w:r>
      <w:r w:rsidR="00066FA2">
        <w:rPr>
          <w:lang w:val="fr-BE"/>
        </w:rPr>
        <w:t>par</w:t>
      </w:r>
      <w:r w:rsidR="00827008">
        <w:rPr>
          <w:lang w:val="fr-BE"/>
        </w:rPr>
        <w:t xml:space="preserve"> </w:t>
      </w:r>
      <w:r w:rsidR="00322E60">
        <w:rPr>
          <w:lang w:val="fr-BE"/>
        </w:rPr>
        <w:t>l’</w:t>
      </w:r>
      <w:r w:rsidR="00A125E9">
        <w:rPr>
          <w:lang w:val="fr-BE"/>
        </w:rPr>
        <w:t>opposition</w:t>
      </w:r>
      <w:r w:rsidR="00827008">
        <w:rPr>
          <w:lang w:val="fr-BE"/>
        </w:rPr>
        <w:t xml:space="preserve"> extrême </w:t>
      </w:r>
      <w:r w:rsidR="00322E60">
        <w:rPr>
          <w:lang w:val="fr-BE"/>
        </w:rPr>
        <w:t>entre le</w:t>
      </w:r>
      <w:r w:rsidR="00066FA2">
        <w:rPr>
          <w:lang w:val="fr-BE"/>
        </w:rPr>
        <w:t xml:space="preserve"> </w:t>
      </w:r>
      <w:r w:rsidR="00A55B2A">
        <w:rPr>
          <w:lang w:val="fr-BE"/>
        </w:rPr>
        <w:t xml:space="preserve">cercle – forme </w:t>
      </w:r>
      <w:r w:rsidR="00A55B2A" w:rsidRPr="00A55B2A">
        <w:rPr>
          <w:i/>
          <w:iCs/>
          <w:lang w:val="fr-BE"/>
        </w:rPr>
        <w:t>passive/statique</w:t>
      </w:r>
      <w:r w:rsidR="00A55B2A">
        <w:rPr>
          <w:lang w:val="fr-BE"/>
        </w:rPr>
        <w:t xml:space="preserve"> – </w:t>
      </w:r>
      <w:r w:rsidR="00066FA2">
        <w:rPr>
          <w:lang w:val="fr-BE"/>
        </w:rPr>
        <w:t xml:space="preserve">et </w:t>
      </w:r>
      <w:r w:rsidR="00A125E9">
        <w:rPr>
          <w:lang w:val="fr-BE"/>
        </w:rPr>
        <w:t xml:space="preserve">le </w:t>
      </w:r>
      <w:r w:rsidR="00A55B2A">
        <w:rPr>
          <w:lang w:val="fr-BE"/>
        </w:rPr>
        <w:t xml:space="preserve">carré – forme </w:t>
      </w:r>
      <w:r w:rsidR="00A55B2A" w:rsidRPr="00A55B2A">
        <w:rPr>
          <w:i/>
          <w:iCs/>
          <w:lang w:val="fr-BE"/>
        </w:rPr>
        <w:t>rationnelle</w:t>
      </w:r>
      <w:r w:rsidR="00A55B2A">
        <w:rPr>
          <w:lang w:val="fr-BE"/>
        </w:rPr>
        <w:t xml:space="preserve"> –</w:t>
      </w:r>
      <w:r w:rsidR="00066FA2">
        <w:rPr>
          <w:lang w:val="fr-BE"/>
        </w:rPr>
        <w:t xml:space="preserve">, sont </w:t>
      </w:r>
      <w:r w:rsidR="00A125E9">
        <w:rPr>
          <w:lang w:val="fr-BE"/>
        </w:rPr>
        <w:t>explorées</w:t>
      </w:r>
      <w:r w:rsidR="00066FA2">
        <w:rPr>
          <w:lang w:val="fr-BE"/>
        </w:rPr>
        <w:t xml:space="preserve"> sur la base des émotions particulières que chacun</w:t>
      </w:r>
      <w:r w:rsidR="00DE07FF">
        <w:rPr>
          <w:lang w:val="fr-BE"/>
        </w:rPr>
        <w:t xml:space="preserve">e </w:t>
      </w:r>
      <w:r w:rsidR="00066FA2">
        <w:rPr>
          <w:lang w:val="fr-BE"/>
        </w:rPr>
        <w:t xml:space="preserve">a pu susciter (chap. 3). Mettant d’abord en évidence le sens profond, universel, de ces formes, </w:t>
      </w:r>
      <w:r w:rsidR="00A125E9">
        <w:rPr>
          <w:lang w:val="fr-BE"/>
        </w:rPr>
        <w:t>l’auteure</w:t>
      </w:r>
      <w:r w:rsidR="00066FA2">
        <w:rPr>
          <w:lang w:val="fr-BE"/>
        </w:rPr>
        <w:t xml:space="preserve"> souligne ensuite comment les Minoens ont délibérément choisi de limiter la forme circulaire à des fonctions funéraires</w:t>
      </w:r>
      <w:r w:rsidR="00E72680">
        <w:rPr>
          <w:lang w:val="fr-BE"/>
        </w:rPr>
        <w:t>, accentuant encore</w:t>
      </w:r>
      <w:r w:rsidR="00066FA2">
        <w:rPr>
          <w:lang w:val="fr-BE"/>
        </w:rPr>
        <w:t xml:space="preserve"> </w:t>
      </w:r>
      <w:r w:rsidR="00F05629">
        <w:rPr>
          <w:lang w:val="fr-BE"/>
        </w:rPr>
        <w:t>son</w:t>
      </w:r>
      <w:r w:rsidR="00066FA2">
        <w:rPr>
          <w:lang w:val="fr-BE"/>
        </w:rPr>
        <w:t xml:space="preserve"> pouvoir symbolique.</w:t>
      </w:r>
      <w:r w:rsidR="00E72680">
        <w:rPr>
          <w:lang w:val="fr-BE"/>
        </w:rPr>
        <w:t xml:space="preserve"> Le reste de la production architecturale fait usage du carré et de toutes les associations qu’il rend possible, par ajout ou division</w:t>
      </w:r>
      <w:r w:rsidR="00DE07FF">
        <w:rPr>
          <w:lang w:val="fr-BE"/>
        </w:rPr>
        <w:t>. Cette forme</w:t>
      </w:r>
      <w:r w:rsidR="00E72680">
        <w:rPr>
          <w:lang w:val="fr-BE"/>
        </w:rPr>
        <w:t xml:space="preserve"> préside </w:t>
      </w:r>
      <w:r w:rsidR="00DE07FF">
        <w:rPr>
          <w:lang w:val="fr-BE"/>
        </w:rPr>
        <w:t xml:space="preserve">ainsi </w:t>
      </w:r>
      <w:r w:rsidR="00E72680">
        <w:rPr>
          <w:lang w:val="fr-BE"/>
        </w:rPr>
        <w:t>à la conception de nombreux espaces ou principes architecturaux</w:t>
      </w:r>
      <w:r w:rsidR="00F05629">
        <w:rPr>
          <w:lang w:val="fr-BE"/>
        </w:rPr>
        <w:t xml:space="preserve"> (dont celui, essentiel</w:t>
      </w:r>
      <w:r w:rsidR="000139E7">
        <w:rPr>
          <w:lang w:val="fr-BE"/>
        </w:rPr>
        <w:t xml:space="preserve"> en Crète à l’Âge du Bronze</w:t>
      </w:r>
      <w:r w:rsidR="00F05629">
        <w:rPr>
          <w:lang w:val="fr-BE"/>
        </w:rPr>
        <w:t>, de centralité)</w:t>
      </w:r>
      <w:r w:rsidR="00E72680">
        <w:rPr>
          <w:lang w:val="fr-BE"/>
        </w:rPr>
        <w:t>.</w:t>
      </w:r>
      <w:r w:rsidR="000622F6">
        <w:rPr>
          <w:lang w:val="fr-BE"/>
        </w:rPr>
        <w:t xml:space="preserve"> </w:t>
      </w:r>
      <w:r w:rsidR="00987B2A">
        <w:rPr>
          <w:lang w:val="fr-BE"/>
        </w:rPr>
        <w:t xml:space="preserve">Les éléments </w:t>
      </w:r>
      <w:r w:rsidR="002F065B">
        <w:rPr>
          <w:lang w:val="fr-BE"/>
        </w:rPr>
        <w:t>qui délimitent et</w:t>
      </w:r>
      <w:r w:rsidR="00DE07FF">
        <w:rPr>
          <w:lang w:val="fr-BE"/>
        </w:rPr>
        <w:t xml:space="preserve"> percent </w:t>
      </w:r>
      <w:r w:rsidR="00A9595E">
        <w:rPr>
          <w:lang w:val="fr-BE"/>
        </w:rPr>
        <w:t xml:space="preserve">l’architecture minoenne </w:t>
      </w:r>
      <w:r w:rsidR="00EB4785">
        <w:rPr>
          <w:lang w:val="fr-BE"/>
        </w:rPr>
        <w:t>sont ensuite envisagés</w:t>
      </w:r>
      <w:r w:rsidR="000526BF">
        <w:rPr>
          <w:lang w:val="fr-BE"/>
        </w:rPr>
        <w:t> : sols, murs, plafonds, toits, portes, baies à portes multiples, espaces sans portes et sous-sols, fenêtres, escaliers et corridors</w:t>
      </w:r>
      <w:r w:rsidR="00EB4785">
        <w:rPr>
          <w:lang w:val="fr-BE"/>
        </w:rPr>
        <w:t xml:space="preserve"> (chap. 4)</w:t>
      </w:r>
      <w:r w:rsidR="00A9595E">
        <w:rPr>
          <w:lang w:val="fr-BE"/>
        </w:rPr>
        <w:t xml:space="preserve">. </w:t>
      </w:r>
      <w:r w:rsidR="000526BF">
        <w:rPr>
          <w:lang w:val="fr-BE"/>
        </w:rPr>
        <w:t>L’auteure</w:t>
      </w:r>
      <w:r w:rsidR="00EB4785">
        <w:rPr>
          <w:lang w:val="fr-BE"/>
        </w:rPr>
        <w:t xml:space="preserve"> s’étend plus particulièrement sur les baies</w:t>
      </w:r>
      <w:r w:rsidR="000E02BB">
        <w:rPr>
          <w:lang w:val="fr-BE"/>
        </w:rPr>
        <w:t xml:space="preserve"> à portes</w:t>
      </w:r>
      <w:r w:rsidR="00EB4785">
        <w:rPr>
          <w:lang w:val="fr-BE"/>
        </w:rPr>
        <w:t xml:space="preserve"> multiples</w:t>
      </w:r>
      <w:r w:rsidR="000526BF">
        <w:rPr>
          <w:lang w:val="fr-BE"/>
        </w:rPr>
        <w:t xml:space="preserve">, </w:t>
      </w:r>
      <w:r w:rsidR="00AE37CE">
        <w:rPr>
          <w:lang w:val="fr-BE"/>
        </w:rPr>
        <w:t>qu</w:t>
      </w:r>
      <w:r w:rsidR="000E02BB">
        <w:rPr>
          <w:lang w:val="fr-BE"/>
        </w:rPr>
        <w:t>’elle</w:t>
      </w:r>
      <w:r w:rsidR="00AE37CE">
        <w:rPr>
          <w:lang w:val="fr-BE"/>
        </w:rPr>
        <w:t xml:space="preserve"> considère comme l</w:t>
      </w:r>
      <w:r w:rsidR="000526BF">
        <w:rPr>
          <w:lang w:val="fr-BE"/>
        </w:rPr>
        <w:t>’un des traits les plus ingénieux de l’architecture minoenne</w:t>
      </w:r>
      <w:r w:rsidR="00E86EDC">
        <w:rPr>
          <w:lang w:val="fr-BE"/>
        </w:rPr>
        <w:t xml:space="preserve"> (p. 61-65)</w:t>
      </w:r>
      <w:r w:rsidR="00EB4785">
        <w:rPr>
          <w:lang w:val="fr-BE"/>
        </w:rPr>
        <w:t>. Il s’agit d’un</w:t>
      </w:r>
      <w:r w:rsidR="00C76BDF">
        <w:rPr>
          <w:lang w:val="fr-BE"/>
        </w:rPr>
        <w:t xml:space="preserve"> système </w:t>
      </w:r>
      <w:r w:rsidR="00EB4785">
        <w:rPr>
          <w:lang w:val="fr-BE"/>
        </w:rPr>
        <w:t>structure</w:t>
      </w:r>
      <w:r w:rsidR="00C76BDF">
        <w:rPr>
          <w:lang w:val="fr-BE"/>
        </w:rPr>
        <w:t>l</w:t>
      </w:r>
      <w:r w:rsidR="00EB4785">
        <w:rPr>
          <w:lang w:val="fr-BE"/>
        </w:rPr>
        <w:t xml:space="preserve"> en bois qui permet de créer un mur porteur et cependant ouvert par </w:t>
      </w:r>
      <w:r w:rsidR="00DE07FF">
        <w:rPr>
          <w:lang w:val="fr-BE"/>
        </w:rPr>
        <w:lastRenderedPageBreak/>
        <w:t>trois</w:t>
      </w:r>
      <w:r w:rsidR="00EB4785">
        <w:rPr>
          <w:lang w:val="fr-BE"/>
        </w:rPr>
        <w:t xml:space="preserve"> à </w:t>
      </w:r>
      <w:r w:rsidR="00DE07FF">
        <w:rPr>
          <w:lang w:val="fr-BE"/>
        </w:rPr>
        <w:t>six</w:t>
      </w:r>
      <w:r w:rsidR="00EB4785">
        <w:rPr>
          <w:lang w:val="fr-BE"/>
        </w:rPr>
        <w:t xml:space="preserve"> (le plus souvent </w:t>
      </w:r>
      <w:r w:rsidR="00DE07FF">
        <w:rPr>
          <w:lang w:val="fr-BE"/>
        </w:rPr>
        <w:t>quatre</w:t>
      </w:r>
      <w:r w:rsidR="00EB4785">
        <w:rPr>
          <w:lang w:val="fr-BE"/>
        </w:rPr>
        <w:t>) portes</w:t>
      </w:r>
      <w:r w:rsidR="000526BF">
        <w:rPr>
          <w:lang w:val="fr-BE"/>
        </w:rPr>
        <w:t xml:space="preserve"> (plus rarement</w:t>
      </w:r>
      <w:r w:rsidR="00EB4785">
        <w:rPr>
          <w:lang w:val="fr-BE"/>
        </w:rPr>
        <w:t xml:space="preserve"> de</w:t>
      </w:r>
      <w:r w:rsidR="000526BF">
        <w:rPr>
          <w:lang w:val="fr-BE"/>
        </w:rPr>
        <w:t>s</w:t>
      </w:r>
      <w:r w:rsidR="00EB4785">
        <w:rPr>
          <w:lang w:val="fr-BE"/>
        </w:rPr>
        <w:t xml:space="preserve"> fenêtres ou espaces de rangement</w:t>
      </w:r>
      <w:r w:rsidR="000526BF">
        <w:rPr>
          <w:lang w:val="fr-BE"/>
        </w:rPr>
        <w:t>)</w:t>
      </w:r>
      <w:r w:rsidR="00EB4785">
        <w:rPr>
          <w:lang w:val="fr-BE"/>
        </w:rPr>
        <w:t>. Outre</w:t>
      </w:r>
      <w:r w:rsidR="00C76BDF">
        <w:rPr>
          <w:lang w:val="fr-BE"/>
        </w:rPr>
        <w:t xml:space="preserve"> le fait que vider un mur de sa </w:t>
      </w:r>
      <w:r w:rsidR="00766864">
        <w:rPr>
          <w:lang w:val="fr-BE"/>
        </w:rPr>
        <w:t>maçonnerie</w:t>
      </w:r>
      <w:r w:rsidR="00C76BDF">
        <w:rPr>
          <w:lang w:val="fr-BE"/>
        </w:rPr>
        <w:t xml:space="preserve"> constitue une véritable</w:t>
      </w:r>
      <w:r w:rsidR="00EB4785">
        <w:rPr>
          <w:lang w:val="fr-BE"/>
        </w:rPr>
        <w:t xml:space="preserve"> prouesse technique</w:t>
      </w:r>
      <w:r w:rsidR="00C76BDF">
        <w:rPr>
          <w:lang w:val="fr-BE"/>
        </w:rPr>
        <w:t>, ce système permet des variations innombrables selon que les portes sont ouvertes ou fermées et le type d’espaces auxquels elles offrent ou non accès (intérieur, couvert ou ouvert). Il s’agit donc d’une ligne de démarcation en constante mutation (</w:t>
      </w:r>
      <w:proofErr w:type="spellStart"/>
      <w:r w:rsidR="00C76BDF" w:rsidRPr="000526BF">
        <w:rPr>
          <w:i/>
          <w:iCs/>
          <w:lang w:val="fr-BE"/>
        </w:rPr>
        <w:t>barrier</w:t>
      </w:r>
      <w:proofErr w:type="spellEnd"/>
      <w:r w:rsidR="00C76BDF">
        <w:rPr>
          <w:lang w:val="fr-BE"/>
        </w:rPr>
        <w:t xml:space="preserve">, </w:t>
      </w:r>
      <w:r w:rsidR="00C76BDF" w:rsidRPr="000526BF">
        <w:rPr>
          <w:i/>
          <w:iCs/>
          <w:lang w:val="fr-BE"/>
        </w:rPr>
        <w:t>switch</w:t>
      </w:r>
      <w:r w:rsidR="00C76BDF">
        <w:rPr>
          <w:lang w:val="fr-BE"/>
        </w:rPr>
        <w:t xml:space="preserve">, </w:t>
      </w:r>
      <w:proofErr w:type="spellStart"/>
      <w:r w:rsidR="00C76BDF" w:rsidRPr="000526BF">
        <w:rPr>
          <w:i/>
          <w:iCs/>
          <w:lang w:val="fr-BE"/>
        </w:rPr>
        <w:t>dimmer</w:t>
      </w:r>
      <w:proofErr w:type="spellEnd"/>
      <w:r w:rsidR="00C76BDF">
        <w:rPr>
          <w:lang w:val="fr-BE"/>
        </w:rPr>
        <w:t xml:space="preserve">, </w:t>
      </w:r>
      <w:proofErr w:type="spellStart"/>
      <w:r w:rsidR="00766864" w:rsidRPr="000526BF">
        <w:rPr>
          <w:i/>
          <w:iCs/>
          <w:lang w:val="fr-BE"/>
        </w:rPr>
        <w:t>void</w:t>
      </w:r>
      <w:proofErr w:type="spellEnd"/>
      <w:r w:rsidR="000E02BB">
        <w:rPr>
          <w:lang w:val="fr-BE"/>
        </w:rPr>
        <w:t>, p. 63-64</w:t>
      </w:r>
      <w:r w:rsidR="00C76BDF">
        <w:rPr>
          <w:lang w:val="fr-BE"/>
        </w:rPr>
        <w:t>)</w:t>
      </w:r>
      <w:r w:rsidR="000526BF">
        <w:rPr>
          <w:lang w:val="fr-BE"/>
        </w:rPr>
        <w:t xml:space="preserve"> qui vient encore enrichir un schéma de circulation</w:t>
      </w:r>
      <w:r w:rsidR="00E86EDC">
        <w:rPr>
          <w:lang w:val="fr-BE"/>
        </w:rPr>
        <w:t xml:space="preserve"> </w:t>
      </w:r>
      <w:r w:rsidR="00AE37CE">
        <w:rPr>
          <w:lang w:val="fr-BE"/>
        </w:rPr>
        <w:t xml:space="preserve">déjà </w:t>
      </w:r>
      <w:r w:rsidR="00E86EDC">
        <w:rPr>
          <w:lang w:val="fr-BE"/>
        </w:rPr>
        <w:t xml:space="preserve">caractérisé par le nombre et la variété des accès et autres éléments de liaison. Ce schéma fait partie intégrante de la conception de l’édifice et encourage </w:t>
      </w:r>
      <w:r w:rsidR="000526BF">
        <w:rPr>
          <w:lang w:val="fr-BE"/>
        </w:rPr>
        <w:t xml:space="preserve">la mobilité et le principe </w:t>
      </w:r>
      <w:r w:rsidR="00E86EDC">
        <w:rPr>
          <w:lang w:val="fr-BE"/>
        </w:rPr>
        <w:t xml:space="preserve">de non-interférence des différentes tâches accomplies au sein </w:t>
      </w:r>
      <w:r w:rsidR="00AA7993">
        <w:rPr>
          <w:lang w:val="fr-BE"/>
        </w:rPr>
        <w:t>du bâtiment</w:t>
      </w:r>
      <w:r w:rsidR="00E86EDC">
        <w:rPr>
          <w:lang w:val="fr-BE"/>
        </w:rPr>
        <w:t xml:space="preserve">. Ces éléments et principes mettent en exergue le désir des Minoens de </w:t>
      </w:r>
      <w:r w:rsidR="00E86EDC" w:rsidRPr="00E86EDC">
        <w:rPr>
          <w:i/>
          <w:iCs/>
          <w:lang w:val="fr-BE"/>
        </w:rPr>
        <w:t>faciliter, canaliser et contrôler la circulation</w:t>
      </w:r>
      <w:r w:rsidR="005D385E">
        <w:rPr>
          <w:lang w:val="fr-BE"/>
        </w:rPr>
        <w:t>,</w:t>
      </w:r>
      <w:r w:rsidR="00E86EDC">
        <w:rPr>
          <w:lang w:val="fr-BE"/>
        </w:rPr>
        <w:t xml:space="preserve"> aux antipodes d’une architecture chaotique et intriquée</w:t>
      </w:r>
      <w:r w:rsidR="00DD5E93">
        <w:rPr>
          <w:lang w:val="fr-BE"/>
        </w:rPr>
        <w:t xml:space="preserve"> </w:t>
      </w:r>
      <w:r w:rsidR="00516DCF">
        <w:rPr>
          <w:lang w:val="fr-BE"/>
        </w:rPr>
        <w:t>–</w:t>
      </w:r>
      <w:r w:rsidR="00322E60">
        <w:rPr>
          <w:lang w:val="fr-BE"/>
        </w:rPr>
        <w:t xml:space="preserve"> </w:t>
      </w:r>
      <w:r w:rsidR="00DD5E93">
        <w:rPr>
          <w:lang w:val="fr-BE"/>
        </w:rPr>
        <w:t>labyrinthique</w:t>
      </w:r>
      <w:r w:rsidR="00E86EDC">
        <w:rPr>
          <w:lang w:val="fr-BE"/>
        </w:rPr>
        <w:t xml:space="preserve"> (p. 76).</w:t>
      </w:r>
      <w:r w:rsidR="00AE37CE">
        <w:rPr>
          <w:lang w:val="fr-BE"/>
        </w:rPr>
        <w:t xml:space="preserve"> </w:t>
      </w:r>
    </w:p>
    <w:p w14:paraId="696B24E8" w14:textId="0448F59D" w:rsidR="00F05629" w:rsidRDefault="00B33DE8" w:rsidP="004554E9">
      <w:pPr>
        <w:spacing w:after="0"/>
        <w:jc w:val="both"/>
        <w:rPr>
          <w:lang w:val="fr-BE"/>
        </w:rPr>
      </w:pPr>
      <w:r>
        <w:rPr>
          <w:lang w:val="fr-BE"/>
        </w:rPr>
        <w:tab/>
      </w:r>
      <w:r w:rsidR="00322E60">
        <w:rPr>
          <w:lang w:val="fr-BE"/>
        </w:rPr>
        <w:t xml:space="preserve">Clairy Palyvou </w:t>
      </w:r>
      <w:r>
        <w:rPr>
          <w:lang w:val="fr-BE"/>
        </w:rPr>
        <w:t xml:space="preserve">traite </w:t>
      </w:r>
      <w:r w:rsidR="000622F6">
        <w:rPr>
          <w:lang w:val="fr-BE"/>
        </w:rPr>
        <w:t xml:space="preserve">au chapitre 5 </w:t>
      </w:r>
      <w:r>
        <w:rPr>
          <w:lang w:val="fr-BE"/>
        </w:rPr>
        <w:t xml:space="preserve">des parties constituantes de l’architecture minoenne : approche des édifices minoens (routes, planification urbaine et systèmes d’accès), entrée (et l’expérience du passage de la frontière marquée par celle-ci), porche (où l’entrée réelle au sein de l’espace privé est </w:t>
      </w:r>
      <w:r w:rsidRPr="00AA7993">
        <w:rPr>
          <w:i/>
          <w:iCs/>
          <w:lang w:val="fr-BE"/>
        </w:rPr>
        <w:t>négociée</w:t>
      </w:r>
      <w:r>
        <w:rPr>
          <w:lang w:val="fr-BE"/>
        </w:rPr>
        <w:t>), vestibule (espace transitionnel), pièce à colonne centrale</w:t>
      </w:r>
      <w:r w:rsidR="00631490">
        <w:rPr>
          <w:lang w:val="fr-BE"/>
        </w:rPr>
        <w:t>,</w:t>
      </w:r>
      <w:r>
        <w:rPr>
          <w:lang w:val="fr-BE"/>
        </w:rPr>
        <w:t xml:space="preserve"> hall minoen</w:t>
      </w:r>
      <w:r w:rsidR="00631490">
        <w:rPr>
          <w:lang w:val="fr-BE"/>
        </w:rPr>
        <w:t xml:space="preserve"> (une unité composée </w:t>
      </w:r>
      <w:r w:rsidR="00706B33">
        <w:rPr>
          <w:lang w:val="fr-BE"/>
        </w:rPr>
        <w:t xml:space="preserve">d’un hall, d’un portique et d’un espace ouvert dont l’agencement variable et la position au sein de l’édifice le destinait à fournir un espace privé à l’abri des températures élevées et des vents crétois), hall </w:t>
      </w:r>
      <w:r w:rsidR="005C6CCC">
        <w:rPr>
          <w:lang w:val="fr-BE"/>
        </w:rPr>
        <w:t xml:space="preserve">à polythyron (entièrement </w:t>
      </w:r>
      <w:r w:rsidR="00706B33">
        <w:rPr>
          <w:lang w:val="fr-BE"/>
        </w:rPr>
        <w:t>bordé de baies à portes multiples</w:t>
      </w:r>
      <w:r w:rsidR="005C6CCC">
        <w:rPr>
          <w:lang w:val="fr-BE"/>
        </w:rPr>
        <w:t>)</w:t>
      </w:r>
      <w:r w:rsidR="00706B33">
        <w:rPr>
          <w:lang w:val="fr-BE"/>
        </w:rPr>
        <w:t>, bain lustral</w:t>
      </w:r>
      <w:r w:rsidR="005C6CCC">
        <w:rPr>
          <w:lang w:val="fr-BE"/>
        </w:rPr>
        <w:t xml:space="preserve"> (pièce en demi sous-sol accessible par un escalier </w:t>
      </w:r>
      <w:r w:rsidR="002F065B">
        <w:rPr>
          <w:lang w:val="fr-BE"/>
        </w:rPr>
        <w:t xml:space="preserve">et </w:t>
      </w:r>
      <w:r w:rsidR="005C6CCC">
        <w:rPr>
          <w:lang w:val="fr-BE"/>
        </w:rPr>
        <w:t>souvent associée au hall minoen)</w:t>
      </w:r>
      <w:r w:rsidR="00706B33">
        <w:rPr>
          <w:lang w:val="fr-BE"/>
        </w:rPr>
        <w:t>, crypte à pilier</w:t>
      </w:r>
      <w:r w:rsidR="005C6CCC">
        <w:rPr>
          <w:lang w:val="fr-BE"/>
        </w:rPr>
        <w:t xml:space="preserve"> (un élément protopalatial </w:t>
      </w:r>
      <w:r w:rsidR="002F065B">
        <w:rPr>
          <w:lang w:val="fr-BE"/>
        </w:rPr>
        <w:t xml:space="preserve">– </w:t>
      </w:r>
      <w:r w:rsidR="002F065B" w:rsidRPr="002F065B">
        <w:rPr>
          <w:i/>
          <w:iCs/>
          <w:lang w:val="fr-BE"/>
        </w:rPr>
        <w:t>ca.</w:t>
      </w:r>
      <w:r w:rsidR="002F065B">
        <w:rPr>
          <w:lang w:val="fr-BE"/>
        </w:rPr>
        <w:t xml:space="preserve"> 1900-1700 av. J.-C. – </w:t>
      </w:r>
      <w:r w:rsidR="005C6CCC">
        <w:rPr>
          <w:lang w:val="fr-BE"/>
        </w:rPr>
        <w:t xml:space="preserve">et </w:t>
      </w:r>
      <w:r w:rsidR="00322E60">
        <w:rPr>
          <w:lang w:val="fr-BE"/>
        </w:rPr>
        <w:t>surtout</w:t>
      </w:r>
      <w:r w:rsidR="005C6CCC">
        <w:rPr>
          <w:lang w:val="fr-BE"/>
        </w:rPr>
        <w:t xml:space="preserve"> caractéristique de</w:t>
      </w:r>
      <w:r w:rsidR="002F065B">
        <w:rPr>
          <w:lang w:val="fr-BE"/>
        </w:rPr>
        <w:t xml:space="preserve"> la</w:t>
      </w:r>
      <w:r w:rsidR="005C6CCC">
        <w:rPr>
          <w:lang w:val="fr-BE"/>
        </w:rPr>
        <w:t xml:space="preserve"> Crète centrale nord)</w:t>
      </w:r>
      <w:r w:rsidR="00706B33">
        <w:rPr>
          <w:lang w:val="fr-BE"/>
        </w:rPr>
        <w:t>, espaces de stockage et de services (dont les sanitaires et les systèmes d’égouts), et espaces extérieurs (balcon</w:t>
      </w:r>
      <w:r w:rsidR="002F065B">
        <w:rPr>
          <w:lang w:val="fr-BE"/>
        </w:rPr>
        <w:t>s</w:t>
      </w:r>
      <w:r w:rsidR="00706B33">
        <w:rPr>
          <w:lang w:val="fr-BE"/>
        </w:rPr>
        <w:t>, terrasse</w:t>
      </w:r>
      <w:r w:rsidR="002F065B">
        <w:rPr>
          <w:lang w:val="fr-BE"/>
        </w:rPr>
        <w:t>s</w:t>
      </w:r>
      <w:r w:rsidR="00706B33">
        <w:rPr>
          <w:lang w:val="fr-BE"/>
        </w:rPr>
        <w:t>, toit</w:t>
      </w:r>
      <w:r w:rsidR="002F065B">
        <w:rPr>
          <w:lang w:val="fr-BE"/>
        </w:rPr>
        <w:t>s</w:t>
      </w:r>
      <w:r w:rsidR="00706B33">
        <w:rPr>
          <w:lang w:val="fr-BE"/>
        </w:rPr>
        <w:t>, puits-de-lumière, cour</w:t>
      </w:r>
      <w:r w:rsidR="002F065B">
        <w:rPr>
          <w:lang w:val="fr-BE"/>
        </w:rPr>
        <w:t>s</w:t>
      </w:r>
      <w:r w:rsidR="00706B33">
        <w:rPr>
          <w:lang w:val="fr-BE"/>
        </w:rPr>
        <w:t xml:space="preserve"> et jardin</w:t>
      </w:r>
      <w:r w:rsidR="002F065B">
        <w:rPr>
          <w:lang w:val="fr-BE"/>
        </w:rPr>
        <w:t>s</w:t>
      </w:r>
      <w:r w:rsidR="00706B33">
        <w:rPr>
          <w:lang w:val="fr-BE"/>
        </w:rPr>
        <w:t>)</w:t>
      </w:r>
      <w:r>
        <w:rPr>
          <w:lang w:val="fr-BE"/>
        </w:rPr>
        <w:t>.</w:t>
      </w:r>
      <w:r w:rsidR="00706B33">
        <w:rPr>
          <w:lang w:val="fr-BE"/>
        </w:rPr>
        <w:t xml:space="preserve"> </w:t>
      </w:r>
      <w:r w:rsidR="00224861">
        <w:rPr>
          <w:lang w:val="fr-BE"/>
        </w:rPr>
        <w:t>L’</w:t>
      </w:r>
      <w:r w:rsidR="00D906FD">
        <w:rPr>
          <w:lang w:val="fr-BE"/>
        </w:rPr>
        <w:t xml:space="preserve">auteure </w:t>
      </w:r>
      <w:r w:rsidR="00224861">
        <w:rPr>
          <w:lang w:val="fr-BE"/>
        </w:rPr>
        <w:t xml:space="preserve">souligne la variabilité avec laquelle </w:t>
      </w:r>
      <w:r w:rsidR="00AA7993">
        <w:rPr>
          <w:lang w:val="fr-BE"/>
        </w:rPr>
        <w:t>l</w:t>
      </w:r>
      <w:r w:rsidR="00224861">
        <w:rPr>
          <w:lang w:val="fr-BE"/>
        </w:rPr>
        <w:t>es</w:t>
      </w:r>
      <w:r w:rsidR="00AA7993">
        <w:rPr>
          <w:lang w:val="fr-BE"/>
        </w:rPr>
        <w:t xml:space="preserve"> différentes</w:t>
      </w:r>
      <w:r w:rsidR="00224861">
        <w:rPr>
          <w:lang w:val="fr-BE"/>
        </w:rPr>
        <w:t xml:space="preserve"> unités sont intégrées au sein des édifices minoens, expliquant ainsi l’extrême diversité des plans</w:t>
      </w:r>
      <w:r w:rsidR="00AA7993">
        <w:rPr>
          <w:lang w:val="fr-BE"/>
        </w:rPr>
        <w:t>. Elle met cependant en évidence</w:t>
      </w:r>
      <w:r w:rsidR="00224861">
        <w:rPr>
          <w:lang w:val="fr-BE"/>
        </w:rPr>
        <w:t xml:space="preserve"> des traits prédominants à l</w:t>
      </w:r>
      <w:r w:rsidR="00AA7993">
        <w:rPr>
          <w:lang w:val="fr-BE"/>
        </w:rPr>
        <w:t>eur</w:t>
      </w:r>
      <w:r w:rsidR="00224861">
        <w:rPr>
          <w:lang w:val="fr-BE"/>
        </w:rPr>
        <w:t xml:space="preserve"> configuration</w:t>
      </w:r>
      <w:r w:rsidR="00AA7993">
        <w:rPr>
          <w:lang w:val="fr-BE"/>
        </w:rPr>
        <w:t>,</w:t>
      </w:r>
      <w:r w:rsidR="00224861">
        <w:rPr>
          <w:lang w:val="fr-BE"/>
        </w:rPr>
        <w:t xml:space="preserve"> </w:t>
      </w:r>
      <w:r w:rsidR="00A649A2">
        <w:rPr>
          <w:lang w:val="fr-BE"/>
        </w:rPr>
        <w:t>et qui viennent renforcer la cohérence de la production architecturale minoenne</w:t>
      </w:r>
      <w:r w:rsidR="00AA7993">
        <w:rPr>
          <w:lang w:val="fr-BE"/>
        </w:rPr>
        <w:t> </w:t>
      </w:r>
      <w:r w:rsidR="00224861">
        <w:rPr>
          <w:lang w:val="fr-BE"/>
        </w:rPr>
        <w:t>: centralité (par opposition à l’axialité prégnante dans l’architecture mycénienne</w:t>
      </w:r>
      <w:r w:rsidR="00E2746A">
        <w:rPr>
          <w:lang w:val="fr-BE"/>
        </w:rPr>
        <w:t>)</w:t>
      </w:r>
      <w:r w:rsidR="00224861">
        <w:rPr>
          <w:lang w:val="fr-BE"/>
        </w:rPr>
        <w:t>, gradation (</w:t>
      </w:r>
      <w:r w:rsidR="00E2746A">
        <w:rPr>
          <w:lang w:val="fr-BE"/>
        </w:rPr>
        <w:t>de l’</w:t>
      </w:r>
      <w:r w:rsidR="00224861">
        <w:rPr>
          <w:lang w:val="fr-BE"/>
        </w:rPr>
        <w:t xml:space="preserve">approche </w:t>
      </w:r>
      <w:r w:rsidR="00E2746A">
        <w:rPr>
          <w:lang w:val="fr-BE"/>
        </w:rPr>
        <w:t>mais aussi de la</w:t>
      </w:r>
      <w:r w:rsidR="00224861">
        <w:rPr>
          <w:lang w:val="fr-BE"/>
        </w:rPr>
        <w:t xml:space="preserve"> luminosité), symétrie</w:t>
      </w:r>
      <w:r w:rsidR="00F05629">
        <w:rPr>
          <w:lang w:val="fr-BE"/>
        </w:rPr>
        <w:t xml:space="preserve"> (bilatérale ou absolue)</w:t>
      </w:r>
      <w:r w:rsidR="00224861">
        <w:rPr>
          <w:lang w:val="fr-BE"/>
        </w:rPr>
        <w:t>, ordre</w:t>
      </w:r>
      <w:r w:rsidR="00616346">
        <w:rPr>
          <w:lang w:val="fr-BE"/>
        </w:rPr>
        <w:t>, ergonomie</w:t>
      </w:r>
      <w:r w:rsidR="00E2746A">
        <w:rPr>
          <w:lang w:val="fr-BE"/>
        </w:rPr>
        <w:t xml:space="preserve"> (localisation, forme et taille de certains espaces définies par les tâches qui y prennent place)</w:t>
      </w:r>
      <w:r w:rsidR="00616346">
        <w:rPr>
          <w:lang w:val="fr-BE"/>
        </w:rPr>
        <w:t xml:space="preserve">, et </w:t>
      </w:r>
      <w:r w:rsidR="00431F15">
        <w:rPr>
          <w:lang w:val="fr-BE"/>
        </w:rPr>
        <w:t>prépondérance des</w:t>
      </w:r>
      <w:r w:rsidR="00616346">
        <w:rPr>
          <w:lang w:val="fr-BE"/>
        </w:rPr>
        <w:t xml:space="preserve"> espaces de stockage.</w:t>
      </w:r>
    </w:p>
    <w:p w14:paraId="4D1AFAD2" w14:textId="7E033118" w:rsidR="0049326E" w:rsidRDefault="00007E16" w:rsidP="00165CE9">
      <w:pPr>
        <w:spacing w:after="0"/>
        <w:ind w:firstLine="708"/>
        <w:jc w:val="both"/>
        <w:rPr>
          <w:lang w:val="fr-BE"/>
        </w:rPr>
      </w:pPr>
      <w:r>
        <w:rPr>
          <w:lang w:val="fr-BE"/>
        </w:rPr>
        <w:t xml:space="preserve">Les individus en charge du programme architectural, de sa conception et de sa mise en œuvre ont </w:t>
      </w:r>
      <w:r w:rsidR="00A649A2">
        <w:rPr>
          <w:lang w:val="fr-BE"/>
        </w:rPr>
        <w:t>eu à leur disposition une série de modèles</w:t>
      </w:r>
      <w:r w:rsidR="00A55B2A">
        <w:rPr>
          <w:lang w:val="fr-BE"/>
        </w:rPr>
        <w:t>,</w:t>
      </w:r>
      <w:r w:rsidR="00A649A2">
        <w:rPr>
          <w:lang w:val="fr-BE"/>
        </w:rPr>
        <w:t xml:space="preserve"> </w:t>
      </w:r>
      <w:r w:rsidR="00A55B2A">
        <w:rPr>
          <w:lang w:val="fr-BE"/>
        </w:rPr>
        <w:t>de</w:t>
      </w:r>
      <w:r w:rsidR="00A649A2">
        <w:rPr>
          <w:lang w:val="fr-BE"/>
        </w:rPr>
        <w:t xml:space="preserve"> formules telles que l’agencement entre certaines des unités architecturales décrites au chapitre 5 </w:t>
      </w:r>
      <w:r w:rsidR="00F16E84">
        <w:rPr>
          <w:lang w:val="fr-BE"/>
        </w:rPr>
        <w:t>(hall minoen)</w:t>
      </w:r>
      <w:r w:rsidR="00A55B2A">
        <w:rPr>
          <w:lang w:val="fr-BE"/>
        </w:rPr>
        <w:t xml:space="preserve">, </w:t>
      </w:r>
      <w:r w:rsidR="00A649A2">
        <w:rPr>
          <w:lang w:val="fr-BE"/>
        </w:rPr>
        <w:t xml:space="preserve">ou </w:t>
      </w:r>
      <w:r w:rsidR="00A55B2A">
        <w:rPr>
          <w:lang w:val="fr-BE"/>
        </w:rPr>
        <w:t xml:space="preserve">de </w:t>
      </w:r>
      <w:r w:rsidR="00A649A2">
        <w:rPr>
          <w:lang w:val="fr-BE"/>
        </w:rPr>
        <w:t xml:space="preserve">certaines formes et techniques de construction standardisées (comme illustré par les variations </w:t>
      </w:r>
      <w:r w:rsidR="00F16E84">
        <w:rPr>
          <w:lang w:val="fr-BE"/>
        </w:rPr>
        <w:t xml:space="preserve">sur un modèle d’escalier à Akrotiri). Mais la norme minoenne offre à l’architecte des codes qui peuvent être combinés de manières diverses : ainsi des zones peuvent être associées ou séparées par </w:t>
      </w:r>
      <w:r w:rsidR="006C5164">
        <w:rPr>
          <w:lang w:val="fr-BE"/>
        </w:rPr>
        <w:t>des</w:t>
      </w:r>
      <w:r w:rsidR="00F16E84" w:rsidRPr="006C5164">
        <w:rPr>
          <w:lang w:val="fr-BE"/>
        </w:rPr>
        <w:t xml:space="preserve"> lignes régulatrices</w:t>
      </w:r>
      <w:r w:rsidR="00F16E84">
        <w:rPr>
          <w:lang w:val="fr-BE"/>
        </w:rPr>
        <w:t xml:space="preserve"> qui définissent l’édifice dans son ensemble et posent les principaux éléments de circulation (corridors, portes, escaliers)</w:t>
      </w:r>
      <w:r w:rsidR="006C5164">
        <w:rPr>
          <w:lang w:val="fr-BE"/>
        </w:rPr>
        <w:t xml:space="preserve"> (chap. 6)</w:t>
      </w:r>
      <w:r w:rsidR="00F16E84">
        <w:rPr>
          <w:lang w:val="fr-BE"/>
        </w:rPr>
        <w:t>. Ces lignes constituent le principe fondamental qui assure à l’architecture minoenne sa cohérence</w:t>
      </w:r>
      <w:r w:rsidR="0049326E">
        <w:rPr>
          <w:lang w:val="fr-BE"/>
        </w:rPr>
        <w:t xml:space="preserve"> (et dont dérive le système de grille mis en évidence par plusieurs </w:t>
      </w:r>
      <w:proofErr w:type="spellStart"/>
      <w:proofErr w:type="gramStart"/>
      <w:r w:rsidR="00322E60">
        <w:rPr>
          <w:lang w:val="fr-BE"/>
        </w:rPr>
        <w:t>chercheur.se.s</w:t>
      </w:r>
      <w:proofErr w:type="spellEnd"/>
      <w:proofErr w:type="gramEnd"/>
      <w:r w:rsidR="0049326E">
        <w:rPr>
          <w:lang w:val="fr-BE"/>
        </w:rPr>
        <w:t>)</w:t>
      </w:r>
      <w:r w:rsidR="00F16E84">
        <w:rPr>
          <w:lang w:val="fr-BE"/>
        </w:rPr>
        <w:t>, malgré des variations innombrables dans l’agencement de ses parties constitutives</w:t>
      </w:r>
      <w:r w:rsidR="0049326E">
        <w:rPr>
          <w:lang w:val="fr-BE"/>
        </w:rPr>
        <w:t xml:space="preserve"> (p. 1</w:t>
      </w:r>
      <w:r w:rsidR="00322E60">
        <w:rPr>
          <w:lang w:val="fr-BE"/>
        </w:rPr>
        <w:t>1</w:t>
      </w:r>
      <w:r w:rsidR="0049326E">
        <w:rPr>
          <w:lang w:val="fr-BE"/>
        </w:rPr>
        <w:t>7-121)</w:t>
      </w:r>
      <w:r w:rsidR="00F16E84">
        <w:rPr>
          <w:lang w:val="fr-BE"/>
        </w:rPr>
        <w:t xml:space="preserve">. </w:t>
      </w:r>
      <w:r w:rsidR="0049326E">
        <w:rPr>
          <w:lang w:val="fr-BE"/>
        </w:rPr>
        <w:t>Les techniques et matériaux de construction qui viennent concrétiser le projet planifié et conçu tel qu’il est décrit au chap</w:t>
      </w:r>
      <w:r w:rsidR="000F52FC">
        <w:rPr>
          <w:lang w:val="fr-BE"/>
        </w:rPr>
        <w:t>itre</w:t>
      </w:r>
      <w:r w:rsidR="0049326E">
        <w:rPr>
          <w:lang w:val="fr-BE"/>
        </w:rPr>
        <w:t> 6 sont envisagés au chap</w:t>
      </w:r>
      <w:r w:rsidR="000F52FC">
        <w:rPr>
          <w:lang w:val="fr-BE"/>
        </w:rPr>
        <w:t>itre</w:t>
      </w:r>
      <w:r w:rsidR="0049326E">
        <w:rPr>
          <w:lang w:val="fr-BE"/>
        </w:rPr>
        <w:t xml:space="preserve"> 7. L’existence d’un ouvrage de référence </w:t>
      </w:r>
      <w:r w:rsidR="006C5164">
        <w:rPr>
          <w:lang w:val="fr-BE"/>
        </w:rPr>
        <w:t>sur ces sujets</w:t>
      </w:r>
      <w:r w:rsidR="0049326E">
        <w:rPr>
          <w:lang w:val="fr-BE"/>
        </w:rPr>
        <w:t xml:space="preserve"> (</w:t>
      </w:r>
      <w:r w:rsidR="006C5164">
        <w:rPr>
          <w:lang w:val="fr-BE"/>
        </w:rPr>
        <w:t xml:space="preserve">J.W. </w:t>
      </w:r>
      <w:r w:rsidR="0049326E">
        <w:rPr>
          <w:lang w:val="fr-BE"/>
        </w:rPr>
        <w:t>Shaw</w:t>
      </w:r>
      <w:r w:rsidR="006C5164">
        <w:rPr>
          <w:lang w:val="fr-BE"/>
        </w:rPr>
        <w:t xml:space="preserve">, </w:t>
      </w:r>
      <w:proofErr w:type="spellStart"/>
      <w:r w:rsidR="006C5164" w:rsidRPr="006C5164">
        <w:rPr>
          <w:i/>
          <w:iCs/>
          <w:lang w:val="fr-BE"/>
        </w:rPr>
        <w:t>Minoan</w:t>
      </w:r>
      <w:proofErr w:type="spellEnd"/>
      <w:r w:rsidR="006C5164" w:rsidRPr="006C5164">
        <w:rPr>
          <w:i/>
          <w:iCs/>
          <w:lang w:val="fr-BE"/>
        </w:rPr>
        <w:t xml:space="preserve"> Architecture. Materials and Techniques</w:t>
      </w:r>
      <w:r w:rsidR="006C5164">
        <w:rPr>
          <w:lang w:val="fr-BE"/>
        </w:rPr>
        <w:t>, 2</w:t>
      </w:r>
      <w:r w:rsidR="006C5164" w:rsidRPr="006C5164">
        <w:rPr>
          <w:vertAlign w:val="superscript"/>
          <w:lang w:val="fr-BE"/>
        </w:rPr>
        <w:t>ème</w:t>
      </w:r>
      <w:r w:rsidR="006C5164">
        <w:rPr>
          <w:lang w:val="fr-BE"/>
        </w:rPr>
        <w:t xml:space="preserve"> éd.,</w:t>
      </w:r>
      <w:r w:rsidR="0049326E">
        <w:rPr>
          <w:lang w:val="fr-BE"/>
        </w:rPr>
        <w:t xml:space="preserve"> 2009) permet à l’auteure de se concentrer sur </w:t>
      </w:r>
      <w:r w:rsidR="00A55B2A">
        <w:rPr>
          <w:lang w:val="fr-BE"/>
        </w:rPr>
        <w:t>les éléments</w:t>
      </w:r>
      <w:r w:rsidR="0049326E">
        <w:rPr>
          <w:lang w:val="fr-BE"/>
        </w:rPr>
        <w:t xml:space="preserve"> qui ont joué un rôle particulier dans les innovations architecturales minoennes</w:t>
      </w:r>
      <w:r w:rsidR="005C6CCC">
        <w:rPr>
          <w:lang w:val="fr-BE"/>
        </w:rPr>
        <w:t xml:space="preserve">, en particulier le bois, dont le rôle structurel a permis de libérer </w:t>
      </w:r>
      <w:r w:rsidR="005D385E">
        <w:rPr>
          <w:lang w:val="fr-BE"/>
        </w:rPr>
        <w:t>des pans de</w:t>
      </w:r>
      <w:r w:rsidR="005C6CCC">
        <w:rPr>
          <w:lang w:val="fr-BE"/>
        </w:rPr>
        <w:t xml:space="preserve"> murs</w:t>
      </w:r>
      <w:r w:rsidR="005D385E">
        <w:rPr>
          <w:lang w:val="fr-BE"/>
        </w:rPr>
        <w:t xml:space="preserve"> entiers</w:t>
      </w:r>
      <w:r w:rsidR="005C6CCC">
        <w:rPr>
          <w:lang w:val="fr-BE"/>
        </w:rPr>
        <w:t xml:space="preserve">. L’usage extensif de ce </w:t>
      </w:r>
      <w:r w:rsidR="006C5164">
        <w:rPr>
          <w:lang w:val="fr-BE"/>
        </w:rPr>
        <w:t>matériau</w:t>
      </w:r>
      <w:r w:rsidR="00F05629">
        <w:rPr>
          <w:lang w:val="fr-BE"/>
        </w:rPr>
        <w:t xml:space="preserve"> dans la structure de leurs édifices</w:t>
      </w:r>
      <w:r w:rsidR="005C6CCC">
        <w:rPr>
          <w:lang w:val="fr-BE"/>
        </w:rPr>
        <w:t xml:space="preserve"> a </w:t>
      </w:r>
      <w:r w:rsidR="005D385E">
        <w:rPr>
          <w:lang w:val="fr-BE"/>
        </w:rPr>
        <w:t>offert</w:t>
      </w:r>
      <w:r w:rsidR="005C6CCC">
        <w:rPr>
          <w:lang w:val="fr-BE"/>
        </w:rPr>
        <w:t xml:space="preserve"> aux </w:t>
      </w:r>
      <w:r w:rsidR="000A0D8E">
        <w:rPr>
          <w:lang w:val="fr-BE"/>
        </w:rPr>
        <w:t>M</w:t>
      </w:r>
      <w:r w:rsidR="005C6CCC">
        <w:rPr>
          <w:lang w:val="fr-BE"/>
        </w:rPr>
        <w:t>inoens</w:t>
      </w:r>
      <w:r w:rsidR="005D385E">
        <w:rPr>
          <w:lang w:val="fr-BE"/>
        </w:rPr>
        <w:t xml:space="preserve"> la possibilité</w:t>
      </w:r>
      <w:r w:rsidR="005C6CCC">
        <w:rPr>
          <w:lang w:val="fr-BE"/>
        </w:rPr>
        <w:t xml:space="preserve"> d’</w:t>
      </w:r>
      <w:r w:rsidR="000A0D8E">
        <w:rPr>
          <w:lang w:val="fr-BE"/>
        </w:rPr>
        <w:t>explorer le</w:t>
      </w:r>
      <w:r w:rsidR="005C6CCC">
        <w:rPr>
          <w:lang w:val="fr-BE"/>
        </w:rPr>
        <w:t xml:space="preserve"> potentiel formel</w:t>
      </w:r>
      <w:r w:rsidR="000A0D8E">
        <w:rPr>
          <w:lang w:val="fr-BE"/>
        </w:rPr>
        <w:t xml:space="preserve"> de l’architecture</w:t>
      </w:r>
      <w:r w:rsidR="005C6CCC">
        <w:rPr>
          <w:lang w:val="fr-BE"/>
        </w:rPr>
        <w:t>, selon une approche globale qui mêle</w:t>
      </w:r>
      <w:r w:rsidR="000A0D8E">
        <w:rPr>
          <w:lang w:val="fr-BE"/>
        </w:rPr>
        <w:t xml:space="preserve"> efficacement</w:t>
      </w:r>
      <w:r w:rsidR="005C6CCC">
        <w:rPr>
          <w:lang w:val="fr-BE"/>
        </w:rPr>
        <w:t>, selon ses termes</w:t>
      </w:r>
      <w:r w:rsidR="009C5127">
        <w:rPr>
          <w:lang w:val="fr-BE"/>
        </w:rPr>
        <w:t>,</w:t>
      </w:r>
      <w:r w:rsidR="005C6CCC">
        <w:rPr>
          <w:lang w:val="fr-BE"/>
        </w:rPr>
        <w:t xml:space="preserve"> </w:t>
      </w:r>
      <w:proofErr w:type="spellStart"/>
      <w:r w:rsidR="005C6CCC">
        <w:rPr>
          <w:i/>
          <w:iCs/>
          <w:lang w:val="fr-BE"/>
        </w:rPr>
        <w:t>poetics</w:t>
      </w:r>
      <w:proofErr w:type="spellEnd"/>
      <w:r w:rsidR="005C6CCC">
        <w:rPr>
          <w:i/>
          <w:iCs/>
          <w:lang w:val="fr-BE"/>
        </w:rPr>
        <w:t xml:space="preserve"> and </w:t>
      </w:r>
      <w:proofErr w:type="spellStart"/>
      <w:r w:rsidR="005C6CCC">
        <w:rPr>
          <w:i/>
          <w:iCs/>
          <w:lang w:val="fr-BE"/>
        </w:rPr>
        <w:t>tectonics</w:t>
      </w:r>
      <w:proofErr w:type="spellEnd"/>
      <w:r w:rsidR="000A0D8E">
        <w:rPr>
          <w:i/>
          <w:iCs/>
          <w:lang w:val="fr-BE"/>
        </w:rPr>
        <w:t xml:space="preserve"> </w:t>
      </w:r>
      <w:r w:rsidR="000A0D8E">
        <w:rPr>
          <w:lang w:val="fr-BE"/>
        </w:rPr>
        <w:t>(p. 134)</w:t>
      </w:r>
      <w:r w:rsidR="005C6CCC">
        <w:rPr>
          <w:lang w:val="fr-BE"/>
        </w:rPr>
        <w:t xml:space="preserve">. </w:t>
      </w:r>
      <w:r w:rsidR="000A0D8E">
        <w:rPr>
          <w:lang w:val="fr-BE"/>
        </w:rPr>
        <w:t>Répondant à des</w:t>
      </w:r>
      <w:r w:rsidR="005C6CCC">
        <w:rPr>
          <w:lang w:val="fr-BE"/>
        </w:rPr>
        <w:t xml:space="preserve"> exigences structurelles </w:t>
      </w:r>
      <w:r w:rsidR="000F52FC">
        <w:rPr>
          <w:lang w:val="fr-BE"/>
        </w:rPr>
        <w:t xml:space="preserve">rendues </w:t>
      </w:r>
      <w:r w:rsidR="005C6CCC">
        <w:rPr>
          <w:lang w:val="fr-BE"/>
        </w:rPr>
        <w:t xml:space="preserve">essentielles </w:t>
      </w:r>
      <w:r w:rsidR="000F52FC">
        <w:rPr>
          <w:lang w:val="fr-BE"/>
        </w:rPr>
        <w:t>par les</w:t>
      </w:r>
      <w:r w:rsidR="005C6CCC">
        <w:rPr>
          <w:lang w:val="fr-BE"/>
        </w:rPr>
        <w:t xml:space="preserve"> </w:t>
      </w:r>
      <w:r w:rsidR="000622F6">
        <w:rPr>
          <w:lang w:val="fr-BE"/>
        </w:rPr>
        <w:t xml:space="preserve">violents </w:t>
      </w:r>
      <w:r w:rsidR="005C6CCC">
        <w:rPr>
          <w:lang w:val="fr-BE"/>
        </w:rPr>
        <w:t>séismes</w:t>
      </w:r>
      <w:r w:rsidR="000F52FC">
        <w:rPr>
          <w:lang w:val="fr-BE"/>
        </w:rPr>
        <w:t xml:space="preserve"> dont le sud de l’Égée est régulièrement la proie</w:t>
      </w:r>
      <w:r w:rsidR="000A0D8E">
        <w:rPr>
          <w:lang w:val="fr-BE"/>
        </w:rPr>
        <w:t xml:space="preserve">, </w:t>
      </w:r>
      <w:r w:rsidR="000F52FC">
        <w:rPr>
          <w:lang w:val="fr-BE"/>
        </w:rPr>
        <w:t>c</w:t>
      </w:r>
      <w:r w:rsidR="000622F6">
        <w:rPr>
          <w:lang w:val="fr-BE"/>
        </w:rPr>
        <w:t>e tour de force</w:t>
      </w:r>
      <w:r w:rsidR="009C5127">
        <w:rPr>
          <w:lang w:val="fr-BE"/>
        </w:rPr>
        <w:t xml:space="preserve"> des</w:t>
      </w:r>
      <w:r w:rsidR="000A0D8E">
        <w:rPr>
          <w:lang w:val="fr-BE"/>
        </w:rPr>
        <w:t xml:space="preserve"> architectes minoens est d’autant plus exceptionnel qu’il fut sans lendemain </w:t>
      </w:r>
      <w:r w:rsidR="000A0D8E">
        <w:rPr>
          <w:lang w:val="fr-BE"/>
        </w:rPr>
        <w:lastRenderedPageBreak/>
        <w:t>(p. 144-147)</w:t>
      </w:r>
      <w:r w:rsidR="005C6CCC">
        <w:rPr>
          <w:lang w:val="fr-BE"/>
        </w:rPr>
        <w:t>.</w:t>
      </w:r>
      <w:r w:rsidR="000A0D8E">
        <w:rPr>
          <w:lang w:val="fr-BE"/>
        </w:rPr>
        <w:t xml:space="preserve"> </w:t>
      </w:r>
      <w:r w:rsidR="000A0D8E">
        <w:rPr>
          <w:rFonts w:cstheme="minorHAnsi"/>
          <w:lang w:val="fr-BE"/>
        </w:rPr>
        <w:t>À</w:t>
      </w:r>
      <w:r w:rsidR="000A0D8E">
        <w:rPr>
          <w:lang w:val="fr-BE"/>
        </w:rPr>
        <w:t xml:space="preserve"> cette discussion des aspects structurels et formels de l’architecture minoenne succède celle </w:t>
      </w:r>
      <w:r w:rsidR="00165CE9">
        <w:rPr>
          <w:lang w:val="fr-BE"/>
        </w:rPr>
        <w:t xml:space="preserve">des attributs qui s’adressent directement à la perception sensible, principalement visuelle, de l’édifice </w:t>
      </w:r>
      <w:r w:rsidR="000A0D8E">
        <w:rPr>
          <w:lang w:val="fr-BE"/>
        </w:rPr>
        <w:t>(chap. 8)</w:t>
      </w:r>
      <w:r w:rsidR="00165CE9">
        <w:rPr>
          <w:lang w:val="fr-BE"/>
        </w:rPr>
        <w:t>, en insistant particulièrement sur le</w:t>
      </w:r>
      <w:r w:rsidR="000622F6">
        <w:rPr>
          <w:lang w:val="fr-BE"/>
        </w:rPr>
        <w:t xml:space="preserve">s jeux de pleins et de vides, la prédominance des lignes horizontales, </w:t>
      </w:r>
      <w:r w:rsidR="00165CE9">
        <w:rPr>
          <w:lang w:val="fr-BE"/>
        </w:rPr>
        <w:t>le</w:t>
      </w:r>
      <w:r w:rsidR="000622F6">
        <w:rPr>
          <w:lang w:val="fr-BE"/>
        </w:rPr>
        <w:t xml:space="preserve"> rythme (en particulier des colonnades), </w:t>
      </w:r>
      <w:r w:rsidR="00165CE9">
        <w:rPr>
          <w:lang w:val="fr-BE"/>
        </w:rPr>
        <w:t>et la symétrie.</w:t>
      </w:r>
    </w:p>
    <w:p w14:paraId="68E8DB02" w14:textId="5E23E8E0" w:rsidR="00041F8D" w:rsidRDefault="00022F84" w:rsidP="00041F8D">
      <w:pPr>
        <w:spacing w:after="0"/>
        <w:jc w:val="both"/>
        <w:rPr>
          <w:lang w:val="fr-BE"/>
        </w:rPr>
      </w:pPr>
      <w:r>
        <w:rPr>
          <w:lang w:val="fr-BE"/>
        </w:rPr>
        <w:tab/>
      </w:r>
      <w:r w:rsidR="00F53D06">
        <w:rPr>
          <w:lang w:val="fr-BE"/>
        </w:rPr>
        <w:t xml:space="preserve">Le chapitre 9 </w:t>
      </w:r>
      <w:r w:rsidR="006F76AF">
        <w:rPr>
          <w:lang w:val="fr-BE"/>
        </w:rPr>
        <w:t>est d’un intérêt particulier</w:t>
      </w:r>
      <w:r w:rsidR="00F53D06">
        <w:rPr>
          <w:lang w:val="fr-BE"/>
        </w:rPr>
        <w:t xml:space="preserve"> pour les archéologues et historiens quelle que soit leur période ou région de prédilection. L’auteure y </w:t>
      </w:r>
      <w:r w:rsidR="00646DD3">
        <w:rPr>
          <w:lang w:val="fr-BE"/>
        </w:rPr>
        <w:t>souligne</w:t>
      </w:r>
      <w:r w:rsidR="006F76AF">
        <w:rPr>
          <w:lang w:val="fr-BE"/>
        </w:rPr>
        <w:t xml:space="preserve"> en effet le mésusage du</w:t>
      </w:r>
      <w:r w:rsidR="00F53D06">
        <w:rPr>
          <w:lang w:val="fr-BE"/>
        </w:rPr>
        <w:t xml:space="preserve"> concept moderniste de f</w:t>
      </w:r>
      <w:r w:rsidR="006F76AF">
        <w:rPr>
          <w:lang w:val="fr-BE"/>
        </w:rPr>
        <w:t>o</w:t>
      </w:r>
      <w:r w:rsidR="00F53D06">
        <w:rPr>
          <w:lang w:val="fr-BE"/>
        </w:rPr>
        <w:t>nction</w:t>
      </w:r>
      <w:r w:rsidR="006F76AF">
        <w:rPr>
          <w:lang w:val="fr-BE"/>
        </w:rPr>
        <w:t xml:space="preserve">, erronément présenté comme équivalent à </w:t>
      </w:r>
      <w:r w:rsidR="00A55B2A">
        <w:rPr>
          <w:lang w:val="fr-BE"/>
        </w:rPr>
        <w:t>la vocation utilitaire de l’architecture</w:t>
      </w:r>
      <w:r w:rsidR="006F76AF">
        <w:rPr>
          <w:lang w:val="fr-BE"/>
        </w:rPr>
        <w:t>, mais qui recouvre une réalité plus complexe</w:t>
      </w:r>
      <w:r>
        <w:rPr>
          <w:lang w:val="fr-BE"/>
        </w:rPr>
        <w:t xml:space="preserve"> (p. 172-173)</w:t>
      </w:r>
      <w:r w:rsidR="006F76AF">
        <w:rPr>
          <w:lang w:val="fr-BE"/>
        </w:rPr>
        <w:t xml:space="preserve">. </w:t>
      </w:r>
      <w:r w:rsidR="00646DD3">
        <w:rPr>
          <w:lang w:val="fr-BE"/>
        </w:rPr>
        <w:t>‘Fonction’</w:t>
      </w:r>
      <w:r w:rsidR="006F76AF">
        <w:rPr>
          <w:lang w:val="fr-BE"/>
        </w:rPr>
        <w:t xml:space="preserve"> fait ainsi non seulement référence aux </w:t>
      </w:r>
      <w:r>
        <w:rPr>
          <w:lang w:val="fr-BE"/>
        </w:rPr>
        <w:t>tâches</w:t>
      </w:r>
      <w:r w:rsidR="006F76AF">
        <w:rPr>
          <w:lang w:val="fr-BE"/>
        </w:rPr>
        <w:t xml:space="preserve"> utilitaires accomplies au sein d’une structure, mais aussi à la destination, au caractère, au programme architectural et au style de celle-ci. La richesse du terme est </w:t>
      </w:r>
      <w:r w:rsidR="00646DD3">
        <w:rPr>
          <w:lang w:val="fr-BE"/>
        </w:rPr>
        <w:t>d’autant plus</w:t>
      </w:r>
      <w:r w:rsidR="006F76AF">
        <w:rPr>
          <w:lang w:val="fr-BE"/>
        </w:rPr>
        <w:t xml:space="preserve"> importante à souligner </w:t>
      </w:r>
      <w:r w:rsidR="00646DD3">
        <w:rPr>
          <w:lang w:val="fr-BE"/>
        </w:rPr>
        <w:t>que l</w:t>
      </w:r>
      <w:r w:rsidR="006F76AF">
        <w:rPr>
          <w:lang w:val="fr-BE"/>
        </w:rPr>
        <w:t>a fonction est susceptible d’évoluer</w:t>
      </w:r>
      <w:r w:rsidR="00646DD3">
        <w:rPr>
          <w:lang w:val="fr-BE"/>
        </w:rPr>
        <w:t xml:space="preserve">, un phénomène dont Clairy Palyvou souligne qu’il est particulièrement évident en Crète à l’Âge du Bronze. Elle qualifie ainsi de </w:t>
      </w:r>
      <w:r w:rsidR="00646DD3">
        <w:rPr>
          <w:i/>
          <w:iCs/>
          <w:lang w:val="fr-BE"/>
        </w:rPr>
        <w:t>tolérance</w:t>
      </w:r>
      <w:r w:rsidR="00646DD3">
        <w:rPr>
          <w:lang w:val="fr-BE"/>
        </w:rPr>
        <w:t xml:space="preserve"> de l’architecture minoenne sa capacité à accueillir un contenu et un style de vie parfois très éloignés de ceux qui ont vu sa conception initiale, et d’autant plus évident que certains des édifices minoens les plus monumentaux s’inscrivent véritablement </w:t>
      </w:r>
      <w:r w:rsidR="00545E5F">
        <w:rPr>
          <w:lang w:val="fr-BE"/>
        </w:rPr>
        <w:t>dans</w:t>
      </w:r>
      <w:r w:rsidR="00646DD3">
        <w:rPr>
          <w:lang w:val="fr-BE"/>
        </w:rPr>
        <w:t xml:space="preserve"> la longue durée.</w:t>
      </w:r>
      <w:r w:rsidR="00545E5F">
        <w:rPr>
          <w:lang w:val="fr-BE"/>
        </w:rPr>
        <w:t xml:space="preserve"> Ce chapitre est également l’occasion pour l’auteure de s’attarder sur le concept monumentalité</w:t>
      </w:r>
      <w:r>
        <w:rPr>
          <w:lang w:val="fr-BE"/>
        </w:rPr>
        <w:t xml:space="preserve"> comme capacité symbolique que l’architecture (p. 178-183). </w:t>
      </w:r>
    </w:p>
    <w:p w14:paraId="3701123A" w14:textId="5E482E0F" w:rsidR="008E5AFA" w:rsidRDefault="008E5AFA" w:rsidP="00041F8D">
      <w:pPr>
        <w:spacing w:after="0"/>
        <w:jc w:val="both"/>
        <w:rPr>
          <w:lang w:val="fr-BE"/>
        </w:rPr>
      </w:pPr>
      <w:r>
        <w:rPr>
          <w:lang w:val="fr-BE"/>
        </w:rPr>
        <w:tab/>
        <w:t xml:space="preserve">L’approche holistique des différents traits de l’architecture minoenne et la discussion de ses fonctions et capacités aux chapitres 2-9 est mise en application au chapitre 10, qui traite des palais minoens. Le débat sur la terminologie utilisée pour caractériser ces édifices est </w:t>
      </w:r>
      <w:r w:rsidR="005D385E">
        <w:rPr>
          <w:lang w:val="fr-BE"/>
        </w:rPr>
        <w:t>envisagé</w:t>
      </w:r>
      <w:r>
        <w:rPr>
          <w:lang w:val="fr-BE"/>
        </w:rPr>
        <w:t xml:space="preserve"> brièvement afin de justifier l’étude des cas les plus indiscutablement palatiaux – Knossos, Phaistos, Malia, et pour certains aspects Zakros et Galatas –, dont elle envisage les principaux aspects susceptibles d’être </w:t>
      </w:r>
      <w:r w:rsidR="006129ED">
        <w:rPr>
          <w:lang w:val="fr-BE"/>
        </w:rPr>
        <w:t>approchés</w:t>
      </w:r>
      <w:r>
        <w:rPr>
          <w:lang w:val="fr-BE"/>
        </w:rPr>
        <w:t xml:space="preserve"> d’un point de vue phénoménologique.</w:t>
      </w:r>
      <w:r w:rsidR="000C6CFD">
        <w:rPr>
          <w:lang w:val="fr-BE"/>
        </w:rPr>
        <w:t xml:space="preserve"> Sont ainsi successivement envisagés : l’implantation de l’édifice dans la topographie naturelle et urbaine ; le rôle de la </w:t>
      </w:r>
      <w:r w:rsidR="005D385E">
        <w:rPr>
          <w:lang w:val="fr-BE"/>
        </w:rPr>
        <w:t>c</w:t>
      </w:r>
      <w:r w:rsidR="000C6CFD">
        <w:rPr>
          <w:lang w:val="fr-BE"/>
        </w:rPr>
        <w:t xml:space="preserve">our </w:t>
      </w:r>
      <w:r w:rsidR="005D385E">
        <w:rPr>
          <w:lang w:val="fr-BE"/>
        </w:rPr>
        <w:t>o</w:t>
      </w:r>
      <w:r w:rsidR="000C6CFD">
        <w:rPr>
          <w:lang w:val="fr-BE"/>
        </w:rPr>
        <w:t>uest comme espace public servant d’interface entre le palais et la ville ; l’aménagement des systèmes d’accès de la ville aux portes –</w:t>
      </w:r>
      <w:r w:rsidR="005D385E">
        <w:rPr>
          <w:lang w:val="fr-BE"/>
        </w:rPr>
        <w:t xml:space="preserve"> au sens</w:t>
      </w:r>
      <w:r w:rsidR="000C6CFD">
        <w:rPr>
          <w:lang w:val="fr-BE"/>
        </w:rPr>
        <w:t xml:space="preserve"> littéral – du palais ; le rôle </w:t>
      </w:r>
      <w:r w:rsidR="00E32CA4">
        <w:rPr>
          <w:lang w:val="fr-BE"/>
        </w:rPr>
        <w:t>de la cour centrale </w:t>
      </w:r>
      <w:r w:rsidR="000C6CFD">
        <w:rPr>
          <w:lang w:val="fr-BE"/>
        </w:rPr>
        <w:t xml:space="preserve">et </w:t>
      </w:r>
      <w:r w:rsidR="00E32CA4">
        <w:rPr>
          <w:lang w:val="fr-BE"/>
        </w:rPr>
        <w:t>s</w:t>
      </w:r>
      <w:r w:rsidR="000C6CFD">
        <w:rPr>
          <w:lang w:val="fr-BE"/>
        </w:rPr>
        <w:t xml:space="preserve">a clarté formelle fondée sur les propriétés des structures la bordant ; et la configuration particulière </w:t>
      </w:r>
      <w:r w:rsidR="00A55B2A">
        <w:rPr>
          <w:lang w:val="fr-BE"/>
        </w:rPr>
        <w:t>du</w:t>
      </w:r>
      <w:r w:rsidR="000C6CFD">
        <w:rPr>
          <w:lang w:val="fr-BE"/>
        </w:rPr>
        <w:t xml:space="preserve"> palais </w:t>
      </w:r>
      <w:r w:rsidR="00A55B2A">
        <w:rPr>
          <w:lang w:val="fr-BE"/>
        </w:rPr>
        <w:t xml:space="preserve">et ses </w:t>
      </w:r>
      <w:r w:rsidR="000C6CFD">
        <w:rPr>
          <w:lang w:val="fr-BE"/>
        </w:rPr>
        <w:t>unités constituantes (</w:t>
      </w:r>
      <w:r w:rsidR="000C6CFD">
        <w:rPr>
          <w:i/>
          <w:iCs/>
          <w:lang w:val="fr-BE"/>
        </w:rPr>
        <w:t>zones</w:t>
      </w:r>
      <w:r w:rsidR="000C6CFD" w:rsidRPr="000C6CFD">
        <w:rPr>
          <w:lang w:val="fr-BE"/>
        </w:rPr>
        <w:t xml:space="preserve">, </w:t>
      </w:r>
      <w:r w:rsidR="000C6CFD">
        <w:rPr>
          <w:i/>
          <w:iCs/>
          <w:lang w:val="fr-BE"/>
        </w:rPr>
        <w:t>clusters</w:t>
      </w:r>
      <w:r w:rsidR="000C6CFD" w:rsidRPr="000C6CFD">
        <w:rPr>
          <w:lang w:val="fr-BE"/>
        </w:rPr>
        <w:t xml:space="preserve">, </w:t>
      </w:r>
      <w:proofErr w:type="spellStart"/>
      <w:r w:rsidR="000C6CFD">
        <w:rPr>
          <w:i/>
          <w:iCs/>
          <w:lang w:val="fr-BE"/>
        </w:rPr>
        <w:t>insulae</w:t>
      </w:r>
      <w:proofErr w:type="spellEnd"/>
      <w:r w:rsidR="000C6CFD">
        <w:rPr>
          <w:lang w:val="fr-BE"/>
        </w:rPr>
        <w:t xml:space="preserve">) dont </w:t>
      </w:r>
      <w:r w:rsidR="006129ED">
        <w:rPr>
          <w:lang w:val="fr-BE"/>
        </w:rPr>
        <w:t xml:space="preserve">elle discute le processus de création. </w:t>
      </w:r>
      <w:r w:rsidR="00B02926">
        <w:rPr>
          <w:lang w:val="fr-BE"/>
        </w:rPr>
        <w:t>Clairy Palyvou traite l</w:t>
      </w:r>
      <w:r w:rsidR="006129ED">
        <w:rPr>
          <w:lang w:val="fr-BE"/>
        </w:rPr>
        <w:t>a raison d’être de ces éléments, leur rôle au sein de la structure, et leur participation au phénomène palatial</w:t>
      </w:r>
      <w:r w:rsidR="00FF39D9">
        <w:rPr>
          <w:lang w:val="fr-BE"/>
        </w:rPr>
        <w:t>,</w:t>
      </w:r>
      <w:r w:rsidR="00B02926">
        <w:rPr>
          <w:lang w:val="fr-BE"/>
        </w:rPr>
        <w:t xml:space="preserve"> dépass</w:t>
      </w:r>
      <w:r w:rsidR="00FF39D9">
        <w:rPr>
          <w:lang w:val="fr-BE"/>
        </w:rPr>
        <w:t>ant</w:t>
      </w:r>
      <w:r w:rsidR="006129ED">
        <w:rPr>
          <w:lang w:val="fr-BE"/>
        </w:rPr>
        <w:t xml:space="preserve"> une description purement formelle, chronologique ou utilitaire des palais.</w:t>
      </w:r>
    </w:p>
    <w:p w14:paraId="21A0C0A4" w14:textId="4B512971" w:rsidR="00BF5774" w:rsidRDefault="00BF5774" w:rsidP="00041F8D">
      <w:pPr>
        <w:spacing w:after="0"/>
        <w:jc w:val="both"/>
        <w:rPr>
          <w:lang w:val="fr-BE"/>
        </w:rPr>
      </w:pPr>
      <w:r w:rsidRPr="00A35228">
        <w:rPr>
          <w:lang w:val="fr-BE"/>
        </w:rPr>
        <w:tab/>
        <w:t xml:space="preserve">En analysant les réactions que l’environnement bâti a provoqué sur les Crétois de l’Âge du </w:t>
      </w:r>
      <w:r>
        <w:rPr>
          <w:lang w:val="fr-BE"/>
        </w:rPr>
        <w:t>Bronze, et qui expliquent en partie l’impact que celui-ci continue d’exercer sur la société moderne (chap. 11), Clairy Palyvou dépasse des approches toujours spécialisées et donc limitées de l’architecture minoenne pour en offrir une compréhension globale et approfondie. L</w:t>
      </w:r>
      <w:r w:rsidR="0088627D">
        <w:rPr>
          <w:lang w:val="fr-BE"/>
        </w:rPr>
        <w:t xml:space="preserve">’étendue impressionnante </w:t>
      </w:r>
      <w:r>
        <w:rPr>
          <w:lang w:val="fr-BE"/>
        </w:rPr>
        <w:t>de</w:t>
      </w:r>
      <w:r w:rsidR="0088627D">
        <w:rPr>
          <w:lang w:val="fr-BE"/>
        </w:rPr>
        <w:t>s</w:t>
      </w:r>
      <w:r>
        <w:rPr>
          <w:lang w:val="fr-BE"/>
        </w:rPr>
        <w:t xml:space="preserve"> données </w:t>
      </w:r>
      <w:r w:rsidR="005A4985">
        <w:rPr>
          <w:lang w:val="fr-BE"/>
        </w:rPr>
        <w:t xml:space="preserve">rassemblées, le caractère partiel des vestiges minoens conservés, et l’absence de fondements normatifs de l’approche phénoménologique font de cet ouvrage un véritable tour de force de l’auteure, puisqu’elle y expose de manière captivante et limpide </w:t>
      </w:r>
      <w:r w:rsidR="00EA215D">
        <w:rPr>
          <w:lang w:val="fr-BE"/>
        </w:rPr>
        <w:t>la manière dont</w:t>
      </w:r>
      <w:r w:rsidR="005A4985">
        <w:rPr>
          <w:lang w:val="fr-BE"/>
        </w:rPr>
        <w:t xml:space="preserve"> l’architecture crétoise de l’Âge du Bronze</w:t>
      </w:r>
      <w:r w:rsidR="00EA215D">
        <w:rPr>
          <w:lang w:val="fr-BE"/>
        </w:rPr>
        <w:t xml:space="preserve"> </w:t>
      </w:r>
      <w:r w:rsidR="00FF39D9">
        <w:rPr>
          <w:lang w:val="fr-BE"/>
        </w:rPr>
        <w:t>a interagi avec</w:t>
      </w:r>
      <w:r w:rsidR="00EA215D">
        <w:rPr>
          <w:lang w:val="fr-BE"/>
        </w:rPr>
        <w:t xml:space="preserve"> ses usagers</w:t>
      </w:r>
      <w:r w:rsidR="005A4985">
        <w:rPr>
          <w:lang w:val="fr-BE"/>
        </w:rPr>
        <w:t xml:space="preserve">. Nourrie des données accumulées depuis plus d’un siècle mais aussi des études – minoennes et architecturales – les plus pertinentes et récentes, il s’agit véritablement d’une synthèse des valeurs expressives </w:t>
      </w:r>
      <w:r w:rsidR="00EA215D">
        <w:rPr>
          <w:lang w:val="fr-BE"/>
        </w:rPr>
        <w:t xml:space="preserve">– principalement visuelles –, des propriétés ergonomiques et des traits fonctionnels – au sens large défini par l’auteure – </w:t>
      </w:r>
      <w:r w:rsidR="005A4985">
        <w:rPr>
          <w:lang w:val="fr-BE"/>
        </w:rPr>
        <w:t>de l’architecture minoenne. L’expé</w:t>
      </w:r>
      <w:r w:rsidR="0088627D">
        <w:rPr>
          <w:lang w:val="fr-BE"/>
        </w:rPr>
        <w:t>rience</w:t>
      </w:r>
      <w:r w:rsidR="005A4985">
        <w:rPr>
          <w:lang w:val="fr-BE"/>
        </w:rPr>
        <w:t xml:space="preserve"> </w:t>
      </w:r>
      <w:r w:rsidR="0088627D">
        <w:rPr>
          <w:lang w:val="fr-BE"/>
        </w:rPr>
        <w:t xml:space="preserve">de Clairy Palyvou </w:t>
      </w:r>
      <w:r w:rsidR="00FF39D9">
        <w:rPr>
          <w:lang w:val="fr-BE"/>
        </w:rPr>
        <w:t>en tant qu’</w:t>
      </w:r>
      <w:r w:rsidR="0088627D">
        <w:rPr>
          <w:lang w:val="fr-BE"/>
        </w:rPr>
        <w:t xml:space="preserve">architecte </w:t>
      </w:r>
      <w:r w:rsidR="005A4985">
        <w:rPr>
          <w:lang w:val="fr-BE"/>
        </w:rPr>
        <w:t xml:space="preserve">de terrain </w:t>
      </w:r>
      <w:r w:rsidR="0088627D">
        <w:rPr>
          <w:lang w:val="fr-BE"/>
        </w:rPr>
        <w:t>et</w:t>
      </w:r>
      <w:r w:rsidR="005A4985">
        <w:rPr>
          <w:lang w:val="fr-BE"/>
        </w:rPr>
        <w:t xml:space="preserve"> dans la formation à la création architecturale</w:t>
      </w:r>
      <w:r w:rsidR="00EA215D">
        <w:rPr>
          <w:lang w:val="fr-BE"/>
        </w:rPr>
        <w:t xml:space="preserve"> est d’ailleurs perc</w:t>
      </w:r>
      <w:bookmarkStart w:id="0" w:name="_GoBack"/>
      <w:bookmarkEnd w:id="0"/>
      <w:r w:rsidR="00EA215D">
        <w:rPr>
          <w:lang w:val="fr-BE"/>
        </w:rPr>
        <w:t xml:space="preserve">eptible dans cette vision particulière qu’elle a d’unir </w:t>
      </w:r>
      <w:r w:rsidR="00092980">
        <w:rPr>
          <w:lang w:val="fr-BE"/>
        </w:rPr>
        <w:t>les</w:t>
      </w:r>
      <w:r w:rsidR="00EA215D">
        <w:rPr>
          <w:lang w:val="fr-BE"/>
        </w:rPr>
        <w:t xml:space="preserve"> </w:t>
      </w:r>
      <w:r w:rsidR="00092980">
        <w:rPr>
          <w:lang w:val="fr-BE"/>
        </w:rPr>
        <w:t xml:space="preserve">nombreux </w:t>
      </w:r>
      <w:r w:rsidR="00EA215D" w:rsidRPr="00E32CA4">
        <w:rPr>
          <w:lang w:val="fr-BE"/>
        </w:rPr>
        <w:t>paramètres en jeu dans la</w:t>
      </w:r>
      <w:r w:rsidR="00092980" w:rsidRPr="00E32CA4">
        <w:rPr>
          <w:lang w:val="fr-BE"/>
        </w:rPr>
        <w:t xml:space="preserve"> </w:t>
      </w:r>
      <w:r w:rsidR="00B14FB7" w:rsidRPr="00E32CA4">
        <w:rPr>
          <w:lang w:val="fr-BE"/>
        </w:rPr>
        <w:t>production de l’</w:t>
      </w:r>
      <w:r w:rsidR="00092980" w:rsidRPr="00E32CA4">
        <w:rPr>
          <w:lang w:val="fr-BE"/>
        </w:rPr>
        <w:t>architectur</w:t>
      </w:r>
      <w:r w:rsidR="00B14FB7" w:rsidRPr="0088627D">
        <w:rPr>
          <w:lang w:val="fr-BE"/>
        </w:rPr>
        <w:t>e</w:t>
      </w:r>
      <w:r w:rsidR="00E32CA4" w:rsidRPr="0088627D">
        <w:rPr>
          <w:lang w:val="fr-BE"/>
        </w:rPr>
        <w:t xml:space="preserve">, </w:t>
      </w:r>
      <w:r w:rsidR="0088627D" w:rsidRPr="0088627D">
        <w:rPr>
          <w:i/>
          <w:iCs/>
          <w:lang w:val="fr-BE"/>
        </w:rPr>
        <w:t xml:space="preserve">a </w:t>
      </w:r>
      <w:r w:rsidR="00E32CA4" w:rsidRPr="0088627D">
        <w:rPr>
          <w:i/>
          <w:iCs/>
          <w:lang w:val="fr-BE"/>
        </w:rPr>
        <w:t>poly</w:t>
      </w:r>
      <w:r w:rsidR="0088627D" w:rsidRPr="0088627D">
        <w:rPr>
          <w:i/>
          <w:iCs/>
          <w:lang w:val="fr-BE"/>
        </w:rPr>
        <w:t>-</w:t>
      </w:r>
      <w:proofErr w:type="spellStart"/>
      <w:r w:rsidR="00E32CA4" w:rsidRPr="0088627D">
        <w:rPr>
          <w:i/>
          <w:iCs/>
          <w:lang w:val="fr-BE"/>
        </w:rPr>
        <w:t>parametric</w:t>
      </w:r>
      <w:proofErr w:type="spellEnd"/>
      <w:r w:rsidR="00E32CA4" w:rsidRPr="0088627D">
        <w:rPr>
          <w:i/>
          <w:iCs/>
          <w:lang w:val="fr-BE"/>
        </w:rPr>
        <w:t xml:space="preserve"> </w:t>
      </w:r>
      <w:proofErr w:type="spellStart"/>
      <w:r w:rsidR="00E32CA4" w:rsidRPr="0088627D">
        <w:rPr>
          <w:i/>
          <w:iCs/>
          <w:lang w:val="fr-BE"/>
        </w:rPr>
        <w:t>proble</w:t>
      </w:r>
      <w:r w:rsidR="0088627D" w:rsidRPr="0088627D">
        <w:rPr>
          <w:i/>
          <w:iCs/>
          <w:lang w:val="fr-BE"/>
        </w:rPr>
        <w:t>m</w:t>
      </w:r>
      <w:r w:rsidR="00E32CA4" w:rsidRPr="0088627D">
        <w:rPr>
          <w:i/>
          <w:iCs/>
          <w:lang w:val="fr-BE"/>
        </w:rPr>
        <w:t>-solving</w:t>
      </w:r>
      <w:proofErr w:type="spellEnd"/>
      <w:r w:rsidR="0088627D" w:rsidRPr="0088627D">
        <w:rPr>
          <w:i/>
          <w:iCs/>
          <w:lang w:val="fr-BE"/>
        </w:rPr>
        <w:t xml:space="preserve"> process </w:t>
      </w:r>
      <w:r w:rsidR="00740312">
        <w:rPr>
          <w:lang w:val="fr-BE"/>
        </w:rPr>
        <w:t xml:space="preserve">(p. 133) </w:t>
      </w:r>
      <w:r w:rsidR="0088627D" w:rsidRPr="0088627D">
        <w:rPr>
          <w:lang w:val="fr-BE"/>
        </w:rPr>
        <w:t xml:space="preserve">qu’elle expose </w:t>
      </w:r>
      <w:r w:rsidR="0088627D">
        <w:rPr>
          <w:lang w:val="fr-BE"/>
        </w:rPr>
        <w:t xml:space="preserve">dans cet ouvrage </w:t>
      </w:r>
      <w:r w:rsidR="0088627D" w:rsidRPr="0088627D">
        <w:rPr>
          <w:lang w:val="fr-BE"/>
        </w:rPr>
        <w:t>avec élégance et clarté</w:t>
      </w:r>
      <w:r w:rsidR="00092980">
        <w:rPr>
          <w:lang w:val="fr-BE"/>
        </w:rPr>
        <w:t>.</w:t>
      </w:r>
    </w:p>
    <w:p w14:paraId="085B0D96" w14:textId="2824F49B" w:rsidR="005B40A8" w:rsidRDefault="005B40A8" w:rsidP="00041F8D">
      <w:pPr>
        <w:spacing w:after="0"/>
        <w:jc w:val="both"/>
        <w:rPr>
          <w:lang w:val="fr-BE"/>
        </w:rPr>
      </w:pPr>
    </w:p>
    <w:p w14:paraId="432C2561" w14:textId="0FA2DA00" w:rsidR="00007E16" w:rsidRDefault="00007E16" w:rsidP="004554E9">
      <w:pPr>
        <w:spacing w:after="0"/>
        <w:jc w:val="both"/>
        <w:rPr>
          <w:lang w:val="fr-BE"/>
        </w:rPr>
      </w:pPr>
    </w:p>
    <w:sectPr w:rsidR="00007E1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7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54E9"/>
    <w:rsid w:val="00007E16"/>
    <w:rsid w:val="000139E7"/>
    <w:rsid w:val="00022F84"/>
    <w:rsid w:val="00041F8D"/>
    <w:rsid w:val="0004467D"/>
    <w:rsid w:val="000526BF"/>
    <w:rsid w:val="000622F6"/>
    <w:rsid w:val="00066FA2"/>
    <w:rsid w:val="00092980"/>
    <w:rsid w:val="000A0D8E"/>
    <w:rsid w:val="000C6CFD"/>
    <w:rsid w:val="000E02BB"/>
    <w:rsid w:val="000E25E1"/>
    <w:rsid w:val="000F52FC"/>
    <w:rsid w:val="0010766F"/>
    <w:rsid w:val="00113523"/>
    <w:rsid w:val="00165CE9"/>
    <w:rsid w:val="001E1254"/>
    <w:rsid w:val="00224861"/>
    <w:rsid w:val="0023019A"/>
    <w:rsid w:val="00235052"/>
    <w:rsid w:val="00291EF6"/>
    <w:rsid w:val="002A7AB6"/>
    <w:rsid w:val="002F065B"/>
    <w:rsid w:val="002F64FA"/>
    <w:rsid w:val="00322E60"/>
    <w:rsid w:val="003412FB"/>
    <w:rsid w:val="00412874"/>
    <w:rsid w:val="00431F15"/>
    <w:rsid w:val="004554E9"/>
    <w:rsid w:val="00485984"/>
    <w:rsid w:val="0049326E"/>
    <w:rsid w:val="004F67A5"/>
    <w:rsid w:val="00516DCF"/>
    <w:rsid w:val="0052604C"/>
    <w:rsid w:val="00545E5F"/>
    <w:rsid w:val="005A4985"/>
    <w:rsid w:val="005B40A8"/>
    <w:rsid w:val="005C6CCC"/>
    <w:rsid w:val="005D385E"/>
    <w:rsid w:val="005D4034"/>
    <w:rsid w:val="005D738F"/>
    <w:rsid w:val="006129ED"/>
    <w:rsid w:val="00616346"/>
    <w:rsid w:val="00631490"/>
    <w:rsid w:val="00646DD3"/>
    <w:rsid w:val="00693765"/>
    <w:rsid w:val="006B3D17"/>
    <w:rsid w:val="006C5164"/>
    <w:rsid w:val="006F76AF"/>
    <w:rsid w:val="007047E1"/>
    <w:rsid w:val="00706B33"/>
    <w:rsid w:val="00732CA5"/>
    <w:rsid w:val="00740312"/>
    <w:rsid w:val="00766864"/>
    <w:rsid w:val="00802489"/>
    <w:rsid w:val="00827008"/>
    <w:rsid w:val="008277D8"/>
    <w:rsid w:val="0085769F"/>
    <w:rsid w:val="00875F31"/>
    <w:rsid w:val="008762DF"/>
    <w:rsid w:val="0088627D"/>
    <w:rsid w:val="008D1E30"/>
    <w:rsid w:val="008D5195"/>
    <w:rsid w:val="008E5AFA"/>
    <w:rsid w:val="0092048B"/>
    <w:rsid w:val="00987B2A"/>
    <w:rsid w:val="009C5127"/>
    <w:rsid w:val="00A125E9"/>
    <w:rsid w:val="00A271F6"/>
    <w:rsid w:val="00A35228"/>
    <w:rsid w:val="00A45D6C"/>
    <w:rsid w:val="00A55B2A"/>
    <w:rsid w:val="00A55E99"/>
    <w:rsid w:val="00A649A2"/>
    <w:rsid w:val="00A849E6"/>
    <w:rsid w:val="00A9595E"/>
    <w:rsid w:val="00AA7993"/>
    <w:rsid w:val="00AE37CE"/>
    <w:rsid w:val="00B02926"/>
    <w:rsid w:val="00B14FB7"/>
    <w:rsid w:val="00B33DE8"/>
    <w:rsid w:val="00B66082"/>
    <w:rsid w:val="00B87946"/>
    <w:rsid w:val="00BA6CD6"/>
    <w:rsid w:val="00BF5774"/>
    <w:rsid w:val="00C23A37"/>
    <w:rsid w:val="00C76BDF"/>
    <w:rsid w:val="00CE3E3F"/>
    <w:rsid w:val="00D906FD"/>
    <w:rsid w:val="00DC177E"/>
    <w:rsid w:val="00DD5E93"/>
    <w:rsid w:val="00DE07FF"/>
    <w:rsid w:val="00E2746A"/>
    <w:rsid w:val="00E32CA4"/>
    <w:rsid w:val="00E63ED8"/>
    <w:rsid w:val="00E72680"/>
    <w:rsid w:val="00E86EDC"/>
    <w:rsid w:val="00EA215D"/>
    <w:rsid w:val="00EB4785"/>
    <w:rsid w:val="00F05629"/>
    <w:rsid w:val="00F16E84"/>
    <w:rsid w:val="00F53D06"/>
    <w:rsid w:val="00F56467"/>
    <w:rsid w:val="00F907F1"/>
    <w:rsid w:val="00FF39D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41088A"/>
  <w15:chartTrackingRefBased/>
  <w15:docId w15:val="{2C2AC266-038F-4D8D-A6BF-DE1E6BAD3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A6CD6"/>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A6CD6"/>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1316</TotalTime>
  <Pages>3</Pages>
  <Words>2103</Words>
  <Characters>11572</Characters>
  <Application>Microsoft Office Word</Application>
  <DocSecurity>0</DocSecurity>
  <Lines>96</Lines>
  <Paragraphs>27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Maud Devolder</dc:creator>
  <cp:keywords/>
  <dc:description/>
  <cp:lastModifiedBy>Maud Devolder</cp:lastModifiedBy>
  <cp:revision>52</cp:revision>
  <dcterms:created xsi:type="dcterms:W3CDTF">2019-10-28T09:57:00Z</dcterms:created>
  <dcterms:modified xsi:type="dcterms:W3CDTF">2019-12-29T07:44:00Z</dcterms:modified>
</cp:coreProperties>
</file>