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2821" w:rsidRDefault="009E008B">
      <w:pPr>
        <w:rPr>
          <w:lang w:val="fr-FR"/>
        </w:rPr>
      </w:pPr>
      <w:r>
        <w:rPr>
          <w:i/>
          <w:iCs/>
          <w:lang w:val="fr-FR"/>
        </w:rPr>
        <w:t>L</w:t>
      </w:r>
      <w:r w:rsidR="001008CF" w:rsidRPr="002B0030">
        <w:rPr>
          <w:i/>
          <w:iCs/>
          <w:lang w:val="fr-FR"/>
        </w:rPr>
        <w:t>es mobilités monastiques en Orient et en Occident de l’Antiquité tardive au Moyen Âge (</w:t>
      </w:r>
      <w:r w:rsidR="00D22821" w:rsidRPr="002B0030">
        <w:rPr>
          <w:i/>
          <w:iCs/>
          <w:lang w:val="fr-FR"/>
        </w:rPr>
        <w:t>IV</w:t>
      </w:r>
      <w:r w:rsidR="00D22821" w:rsidRPr="002B0030">
        <w:rPr>
          <w:i/>
          <w:iCs/>
          <w:vertAlign w:val="superscript"/>
          <w:lang w:val="fr-FR"/>
        </w:rPr>
        <w:t>e</w:t>
      </w:r>
      <w:r w:rsidR="00D22821" w:rsidRPr="002B0030">
        <w:rPr>
          <w:i/>
          <w:iCs/>
          <w:lang w:val="fr-FR"/>
        </w:rPr>
        <w:t>-XV</w:t>
      </w:r>
      <w:r w:rsidR="00D22821" w:rsidRPr="002B0030">
        <w:rPr>
          <w:i/>
          <w:iCs/>
          <w:vertAlign w:val="superscript"/>
          <w:lang w:val="fr-FR"/>
        </w:rPr>
        <w:t>e</w:t>
      </w:r>
      <w:r w:rsidR="00D22821" w:rsidRPr="002B0030">
        <w:rPr>
          <w:i/>
          <w:iCs/>
          <w:lang w:val="fr-FR"/>
        </w:rPr>
        <w:t xml:space="preserve"> siècle)</w:t>
      </w:r>
      <w:r w:rsidR="00D22821">
        <w:rPr>
          <w:lang w:val="fr-FR"/>
        </w:rPr>
        <w:t xml:space="preserve">. Études réunies par </w:t>
      </w:r>
      <w:bookmarkStart w:id="0" w:name="_Hlk45884061"/>
      <w:r w:rsidR="00D22821">
        <w:rPr>
          <w:lang w:val="fr-FR"/>
        </w:rPr>
        <w:t xml:space="preserve">Olivier </w:t>
      </w:r>
      <w:r w:rsidR="00D22821" w:rsidRPr="00D22821">
        <w:rPr>
          <w:smallCaps/>
          <w:lang w:val="fr-FR"/>
        </w:rPr>
        <w:t>Delouis</w:t>
      </w:r>
      <w:r w:rsidR="00D22821">
        <w:rPr>
          <w:lang w:val="fr-FR"/>
        </w:rPr>
        <w:t xml:space="preserve">, Maria </w:t>
      </w:r>
      <w:r w:rsidR="00D22821" w:rsidRPr="00D22821">
        <w:rPr>
          <w:smallCaps/>
          <w:lang w:val="fr-FR"/>
        </w:rPr>
        <w:t>Mossakowska-Gaubert</w:t>
      </w:r>
      <w:r w:rsidR="00D22821">
        <w:rPr>
          <w:lang w:val="fr-FR"/>
        </w:rPr>
        <w:t xml:space="preserve"> et Annick </w:t>
      </w:r>
      <w:r w:rsidR="00D22821" w:rsidRPr="00D22821">
        <w:rPr>
          <w:smallCaps/>
          <w:lang w:val="fr-FR"/>
        </w:rPr>
        <w:t>Peters-Custot</w:t>
      </w:r>
      <w:r w:rsidR="00D22821">
        <w:rPr>
          <w:lang w:val="fr-FR"/>
        </w:rPr>
        <w:t>.</w:t>
      </w:r>
      <w:bookmarkEnd w:id="0"/>
      <w:r w:rsidR="00FB6008" w:rsidRPr="00FB6008">
        <w:rPr>
          <w:lang w:val="fr-FR"/>
        </w:rPr>
        <w:t xml:space="preserve"> </w:t>
      </w:r>
      <w:r w:rsidR="00FB6008">
        <w:rPr>
          <w:lang w:val="fr-FR"/>
        </w:rPr>
        <w:t>(Collection de l’École française de Rome ; 558).</w:t>
      </w:r>
      <w:r w:rsidR="00D22821">
        <w:rPr>
          <w:lang w:val="fr-FR"/>
        </w:rPr>
        <w:t xml:space="preserve"> Rome, École française de Rome, 2019</w:t>
      </w:r>
      <w:r w:rsidR="00FB6008">
        <w:rPr>
          <w:lang w:val="fr-FR"/>
        </w:rPr>
        <w:t xml:space="preserve">. </w:t>
      </w:r>
      <w:r w:rsidR="00FB6008" w:rsidRPr="00FB6008">
        <w:rPr>
          <w:lang w:val="fr-FR"/>
        </w:rPr>
        <w:t>24 x 16 cm</w:t>
      </w:r>
      <w:r w:rsidR="00FB6008">
        <w:rPr>
          <w:lang w:val="fr-FR"/>
        </w:rPr>
        <w:t xml:space="preserve">, 582 p. € </w:t>
      </w:r>
      <w:r w:rsidR="008F6108">
        <w:rPr>
          <w:lang w:val="fr-FR"/>
        </w:rPr>
        <w:t>49,00. ISBN 978-2-7283-1388-4 (br.), 978-2-7283-1389-1 (Epub). Disponible sur Internet : &lt;https://books.openedition.org/efr/4202&gt;, DOI : 10.4000/books.efr.4202</w:t>
      </w:r>
    </w:p>
    <w:p w:rsidR="00EC32B4" w:rsidRDefault="00E70FEC">
      <w:pPr>
        <w:rPr>
          <w:lang w:val="fr-FR"/>
        </w:rPr>
      </w:pPr>
      <w:r>
        <w:rPr>
          <w:lang w:val="fr-FR"/>
        </w:rPr>
        <w:t xml:space="preserve">Singularité s’il en est une, les hommes et les femmes cloîtrés ont, dès les origines, été appelés à circuler. </w:t>
      </w:r>
      <w:r w:rsidR="002B0030">
        <w:rPr>
          <w:lang w:val="fr-FR"/>
        </w:rPr>
        <w:t xml:space="preserve">Jusqu’alors, l’historiographie a </w:t>
      </w:r>
      <w:r>
        <w:rPr>
          <w:lang w:val="fr-FR"/>
        </w:rPr>
        <w:t xml:space="preserve">insisté sur </w:t>
      </w:r>
      <w:r w:rsidR="00EC32B4">
        <w:rPr>
          <w:lang w:val="fr-FR"/>
        </w:rPr>
        <w:t>le caractère exceptionnel de la circulation de personnalités et</w:t>
      </w:r>
      <w:r>
        <w:rPr>
          <w:lang w:val="fr-FR"/>
        </w:rPr>
        <w:t xml:space="preserve"> </w:t>
      </w:r>
      <w:r w:rsidR="00EC32B4">
        <w:rPr>
          <w:lang w:val="fr-FR"/>
        </w:rPr>
        <w:t xml:space="preserve">de </w:t>
      </w:r>
      <w:r>
        <w:rPr>
          <w:lang w:val="fr-FR"/>
        </w:rPr>
        <w:t>communautés monastiques</w:t>
      </w:r>
      <w:r w:rsidR="00EC32B4">
        <w:rPr>
          <w:lang w:val="fr-FR"/>
        </w:rPr>
        <w:t xml:space="preserve"> ; aujourd’hui, les chercheurs relèvent la circulation usuelle, </w:t>
      </w:r>
      <w:r w:rsidR="00EC32B4" w:rsidRPr="00A15539">
        <w:rPr>
          <w:lang w:val="fr-FR"/>
        </w:rPr>
        <w:t xml:space="preserve">quoique </w:t>
      </w:r>
      <w:r w:rsidR="00A15539" w:rsidRPr="00A15539">
        <w:rPr>
          <w:lang w:val="fr-FR"/>
        </w:rPr>
        <w:t>en</w:t>
      </w:r>
      <w:r w:rsidR="00651DC3" w:rsidRPr="00A15539">
        <w:rPr>
          <w:lang w:val="fr-FR"/>
        </w:rPr>
        <w:t>cadrée</w:t>
      </w:r>
      <w:r w:rsidR="00EC32B4" w:rsidRPr="00A15539">
        <w:rPr>
          <w:lang w:val="fr-FR"/>
        </w:rPr>
        <w:t>, des</w:t>
      </w:r>
      <w:r w:rsidR="00EC32B4">
        <w:rPr>
          <w:lang w:val="fr-FR"/>
        </w:rPr>
        <w:t xml:space="preserve"> moines. Ce recueil fourni, fort de vingt-trois contributions, </w:t>
      </w:r>
      <w:r w:rsidR="007B0CE3">
        <w:rPr>
          <w:lang w:val="fr-FR"/>
        </w:rPr>
        <w:t xml:space="preserve">se positionne fermement dans le cadre de ce récent renouvellement historiographique. Les actes réunis par </w:t>
      </w:r>
      <w:r w:rsidR="007B0CE3" w:rsidRPr="007B0CE3">
        <w:rPr>
          <w:lang w:val="fr-FR"/>
        </w:rPr>
        <w:t>Olivier Delouis</w:t>
      </w:r>
      <w:r w:rsidR="008C4D4E">
        <w:rPr>
          <w:lang w:val="fr-FR"/>
        </w:rPr>
        <w:t xml:space="preserve"> (CNRS </w:t>
      </w:r>
      <w:r w:rsidR="008C4D4E" w:rsidRPr="008C4D4E">
        <w:rPr>
          <w:lang w:val="fr-FR"/>
        </w:rPr>
        <w:sym w:font="Symbol" w:char="F02D"/>
      </w:r>
      <w:r w:rsidR="008C4D4E">
        <w:rPr>
          <w:lang w:val="fr-FR"/>
        </w:rPr>
        <w:t xml:space="preserve"> UMR 8167 Orient et Méditerranée)</w:t>
      </w:r>
      <w:r w:rsidR="007B0CE3" w:rsidRPr="007B0CE3">
        <w:rPr>
          <w:lang w:val="fr-FR"/>
        </w:rPr>
        <w:t xml:space="preserve">, Maria Mossakowska-Gaubert </w:t>
      </w:r>
      <w:r w:rsidR="008C4D4E">
        <w:rPr>
          <w:lang w:val="fr-FR"/>
        </w:rPr>
        <w:t xml:space="preserve">(Institut français d’archéologie orientale au Caire </w:t>
      </w:r>
      <w:r w:rsidR="008C4D4E" w:rsidRPr="008C4D4E">
        <w:rPr>
          <w:lang w:val="fr-FR"/>
        </w:rPr>
        <w:sym w:font="Symbol" w:char="F02D"/>
      </w:r>
      <w:r w:rsidR="008C4D4E">
        <w:rPr>
          <w:lang w:val="fr-FR"/>
        </w:rPr>
        <w:t xml:space="preserve"> Université de Copenhague : Actions Marie Sk</w:t>
      </w:r>
      <w:r w:rsidR="008C4D4E" w:rsidRPr="008C4D4E">
        <w:rPr>
          <w:lang w:val="fr-FR"/>
        </w:rPr>
        <w:t>ł</w:t>
      </w:r>
      <w:r w:rsidR="008C4D4E">
        <w:rPr>
          <w:lang w:val="fr-FR"/>
        </w:rPr>
        <w:t xml:space="preserve">odowska-Curie) </w:t>
      </w:r>
      <w:r w:rsidR="007B0CE3" w:rsidRPr="007B0CE3">
        <w:rPr>
          <w:lang w:val="fr-FR"/>
        </w:rPr>
        <w:t>et Annick Peters-Custot</w:t>
      </w:r>
      <w:r w:rsidR="007B0CE3">
        <w:rPr>
          <w:lang w:val="fr-FR"/>
        </w:rPr>
        <w:t xml:space="preserve"> </w:t>
      </w:r>
      <w:r w:rsidR="008C4D4E">
        <w:rPr>
          <w:lang w:val="fr-FR"/>
        </w:rPr>
        <w:t xml:space="preserve">(Université de Nantes </w:t>
      </w:r>
      <w:r w:rsidR="008C4D4E" w:rsidRPr="008C4D4E">
        <w:rPr>
          <w:lang w:val="fr-FR"/>
        </w:rPr>
        <w:sym w:font="Symbol" w:char="F02D"/>
      </w:r>
      <w:r w:rsidR="008C4D4E">
        <w:rPr>
          <w:lang w:val="fr-FR"/>
        </w:rPr>
        <w:t xml:space="preserve"> C.R.H.I.A., E.A. 1163)</w:t>
      </w:r>
      <w:r w:rsidR="00FC5774">
        <w:rPr>
          <w:lang w:val="fr-FR"/>
        </w:rPr>
        <w:t>,</w:t>
      </w:r>
      <w:r w:rsidR="008C4D4E">
        <w:rPr>
          <w:lang w:val="fr-FR"/>
        </w:rPr>
        <w:t xml:space="preserve"> </w:t>
      </w:r>
      <w:r w:rsidR="007B0CE3">
        <w:rPr>
          <w:lang w:val="fr-FR"/>
        </w:rPr>
        <w:t>sont issus de deux rencontres scientifiques ayant eu lieu à l’École française de Rome du 17 au 19 septembre 2014 et à l’Université de Vienne du 17 au 19 novembre 2016.</w:t>
      </w:r>
    </w:p>
    <w:p w:rsidR="00A70D85" w:rsidRDefault="008C4D4E">
      <w:pPr>
        <w:rPr>
          <w:lang w:val="fr-FR"/>
        </w:rPr>
      </w:pPr>
      <w:r>
        <w:rPr>
          <w:lang w:val="fr-FR"/>
        </w:rPr>
        <w:t>Cet ouvrage</w:t>
      </w:r>
      <w:r w:rsidR="003466F8">
        <w:rPr>
          <w:lang w:val="fr-FR"/>
        </w:rPr>
        <w:t xml:space="preserve"> n’</w:t>
      </w:r>
      <w:r>
        <w:rPr>
          <w:lang w:val="fr-FR"/>
        </w:rPr>
        <w:t>ambitionne pas de proposer une synthèse sur les mobilités monastiques</w:t>
      </w:r>
      <w:r w:rsidR="003466F8">
        <w:rPr>
          <w:lang w:val="fr-FR"/>
        </w:rPr>
        <w:t xml:space="preserve"> orientales et occidentales dans la longue durée,</w:t>
      </w:r>
      <w:r>
        <w:rPr>
          <w:lang w:val="fr-FR"/>
        </w:rPr>
        <w:t xml:space="preserve"> mais </w:t>
      </w:r>
      <w:r w:rsidR="003466F8">
        <w:rPr>
          <w:lang w:val="fr-FR"/>
        </w:rPr>
        <w:t xml:space="preserve">bien </w:t>
      </w:r>
      <w:r>
        <w:rPr>
          <w:lang w:val="fr-FR"/>
        </w:rPr>
        <w:t>de proposer de</w:t>
      </w:r>
      <w:r w:rsidR="003466F8">
        <w:rPr>
          <w:lang w:val="fr-FR"/>
        </w:rPr>
        <w:t xml:space="preserve">s études originales </w:t>
      </w:r>
      <w:r w:rsidR="00A70D85">
        <w:rPr>
          <w:lang w:val="fr-FR"/>
        </w:rPr>
        <w:t>qui démontrent et exemplifient « l’universalité du phénomène de la mobilité des moines et la diversité de ses variantes » (p.</w:t>
      </w:r>
      <w:r w:rsidR="005C0DF3">
        <w:rPr>
          <w:lang w:val="fr-FR"/>
        </w:rPr>
        <w:t> </w:t>
      </w:r>
      <w:r w:rsidR="00A70D85">
        <w:rPr>
          <w:lang w:val="fr-FR"/>
        </w:rPr>
        <w:t>9).</w:t>
      </w:r>
      <w:r w:rsidR="002D4D8A">
        <w:rPr>
          <w:lang w:val="fr-FR"/>
        </w:rPr>
        <w:t xml:space="preserve"> </w:t>
      </w:r>
      <w:r w:rsidR="004F67FD">
        <w:rPr>
          <w:lang w:val="fr-FR"/>
        </w:rPr>
        <w:t>En effet, l’accent est mis sur les espaces méconnus et les sources</w:t>
      </w:r>
      <w:r w:rsidR="00CA4C43">
        <w:rPr>
          <w:lang w:val="fr-FR"/>
        </w:rPr>
        <w:t xml:space="preserve"> diversifiées et</w:t>
      </w:r>
      <w:r w:rsidR="004F67FD">
        <w:rPr>
          <w:lang w:val="fr-FR"/>
        </w:rPr>
        <w:t xml:space="preserve"> peu exploitées, ici mobilisées par les auteurs avec des </w:t>
      </w:r>
      <w:r w:rsidR="00CA4C43">
        <w:rPr>
          <w:lang w:val="fr-FR"/>
        </w:rPr>
        <w:t>approches novatrices.</w:t>
      </w:r>
      <w:r w:rsidR="004F67FD">
        <w:rPr>
          <w:lang w:val="fr-FR"/>
        </w:rPr>
        <w:t xml:space="preserve"> </w:t>
      </w:r>
      <w:r w:rsidR="002D4D8A">
        <w:rPr>
          <w:lang w:val="fr-FR"/>
        </w:rPr>
        <w:t>L</w:t>
      </w:r>
      <w:r w:rsidR="00EE4D11">
        <w:rPr>
          <w:lang w:val="fr-FR"/>
        </w:rPr>
        <w:t xml:space="preserve">e rythme chronologique </w:t>
      </w:r>
      <w:r w:rsidR="004F1B58">
        <w:rPr>
          <w:lang w:val="fr-FR"/>
        </w:rPr>
        <w:t xml:space="preserve">retenu </w:t>
      </w:r>
      <w:r w:rsidR="004F1B58" w:rsidRPr="004F1B58">
        <w:rPr>
          <w:lang w:val="fr-FR"/>
        </w:rPr>
        <w:sym w:font="Symbol" w:char="F02D"/>
      </w:r>
      <w:r w:rsidR="00651DC3">
        <w:rPr>
          <w:lang w:val="fr-FR"/>
        </w:rPr>
        <w:t> </w:t>
      </w:r>
      <w:r w:rsidR="004F1B58">
        <w:rPr>
          <w:lang w:val="fr-FR"/>
        </w:rPr>
        <w:t>le</w:t>
      </w:r>
      <w:r w:rsidR="00EE4D11">
        <w:rPr>
          <w:lang w:val="fr-FR"/>
        </w:rPr>
        <w:t xml:space="preserve"> temps long de l’histoire</w:t>
      </w:r>
      <w:r w:rsidR="00651DC3">
        <w:rPr>
          <w:lang w:val="fr-FR"/>
        </w:rPr>
        <w:t> </w:t>
      </w:r>
      <w:r w:rsidR="004F1B58" w:rsidRPr="004F1B58">
        <w:rPr>
          <w:lang w:val="fr-FR"/>
        </w:rPr>
        <w:sym w:font="Symbol" w:char="F02D"/>
      </w:r>
      <w:r w:rsidR="004F1B58">
        <w:rPr>
          <w:lang w:val="fr-FR"/>
        </w:rPr>
        <w:t xml:space="preserve"> </w:t>
      </w:r>
      <w:r w:rsidR="00EE4D11">
        <w:rPr>
          <w:lang w:val="fr-FR"/>
        </w:rPr>
        <w:t xml:space="preserve">cherche à mettre en exergue les </w:t>
      </w:r>
      <w:r w:rsidR="004F67FD">
        <w:rPr>
          <w:lang w:val="fr-FR"/>
        </w:rPr>
        <w:t xml:space="preserve">séquences et les </w:t>
      </w:r>
      <w:r w:rsidR="00EE4D11">
        <w:rPr>
          <w:lang w:val="fr-FR"/>
        </w:rPr>
        <w:t>ruptures</w:t>
      </w:r>
      <w:r w:rsidR="004F1B58">
        <w:rPr>
          <w:lang w:val="fr-FR"/>
        </w:rPr>
        <w:t>, qui ne sont pas soumises aux mêmes variations temporelles en Orient qu’en Occident.</w:t>
      </w:r>
      <w:r w:rsidR="004F67FD">
        <w:rPr>
          <w:lang w:val="fr-FR"/>
        </w:rPr>
        <w:t xml:space="preserve"> </w:t>
      </w:r>
      <w:r w:rsidR="00A70D85">
        <w:rPr>
          <w:lang w:val="fr-FR"/>
        </w:rPr>
        <w:t>D’emblée, les éditeurs ont exclu l’ensemble des circulations entreprises par des moines pour des raisons non monastiques</w:t>
      </w:r>
      <w:r w:rsidR="00A004C7">
        <w:rPr>
          <w:lang w:val="fr-FR"/>
        </w:rPr>
        <w:t xml:space="preserve">, </w:t>
      </w:r>
      <w:r w:rsidR="00A70D85">
        <w:rPr>
          <w:lang w:val="fr-FR"/>
        </w:rPr>
        <w:t xml:space="preserve">à savoir, par exemple, diplomatiques </w:t>
      </w:r>
      <w:r w:rsidR="00A004C7">
        <w:rPr>
          <w:lang w:val="fr-FR"/>
        </w:rPr>
        <w:t>ou</w:t>
      </w:r>
      <w:r w:rsidR="00A70D85">
        <w:rPr>
          <w:lang w:val="fr-FR"/>
        </w:rPr>
        <w:t xml:space="preserve"> politiques</w:t>
      </w:r>
      <w:r w:rsidR="00A004C7">
        <w:rPr>
          <w:lang w:val="fr-FR"/>
        </w:rPr>
        <w:t xml:space="preserve">. </w:t>
      </w:r>
      <w:r w:rsidR="002D4D8A">
        <w:rPr>
          <w:lang w:val="fr-FR"/>
        </w:rPr>
        <w:t>A également été écartée</w:t>
      </w:r>
      <w:r w:rsidR="00651DC3">
        <w:rPr>
          <w:lang w:val="fr-FR"/>
        </w:rPr>
        <w:t xml:space="preserve"> </w:t>
      </w:r>
      <w:r w:rsidR="002D4D8A">
        <w:rPr>
          <w:lang w:val="fr-FR"/>
        </w:rPr>
        <w:t>l</w:t>
      </w:r>
      <w:r w:rsidR="00A004C7">
        <w:rPr>
          <w:lang w:val="fr-FR"/>
        </w:rPr>
        <w:t>a mobilité des ordres ou des mouvements religieux</w:t>
      </w:r>
      <w:r w:rsidR="002D4D8A">
        <w:rPr>
          <w:lang w:val="fr-FR"/>
        </w:rPr>
        <w:t xml:space="preserve"> régis par de nouveaux charismes</w:t>
      </w:r>
      <w:r w:rsidR="00A004C7">
        <w:rPr>
          <w:lang w:val="fr-FR"/>
        </w:rPr>
        <w:t xml:space="preserve"> </w:t>
      </w:r>
      <w:r w:rsidR="002D4D8A">
        <w:rPr>
          <w:lang w:val="fr-FR"/>
        </w:rPr>
        <w:t>générant une</w:t>
      </w:r>
      <w:r w:rsidR="00A004C7">
        <w:rPr>
          <w:lang w:val="fr-FR"/>
        </w:rPr>
        <w:t xml:space="preserve"> circulation </w:t>
      </w:r>
      <w:r w:rsidR="002D4D8A">
        <w:rPr>
          <w:lang w:val="fr-FR"/>
        </w:rPr>
        <w:t>plus marquée</w:t>
      </w:r>
      <w:r w:rsidR="00651DC3">
        <w:rPr>
          <w:lang w:val="fr-FR"/>
        </w:rPr>
        <w:t> </w:t>
      </w:r>
      <w:r w:rsidR="00A004C7">
        <w:rPr>
          <w:lang w:val="fr-FR"/>
        </w:rPr>
        <w:t>: Mineurs, Prêcheurs et Mendiants</w:t>
      </w:r>
      <w:r w:rsidR="005475DE">
        <w:rPr>
          <w:lang w:val="fr-FR"/>
        </w:rPr>
        <w:t xml:space="preserve"> marquent </w:t>
      </w:r>
      <w:r w:rsidR="002D4D8A">
        <w:rPr>
          <w:lang w:val="fr-FR"/>
        </w:rPr>
        <w:t xml:space="preserve">de fait </w:t>
      </w:r>
      <w:r w:rsidR="005475DE">
        <w:rPr>
          <w:lang w:val="fr-FR"/>
        </w:rPr>
        <w:t xml:space="preserve">une césure avec le monachisme traditionnel, génétiquement lié à la </w:t>
      </w:r>
      <w:r w:rsidR="005475DE" w:rsidRPr="002D4D8A">
        <w:rPr>
          <w:i/>
          <w:iCs/>
          <w:lang w:val="la-Latn"/>
        </w:rPr>
        <w:t>stabilitas</w:t>
      </w:r>
      <w:r w:rsidR="00A004C7">
        <w:rPr>
          <w:lang w:val="fr-FR"/>
        </w:rPr>
        <w:t>.</w:t>
      </w:r>
      <w:r w:rsidR="00CA4C43">
        <w:rPr>
          <w:lang w:val="fr-FR"/>
        </w:rPr>
        <w:t xml:space="preserve"> </w:t>
      </w:r>
      <w:r w:rsidR="00415B28">
        <w:rPr>
          <w:lang w:val="fr-FR"/>
        </w:rPr>
        <w:t>Pour organiser le volume, les éditeurs ont choisi de regrouper thématiquement les contributions autour de cinq axes, marquant les différents types de mobilité et de circulation des moines. Institutions monastiques, contingences matérielles, dévotions, réseaux culturels, territoires, sont autant de clef</w:t>
      </w:r>
      <w:r w:rsidR="009F0CB0">
        <w:rPr>
          <w:lang w:val="fr-FR"/>
        </w:rPr>
        <w:t>s</w:t>
      </w:r>
      <w:r w:rsidR="00415B28">
        <w:rPr>
          <w:lang w:val="fr-FR"/>
        </w:rPr>
        <w:t xml:space="preserve"> de lecture sélectionnée</w:t>
      </w:r>
      <w:r w:rsidR="009F0CB0">
        <w:rPr>
          <w:lang w:val="fr-FR"/>
        </w:rPr>
        <w:t>s</w:t>
      </w:r>
      <w:r w:rsidR="00415B28">
        <w:rPr>
          <w:lang w:val="fr-FR"/>
        </w:rPr>
        <w:t xml:space="preserve"> afin d’appréhender </w:t>
      </w:r>
      <w:r w:rsidR="009F0CB0">
        <w:rPr>
          <w:lang w:val="fr-FR"/>
        </w:rPr>
        <w:t>la pluralité des mobilités monastiques.</w:t>
      </w:r>
    </w:p>
    <w:p w:rsidR="007139DD" w:rsidRDefault="007139DD">
      <w:pPr>
        <w:rPr>
          <w:lang w:val="fr-FR"/>
        </w:rPr>
      </w:pPr>
      <w:r>
        <w:rPr>
          <w:lang w:val="fr-FR"/>
        </w:rPr>
        <w:t>La première partie</w:t>
      </w:r>
      <w:r w:rsidR="005741E8">
        <w:rPr>
          <w:lang w:val="fr-FR"/>
        </w:rPr>
        <w:t xml:space="preserve">, </w:t>
      </w:r>
      <w:r w:rsidR="005741E8" w:rsidRPr="005741E8">
        <w:rPr>
          <w:i/>
          <w:iCs/>
          <w:lang w:val="fr-FR"/>
        </w:rPr>
        <w:t>Mobilités et institutions monastiques</w:t>
      </w:r>
      <w:r w:rsidR="005741E8">
        <w:rPr>
          <w:lang w:val="fr-FR"/>
        </w:rPr>
        <w:t>,</w:t>
      </w:r>
      <w:r>
        <w:rPr>
          <w:lang w:val="fr-FR"/>
        </w:rPr>
        <w:t xml:space="preserve"> envisage les déplacements monastiques en raison même d</w:t>
      </w:r>
      <w:r w:rsidR="00051E25">
        <w:rPr>
          <w:lang w:val="fr-FR"/>
        </w:rPr>
        <w:t>u fonctionnement de la congrégation</w:t>
      </w:r>
      <w:r w:rsidR="00651DC3">
        <w:rPr>
          <w:lang w:val="fr-FR"/>
        </w:rPr>
        <w:t> </w:t>
      </w:r>
      <w:r w:rsidR="00051E25">
        <w:rPr>
          <w:lang w:val="fr-FR"/>
        </w:rPr>
        <w:t>: ces circulations d’ordre institutionnel touche</w:t>
      </w:r>
      <w:r w:rsidR="00CB378E">
        <w:rPr>
          <w:lang w:val="fr-FR"/>
        </w:rPr>
        <w:t>nt</w:t>
      </w:r>
      <w:r w:rsidR="00051E25">
        <w:rPr>
          <w:lang w:val="fr-FR"/>
        </w:rPr>
        <w:t xml:space="preserve"> aussi bien les moines </w:t>
      </w:r>
      <w:r w:rsidR="009B27E0">
        <w:rPr>
          <w:lang w:val="fr-FR"/>
        </w:rPr>
        <w:t xml:space="preserve">égyptiens </w:t>
      </w:r>
      <w:r w:rsidR="00051E25">
        <w:rPr>
          <w:lang w:val="fr-FR"/>
        </w:rPr>
        <w:t xml:space="preserve">qui se réunissent en assemblées générales </w:t>
      </w:r>
      <w:r w:rsidR="00C47B8B">
        <w:rPr>
          <w:lang w:val="fr-FR"/>
        </w:rPr>
        <w:t>(p.</w:t>
      </w:r>
      <w:r w:rsidR="005C0DF3">
        <w:rPr>
          <w:lang w:val="fr-FR"/>
        </w:rPr>
        <w:t> </w:t>
      </w:r>
      <w:r w:rsidR="00C47B8B">
        <w:rPr>
          <w:lang w:val="fr-FR"/>
        </w:rPr>
        <w:t>17-41)</w:t>
      </w:r>
      <w:r w:rsidR="00EE5FA9">
        <w:rPr>
          <w:lang w:val="fr-FR"/>
        </w:rPr>
        <w:t>,</w:t>
      </w:r>
      <w:r w:rsidR="00C47B8B">
        <w:rPr>
          <w:lang w:val="fr-FR"/>
        </w:rPr>
        <w:t xml:space="preserve"> </w:t>
      </w:r>
      <w:r w:rsidR="00051E25">
        <w:rPr>
          <w:lang w:val="fr-FR"/>
        </w:rPr>
        <w:t>que les abbés issus du monde bénédictin en visite</w:t>
      </w:r>
      <w:r w:rsidR="00C47B8B">
        <w:rPr>
          <w:lang w:val="fr-FR"/>
        </w:rPr>
        <w:t xml:space="preserve"> </w:t>
      </w:r>
      <w:r w:rsidR="009B27E0">
        <w:rPr>
          <w:lang w:val="fr-FR"/>
        </w:rPr>
        <w:t xml:space="preserve">du Moyen Âge central </w:t>
      </w:r>
      <w:r w:rsidR="00C47B8B">
        <w:rPr>
          <w:lang w:val="fr-FR"/>
        </w:rPr>
        <w:t>(p</w:t>
      </w:r>
      <w:r w:rsidR="005C0DF3">
        <w:rPr>
          <w:lang w:val="fr-FR"/>
        </w:rPr>
        <w:t>. </w:t>
      </w:r>
      <w:r w:rsidR="00C47B8B">
        <w:rPr>
          <w:lang w:val="fr-FR"/>
        </w:rPr>
        <w:t>43-58).</w:t>
      </w:r>
      <w:r w:rsidR="00CB378E">
        <w:rPr>
          <w:lang w:val="fr-FR"/>
        </w:rPr>
        <w:t xml:space="preserve"> </w:t>
      </w:r>
      <w:r w:rsidR="00D47177">
        <w:rPr>
          <w:lang w:val="fr-FR"/>
        </w:rPr>
        <w:t>À l’exemple du modèle cistercien, l’ordre bénédictin de Vallombreuse se développe en faveur d’une institutionnalisation progressive de la mobilité de ses membres</w:t>
      </w:r>
      <w:r w:rsidR="00C47B8B">
        <w:rPr>
          <w:lang w:val="fr-FR"/>
        </w:rPr>
        <w:t xml:space="preserve"> (p.</w:t>
      </w:r>
      <w:r w:rsidR="005C0DF3">
        <w:rPr>
          <w:lang w:val="fr-FR"/>
        </w:rPr>
        <w:t> </w:t>
      </w:r>
      <w:r w:rsidR="00C47B8B">
        <w:rPr>
          <w:lang w:val="fr-FR"/>
        </w:rPr>
        <w:t>59-75)</w:t>
      </w:r>
      <w:r w:rsidR="00D47177">
        <w:rPr>
          <w:lang w:val="fr-FR"/>
        </w:rPr>
        <w:t xml:space="preserve">, alors que les </w:t>
      </w:r>
      <w:r w:rsidR="00D2796B">
        <w:rPr>
          <w:lang w:val="fr-FR"/>
        </w:rPr>
        <w:t xml:space="preserve">moniales </w:t>
      </w:r>
      <w:r w:rsidR="00D47177">
        <w:rPr>
          <w:lang w:val="fr-FR"/>
        </w:rPr>
        <w:t>pénitentes d’Acre</w:t>
      </w:r>
      <w:r w:rsidR="00D2796B">
        <w:rPr>
          <w:lang w:val="fr-FR"/>
        </w:rPr>
        <w:t xml:space="preserve"> réinventent l’ensemble de leur </w:t>
      </w:r>
      <w:r w:rsidR="00A96D0F">
        <w:rPr>
          <w:lang w:val="fr-FR"/>
        </w:rPr>
        <w:t>organisation</w:t>
      </w:r>
      <w:r w:rsidR="00D2796B">
        <w:rPr>
          <w:lang w:val="fr-FR"/>
        </w:rPr>
        <w:t xml:space="preserve"> et se constituent un </w:t>
      </w:r>
      <w:r w:rsidR="00A96D0F">
        <w:rPr>
          <w:lang w:val="fr-FR"/>
        </w:rPr>
        <w:t xml:space="preserve">nouveau </w:t>
      </w:r>
      <w:r w:rsidR="00D2796B">
        <w:rPr>
          <w:lang w:val="fr-FR"/>
        </w:rPr>
        <w:t>réseau à la suite de la chute de Saint-Jean-d’Acre (</w:t>
      </w:r>
      <w:r w:rsidR="00C47B8B">
        <w:rPr>
          <w:lang w:val="fr-FR"/>
        </w:rPr>
        <w:t>p.</w:t>
      </w:r>
      <w:r w:rsidR="005C0DF3">
        <w:rPr>
          <w:lang w:val="fr-FR"/>
        </w:rPr>
        <w:t> </w:t>
      </w:r>
      <w:r w:rsidR="00C47B8B">
        <w:rPr>
          <w:lang w:val="fr-FR"/>
        </w:rPr>
        <w:t>77-94</w:t>
      </w:r>
      <w:r w:rsidR="00D2796B">
        <w:rPr>
          <w:lang w:val="fr-FR"/>
        </w:rPr>
        <w:t>).</w:t>
      </w:r>
      <w:r w:rsidR="00A96D0F">
        <w:rPr>
          <w:lang w:val="fr-FR"/>
        </w:rPr>
        <w:t xml:space="preserve"> L’abbaye de Farfa</w:t>
      </w:r>
      <w:r w:rsidR="00175E77">
        <w:rPr>
          <w:lang w:val="fr-FR"/>
        </w:rPr>
        <w:t xml:space="preserve">, non loin de Rome, accueille vers 1500 de nombreux moines d’horizons germaniques </w:t>
      </w:r>
      <w:r w:rsidR="005741E8">
        <w:rPr>
          <w:lang w:val="fr-FR"/>
        </w:rPr>
        <w:t>notamment</w:t>
      </w:r>
      <w:r w:rsidR="00651DC3">
        <w:rPr>
          <w:lang w:val="fr-FR"/>
        </w:rPr>
        <w:t xml:space="preserve"> </w:t>
      </w:r>
      <w:r w:rsidR="00C47B8B">
        <w:rPr>
          <w:lang w:val="fr-FR"/>
        </w:rPr>
        <w:t>(p</w:t>
      </w:r>
      <w:r w:rsidR="005C0DF3">
        <w:rPr>
          <w:lang w:val="fr-FR"/>
        </w:rPr>
        <w:t>. </w:t>
      </w:r>
      <w:r w:rsidR="00C47B8B">
        <w:rPr>
          <w:lang w:val="fr-FR"/>
        </w:rPr>
        <w:t>95-142)</w:t>
      </w:r>
      <w:r w:rsidR="00651DC3">
        <w:rPr>
          <w:lang w:val="fr-FR"/>
        </w:rPr>
        <w:t> </w:t>
      </w:r>
      <w:r w:rsidR="00175E77">
        <w:rPr>
          <w:lang w:val="fr-FR"/>
        </w:rPr>
        <w:t>; les religieux criminels ou apostats</w:t>
      </w:r>
      <w:r w:rsidR="005741E8">
        <w:rPr>
          <w:lang w:val="fr-FR"/>
        </w:rPr>
        <w:t xml:space="preserve"> peuvent</w:t>
      </w:r>
      <w:r w:rsidR="00217968">
        <w:rPr>
          <w:lang w:val="fr-FR"/>
        </w:rPr>
        <w:t>,</w:t>
      </w:r>
      <w:r w:rsidR="00175E77">
        <w:rPr>
          <w:lang w:val="fr-FR"/>
        </w:rPr>
        <w:t xml:space="preserve"> quant à eux</w:t>
      </w:r>
      <w:r w:rsidR="00217968">
        <w:rPr>
          <w:lang w:val="fr-FR"/>
        </w:rPr>
        <w:t>,</w:t>
      </w:r>
      <w:r w:rsidR="00175E77">
        <w:rPr>
          <w:lang w:val="fr-FR"/>
        </w:rPr>
        <w:t xml:space="preserve"> </w:t>
      </w:r>
      <w:r w:rsidR="00C47B8B">
        <w:rPr>
          <w:lang w:val="fr-FR"/>
        </w:rPr>
        <w:t>f</w:t>
      </w:r>
      <w:r w:rsidR="005741E8">
        <w:rPr>
          <w:lang w:val="fr-FR"/>
        </w:rPr>
        <w:t>aire</w:t>
      </w:r>
      <w:r w:rsidR="00C47B8B">
        <w:rPr>
          <w:lang w:val="fr-FR"/>
        </w:rPr>
        <w:t xml:space="preserve"> appel à la clémence pontificale à partir de la seconde moitié du XV</w:t>
      </w:r>
      <w:r w:rsidR="00C47B8B" w:rsidRPr="00C47B8B">
        <w:rPr>
          <w:vertAlign w:val="superscript"/>
          <w:lang w:val="fr-FR"/>
        </w:rPr>
        <w:t>e</w:t>
      </w:r>
      <w:r w:rsidR="00C47B8B">
        <w:rPr>
          <w:lang w:val="fr-FR"/>
        </w:rPr>
        <w:t xml:space="preserve"> siècle (p.</w:t>
      </w:r>
      <w:r w:rsidR="005C0DF3">
        <w:rPr>
          <w:lang w:val="fr-FR"/>
        </w:rPr>
        <w:t> 1</w:t>
      </w:r>
      <w:r w:rsidR="00C47B8B">
        <w:rPr>
          <w:lang w:val="fr-FR"/>
        </w:rPr>
        <w:t>43-158).</w:t>
      </w:r>
    </w:p>
    <w:p w:rsidR="005741E8" w:rsidRDefault="005741E8">
      <w:pPr>
        <w:rPr>
          <w:lang w:val="fr-FR"/>
        </w:rPr>
      </w:pPr>
      <w:r>
        <w:rPr>
          <w:lang w:val="fr-FR"/>
        </w:rPr>
        <w:lastRenderedPageBreak/>
        <w:t xml:space="preserve">Certaines </w:t>
      </w:r>
      <w:r w:rsidRPr="005741E8">
        <w:rPr>
          <w:i/>
          <w:iCs/>
          <w:lang w:val="fr-FR"/>
        </w:rPr>
        <w:t>contingences matérielles</w:t>
      </w:r>
      <w:r>
        <w:rPr>
          <w:lang w:val="fr-FR"/>
        </w:rPr>
        <w:t xml:space="preserve"> peuvent pousser les religieux à la mobilité. Figure bifrons</w:t>
      </w:r>
      <w:r w:rsidR="00CB1574">
        <w:rPr>
          <w:lang w:val="fr-FR"/>
        </w:rPr>
        <w:t>, le moine portier régule les contacts que le monastère entretient au-delà de la clôture</w:t>
      </w:r>
      <w:r>
        <w:rPr>
          <w:lang w:val="fr-FR"/>
        </w:rPr>
        <w:t xml:space="preserve"> </w:t>
      </w:r>
      <w:r w:rsidR="009B27E0">
        <w:rPr>
          <w:lang w:val="fr-FR"/>
        </w:rPr>
        <w:t xml:space="preserve">avec les visiteurs et les fournisseurs </w:t>
      </w:r>
      <w:r w:rsidR="00CB1574">
        <w:rPr>
          <w:lang w:val="fr-FR"/>
        </w:rPr>
        <w:t>(p.</w:t>
      </w:r>
      <w:r w:rsidR="005C0DF3">
        <w:rPr>
          <w:lang w:val="fr-FR"/>
        </w:rPr>
        <w:t> </w:t>
      </w:r>
      <w:r w:rsidR="00CB1574">
        <w:rPr>
          <w:lang w:val="fr-FR"/>
        </w:rPr>
        <w:t>161-196).</w:t>
      </w:r>
      <w:r w:rsidR="0010548E">
        <w:rPr>
          <w:lang w:val="fr-FR"/>
        </w:rPr>
        <w:t xml:space="preserve"> L</w:t>
      </w:r>
      <w:r w:rsidR="00CB1574">
        <w:rPr>
          <w:lang w:val="fr-FR"/>
        </w:rPr>
        <w:t xml:space="preserve">’élevage </w:t>
      </w:r>
      <w:r w:rsidR="0010548E">
        <w:rPr>
          <w:lang w:val="fr-FR"/>
        </w:rPr>
        <w:t>est également</w:t>
      </w:r>
      <w:r w:rsidR="00CB1574">
        <w:rPr>
          <w:lang w:val="fr-FR"/>
        </w:rPr>
        <w:t xml:space="preserve"> un motif de mobilité </w:t>
      </w:r>
      <w:r w:rsidR="0010548E">
        <w:rPr>
          <w:lang w:val="fr-FR"/>
        </w:rPr>
        <w:t>pour le réseau monastique pyrénéen et une clef de contrôle d</w:t>
      </w:r>
      <w:r w:rsidR="002B6A7C">
        <w:rPr>
          <w:lang w:val="fr-FR"/>
        </w:rPr>
        <w:t>u</w:t>
      </w:r>
      <w:r w:rsidR="0010548E">
        <w:rPr>
          <w:lang w:val="fr-FR"/>
        </w:rPr>
        <w:t xml:space="preserve"> </w:t>
      </w:r>
      <w:r w:rsidR="002B6A7C">
        <w:rPr>
          <w:lang w:val="fr-FR"/>
        </w:rPr>
        <w:t>t</w:t>
      </w:r>
      <w:r w:rsidR="0010548E">
        <w:rPr>
          <w:lang w:val="fr-FR"/>
        </w:rPr>
        <w:t>erritoire à</w:t>
      </w:r>
      <w:r w:rsidR="009B27E0">
        <w:rPr>
          <w:lang w:val="fr-FR"/>
        </w:rPr>
        <w:t xml:space="preserve"> l’</w:t>
      </w:r>
      <w:r w:rsidR="0010548E">
        <w:rPr>
          <w:lang w:val="fr-FR"/>
        </w:rPr>
        <w:t xml:space="preserve">époque charnière </w:t>
      </w:r>
      <w:r w:rsidR="009B27E0">
        <w:rPr>
          <w:lang w:val="fr-FR"/>
        </w:rPr>
        <w:t xml:space="preserve">des </w:t>
      </w:r>
      <w:r w:rsidR="0010548E">
        <w:rPr>
          <w:lang w:val="fr-FR"/>
        </w:rPr>
        <w:t>VI</w:t>
      </w:r>
      <w:r w:rsidR="0010548E" w:rsidRPr="0010548E">
        <w:rPr>
          <w:vertAlign w:val="superscript"/>
          <w:lang w:val="fr-FR"/>
        </w:rPr>
        <w:t>e</w:t>
      </w:r>
      <w:r w:rsidR="0010548E">
        <w:rPr>
          <w:lang w:val="fr-FR"/>
        </w:rPr>
        <w:t>-IX</w:t>
      </w:r>
      <w:r w:rsidR="0010548E" w:rsidRPr="0010548E">
        <w:rPr>
          <w:vertAlign w:val="superscript"/>
          <w:lang w:val="fr-FR"/>
        </w:rPr>
        <w:t>e</w:t>
      </w:r>
      <w:r w:rsidR="0010548E">
        <w:rPr>
          <w:lang w:val="fr-FR"/>
        </w:rPr>
        <w:t xml:space="preserve"> siècles</w:t>
      </w:r>
      <w:r w:rsidR="009B27E0">
        <w:rPr>
          <w:lang w:val="fr-FR"/>
        </w:rPr>
        <w:t xml:space="preserve"> (p.</w:t>
      </w:r>
      <w:r w:rsidR="005C0DF3">
        <w:rPr>
          <w:lang w:val="fr-FR"/>
        </w:rPr>
        <w:t> </w:t>
      </w:r>
      <w:r w:rsidR="009B27E0">
        <w:rPr>
          <w:lang w:val="fr-FR"/>
        </w:rPr>
        <w:t xml:space="preserve">197-222). </w:t>
      </w:r>
      <w:r w:rsidR="008B33E3">
        <w:rPr>
          <w:lang w:val="fr-FR"/>
        </w:rPr>
        <w:t>Si l</w:t>
      </w:r>
      <w:r w:rsidR="009B27E0">
        <w:rPr>
          <w:lang w:val="fr-FR"/>
        </w:rPr>
        <w:t>’isolement d’un monastère</w:t>
      </w:r>
      <w:r w:rsidR="008B33E3">
        <w:rPr>
          <w:lang w:val="fr-FR"/>
        </w:rPr>
        <w:t xml:space="preserve"> nécessite des aménagements en matière de circulation (p.</w:t>
      </w:r>
      <w:r w:rsidR="005C0DF3">
        <w:rPr>
          <w:lang w:val="fr-FR"/>
        </w:rPr>
        <w:t> </w:t>
      </w:r>
      <w:r w:rsidR="008B33E3">
        <w:rPr>
          <w:lang w:val="fr-FR"/>
        </w:rPr>
        <w:t xml:space="preserve">223-234), des raisons économico-administratives mettent aussi des religieux </w:t>
      </w:r>
      <w:r w:rsidR="002B6A7C">
        <w:rPr>
          <w:lang w:val="fr-FR"/>
        </w:rPr>
        <w:t xml:space="preserve">du </w:t>
      </w:r>
      <w:r w:rsidR="002B6A7C" w:rsidRPr="00651DC3">
        <w:rPr>
          <w:i/>
          <w:iCs/>
          <w:lang w:val="fr-FR"/>
        </w:rPr>
        <w:t>Mezzogiorno</w:t>
      </w:r>
      <w:r w:rsidR="008B33E3">
        <w:rPr>
          <w:lang w:val="fr-FR"/>
        </w:rPr>
        <w:t xml:space="preserve"> en mouvement (p.</w:t>
      </w:r>
      <w:r w:rsidR="005C0DF3">
        <w:rPr>
          <w:lang w:val="fr-FR"/>
        </w:rPr>
        <w:t> </w:t>
      </w:r>
      <w:r w:rsidR="008B33E3">
        <w:rPr>
          <w:lang w:val="fr-FR"/>
        </w:rPr>
        <w:t>235-257).</w:t>
      </w:r>
    </w:p>
    <w:p w:rsidR="002B6A7C" w:rsidRDefault="002B6A7C">
      <w:pPr>
        <w:rPr>
          <w:lang w:val="fr-FR"/>
        </w:rPr>
      </w:pPr>
      <w:r>
        <w:rPr>
          <w:lang w:val="fr-FR"/>
        </w:rPr>
        <w:t xml:space="preserve">Les </w:t>
      </w:r>
      <w:r w:rsidR="003B4B46">
        <w:rPr>
          <w:lang w:val="fr-FR"/>
        </w:rPr>
        <w:t>circulations</w:t>
      </w:r>
      <w:r>
        <w:rPr>
          <w:lang w:val="fr-FR"/>
        </w:rPr>
        <w:t xml:space="preserve"> liées aux </w:t>
      </w:r>
      <w:r w:rsidRPr="005C0DF3">
        <w:rPr>
          <w:i/>
          <w:iCs/>
          <w:lang w:val="fr-FR"/>
        </w:rPr>
        <w:t>dévotions</w:t>
      </w:r>
      <w:r>
        <w:rPr>
          <w:lang w:val="fr-FR"/>
        </w:rPr>
        <w:t xml:space="preserve"> forment </w:t>
      </w:r>
      <w:r w:rsidR="00EE5FA9">
        <w:rPr>
          <w:lang w:val="fr-FR"/>
        </w:rPr>
        <w:t>le</w:t>
      </w:r>
      <w:r>
        <w:rPr>
          <w:lang w:val="fr-FR"/>
        </w:rPr>
        <w:t xml:space="preserve"> troisième axe de l’ouvrage.</w:t>
      </w:r>
      <w:r w:rsidR="003B4B46">
        <w:rPr>
          <w:lang w:val="fr-FR"/>
        </w:rPr>
        <w:t xml:space="preserve"> Sous les yeux des pèlerins latins ou des moines byzantins sur les routes (p.</w:t>
      </w:r>
      <w:r w:rsidR="005C0DF3">
        <w:rPr>
          <w:lang w:val="fr-FR"/>
        </w:rPr>
        <w:t> </w:t>
      </w:r>
      <w:r w:rsidR="003B4B46">
        <w:rPr>
          <w:lang w:val="fr-FR"/>
        </w:rPr>
        <w:t xml:space="preserve">275-309), </w:t>
      </w:r>
      <w:r w:rsidR="001609F3">
        <w:rPr>
          <w:lang w:val="fr-FR"/>
        </w:rPr>
        <w:t>les</w:t>
      </w:r>
      <w:r w:rsidR="003B4B46">
        <w:rPr>
          <w:lang w:val="fr-FR"/>
        </w:rPr>
        <w:t xml:space="preserve"> </w:t>
      </w:r>
      <w:r w:rsidR="005C0DF3">
        <w:rPr>
          <w:lang w:val="fr-FR"/>
        </w:rPr>
        <w:t xml:space="preserve">ascètes </w:t>
      </w:r>
      <w:r w:rsidR="003B4B46">
        <w:rPr>
          <w:lang w:val="fr-FR"/>
        </w:rPr>
        <w:t xml:space="preserve">immobiles orientaux par excellence, les stylites, </w:t>
      </w:r>
      <w:r w:rsidR="001609F3">
        <w:rPr>
          <w:lang w:val="fr-FR"/>
        </w:rPr>
        <w:t>voyagent sur la terre comme au ciel (p.</w:t>
      </w:r>
      <w:r w:rsidR="005C0DF3">
        <w:rPr>
          <w:lang w:val="fr-FR"/>
        </w:rPr>
        <w:t> </w:t>
      </w:r>
      <w:r w:rsidR="001609F3">
        <w:rPr>
          <w:lang w:val="fr-FR"/>
        </w:rPr>
        <w:t>261-273). Le pèlerinage</w:t>
      </w:r>
      <w:r w:rsidR="00304EF7">
        <w:rPr>
          <w:lang w:val="fr-FR"/>
        </w:rPr>
        <w:t xml:space="preserve"> à Rome</w:t>
      </w:r>
      <w:r w:rsidR="001609F3">
        <w:rPr>
          <w:lang w:val="fr-FR"/>
        </w:rPr>
        <w:t xml:space="preserve"> est-il un</w:t>
      </w:r>
      <w:r w:rsidR="00304EF7">
        <w:rPr>
          <w:lang w:val="fr-FR"/>
        </w:rPr>
        <w:t xml:space="preserve"> chemin de sanctification</w:t>
      </w:r>
      <w:r w:rsidR="001609F3">
        <w:rPr>
          <w:lang w:val="fr-FR"/>
        </w:rPr>
        <w:t xml:space="preserve"> pour les moines byzantins</w:t>
      </w:r>
      <w:r w:rsidR="00304EF7">
        <w:rPr>
          <w:lang w:val="fr-FR"/>
        </w:rPr>
        <w:t xml:space="preserve"> entre le VIII</w:t>
      </w:r>
      <w:r w:rsidR="00304EF7" w:rsidRPr="00304EF7">
        <w:rPr>
          <w:vertAlign w:val="superscript"/>
          <w:lang w:val="fr-FR"/>
        </w:rPr>
        <w:t>e</w:t>
      </w:r>
      <w:r w:rsidR="00304EF7">
        <w:rPr>
          <w:lang w:val="fr-FR"/>
        </w:rPr>
        <w:t xml:space="preserve"> et le XI</w:t>
      </w:r>
      <w:r w:rsidR="00304EF7" w:rsidRPr="00304EF7">
        <w:rPr>
          <w:vertAlign w:val="superscript"/>
          <w:lang w:val="fr-FR"/>
        </w:rPr>
        <w:t>e</w:t>
      </w:r>
      <w:r w:rsidR="00304EF7">
        <w:rPr>
          <w:lang w:val="fr-FR"/>
        </w:rPr>
        <w:t xml:space="preserve"> siècle</w:t>
      </w:r>
      <w:r w:rsidR="008A07A4">
        <w:rPr>
          <w:lang w:val="fr-FR"/>
        </w:rPr>
        <w:t xml:space="preserve"> </w:t>
      </w:r>
      <w:r w:rsidR="00304EF7">
        <w:rPr>
          <w:lang w:val="fr-FR"/>
        </w:rPr>
        <w:t>(p</w:t>
      </w:r>
      <w:r w:rsidR="00BC0F9B">
        <w:rPr>
          <w:lang w:val="fr-FR"/>
        </w:rPr>
        <w:t>. </w:t>
      </w:r>
      <w:r w:rsidR="00304EF7">
        <w:rPr>
          <w:lang w:val="fr-FR"/>
        </w:rPr>
        <w:t>311-316)</w:t>
      </w:r>
      <w:r w:rsidR="005C0DF3">
        <w:rPr>
          <w:lang w:val="fr-FR"/>
        </w:rPr>
        <w:t> </w:t>
      </w:r>
      <w:r w:rsidR="00304EF7">
        <w:rPr>
          <w:lang w:val="fr-FR"/>
        </w:rPr>
        <w:t xml:space="preserve">? Les </w:t>
      </w:r>
      <w:r w:rsidR="00304EF7" w:rsidRPr="00BC0F9B">
        <w:rPr>
          <w:i/>
          <w:iCs/>
          <w:lang w:val="fr-FR"/>
        </w:rPr>
        <w:t>Schottenklöster</w:t>
      </w:r>
      <w:r w:rsidR="00304EF7">
        <w:rPr>
          <w:lang w:val="fr-FR"/>
        </w:rPr>
        <w:t xml:space="preserve"> (réseau de mo</w:t>
      </w:r>
      <w:r w:rsidR="00BC0F9B">
        <w:rPr>
          <w:lang w:val="fr-FR"/>
        </w:rPr>
        <w:t>nastères irlandais fondés en Allemagne et en Autriche) reposent sur la mobilité de ses membres</w:t>
      </w:r>
      <w:r w:rsidR="008A07A4">
        <w:rPr>
          <w:lang w:val="fr-FR"/>
        </w:rPr>
        <w:t xml:space="preserve"> </w:t>
      </w:r>
      <w:r w:rsidR="00BC0F9B">
        <w:rPr>
          <w:lang w:val="fr-FR"/>
        </w:rPr>
        <w:t>(p. 337-352)</w:t>
      </w:r>
      <w:r w:rsidR="008A07A4">
        <w:rPr>
          <w:lang w:val="fr-FR"/>
        </w:rPr>
        <w:t> </w:t>
      </w:r>
      <w:r w:rsidR="00BC0F9B">
        <w:rPr>
          <w:lang w:val="fr-FR"/>
        </w:rPr>
        <w:t>; les femmes de la période médio-byzantine voyagent elles aussi pour prendre l’habit ou pour assumer fermement leur rôle de mère ou d’épouse (p.</w:t>
      </w:r>
      <w:r w:rsidR="005C0DF3">
        <w:rPr>
          <w:lang w:val="fr-FR"/>
        </w:rPr>
        <w:t> </w:t>
      </w:r>
      <w:r w:rsidR="00A25E48">
        <w:rPr>
          <w:lang w:val="fr-FR"/>
        </w:rPr>
        <w:t>353-370).</w:t>
      </w:r>
    </w:p>
    <w:p w:rsidR="003D7C6A" w:rsidRDefault="003D7C6A">
      <w:pPr>
        <w:rPr>
          <w:lang w:val="fr-FR"/>
        </w:rPr>
      </w:pPr>
      <w:r>
        <w:rPr>
          <w:lang w:val="fr-FR"/>
        </w:rPr>
        <w:t xml:space="preserve">Les mobilités peuvent constituer un angle d’approche des plus intéressants afin d’identifier et de comprendre les </w:t>
      </w:r>
      <w:r w:rsidRPr="003D7C6A">
        <w:rPr>
          <w:i/>
          <w:iCs/>
          <w:lang w:val="fr-FR"/>
        </w:rPr>
        <w:t>réseaux culturels</w:t>
      </w:r>
      <w:r>
        <w:rPr>
          <w:lang w:val="fr-FR"/>
        </w:rPr>
        <w:t>. De la sorte, l</w:t>
      </w:r>
      <w:r w:rsidR="00103FC6">
        <w:rPr>
          <w:lang w:val="fr-FR"/>
        </w:rPr>
        <w:t>es</w:t>
      </w:r>
      <w:r>
        <w:rPr>
          <w:lang w:val="fr-FR"/>
        </w:rPr>
        <w:t xml:space="preserve"> traduction</w:t>
      </w:r>
      <w:r w:rsidR="00103FC6">
        <w:rPr>
          <w:lang w:val="fr-FR"/>
        </w:rPr>
        <w:t>s</w:t>
      </w:r>
      <w:r>
        <w:rPr>
          <w:lang w:val="fr-FR"/>
        </w:rPr>
        <w:t>, ou plutôt l</w:t>
      </w:r>
      <w:r w:rsidR="00103FC6">
        <w:rPr>
          <w:lang w:val="fr-FR"/>
        </w:rPr>
        <w:t>es</w:t>
      </w:r>
      <w:r>
        <w:rPr>
          <w:lang w:val="fr-FR"/>
        </w:rPr>
        <w:t xml:space="preserve"> réappropriation</w:t>
      </w:r>
      <w:r w:rsidR="00103FC6">
        <w:rPr>
          <w:lang w:val="fr-FR"/>
        </w:rPr>
        <w:t>s</w:t>
      </w:r>
      <w:r>
        <w:rPr>
          <w:lang w:val="fr-FR"/>
        </w:rPr>
        <w:t xml:space="preserve"> de </w:t>
      </w:r>
      <w:r w:rsidRPr="00103FC6">
        <w:rPr>
          <w:i/>
          <w:iCs/>
          <w:lang w:val="fr-FR"/>
        </w:rPr>
        <w:t>Vitae</w:t>
      </w:r>
      <w:r>
        <w:rPr>
          <w:lang w:val="fr-FR"/>
        </w:rPr>
        <w:t xml:space="preserve"> latines dans le monde </w:t>
      </w:r>
      <w:r w:rsidR="00103FC6">
        <w:rPr>
          <w:lang w:val="fr-FR"/>
        </w:rPr>
        <w:t>hellénophone montrent les transferts culturels entre Occident et Orient (p. 373-389), à l’instar des échanges graphiques et esthétiques de l’écrit du Mont-Cassin à Sainte-Catherine (p. 391-408).</w:t>
      </w:r>
      <w:r w:rsidR="0078251A">
        <w:rPr>
          <w:lang w:val="fr-FR"/>
        </w:rPr>
        <w:t xml:space="preserve"> L’apprentissage pousse également les moines à arpenter les routes occidentales : un moine peut être envoyé dans une autre communauté pour compléter son éducation </w:t>
      </w:r>
      <w:r w:rsidR="00B33D80">
        <w:rPr>
          <w:lang w:val="fr-FR"/>
        </w:rPr>
        <w:t>livresque, morale</w:t>
      </w:r>
      <w:r w:rsidR="0078251A">
        <w:rPr>
          <w:lang w:val="fr-FR"/>
        </w:rPr>
        <w:t xml:space="preserve"> et spirituelle (p. 409-425)</w:t>
      </w:r>
      <w:r w:rsidR="00EE5FA9">
        <w:rPr>
          <w:lang w:val="fr-FR"/>
        </w:rPr>
        <w:t>,</w:t>
      </w:r>
      <w:r w:rsidR="0078251A">
        <w:rPr>
          <w:lang w:val="fr-FR"/>
        </w:rPr>
        <w:t xml:space="preserve"> ou </w:t>
      </w:r>
      <w:r w:rsidR="00B33D80">
        <w:rPr>
          <w:lang w:val="fr-FR"/>
        </w:rPr>
        <w:t>dans les universités, comme les frères humiliés des derniers siècles du Moyen Âge (p. 427-451).</w:t>
      </w:r>
    </w:p>
    <w:p w:rsidR="003D7C6A" w:rsidRDefault="003D7C6A">
      <w:pPr>
        <w:rPr>
          <w:lang w:val="fr-FR"/>
        </w:rPr>
      </w:pPr>
      <w:r>
        <w:rPr>
          <w:lang w:val="fr-FR"/>
        </w:rPr>
        <w:t xml:space="preserve">Enfin, les </w:t>
      </w:r>
      <w:r w:rsidRPr="00B50FED">
        <w:rPr>
          <w:i/>
          <w:iCs/>
          <w:lang w:val="fr-FR"/>
        </w:rPr>
        <w:t>territoires</w:t>
      </w:r>
      <w:r>
        <w:rPr>
          <w:lang w:val="fr-FR"/>
        </w:rPr>
        <w:t xml:space="preserve"> peuvent être appréhend</w:t>
      </w:r>
      <w:r w:rsidR="00B50FED">
        <w:rPr>
          <w:lang w:val="fr-FR"/>
        </w:rPr>
        <w:t>és</w:t>
      </w:r>
      <w:r>
        <w:rPr>
          <w:lang w:val="fr-FR"/>
        </w:rPr>
        <w:t xml:space="preserve"> </w:t>
      </w:r>
      <w:r w:rsidR="001F31CB">
        <w:rPr>
          <w:lang w:val="fr-FR"/>
        </w:rPr>
        <w:t>sous l’approche de</w:t>
      </w:r>
      <w:r>
        <w:rPr>
          <w:lang w:val="fr-FR"/>
        </w:rPr>
        <w:t xml:space="preserve">s </w:t>
      </w:r>
      <w:r w:rsidR="00B50FED">
        <w:rPr>
          <w:lang w:val="fr-FR"/>
        </w:rPr>
        <w:t>mobilité</w:t>
      </w:r>
      <w:r>
        <w:rPr>
          <w:lang w:val="fr-FR"/>
        </w:rPr>
        <w:t>s monastiques.</w:t>
      </w:r>
      <w:r w:rsidR="00E10649">
        <w:rPr>
          <w:lang w:val="fr-FR"/>
        </w:rPr>
        <w:t xml:space="preserve"> Dans le milieu syriaque, la pérégrination des moines relève de réels enjeux christologiques, doctrinaux (p. 455-472)</w:t>
      </w:r>
      <w:r w:rsidR="003D0633">
        <w:rPr>
          <w:lang w:val="fr-FR"/>
        </w:rPr>
        <w:t> ; l</w:t>
      </w:r>
      <w:r w:rsidR="00036BC1">
        <w:rPr>
          <w:lang w:val="fr-FR"/>
        </w:rPr>
        <w:t>’entretien d’une</w:t>
      </w:r>
      <w:r w:rsidR="003D0633">
        <w:rPr>
          <w:lang w:val="fr-FR"/>
        </w:rPr>
        <w:t xml:space="preserve"> correspondance permet </w:t>
      </w:r>
      <w:r w:rsidR="00036BC1">
        <w:rPr>
          <w:lang w:val="fr-FR"/>
        </w:rPr>
        <w:t xml:space="preserve">aux moines égyptiens de maintenir des contacts avec l’extérieur après la conquête arabe (p. 473-493). </w:t>
      </w:r>
      <w:r w:rsidR="008A07A4">
        <w:rPr>
          <w:lang w:val="fr-FR"/>
        </w:rPr>
        <w:t>De plus, l</w:t>
      </w:r>
      <w:r w:rsidR="00036BC1">
        <w:rPr>
          <w:lang w:val="fr-FR"/>
        </w:rPr>
        <w:t xml:space="preserve">a situation frontalière, ici islamo-chrétienne, met les communautés hispaniques en mouvement </w:t>
      </w:r>
      <w:r w:rsidR="00D934AD">
        <w:rPr>
          <w:lang w:val="fr-FR"/>
        </w:rPr>
        <w:t xml:space="preserve">et favorise la multiplicité des transferts (p. 495-527). La circulation des religieux et </w:t>
      </w:r>
      <w:r w:rsidR="001F31CB">
        <w:rPr>
          <w:lang w:val="fr-FR"/>
        </w:rPr>
        <w:t xml:space="preserve">des </w:t>
      </w:r>
      <w:r w:rsidR="00D934AD">
        <w:rPr>
          <w:lang w:val="fr-FR"/>
        </w:rPr>
        <w:t>écrits victorins assure le rayonnement du monastère marseillais et permet la constitution progressive d’un véritable réseau</w:t>
      </w:r>
      <w:r w:rsidR="001F31CB">
        <w:rPr>
          <w:lang w:val="fr-FR"/>
        </w:rPr>
        <w:t xml:space="preserve"> méditerranéen (p. 529-551).</w:t>
      </w:r>
    </w:p>
    <w:p w:rsidR="00CD07A0" w:rsidRPr="00CD07A0" w:rsidRDefault="004139BF">
      <w:pPr>
        <w:rPr>
          <w:lang w:val="fr-FR"/>
        </w:rPr>
      </w:pPr>
      <w:r>
        <w:rPr>
          <w:lang w:val="fr-FR"/>
        </w:rPr>
        <w:t>L’ensemble des contributions, alliant justesse et pertinence, montre l’étendue géographique comme temporelle des circulations monastiques. La richesse de cet ouvrage réside précisément dans la variété thématique, heuristique et méthodologique des études, qui éclairent les déclinaisons plurielles des mobilités monastiques</w:t>
      </w:r>
      <w:r w:rsidR="00A86139">
        <w:rPr>
          <w:lang w:val="fr-FR"/>
        </w:rPr>
        <w:t>. Il s’agit, pour les historiens, de se réapproprier les réseaux monastiques, régis par les tensions et les contrastes de charismes</w:t>
      </w:r>
      <w:r w:rsidR="00D316F0">
        <w:rPr>
          <w:lang w:val="fr-FR"/>
        </w:rPr>
        <w:t> ; il s’agit de se questionner sur l’appartenance identitaire d’un monde qui paraît plus mobile que de prime abord.</w:t>
      </w:r>
      <w:r w:rsidR="00A86139">
        <w:rPr>
          <w:lang w:val="fr-FR"/>
        </w:rPr>
        <w:t xml:space="preserve"> </w:t>
      </w:r>
      <w:r w:rsidR="00D316F0">
        <w:rPr>
          <w:lang w:val="fr-FR"/>
        </w:rPr>
        <w:t>« Tension fertile du déplacement […] mais aussi exemplarité initiatique du voyage du moine pour tous les chrétiens » (p. 557) fondent</w:t>
      </w:r>
      <w:r w:rsidR="00BF65D2">
        <w:rPr>
          <w:lang w:val="fr-FR"/>
        </w:rPr>
        <w:t xml:space="preserve"> </w:t>
      </w:r>
      <w:bookmarkStart w:id="1" w:name="_GoBack"/>
      <w:bookmarkEnd w:id="1"/>
      <w:r w:rsidR="009E008B">
        <w:rPr>
          <w:lang w:val="fr-FR"/>
        </w:rPr>
        <w:t>l</w:t>
      </w:r>
      <w:r w:rsidR="00D316F0">
        <w:rPr>
          <w:lang w:val="fr-FR"/>
        </w:rPr>
        <w:t>es mobilités</w:t>
      </w:r>
      <w:r w:rsidR="009E008B">
        <w:rPr>
          <w:lang w:val="fr-FR"/>
        </w:rPr>
        <w:t xml:space="preserve"> monastiques d’un long Moyen Âge en Orient et en Occident.</w:t>
      </w:r>
    </w:p>
    <w:sectPr w:rsidR="00CD07A0" w:rsidRPr="00CD07A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7A0"/>
    <w:rsid w:val="00036BC1"/>
    <w:rsid w:val="00051E25"/>
    <w:rsid w:val="000F639C"/>
    <w:rsid w:val="001008CF"/>
    <w:rsid w:val="00103FC6"/>
    <w:rsid w:val="0010548E"/>
    <w:rsid w:val="001609F3"/>
    <w:rsid w:val="00175E77"/>
    <w:rsid w:val="001F31CB"/>
    <w:rsid w:val="00201AC3"/>
    <w:rsid w:val="00217968"/>
    <w:rsid w:val="002B0030"/>
    <w:rsid w:val="002B6A7C"/>
    <w:rsid w:val="002D4D8A"/>
    <w:rsid w:val="00304EF7"/>
    <w:rsid w:val="003466F8"/>
    <w:rsid w:val="003B4B46"/>
    <w:rsid w:val="003D0633"/>
    <w:rsid w:val="003D7C6A"/>
    <w:rsid w:val="004139BF"/>
    <w:rsid w:val="00415B28"/>
    <w:rsid w:val="004F1B58"/>
    <w:rsid w:val="004F539F"/>
    <w:rsid w:val="004F67FD"/>
    <w:rsid w:val="005475DE"/>
    <w:rsid w:val="005741E8"/>
    <w:rsid w:val="005C0DF3"/>
    <w:rsid w:val="00651DC3"/>
    <w:rsid w:val="006F70E5"/>
    <w:rsid w:val="007139DD"/>
    <w:rsid w:val="0078251A"/>
    <w:rsid w:val="007B0CE3"/>
    <w:rsid w:val="00825E54"/>
    <w:rsid w:val="008A07A4"/>
    <w:rsid w:val="008B33E3"/>
    <w:rsid w:val="008C4D4E"/>
    <w:rsid w:val="008F6108"/>
    <w:rsid w:val="00944213"/>
    <w:rsid w:val="00987DD0"/>
    <w:rsid w:val="009B27E0"/>
    <w:rsid w:val="009E008B"/>
    <w:rsid w:val="009F0CB0"/>
    <w:rsid w:val="00A004C7"/>
    <w:rsid w:val="00A15539"/>
    <w:rsid w:val="00A25E48"/>
    <w:rsid w:val="00A36BE6"/>
    <w:rsid w:val="00A70D85"/>
    <w:rsid w:val="00A86139"/>
    <w:rsid w:val="00A96D0F"/>
    <w:rsid w:val="00A97D57"/>
    <w:rsid w:val="00AE6ED2"/>
    <w:rsid w:val="00B33D80"/>
    <w:rsid w:val="00B45D55"/>
    <w:rsid w:val="00B50FED"/>
    <w:rsid w:val="00B823EE"/>
    <w:rsid w:val="00B834A0"/>
    <w:rsid w:val="00B97F04"/>
    <w:rsid w:val="00BC0F9B"/>
    <w:rsid w:val="00BF65D2"/>
    <w:rsid w:val="00C47B8B"/>
    <w:rsid w:val="00CA4C43"/>
    <w:rsid w:val="00CB1574"/>
    <w:rsid w:val="00CB378E"/>
    <w:rsid w:val="00CD07A0"/>
    <w:rsid w:val="00D22821"/>
    <w:rsid w:val="00D2796B"/>
    <w:rsid w:val="00D316F0"/>
    <w:rsid w:val="00D3720D"/>
    <w:rsid w:val="00D47177"/>
    <w:rsid w:val="00D934AD"/>
    <w:rsid w:val="00E10649"/>
    <w:rsid w:val="00E70FEC"/>
    <w:rsid w:val="00EA5A24"/>
    <w:rsid w:val="00EC32B4"/>
    <w:rsid w:val="00EE4D11"/>
    <w:rsid w:val="00EE5FA9"/>
    <w:rsid w:val="00F50CDF"/>
    <w:rsid w:val="00FB6008"/>
    <w:rsid w:val="00FC577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A6417"/>
  <w15:chartTrackingRefBased/>
  <w15:docId w15:val="{A74F49B6-B1CD-48A6-8E2F-160922A0B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201AC3"/>
    <w:pPr>
      <w:jc w:val="both"/>
    </w:pPr>
    <w:rPr>
      <w:rFonts w:ascii="Times New Roman" w:hAnsi="Times New Roman"/>
      <w:sz w:val="24"/>
    </w:rPr>
  </w:style>
  <w:style w:type="paragraph" w:styleId="Titre1">
    <w:name w:val="heading 1"/>
    <w:basedOn w:val="Normal"/>
    <w:next w:val="Normal"/>
    <w:link w:val="Titre1Car"/>
    <w:uiPriority w:val="9"/>
    <w:qFormat/>
    <w:rsid w:val="00B97F04"/>
    <w:pPr>
      <w:keepNext/>
      <w:keepLines/>
      <w:spacing w:before="240" w:after="240"/>
      <w:jc w:val="center"/>
      <w:outlineLvl w:val="0"/>
    </w:pPr>
    <w:rPr>
      <w:rFonts w:eastAsiaTheme="majorEastAsia" w:cstheme="majorBidi"/>
      <w:sz w:val="32"/>
      <w:szCs w:val="32"/>
    </w:rPr>
  </w:style>
  <w:style w:type="paragraph" w:styleId="Titre2">
    <w:name w:val="heading 2"/>
    <w:basedOn w:val="Titre1"/>
    <w:next w:val="Normal"/>
    <w:link w:val="Titre2Car"/>
    <w:uiPriority w:val="9"/>
    <w:semiHidden/>
    <w:unhideWhenUsed/>
    <w:qFormat/>
    <w:rsid w:val="00201AC3"/>
    <w:pPr>
      <w:spacing w:before="40" w:after="0"/>
      <w:jc w:val="both"/>
      <w:outlineLvl w:val="1"/>
    </w:pPr>
    <w:rPr>
      <w:b/>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basedOn w:val="Normal"/>
    <w:link w:val="SansinterligneCar"/>
    <w:uiPriority w:val="1"/>
    <w:qFormat/>
    <w:rsid w:val="00A97D57"/>
    <w:pPr>
      <w:spacing w:after="0" w:line="240" w:lineRule="auto"/>
    </w:pPr>
    <w:rPr>
      <w:rFonts w:eastAsiaTheme="minorEastAsia"/>
      <w:lang w:eastAsia="fr-BE"/>
    </w:rPr>
  </w:style>
  <w:style w:type="character" w:customStyle="1" w:styleId="SansinterligneCar">
    <w:name w:val="Sans interligne Car"/>
    <w:basedOn w:val="Policepardfaut"/>
    <w:link w:val="Sansinterligne"/>
    <w:uiPriority w:val="1"/>
    <w:rsid w:val="00A97D57"/>
    <w:rPr>
      <w:rFonts w:ascii="Times New Roman" w:eastAsiaTheme="minorEastAsia" w:hAnsi="Times New Roman"/>
      <w:sz w:val="24"/>
      <w:lang w:eastAsia="fr-BE"/>
    </w:rPr>
  </w:style>
  <w:style w:type="character" w:customStyle="1" w:styleId="Titre2Car">
    <w:name w:val="Titre 2 Car"/>
    <w:basedOn w:val="Policepardfaut"/>
    <w:link w:val="Titre2"/>
    <w:uiPriority w:val="9"/>
    <w:semiHidden/>
    <w:rsid w:val="00201AC3"/>
    <w:rPr>
      <w:rFonts w:ascii="Times New Roman" w:eastAsiaTheme="majorEastAsia" w:hAnsi="Times New Roman" w:cstheme="majorBidi"/>
      <w:b/>
      <w:sz w:val="26"/>
      <w:szCs w:val="26"/>
    </w:rPr>
  </w:style>
  <w:style w:type="character" w:customStyle="1" w:styleId="Titre1Car">
    <w:name w:val="Titre 1 Car"/>
    <w:basedOn w:val="Policepardfaut"/>
    <w:link w:val="Titre1"/>
    <w:uiPriority w:val="9"/>
    <w:rsid w:val="00B97F04"/>
    <w:rPr>
      <w:rFonts w:ascii="Times New Roman" w:eastAsiaTheme="majorEastAsia" w:hAnsi="Times New Roman" w:cstheme="majorBidi"/>
      <w:sz w:val="32"/>
      <w:szCs w:val="32"/>
    </w:rPr>
  </w:style>
  <w:style w:type="paragraph" w:styleId="Titre">
    <w:name w:val="Title"/>
    <w:basedOn w:val="Normal"/>
    <w:next w:val="Normal"/>
    <w:link w:val="TitreCar"/>
    <w:uiPriority w:val="10"/>
    <w:qFormat/>
    <w:rsid w:val="00201AC3"/>
    <w:pPr>
      <w:spacing w:after="0" w:line="240" w:lineRule="auto"/>
      <w:contextualSpacing/>
    </w:pPr>
    <w:rPr>
      <w:rFonts w:eastAsiaTheme="majorEastAsia" w:cstheme="majorBidi"/>
      <w:spacing w:val="-10"/>
      <w:kern w:val="28"/>
      <w:sz w:val="52"/>
      <w:szCs w:val="56"/>
    </w:rPr>
  </w:style>
  <w:style w:type="character" w:customStyle="1" w:styleId="TitreCar">
    <w:name w:val="Titre Car"/>
    <w:basedOn w:val="Policepardfaut"/>
    <w:link w:val="Titre"/>
    <w:uiPriority w:val="10"/>
    <w:rsid w:val="00201AC3"/>
    <w:rPr>
      <w:rFonts w:ascii="Times New Roman" w:eastAsiaTheme="majorEastAsia" w:hAnsi="Times New Roman" w:cstheme="majorBidi"/>
      <w:spacing w:val="-10"/>
      <w:kern w:val="28"/>
      <w:sz w:val="52"/>
      <w:szCs w:val="56"/>
    </w:rPr>
  </w:style>
  <w:style w:type="character" w:styleId="Lienhypertexte">
    <w:name w:val="Hyperlink"/>
    <w:basedOn w:val="Policepardfaut"/>
    <w:uiPriority w:val="99"/>
    <w:unhideWhenUsed/>
    <w:rsid w:val="008F6108"/>
    <w:rPr>
      <w:color w:val="0563C1" w:themeColor="hyperlink"/>
      <w:u w:val="single"/>
    </w:rPr>
  </w:style>
  <w:style w:type="character" w:styleId="Mentionnonrsolue">
    <w:name w:val="Unresolved Mention"/>
    <w:basedOn w:val="Policepardfaut"/>
    <w:uiPriority w:val="99"/>
    <w:semiHidden/>
    <w:unhideWhenUsed/>
    <w:rsid w:val="008F6108"/>
    <w:rPr>
      <w:color w:val="605E5C"/>
      <w:shd w:val="clear" w:color="auto" w:fill="E1DFDD"/>
    </w:rPr>
  </w:style>
  <w:style w:type="paragraph" w:styleId="Textedebulles">
    <w:name w:val="Balloon Text"/>
    <w:basedOn w:val="Normal"/>
    <w:link w:val="TextedebullesCar"/>
    <w:uiPriority w:val="99"/>
    <w:semiHidden/>
    <w:unhideWhenUsed/>
    <w:rsid w:val="00FC577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C577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663</TotalTime>
  <Pages>2</Pages>
  <Words>1141</Words>
  <Characters>6280</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Eléonore Venturelli</dc:creator>
  <cp:keywords/>
  <dc:description/>
  <cp:lastModifiedBy>Eléonore Venturelli</cp:lastModifiedBy>
  <cp:revision>10</cp:revision>
  <dcterms:created xsi:type="dcterms:W3CDTF">2020-07-08T16:08:00Z</dcterms:created>
  <dcterms:modified xsi:type="dcterms:W3CDTF">2020-07-20T14:56:00Z</dcterms:modified>
</cp:coreProperties>
</file>