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rels/.rels" ContentType="application/vnd.openxmlformats-package.relationships+xml"/>
  <Override PartName="/word/_rels/footnotes.xml.rels" ContentType="application/vnd.openxmlformats-package.relationships+xml"/>
  <Override PartName="/word/_rels/document.xml.rels" ContentType="application/vnd.openxmlformats-package.relationships+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footnotes.xml" ContentType="application/vnd.openxmlformats-officedocument.wordprocessingml.footnotes+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settings.xml" ContentType="application/vnd.openxmlformats-officedocument.wordprocessingml.setting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113" w:after="0"/>
        <w:jc w:val="center"/>
        <w:rPr>
          <w:rFonts w:ascii="Times New Roman" w:hAnsi="Times New Roman"/>
        </w:rPr>
      </w:pPr>
      <w:bookmarkStart w:id="0" w:name="_Hlk215572470"/>
      <w:r>
        <w:rPr>
          <w:rFonts w:eastAsia="Calibri" w:cs="Times New Roman"/>
          <w:b/>
          <w:bCs/>
          <w:spacing w:val="-2"/>
          <w:sz w:val="30"/>
          <w:szCs w:val="26"/>
          <w14:ligatures w14:val="none"/>
        </w:rPr>
        <w:t>Saisir l’expérience étudiante du racisme et des discriminations à l’université. Enjeux de caractérisation et d’interprétation des faits</w:t>
      </w:r>
      <w:bookmarkEnd w:id="0"/>
      <w:r>
        <w:rPr>
          <w:rFonts w:eastAsia="Calibri" w:cs="Times New Roman"/>
          <w:b/>
          <w:bCs/>
          <w:spacing w:val="-2"/>
          <w:sz w:val="30"/>
          <w:szCs w:val="26"/>
          <w14:ligatures w14:val="none"/>
        </w:rPr>
        <w:t xml:space="preserve"> dans l’enquête Acadiscri</w:t>
      </w:r>
    </w:p>
    <w:p>
      <w:pPr>
        <w:pStyle w:val="Normal"/>
        <w:jc w:val="center"/>
        <w:rPr>
          <w:rFonts w:ascii="Times New Roman" w:hAnsi="Times New Roman" w:eastAsia="Calibri" w:cs="Times New Roman"/>
          <w:b/>
          <w:bCs/>
          <w:spacing w:val="-2"/>
          <w:sz w:val="30"/>
          <w:szCs w:val="26"/>
          <w14:ligatures w14:val="none"/>
        </w:rPr>
      </w:pPr>
      <w:r>
        <w:rPr>
          <w:rFonts w:eastAsia="Calibri" w:cs="Times New Roman"/>
          <w:b/>
          <w:bCs/>
          <w:spacing w:val="-2"/>
          <w:sz w:val="30"/>
          <w:szCs w:val="26"/>
          <w14:ligatures w14:val="none"/>
        </w:rPr>
      </w:r>
    </w:p>
    <w:p>
      <w:pPr>
        <w:pStyle w:val="Normal"/>
        <w:keepNext w:val="true"/>
        <w:keepLines/>
        <w:numPr>
          <w:ilvl w:val="0"/>
          <w:numId w:val="0"/>
        </w:numPr>
        <w:spacing w:before="340" w:after="113"/>
        <w:ind w:hanging="0" w:start="0"/>
        <w:outlineLvl w:val="1"/>
        <w:rPr>
          <w:rFonts w:ascii="Times New Roman" w:hAnsi="Times New Roman"/>
        </w:rPr>
      </w:pPr>
      <w:r>
        <w:rPr>
          <w:rFonts w:eastAsia="Calibri" w:cs="Times New Roman"/>
          <w:b/>
          <w:bCs/>
          <w:sz w:val="30"/>
          <w:szCs w:val="30"/>
          <w14:ligatures w14:val="none"/>
        </w:rPr>
        <w:t>I/ Introduction</w:t>
      </w:r>
    </w:p>
    <w:p>
      <w:pPr>
        <w:pStyle w:val="Normal"/>
        <w:widowControl w:val="false"/>
        <w:rPr>
          <w:rFonts w:ascii="Times New Roman" w:hAnsi="Times New Roman"/>
        </w:rPr>
      </w:pPr>
      <w:r>
        <w:rPr>
          <w:rFonts w:eastAsia="Times New Roman" w:cs="Times New Roman"/>
          <w14:ligatures w14:val="none"/>
        </w:rPr>
        <w:t xml:space="preserve">Contrairement à d’autres contextes nationaux, en particulier anglophones (Bhopal, 2016 ; Dei et Kempf, 2013 ; Essed, 1991 ; Museus, Ledesma, et Parker, 2015), les manifestations des rapports sociaux de race dans l’enseignement supérieur et la recherche (ESR) demeurent peu étudiées dans le contexte français (Dhume et Cognet, 2020). Les rares enquêtes qualitatives (Quintero, 2012 ; Streiff-Fénart et Poutignat, 1997) portent de façon principale sur l’expérience des étudiant·e·s perçu·e·s comme africain·e·s et/ou noir·e·s, et il est difficile de tenir </w:t>
      </w:r>
      <w:r>
        <w:rPr>
          <w:rFonts w:eastAsia="Times New Roman" w:cs="Times New Roman"/>
          <w:i/>
          <w:iCs/>
          <w14:ligatures w14:val="none"/>
        </w:rPr>
        <w:t>a priori</w:t>
      </w:r>
      <w:r>
        <w:rPr>
          <w:rFonts w:eastAsia="Times New Roman" w:cs="Times New Roman"/>
          <w14:ligatures w14:val="none"/>
        </w:rPr>
        <w:t xml:space="preserve"> celle-ci pour prototypique du racisme en général.</w:t>
      </w:r>
    </w:p>
    <w:p>
      <w:pPr>
        <w:pStyle w:val="Normal"/>
        <w:widowControl w:val="false"/>
        <w:rPr>
          <w:rFonts w:ascii="Times New Roman" w:hAnsi="Times New Roman"/>
        </w:rPr>
      </w:pPr>
      <w:r>
        <w:rPr>
          <w:rFonts w:eastAsia="Times New Roman" w:cs="Times New Roman"/>
          <w14:ligatures w14:val="none"/>
        </w:rPr>
        <w:t xml:space="preserve">L’étude du racisme dans l’ESR émerge cependant en France. L’enquête Racuniv, conduite auprès d’étudiant·e·s racisé·e·s recruté·e·s principalement dans un établissement, remet en question l’image de l’université comme « canopée cosmopolite » en montrant qu’elle n’est pas épargnée par certaines formes de racisme, notamment « implicites » ou « diplomatiques » (Hajjat, </w:t>
      </w:r>
      <w:r>
        <w:rPr>
          <w:rFonts w:eastAsia="Calibri" w:cs="Times New Roman"/>
          <w14:ligatures w14:val="none"/>
        </w:rPr>
        <w:t xml:space="preserve">Zoubir, 2025). Au niveau national, </w:t>
      </w:r>
      <w:r>
        <w:rPr>
          <w:rFonts w:eastAsia="Times New Roman" w:cs="Times New Roman"/>
          <w14:ligatures w14:val="none"/>
        </w:rPr>
        <w:t xml:space="preserve">l’enquête </w:t>
      </w:r>
      <w:r>
        <w:rPr>
          <w:rFonts w:eastAsia="Times New Roman" w:cs="Times New Roman"/>
          <w:i/>
          <w14:ligatures w14:val="none"/>
        </w:rPr>
        <w:t xml:space="preserve">Conditions de vie des étudiants </w:t>
      </w:r>
      <w:r>
        <w:rPr>
          <w:rFonts w:eastAsia="Times New Roman" w:cs="Times New Roman"/>
          <w14:ligatures w14:val="none"/>
        </w:rPr>
        <w:t xml:space="preserve">(CdV) de l’Observatoire de la vie étudiante inclut des données d’auto-déclaration de traitements différentiels en raison de l’origine, la nationalité, la couleur de peau et la religion depuis 2016 (Ferry et Tenret, 2017), et de violences racistes depuis 2020, et révèle que les femmes et les étudiant·e·s étranger·e·s y semblent particulièrement exposé·e·s (Chauvel, Nyambek-Mebenga et Primon, 2023). Par ailleurs, des enquêtes par </w:t>
      </w:r>
      <w:r>
        <w:rPr>
          <w:rFonts w:eastAsia="Times New Roman" w:cs="Times New Roman"/>
          <w:i/>
          <w14:ligatures w14:val="none"/>
        </w:rPr>
        <w:t>testing</w:t>
      </w:r>
      <w:r>
        <w:rPr>
          <w:rFonts w:eastAsia="Times New Roman" w:cs="Times New Roman"/>
          <w14:ligatures w14:val="none"/>
        </w:rPr>
        <w:t xml:space="preserve"> montrent que les candidat·e·s à l’entrée en master ayant un nom à consonance maghrébine reçoivent moins de réponses positives à leurs demandes d’information que les autres (Chareyron, Erb et L’Horty, 2022). Le projet Acadiscri</w:t>
      </w:r>
      <w:r>
        <w:rPr>
          <w:rStyle w:val="FootnoteReference"/>
          <w:rFonts w:eastAsia="Times New Roman" w:cs="Times New Roman"/>
          <w14:ligatures w14:val="none"/>
        </w:rPr>
        <w:footnoteReference w:id="2"/>
      </w:r>
      <w:r>
        <w:rPr>
          <w:rFonts w:eastAsia="Times New Roman" w:cs="Times New Roman"/>
          <w14:ligatures w14:val="none"/>
        </w:rPr>
        <w:t>, sur lequel nous nous appuyons ici, contribue à ce champ de recherche, en plaçant la focale sur les traitements inégalitaires, notamment racistes, vécus à l’université.</w:t>
      </w:r>
    </w:p>
    <w:p>
      <w:pPr>
        <w:pStyle w:val="Normal"/>
        <w:widowControl w:val="false"/>
        <w:rPr>
          <w:rFonts w:ascii="Times New Roman" w:hAnsi="Times New Roman"/>
        </w:rPr>
      </w:pPr>
      <w:r>
        <w:rPr>
          <w:rFonts w:eastAsia="Times New Roman" w:cs="Times New Roman"/>
          <w14:ligatures w14:val="none"/>
        </w:rPr>
        <w:t>Comparé à d’autres lieux, l’université peut sembler à première vue un espace secondaire d’expérience du racisme et des discriminations. Selon la première enquête Trajectoires et origines (TeO), elle est « rarement cité[e] » comme lieu d’expérience « d’insultes, de propos ou d’attitudes ouvertement racistes en France » (Hamel, Lesné et Primon, 2016). Mais les questions posées dans TeO renvoient au racisme « explicite », subi la ou les dernières fois dans une diversité d’espaces, et déclaré par une population pour laquelle l’expérience universitaire peut être lointaine. Qu’en est-il lorsqu’on se focalise sur les populations étudiantes en cours d’études et que l’on élargit le regard pour prendre aussi en compte les formes les plus ordinaires de racisme ?</w:t>
      </w:r>
    </w:p>
    <w:p>
      <w:pPr>
        <w:pStyle w:val="Normal"/>
        <w:widowControl w:val="false"/>
        <w:rPr>
          <w:rFonts w:ascii="Times New Roman" w:hAnsi="Times New Roman"/>
        </w:rPr>
      </w:pPr>
      <w:r>
        <w:rPr>
          <w:rFonts w:eastAsia="Times New Roman" w:cs="Times New Roman"/>
          <w14:ligatures w14:val="none"/>
        </w:rPr>
        <w:t xml:space="preserve">La littérature a souligné combien le racisme contemporain, condamné moralement et juridiquement, se manifeste souvent de manière euphémisée voire souterraine (Pettigrew et Meertens, 1993 ; Roux et Pérez, 1996). Les espaces éducatifs, plus encore, sont supposés être les lieux d’un racisme voilé plutôt que manifeste (Hajjat, </w:t>
      </w:r>
      <w:r>
        <w:rPr>
          <w:rFonts w:eastAsia="Calibri" w:cs="Times New Roman"/>
          <w14:ligatures w14:val="none"/>
        </w:rPr>
        <w:t>Zoubir, 2025)</w:t>
      </w:r>
      <w:r>
        <w:rPr>
          <w:rFonts w:eastAsia="Calibri" w:cs="Calibri"/>
          <w14:ligatures w14:val="none"/>
        </w:rPr>
        <w:t xml:space="preserve">. Ils sont </w:t>
      </w:r>
      <w:r>
        <w:rPr>
          <w:rFonts w:eastAsia="Times New Roman" w:cs="Times New Roman"/>
          <w14:ligatures w14:val="none"/>
        </w:rPr>
        <w:t xml:space="preserve">structurés par un discours sur l’égalité qui valorise les différences et la diversité et qui tend à invisibiliser la race comme rapport social (Mohanty, 1989 ; Ahmed, 2019). Cela pourrait rendre plus difficile l’identification du racisme en tant que tel, et augmenter l’incertitude quant à la qualification par les personnes visées des faits vécus. De ce point de vue, les théories critiques de la race (Crenshaw </w:t>
      </w:r>
      <w:r>
        <w:rPr>
          <w:rFonts w:eastAsia="Times New Roman" w:cs="Times New Roman"/>
          <w:i/>
          <w:iCs/>
          <w14:ligatures w14:val="none"/>
        </w:rPr>
        <w:t>et al.</w:t>
      </w:r>
      <w:r>
        <w:rPr>
          <w:rFonts w:eastAsia="Times New Roman" w:cs="Times New Roman"/>
          <w14:ligatures w14:val="none"/>
        </w:rPr>
        <w:t xml:space="preserve">, 1995) ont particulièrement insisté sur le fait que le racisme quotidien est tissé de « micro-agressions » (Solorzano, Ceja, et Yosso, 2000 ; </w:t>
      </w:r>
      <w:r>
        <w:rPr>
          <w:rFonts w:eastAsia="Calibri" w:cs="Times New Roman"/>
          <w14:ligatures w14:val="none"/>
        </w:rPr>
        <w:t>Sue, 2010</w:t>
      </w:r>
      <w:r>
        <w:rPr>
          <w:rFonts w:eastAsia="Times New Roman" w:cs="Times New Roman"/>
          <w14:ligatures w14:val="none"/>
        </w:rPr>
        <w:t xml:space="preserve">), </w:t>
      </w:r>
      <w:r>
        <w:rPr>
          <w:rFonts w:eastAsia="Calibri" w:cs="Times New Roman"/>
          <w14:ligatures w14:val="none"/>
        </w:rPr>
        <w:t>soit</w:t>
      </w:r>
      <w:r>
        <w:rPr>
          <w:rFonts w:eastAsia="Calibri" w:cs="Calibri"/>
          <w14:ligatures w14:val="none"/>
        </w:rPr>
        <w:t xml:space="preserve"> </w:t>
      </w:r>
      <w:r>
        <w:rPr>
          <w:rFonts w:eastAsia="Calibri" w:cs="Times New Roman"/>
          <w14:ligatures w14:val="none"/>
        </w:rPr>
        <w:t>des gestes, comportements et propos en apparence anodins ou banalisés mais qui constituent des rappels plus ou moins directs à une place subalterne dans un ordre social hiérarchisé</w:t>
      </w:r>
      <w:r>
        <w:rPr>
          <w:rStyle w:val="FootnoteReference"/>
          <w:rFonts w:eastAsia="Calibri" w:cs="Times New Roman"/>
          <w14:ligatures w14:val="none"/>
        </w:rPr>
        <w:footnoteReference w:id="3"/>
      </w:r>
      <w:r>
        <w:rPr>
          <w:rFonts w:eastAsia="Calibri" w:cs="Times New Roman"/>
          <w14:ligatures w14:val="none"/>
        </w:rPr>
        <w:t xml:space="preserve">. </w:t>
      </w:r>
      <w:r>
        <w:rPr>
          <w:rFonts w:eastAsia="Times New Roman" w:cs="Times New Roman"/>
          <w14:ligatures w14:val="none"/>
        </w:rPr>
        <w:t xml:space="preserve">Chercher à saisir ces micro-agressions, jusqu’ici peu traitées dans les enquêtes françaises, implique de mettre au centre de l’étude du racisme l’expérience qu’en ont les personnes racisées </w:t>
      </w:r>
      <w:r>
        <w:rPr>
          <w:rFonts w:eastAsia="Calibri" w:cs="Calibri"/>
          <w14:ligatures w14:val="none"/>
        </w:rPr>
        <w:t>–</w:t>
      </w:r>
      <w:r>
        <w:rPr>
          <w:rFonts w:eastAsia="Calibri" w:cs="Times New Roman"/>
          <w14:ligatures w14:val="none"/>
        </w:rPr>
        <w:t xml:space="preserve"> « individus bien réels qui tendent à être traités comme l’incarnation de leur groupe d’appartenance et qui doivent donc apprendre à faire avec » (Poiret, 2011 : 107). Cela soulève en retour la question de la manière dont ces individus identifient et qualifient le racisme vécu</w:t>
      </w:r>
      <w:r>
        <w:rPr>
          <w:rFonts w:eastAsia="Calibri" w:cs="Calibri"/>
          <w14:ligatures w14:val="none"/>
        </w:rPr>
        <w:t>,</w:t>
      </w:r>
      <w:r>
        <w:rPr>
          <w:rFonts w:eastAsia="Calibri" w:cs="Times New Roman"/>
          <w14:ligatures w14:val="none"/>
        </w:rPr>
        <w:t xml:space="preserve"> y compris dans les relations d’enquête (Blassel </w:t>
      </w:r>
      <w:r>
        <w:rPr>
          <w:rFonts w:eastAsia="Calibri" w:cs="Times New Roman"/>
          <w:i/>
          <w:iCs/>
          <w14:ligatures w14:val="none"/>
        </w:rPr>
        <w:t>et al</w:t>
      </w:r>
      <w:r>
        <w:rPr>
          <w:rFonts w:eastAsia="Calibri" w:cs="Times New Roman"/>
          <w14:ligatures w14:val="none"/>
        </w:rPr>
        <w:t xml:space="preserve">., 2022 ; Trucco </w:t>
      </w:r>
      <w:r>
        <w:rPr>
          <w:rFonts w:eastAsia="Calibri" w:cs="Times New Roman"/>
          <w:i/>
          <w:iCs/>
          <w14:ligatures w14:val="none"/>
        </w:rPr>
        <w:t>et al</w:t>
      </w:r>
      <w:r>
        <w:rPr>
          <w:rFonts w:eastAsia="Calibri" w:cs="Times New Roman"/>
          <w14:ligatures w14:val="none"/>
        </w:rPr>
        <w:t>., 2022).</w:t>
      </w:r>
    </w:p>
    <w:p>
      <w:pPr>
        <w:pStyle w:val="Normal"/>
        <w:rPr>
          <w:rFonts w:ascii="Times New Roman" w:hAnsi="Times New Roman"/>
        </w:rPr>
      </w:pPr>
      <w:r>
        <w:rPr>
          <w:rFonts w:eastAsia="Calibri" w:cs="Times New Roman"/>
          <w14:ligatures w14:val="none"/>
        </w:rPr>
        <w:t>Le présent article vise à réfléchir à ces enjeux de</w:t>
      </w:r>
      <w:r>
        <w:rPr>
          <w:rFonts w:eastAsia="Calibri" w:cs="Times New Roman"/>
          <w:color w:val="000000"/>
          <w:spacing w:val="-2"/>
          <w14:ligatures w14:val="none"/>
        </w:rPr>
        <w:t xml:space="preserve"> caractérisation, d’interprétation et de qualification des faits vécus par les étudiant·e·s à l’université. </w:t>
      </w:r>
      <w:r>
        <w:rPr>
          <w:rFonts w:eastAsia="Calibri" w:cs="Times New Roman"/>
          <w14:ligatures w14:val="none"/>
        </w:rPr>
        <w:t>Après avoir présenté l’enquête et les enjeux méthodologiques, l’article met en évidence la diversité des formes de racisme déclarées, puis, se centrant sur les micro-agressions, interroge l'idée selon laquelle les faits seraient principalement voilés et d’interprétation incertaine. Enfin, il examine les facteurs et les critères d’appréciation qui fondent, aux yeux des personnes concernées, la gravité des faits vécus.</w:t>
      </w:r>
    </w:p>
    <w:p>
      <w:pPr>
        <w:pStyle w:val="Normal"/>
        <w:keepNext w:val="true"/>
        <w:keepLines/>
        <w:numPr>
          <w:ilvl w:val="0"/>
          <w:numId w:val="0"/>
        </w:numPr>
        <w:spacing w:before="340" w:after="113"/>
        <w:ind w:hanging="0" w:start="0"/>
        <w:outlineLvl w:val="1"/>
        <w:rPr>
          <w:rFonts w:ascii="Times New Roman" w:hAnsi="Times New Roman"/>
        </w:rPr>
      </w:pPr>
      <w:r>
        <w:rPr>
          <w:rFonts w:eastAsia="Calibri" w:cs="Times New Roman"/>
          <w:b/>
          <w:bCs/>
          <w:sz w:val="30"/>
          <w:szCs w:val="30"/>
          <w14:ligatures w14:val="none"/>
        </w:rPr>
        <w:t>II/ Méthodologie de l’enquête Acadiscri</w:t>
      </w:r>
    </w:p>
    <w:p>
      <w:pPr>
        <w:pStyle w:val="Normal"/>
        <w:keepNext w:val="true"/>
        <w:keepLines/>
        <w:numPr>
          <w:ilvl w:val="0"/>
          <w:numId w:val="0"/>
        </w:numPr>
        <w:spacing w:before="227" w:after="57"/>
        <w:ind w:hanging="0" w:start="0"/>
        <w:outlineLvl w:val="2"/>
        <w:rPr>
          <w:rFonts w:ascii="Times New Roman" w:hAnsi="Times New Roman"/>
        </w:rPr>
      </w:pPr>
      <w:r>
        <w:rPr>
          <w:rFonts w:eastAsia="Times New Roman" w:cs="Calibri"/>
          <w:b/>
          <w:bCs/>
          <w:sz w:val="26"/>
          <w:szCs w:val="26"/>
          <w14:ligatures w14:val="none"/>
        </w:rPr>
        <w:t>II/ 1. Saisir le rapport social raciste à partir de l’expérience subjective</w:t>
      </w:r>
    </w:p>
    <w:p>
      <w:pPr>
        <w:pStyle w:val="Normal"/>
        <w:rPr>
          <w:rFonts w:ascii="Times New Roman" w:hAnsi="Times New Roman"/>
        </w:rPr>
      </w:pPr>
      <w:r>
        <w:rPr>
          <w:rFonts w:eastAsia="Calibri" w:cs="Times New Roman"/>
          <w14:ligatures w14:val="none"/>
        </w:rPr>
        <w:t xml:space="preserve">Acadiscri appréhende le racisme comme un rapport social (De Rudder, Poiret et Vourc’h, 2000), fondé au niveau macrosociologique sur des structures, des institutions et des discours idéologiques, et se traduisant au niveau micro par des attitudes, des paroles et des pratiques du quotidien. Ce complexe </w:t>
      </w:r>
      <w:r>
        <w:rPr>
          <w:rFonts w:eastAsia="Calibri" w:cs="Calibri"/>
          <w14:ligatures w14:val="none"/>
        </w:rPr>
        <w:t>–</w:t>
      </w:r>
      <w:r>
        <w:rPr>
          <w:rFonts w:eastAsia="Calibri" w:cs="Times New Roman"/>
          <w14:ligatures w14:val="none"/>
        </w:rPr>
        <w:t xml:space="preserve"> idéel et matériel, structurel et interactionnel </w:t>
      </w:r>
      <w:r>
        <w:rPr>
          <w:rFonts w:eastAsia="Calibri" w:cs="Calibri"/>
          <w14:ligatures w14:val="none"/>
        </w:rPr>
        <w:t>―</w:t>
      </w:r>
      <w:r>
        <w:rPr>
          <w:rFonts w:eastAsia="Calibri" w:cs="Times New Roman"/>
          <w14:ligatures w14:val="none"/>
        </w:rPr>
        <w:t xml:space="preserve"> produit et entretient des positions sociales hiérarchisées, par la dévalorisation symbolique et le désavantage matériel de certains groupes (Guillaumin, 1972 ; De Rudder, 1991 ; Essed, 1991). Ces positions inégales différencient tendanciellement les expériences du monde social et </w:t>
      </w:r>
      <w:r>
        <w:rPr>
          <w:rFonts w:eastAsia="Calibri" w:cs="Calibri"/>
          <w14:ligatures w14:val="none"/>
        </w:rPr>
        <w:t>du racisme en particulier, selon que les personnes y sont concrètement et couramment exposé·e·s ou non.</w:t>
      </w:r>
    </w:p>
    <w:p>
      <w:pPr>
        <w:pStyle w:val="Normal"/>
        <w:rPr>
          <w:rFonts w:ascii="Times New Roman" w:hAnsi="Times New Roman"/>
        </w:rPr>
      </w:pPr>
      <w:r>
        <w:rPr>
          <w:rFonts w:eastAsia="Calibri" w:cs="Calibri"/>
          <w14:ligatures w14:val="none"/>
        </w:rPr>
        <w:t>L</w:t>
      </w:r>
      <w:r>
        <w:rPr>
          <w:rFonts w:eastAsia="Calibri" w:cs="Times New Roman"/>
          <w14:ligatures w14:val="none"/>
        </w:rPr>
        <w:t xml:space="preserve">’approche scientifique de ces phénomènes, notamment pour en mesurer l’ampleur (Delattre </w:t>
      </w:r>
      <w:r>
        <w:rPr>
          <w:rFonts w:eastAsia="Calibri" w:cs="Times New Roman"/>
          <w:i/>
          <w:iCs/>
          <w14:ligatures w14:val="none"/>
        </w:rPr>
        <w:t>et al.,</w:t>
      </w:r>
      <w:r>
        <w:rPr>
          <w:rFonts w:eastAsia="Calibri" w:cs="Times New Roman"/>
          <w14:ligatures w14:val="none"/>
        </w:rPr>
        <w:t xml:space="preserve"> 2013 ; Primon et Simon, 2018 ; Safi et Simon, 2013), bute sur une difficulté de taille : le racisme et les discriminations raciales ne se laissent pas saisir en soi, mais passent par le filtre de l’expérience (différenciée) du phénomène. Aussi l’enquête Acadiscri privilégie-t-elle une approche subjective, en cherchant à recueillir à la fois : le vécu de situations sociales négatives (victimation) ; l’attribution causale des faits </w:t>
      </w:r>
      <w:r>
        <w:rPr>
          <w:rFonts w:eastAsia="Calibri" w:cs="Calibri"/>
          <w14:ligatures w14:val="none"/>
        </w:rPr>
        <w:t>(lien avec des marqueurs ethnoraciaux, incluant la religion si elle est racialisée [Meer et Modood, 2010]</w:t>
      </w:r>
      <w:r>
        <w:rPr>
          <w:rFonts w:eastAsia="Calibri" w:cs="Times New Roman"/>
          <w14:ligatures w14:val="none"/>
        </w:rPr>
        <w:t>) ; leur qualification éventuelle comme racisme et/ou discrimination (notamment à travers les entretiens et les questions ouvertes du questionnaire invitant à décrire les situations vécues) ; leurs effets concrets sur les personnes et les trajectoires.</w:t>
      </w:r>
    </w:p>
    <w:p>
      <w:pPr>
        <w:pStyle w:val="Normal"/>
        <w:rPr>
          <w:rFonts w:ascii="Times New Roman" w:hAnsi="Times New Roman"/>
        </w:rPr>
      </w:pPr>
      <w:r>
        <w:rPr>
          <w:rFonts w:eastAsia="Calibri" w:cs="Times New Roman"/>
          <w14:ligatures w14:val="none"/>
        </w:rPr>
        <w:t xml:space="preserve">Loin d’être spontanée, l’expérience implique un « travail sur le vécu » (Zask, 2018), une construction réflexive qui simultanément forme des « faits » et transforme l’individu et son rapport au monde (Barbier et Thevenaz, 2013). </w:t>
      </w:r>
      <w:r>
        <w:rPr>
          <w:rFonts w:eastAsia="Calibri" w:cs="Times New Roman"/>
          <w:lang w:eastAsia="fr-FR"/>
          <w14:ligatures w14:val="none"/>
        </w:rPr>
        <w:t>C</w:t>
      </w:r>
      <w:r>
        <w:rPr>
          <w:rFonts w:eastAsia="Calibri" w:cs="Times New Roman"/>
          <w14:ligatures w14:val="none"/>
        </w:rPr>
        <w:t xml:space="preserve">omme d’autres minoritaires, </w:t>
      </w:r>
      <w:r>
        <w:rPr>
          <w:rFonts w:eastAsia="Calibri" w:cs="Times New Roman"/>
          <w:lang w:eastAsia="fr-FR"/>
          <w14:ligatures w14:val="none"/>
        </w:rPr>
        <w:t>l</w:t>
      </w:r>
      <w:r>
        <w:rPr>
          <w:rFonts w:eastAsia="Calibri" w:cs="Times New Roman"/>
          <w14:ligatures w14:val="none"/>
        </w:rPr>
        <w:t>es étudiant·e·s racisé·e·s peuvent être amené·e·s, en fonction de leur socialisation et de leurs ressources (Brun, 2022), à développer une expertise, une compréhension fine de leur situation de racisable ou discriminable, les disposant à repérer et décoder de micro-indices d’altérisation et d’infériorisation.</w:t>
      </w:r>
      <w:r>
        <w:rPr>
          <w:rFonts w:eastAsia="Times New Roman" w:cs="Times New Roman"/>
          <w:lang w:eastAsia="fr-FR"/>
          <w14:ligatures w14:val="none"/>
        </w:rPr>
        <w:t xml:space="preserve"> Cette socialisation par l’expérience (Blassel, 2021) est </w:t>
      </w:r>
      <w:r>
        <w:rPr>
          <w:rFonts w:eastAsia="Calibri" w:cs="Times New Roman"/>
          <w14:ligatures w14:val="none"/>
        </w:rPr>
        <w:t>généralement entamée bien avant l’université, particulièrement à l’école, premier lieu de confrontation au racisme (Brinbaum, Chauvel, Tenret, 2025 ; Dhume et Bérard, 2023).</w:t>
      </w:r>
    </w:p>
    <w:p>
      <w:pPr>
        <w:pStyle w:val="Normal"/>
        <w:rPr>
          <w:rFonts w:ascii="Times New Roman" w:hAnsi="Times New Roman"/>
        </w:rPr>
      </w:pPr>
      <w:r>
        <w:rPr>
          <w:szCs w:val="22"/>
          <w:lang w:eastAsia="fr-FR"/>
        </w:rPr>
        <w:t>L’approche d’Acadiscri est également subjective en ce qu’elle s’appuie sur l’identification des enquêté·e·s sur le plan racial, condition nécessaire à la saisie empirique du racisme et de la discrimination raciale (Chassonnery-Za</w:t>
      </w:r>
      <w:r>
        <w:rPr/>
        <w:t>ïgouche, Goldzahl, et Levionnois, 2020)</w:t>
      </w:r>
      <w:r>
        <w:rPr>
          <w:rFonts w:eastAsia="Calibri" w:cs="Times New Roman"/>
          <w14:ligatures w14:val="none"/>
        </w:rPr>
        <w:t>. Le questionnaire a ainsi invité les répondant·e·s à indiquer « comment les autres [les] voient en général » (hétéro-identification) et comment iels « se considèrent » (auto-identification), proposant une liste de catégories se rapprochant des étiquetages de sens commun</w:t>
      </w:r>
      <w:r>
        <w:rPr>
          <w:rStyle w:val="FootnoteReference"/>
          <w:rFonts w:eastAsia="Calibri" w:cs="Times New Roman"/>
          <w14:ligatures w14:val="none"/>
        </w:rPr>
        <w:footnoteReference w:id="4"/>
      </w:r>
      <w:r>
        <w:rPr>
          <w:rFonts w:eastAsia="Calibri" w:cs="Times New Roman"/>
          <w:lang w:eastAsia="fr-FR"/>
          <w14:ligatures w14:val="none"/>
        </w:rPr>
        <w:t>. La recherche participe ainsi inévitablement d</w:t>
      </w:r>
      <w:r>
        <w:rPr>
          <w:rFonts w:eastAsia="Calibri" w:cs="Times New Roman"/>
          <w14:ligatures w14:val="none"/>
        </w:rPr>
        <w:t>’une forme de re-circulation des catégories constitutives du tort (Butler, 2017), dans le but de permettre aux personnes concernées de (d)énoncer un vécu négatif. Les traitements statistiques ci-après sont fondés sur l’hétéro-identification déclarée, dans la mesure où les discriminations reposent le plus souvent sur une racialisation par autrui dans les interactions sociales.</w:t>
      </w:r>
    </w:p>
    <w:p>
      <w:pPr>
        <w:pStyle w:val="Normal"/>
        <w:keepNext w:val="true"/>
        <w:keepLines/>
        <w:numPr>
          <w:ilvl w:val="0"/>
          <w:numId w:val="0"/>
        </w:numPr>
        <w:spacing w:before="227" w:after="57"/>
        <w:ind w:hanging="0" w:start="0"/>
        <w:outlineLvl w:val="2"/>
        <w:rPr>
          <w:rFonts w:ascii="Times New Roman" w:hAnsi="Times New Roman"/>
        </w:rPr>
      </w:pPr>
      <w:r>
        <w:rPr>
          <w:rFonts w:eastAsia="Times New Roman" w:cs="Calibri"/>
          <w:b/>
          <w:bCs/>
          <w:sz w:val="26"/>
          <w:szCs w:val="26"/>
          <w14:ligatures w14:val="none"/>
        </w:rPr>
        <w:t>II/ 2. Trianguler une pluralité de matériaux</w:t>
      </w:r>
    </w:p>
    <w:p>
      <w:pPr>
        <w:pStyle w:val="Normal"/>
        <w:rPr>
          <w:rFonts w:ascii="Times New Roman" w:hAnsi="Times New Roman"/>
        </w:rPr>
      </w:pPr>
      <w:r>
        <w:rPr>
          <w:rFonts w:eastAsia="Calibri" w:cs="Times New Roman"/>
          <w14:ligatures w14:val="none"/>
        </w:rPr>
        <w:t xml:space="preserve">Le dispositif de recherche repose sur une méthode mixte, quantitative (questionnaires en ligne) et qualitative (entretiens). Après une enquête pilote pour éprouver le questionnaire (2020), une première collecte a eu lieu dans cinq universités (2021/2022), complétée par des entretiens auprès de répondant·e·s s’étant manifesté·e·s volontaires </w:t>
      </w:r>
      <w:r>
        <w:rPr>
          <w:rFonts w:eastAsia="Calibri" w:cs="Times New Roman"/>
          <w:i/>
          <w:iCs/>
          <w14:ligatures w14:val="none"/>
        </w:rPr>
        <w:t>via</w:t>
      </w:r>
      <w:r>
        <w:rPr>
          <w:rFonts w:eastAsia="Calibri" w:cs="Times New Roman"/>
          <w14:ligatures w14:val="none"/>
        </w:rPr>
        <w:t xml:space="preserve"> le questionnaire. Ces entretiens avaient pour finalité de comprendre les enjeux du (non) signalement des discriminations (Bozec </w:t>
      </w:r>
      <w:r>
        <w:rPr>
          <w:rFonts w:eastAsia="Calibri" w:cs="Times New Roman"/>
          <w:i/>
          <w:iCs/>
          <w14:ligatures w14:val="none"/>
        </w:rPr>
        <w:t>et al.,</w:t>
      </w:r>
      <w:r>
        <w:rPr>
          <w:rFonts w:eastAsia="Calibri" w:cs="Times New Roman"/>
          <w14:ligatures w14:val="none"/>
        </w:rPr>
        <w:t xml:space="preserve"> 2024), mais ils ont permis de revenir sur les parcours, les contextes d’études et les traitements inégalitaires vécus ou observés à l’université. L'enquête quantitative s'est poursuivie en 2024, dans le cadre du projet ANR Estrades</w:t>
      </w:r>
      <w:r>
        <w:rPr>
          <w:rStyle w:val="FootnoteReference"/>
          <w:rFonts w:eastAsia="Calibri" w:cs="Times New Roman"/>
          <w14:ligatures w14:val="none"/>
        </w:rPr>
        <w:footnoteReference w:id="5"/>
      </w:r>
      <w:r>
        <w:rPr>
          <w:rFonts w:eastAsia="Calibri" w:cs="Times New Roman"/>
          <w14:ligatures w14:val="none"/>
        </w:rPr>
        <w:t>, dans huit autres universités. Les données statistiques mobilisées dans cet article sont issues de cette seconde vague d’enquête.</w:t>
      </w:r>
    </w:p>
    <w:p>
      <w:pPr>
        <w:pStyle w:val="Normal"/>
        <w:rPr>
          <w:rFonts w:ascii="Times New Roman" w:hAnsi="Times New Roman"/>
        </w:rPr>
      </w:pPr>
      <w:r>
        <w:rPr>
          <w:rFonts w:eastAsia="Calibri" w:cs="Times New Roman"/>
          <w14:ligatures w14:val="none"/>
        </w:rPr>
        <w:t>Les huit universités présentent des profils variés : trois sont implantées en région parisienne, les cinq autres dans des agglomérations de taille variée ; les niveaux d’enseignement varient (les étudiant·e·s de licence représentant entre la moitié et les trois quarts de la population étudiante selon l’établissement), de même que les domaines d'études (par exemple la part d'étudiant·e en Sciences et technologies va de 0 à la moitié, celle en Droit, économie et gestion de 15 % à 65 %). Les profils des publics étudiants divergent également, tant au niveau des trajectoires migratoires (la part d'étudiant·e·s étranger·e·s va de 10% à un quart, selon l’établissement) que des ressources (la part de boursier·e·s varie entre 20 % et 40%). Les données ont été redressées selon les principales caractéristiques sociodémographiques des étudiant·e·s à l'échelle de chaque établissement afin de limiter les biais de participation à l’enquête</w:t>
      </w:r>
      <w:r>
        <w:rPr>
          <w:rStyle w:val="FootnoteReference"/>
          <w:rFonts w:eastAsia="Calibri" w:cs="Times New Roman"/>
          <w14:ligatures w14:val="none"/>
        </w:rPr>
        <w:footnoteReference w:id="6"/>
      </w:r>
      <w:r>
        <w:rPr>
          <w:rFonts w:eastAsia="Calibri" w:cs="Times New Roman"/>
          <w14:ligatures w14:val="none"/>
        </w:rPr>
        <w:t>.</w:t>
      </w:r>
    </w:p>
    <w:p>
      <w:pPr>
        <w:pStyle w:val="Normal"/>
        <w:rPr>
          <w:rFonts w:ascii="Times New Roman" w:hAnsi="Times New Roman"/>
        </w:rPr>
      </w:pPr>
      <w:r>
        <w:rPr>
          <w:rFonts w:eastAsia="Calibri" w:cs="Times New Roman"/>
          <w14:ligatures w14:val="none"/>
        </w:rPr>
        <w:t>Le questionnaire a été très approfondi et personnalisé selon les situations déclarées. Sa longueur (30 minutes de remplissage en moyenne) a sans doute pesé sur la participation</w:t>
      </w:r>
      <w:r>
        <w:rPr>
          <w:rStyle w:val="FootnoteReference"/>
          <w:rFonts w:eastAsia="Calibri" w:cs="Times New Roman"/>
          <w14:ligatures w14:val="none"/>
        </w:rPr>
        <w:footnoteReference w:id="7"/>
      </w:r>
      <w:r>
        <w:rPr>
          <w:rFonts w:eastAsia="Calibri" w:cs="Times New Roman"/>
          <w14:ligatures w14:val="none"/>
        </w:rPr>
        <w:t xml:space="preserve">. Toutefois, une communication active autour de l’enquête a permis d’atteindre des taux de réponses (2 % à 7 % de la population étudiante, selon les établissements) assez comparables à ceux habituellement obtenus dans de grandes enquêtes en ligne, et proches de ceux de Virage-Universités (3 % à 8 % des étudiant·e·s) sur les violences sexistes et sexuelles (Lebugle </w:t>
      </w:r>
      <w:r>
        <w:rPr>
          <w:rFonts w:eastAsia="Calibri" w:cs="Times New Roman"/>
          <w:i/>
          <w:iCs/>
          <w14:ligatures w14:val="none"/>
        </w:rPr>
        <w:t>et al.</w:t>
      </w:r>
      <w:r>
        <w:rPr>
          <w:rFonts w:eastAsia="Calibri" w:cs="Times New Roman"/>
          <w14:ligatures w14:val="none"/>
        </w:rPr>
        <w:t>, 2018). Sur les huit établissements considérés ici, 9,944 questionnaires complets ont été recueillis.</w:t>
      </w:r>
    </w:p>
    <w:p>
      <w:pPr>
        <w:pStyle w:val="Normal"/>
        <w:rPr>
          <w:rFonts w:ascii="Times New Roman" w:hAnsi="Times New Roman"/>
        </w:rPr>
      </w:pPr>
      <w:r>
        <w:rPr>
          <w:rFonts w:eastAsia="Calibri" w:cs="Times New Roman"/>
          <w14:ligatures w14:val="none"/>
        </w:rPr>
        <w:t>Le questionnaire a multiplié les modes de saisie du racisme et des discriminations. L’enquête s’est focalisée sur l’expérience pratique qu’en ont les individus dans le cadre universitaire plutôt que sur un sentiment général d’y avoir été exposé·e, les travaux antérieurs (Lesné et Simon, 2012) et l’enquête pilote ayant montré que les questions trop générales conduisent à une sous-déclaration du racisme et des discriminations vécues. Les traitements inégalitaires subis ont été saisis dans leur factualité, et en prenant en compte la diversité de leurs formes : micro-agressions, insultes, traitements défavorables, violences sexuelles, menaces et violences physiques</w:t>
      </w:r>
      <w:r>
        <w:rPr>
          <w:rStyle w:val="FootnoteReference"/>
          <w:rFonts w:eastAsia="Calibri" w:cs="Times New Roman"/>
          <w14:ligatures w14:val="none"/>
        </w:rPr>
        <w:footnoteReference w:id="8"/>
      </w:r>
      <w:r>
        <w:rPr>
          <w:rFonts w:eastAsia="Calibri" w:cs="Times New Roman"/>
          <w14:ligatures w14:val="none"/>
        </w:rPr>
        <w:t xml:space="preserve">. Les répondant·e·s ont précisé la nature des faits vécus, les motifs associés </w:t>
      </w:r>
      <w:r>
        <w:rPr>
          <w:rFonts w:eastAsia="Calibri" w:cs="Calibri"/>
          <w14:ligatures w14:val="none"/>
        </w:rPr>
        <w:t>–</w:t>
      </w:r>
      <w:r>
        <w:rPr>
          <w:rFonts w:eastAsia="Calibri" w:cs="Times New Roman"/>
          <w14:ligatures w14:val="none"/>
        </w:rPr>
        <w:t xml:space="preserve"> « origine ou nationalité », « couleur de peau », « religion (réelle ou supposée) » pour le racisme</w:t>
      </w:r>
      <w:r>
        <w:rPr>
          <w:rStyle w:val="FootnoteReference"/>
          <w:rFonts w:eastAsia="Calibri" w:cs="Times New Roman"/>
          <w14:ligatures w14:val="none"/>
        </w:rPr>
        <w:footnoteReference w:id="9"/>
      </w:r>
      <w:r>
        <w:rPr>
          <w:rFonts w:eastAsia="Calibri" w:cs="Times New Roman"/>
          <w14:ligatures w14:val="none"/>
        </w:rPr>
        <w:t xml:space="preserve"> </w:t>
      </w:r>
      <w:r>
        <w:rPr>
          <w:rFonts w:eastAsia="Calibri" w:cs="Calibri"/>
          <w14:ligatures w14:val="none"/>
        </w:rPr>
        <w:t xml:space="preserve">– </w:t>
      </w:r>
      <w:r>
        <w:rPr>
          <w:rFonts w:eastAsia="Calibri" w:cs="Times New Roman"/>
          <w14:ligatures w14:val="none"/>
        </w:rPr>
        <w:t>, leur périodisation et/ou leur fréquence, ainsi que leur gravité perçue. Pour les seuls faits jugés graves, le questionnaire a invité les enquêté·e·s à donner des précisions sur la situation estimée « la plus marquante » (lieux, auteurs ou autrices, réactions…), puis à évoquer les conséquences des faits, leur éventuel signalement au sein ou en dehors de l’université et les suites données à celui-ci. A travers de nombreuses questions ouvertes, les participant·e·s ont pu indiquer d’« autres » réponses que celles listées et décrire en détail les situations vécues. Ces verbatims, ajoutés aux entretiens qualitatifs menés pour la première vague de l’enquête, constituent un riche matériau qui, triangulé avec les données statistiques, permet d’appréhender finement les contextes et les formes du racisme à l’université, et la manière dont se construit l’expérience de celui-ci.</w:t>
      </w:r>
    </w:p>
    <w:p>
      <w:pPr>
        <w:pStyle w:val="Normal"/>
        <w:keepNext w:val="true"/>
        <w:keepLines/>
        <w:numPr>
          <w:ilvl w:val="0"/>
          <w:numId w:val="0"/>
        </w:numPr>
        <w:spacing w:before="227" w:after="57"/>
        <w:ind w:hanging="0" w:start="0"/>
        <w:outlineLvl w:val="2"/>
        <w:rPr>
          <w:rFonts w:ascii="Times New Roman" w:hAnsi="Times New Roman"/>
        </w:rPr>
      </w:pPr>
      <w:r>
        <w:rPr>
          <w:rFonts w:eastAsia="Times New Roman" w:cs="Calibri"/>
          <w:b/>
          <w:bCs/>
          <w:sz w:val="26"/>
          <w:szCs w:val="26"/>
          <w14:ligatures w14:val="none"/>
        </w:rPr>
        <w:t>II/ 3. (Re)mettre au jour l’ordinaire du racisme à l’université</w:t>
      </w:r>
    </w:p>
    <w:p>
      <w:pPr>
        <w:pStyle w:val="Normal"/>
        <w:widowControl w:val="false"/>
        <w:rPr>
          <w:rFonts w:ascii="Times New Roman" w:hAnsi="Times New Roman"/>
        </w:rPr>
      </w:pPr>
      <w:r>
        <w:rPr>
          <w:rFonts w:eastAsia="Times New Roman" w:cs="Times New Roman"/>
          <w14:ligatures w14:val="none"/>
        </w:rPr>
        <w:t xml:space="preserve">Contrairement à d’autres enquêtes de victimation, le regard rétrospectif est de faible ampleur dans Acadiscri car le champ de l’expérience est limité au seul cadre universitaire, fréquenté depuis une ou plusieurs années par des répondant·e·s qui sont en cours d’études. Cela peut faciliter la remémoration des situations. </w:t>
      </w:r>
      <w:r>
        <w:rPr>
          <w:rFonts w:eastAsia="Calibri" w:cs="Times New Roman"/>
          <w14:ligatures w14:val="none"/>
        </w:rPr>
        <w:t xml:space="preserve">Pour autant, pour se protéger et limiter les effets d’assujettissement, les personnes peuvent mettre à distance ou incorporer les discriminations vécues, conduisant à minorer leur importance et leurs conséquences (Blassel, 2021 ; Cuturello, 2011 ; Dhume-Sonzogni, 2014 ; Hayakawa, 2025) </w:t>
      </w:r>
      <w:r>
        <w:rPr>
          <w:rFonts w:eastAsia="Calibri" w:cs="Calibri"/>
          <w14:ligatures w14:val="none"/>
        </w:rPr>
        <w:t xml:space="preserve">– </w:t>
      </w:r>
      <w:r>
        <w:rPr>
          <w:rFonts w:eastAsia="Calibri" w:cs="Times New Roman"/>
          <w14:ligatures w14:val="none"/>
        </w:rPr>
        <w:t xml:space="preserve">d’autant plus dans le contexte </w:t>
      </w:r>
      <w:r>
        <w:rPr>
          <w:rFonts w:eastAsia="Calibri" w:cs="Times New Roman"/>
          <w:i/>
          <w:iCs/>
          <w14:ligatures w14:val="none"/>
        </w:rPr>
        <w:t>colorblind</w:t>
      </w:r>
      <w:r>
        <w:rPr>
          <w:rFonts w:eastAsia="Calibri" w:cs="Times New Roman"/>
          <w14:ligatures w14:val="none"/>
        </w:rPr>
        <w:t xml:space="preserve"> français où la grille de lecture en termes de racisme est plus illégitime que dans d’autres contextes nationaux (Roig, 2017 ; Druez, 2021).</w:t>
      </w:r>
    </w:p>
    <w:p>
      <w:pPr>
        <w:pStyle w:val="Normal"/>
        <w:widowControl w:val="false"/>
        <w:rPr>
          <w:rFonts w:ascii="Times New Roman" w:hAnsi="Times New Roman"/>
        </w:rPr>
      </w:pPr>
      <w:r>
        <w:rPr>
          <w:rFonts w:eastAsia="Calibri" w:cs="Times New Roman"/>
          <w14:ligatures w14:val="none"/>
        </w:rPr>
        <w:t xml:space="preserve">Dans le cadre d’Acadiscri, une série d'entretiens conduits en 2020 avec des personnes n’ayant pas fini le questionnaire-pilote a aussi mis au jour le sentiment chez les enquêté·e·s d’un vécu insuffisamment grave ou caractérisé pour entrer dans le cadre de l’enquête (« ce sont des impressions, des sentiments ; c’est diffus »), ainsi que leur difficulté à se remémorer des faits précis : « quand on est discriminée [...] ce n’est pas évident de se rappeler comme ça toutes les fois où ça s’est passé ». L’adaptation du questionnaire après l’enquête pilote a donc privilégié une entrée descriptive, pour favoriser la remémoration et la déclaration des faits, et contourner l’obstacle de leur délicate qualification. À l’instar de l’enquête </w:t>
      </w:r>
      <w:r>
        <w:rPr>
          <w:rFonts w:eastAsia="Calibri" w:cs="Times New Roman"/>
          <w:i/>
          <w:iCs/>
          <w14:ligatures w14:val="none"/>
        </w:rPr>
        <w:t>Histoire de vie</w:t>
      </w:r>
      <w:r>
        <w:rPr>
          <w:rFonts w:eastAsia="Calibri" w:cs="Times New Roman"/>
          <w14:ligatures w14:val="none"/>
        </w:rPr>
        <w:t xml:space="preserve"> (Algava et Bèque, 2006), il a été demandé aux personnes si « depuis [qu’elles sont] dans l’Enseignement supérieur et la recherche, [elles ont] déjà été confronté·e[s] aux situations suivantes », en proposant des listes de situations concrètes (voir le détail des items dans les tableaux ci-après).</w:t>
      </w:r>
    </w:p>
    <w:p>
      <w:pPr>
        <w:pStyle w:val="Normal"/>
        <w:rPr>
          <w:rFonts w:ascii="Times New Roman" w:hAnsi="Times New Roman"/>
        </w:rPr>
      </w:pPr>
      <w:r>
        <w:rPr>
          <w:rFonts w:eastAsia="Calibri" w:cs="Times New Roman"/>
          <w14:ligatures w14:val="none"/>
        </w:rPr>
        <w:t>Si cette approche semble avoir plutôt bien fonctionné, elle a aussi pu réactiver des situations traumatiques, suscitant un silence volontaire (« Non c’est trop difficile pour moi de le raconter »), ou bien parfois la colère, comme dans ce verbatim d’un étudiant qui assimile l’enquête aux acteurs et actrices universitaires dont l’inaction a contribué à « tout ce passé Douloureux » :</w:t>
      </w:r>
    </w:p>
    <w:p>
      <w:pPr>
        <w:pStyle w:val="Normal"/>
        <w:widowControl w:val="false"/>
        <w:spacing w:lineRule="exact" w:line="283" w:before="57" w:after="0"/>
        <w:ind w:start="567" w:end="567"/>
        <w:rPr>
          <w:rFonts w:ascii="Times New Roman" w:hAnsi="Times New Roman"/>
        </w:rPr>
      </w:pPr>
      <w:r>
        <w:rPr>
          <w:rFonts w:eastAsia="Calibri" w:cs="Times New Roman"/>
          <w:sz w:val="23"/>
          <w:szCs w:val="23"/>
          <w14:ligatures w14:val="none"/>
        </w:rPr>
        <w:t xml:space="preserve">Allez-y vous faire foutre, bande d'hypocrites, vous savez très bien ce qui se passe dans la fac, ça n'a jamais été en faveur des étudiants étrangers, discrimination raciale, isolement, mépris, rejet, difficulté d'accès à des groupes d'études. […] Et vous venez avec votre enquête de merde [...] honte à vous, tout se passe sous vos yeux et vous ne faites rien pour remédier au problème </w:t>
      </w:r>
      <w:r>
        <w:rPr>
          <w:rFonts w:eastAsia="Calibri" w:cs="Times New Roman"/>
          <w:szCs w:val="23"/>
          <w14:ligatures w14:val="none"/>
        </w:rPr>
        <w:t>[…</w:t>
      </w:r>
      <w:r>
        <w:rPr>
          <w:rFonts w:eastAsia="Calibri" w:cs="Times New Roman"/>
          <w:sz w:val="23"/>
          <w:szCs w:val="23"/>
          <w14:ligatures w14:val="none"/>
        </w:rPr>
        <w:t xml:space="preserve">] vous me faites revivre tout ce passé Douloureux, </w:t>
      </w:r>
      <w:r>
        <w:rPr>
          <w:rFonts w:eastAsia="Calibri" w:cs="Times New Roman"/>
          <w:i/>
          <w:iCs/>
          <w:sz w:val="23"/>
          <w:szCs w:val="23"/>
          <w14:ligatures w14:val="none"/>
        </w:rPr>
        <w:t>fuck you</w:t>
      </w:r>
      <w:r>
        <w:rPr>
          <w:rFonts w:eastAsia="Calibri" w:cs="Times New Roman"/>
          <w:sz w:val="23"/>
          <w:szCs w:val="23"/>
          <w14:ligatures w14:val="none"/>
        </w:rPr>
        <w:t>. (</w:t>
      </w:r>
      <w:r>
        <w:rPr>
          <w:rFonts w:eastAsia="Calibri" w:cs="Times New Roman"/>
          <w:szCs w:val="23"/>
          <w14:ligatures w14:val="none"/>
        </w:rPr>
        <w:t>É</w:t>
      </w:r>
      <w:r>
        <w:rPr>
          <w:rFonts w:eastAsia="Calibri" w:cs="Times New Roman"/>
          <w:sz w:val="23"/>
          <w:szCs w:val="23"/>
          <w14:ligatures w14:val="none"/>
        </w:rPr>
        <w:t>tudiant immigré, perçu comme Arabe ou Maghrébin, Licence Sciences et technologies, Université Pollux</w:t>
      </w:r>
      <w:r>
        <w:rPr>
          <w:rStyle w:val="FootnoteReference"/>
          <w:rFonts w:eastAsia="Calibri" w:cs="Times New Roman"/>
          <w:sz w:val="23"/>
          <w:szCs w:val="23"/>
          <w14:ligatures w14:val="none"/>
        </w:rPr>
        <w:footnoteReference w:id="10"/>
      </w:r>
      <w:r>
        <w:rPr>
          <w:rFonts w:eastAsia="Calibri" w:cs="Times New Roman"/>
          <w:sz w:val="23"/>
          <w:szCs w:val="23"/>
          <w14:ligatures w14:val="none"/>
        </w:rPr>
        <w:t>)</w:t>
      </w:r>
    </w:p>
    <w:p>
      <w:pPr>
        <w:pStyle w:val="Normal"/>
        <w:rPr>
          <w:rFonts w:ascii="Times New Roman" w:hAnsi="Times New Roman"/>
        </w:rPr>
      </w:pPr>
      <w:r>
        <w:rPr>
          <w:rFonts w:eastAsia="Calibri" w:cs="Times New Roman"/>
          <w14:ligatures w14:val="none"/>
        </w:rPr>
        <w:t xml:space="preserve">Un autre enjeu, lié à la remémoration et à la qualification des faits, avait trait à la nécessité d’inclure dans l’enquête des formes très ordinaires de racisme et de discriminations, notamment les micro-agressions. Cette dimension des interactions quotidiennes est particulièrement importante à prendre en compte dans le contexte universitaire, qui se distingue d’autres espaces sociaux par une configuration particulière des rapports de pouvoir et des principes spécifiques de justification des inégalités. D’un côté, l’enseignement supérieur est structuré par des logiques de sélection, de classement et de concurrence </w:t>
      </w:r>
      <w:r>
        <w:rPr>
          <w:rFonts w:eastAsia="Calibri" w:cs="Calibri"/>
          <w14:ligatures w14:val="none"/>
        </w:rPr>
        <w:t>–</w:t>
      </w:r>
      <w:r>
        <w:rPr>
          <w:rFonts w:eastAsia="Calibri" w:cs="Times New Roman"/>
          <w14:ligatures w14:val="none"/>
        </w:rPr>
        <w:t xml:space="preserve"> mécanismes propices à la mobilisation des préjugés inter-groupes (Sherif et Sherif, 1979). Si la discrimination est attestée à l’entrée des filières sélectives (Decharne et Liedts, 2007 ; Chareyron, Erb et L’Horty, 2022), les étudiant·e·s minoritaires qui y accèdent, déjà sur-sélectionné·e·s socialement et scolairement, rapporteraient moins de discriminations que dans d’autres cursus moins élitistes (Ferry et Tenret, 2017) mais plutôt des situations racistes (Druez, 2016). D’un autre côté, l’enseignement supérieur est supposé promouvoir des principes universalistes, égalitaires et méritocratiques, contribuer au savoir et à la déconstruction des préjugés. À cet égard, le déploiement progressif dans l’ESR d’un discours normatif de type « Équité diversité inclusion », encouragé par les politiques ministérielles, peut jouer un rôle paradoxal, en renforçant l’effet de vitrine des institutions, et corrélativement en contribuant à minorer le problème du racisme (Ahmed, 2019). Jusqu’à présent, les politiques d’égalité dans les établissements universitaires ont été principalement structurées autour de la question de l’égalité des sexes, la lutte contre le racisme n’ayant été réactivée que très récemment, en 2025, dans le contexte de débats médiatiques centrés sur la seule question de l’antisémitisme</w:t>
      </w:r>
      <w:r>
        <w:rPr>
          <w:rStyle w:val="FootnoteReference"/>
          <w:rFonts w:eastAsia="Calibri" w:cs="Times New Roman"/>
          <w14:ligatures w14:val="none"/>
        </w:rPr>
        <w:footnoteReference w:id="11"/>
      </w:r>
      <w:r>
        <w:rPr>
          <w:rFonts w:eastAsia="Calibri" w:cs="Times New Roman"/>
          <w14:ligatures w14:val="none"/>
        </w:rPr>
        <w:t xml:space="preserve">. </w:t>
      </w:r>
    </w:p>
    <w:p>
      <w:pPr>
        <w:pStyle w:val="Normal"/>
        <w:rPr>
          <w:rFonts w:ascii="Times New Roman" w:hAnsi="Times New Roman"/>
        </w:rPr>
      </w:pPr>
      <w:r>
        <w:rPr>
          <w:rFonts w:eastAsia="Calibri" w:cs="Times New Roman"/>
          <w14:ligatures w14:val="none"/>
        </w:rPr>
        <w:t xml:space="preserve">Partant de ces éléments, nous avons suivi l’hypothèse que le cadre universitaire pourrait favoriser des formes voilées de racisme, par exemple des propos prononcés sous couvert d’humour (Morales, 2014 ; Pérez, 2022). Des modules spécifiques ont été élaborés à cette fin : l’un dédié aux micro-agressions, comprenant une liste de neuf situations ; d’autres pour saisir les traitements défavorables, soit des formes très variées de désavantages, incluant des micro-discriminations </w:t>
      </w:r>
      <w:r>
        <w:rPr/>
        <w:t>(Dhume-Sonzogni, 2025) dans les interactions quotidiennes entre membres du personnel universitaire et étudiant·e·s</w:t>
      </w:r>
      <w:r>
        <w:rPr>
          <w:rFonts w:eastAsia="Calibri" w:cs="Times New Roman"/>
          <w14:ligatures w14:val="none"/>
        </w:rPr>
        <w:t>.</w:t>
      </w:r>
    </w:p>
    <w:p>
      <w:pPr>
        <w:pStyle w:val="Normal"/>
        <w:keepNext w:val="true"/>
        <w:keepLines/>
        <w:numPr>
          <w:ilvl w:val="0"/>
          <w:numId w:val="0"/>
        </w:numPr>
        <w:spacing w:before="340" w:after="113"/>
        <w:ind w:hanging="0" w:start="0"/>
        <w:outlineLvl w:val="1"/>
        <w:rPr>
          <w:rFonts w:ascii="Times New Roman" w:hAnsi="Times New Roman"/>
        </w:rPr>
      </w:pPr>
      <w:r>
        <w:rPr>
          <w:rFonts w:eastAsia="Calibri" w:cs="Times New Roman"/>
          <w:b/>
          <w:bCs/>
          <w:sz w:val="30"/>
          <w:szCs w:val="30"/>
          <w14:ligatures w14:val="none"/>
        </w:rPr>
        <w:t>III. La diversité des formes de racisme à l’université</w:t>
      </w:r>
    </w:p>
    <w:p>
      <w:pPr>
        <w:pStyle w:val="Normal"/>
        <w:keepNext w:val="true"/>
        <w:keepLines/>
        <w:numPr>
          <w:ilvl w:val="0"/>
          <w:numId w:val="0"/>
        </w:numPr>
        <w:spacing w:before="227" w:after="57"/>
        <w:ind w:hanging="0" w:start="0"/>
        <w:outlineLvl w:val="2"/>
        <w:rPr>
          <w:rFonts w:ascii="Times New Roman" w:hAnsi="Times New Roman"/>
        </w:rPr>
      </w:pPr>
      <w:r>
        <w:rPr>
          <w:rFonts w:eastAsia="Times New Roman" w:cs="Calibri"/>
          <w:b/>
          <w:bCs/>
          <w:sz w:val="26"/>
          <w:szCs w:val="26"/>
          <w14:ligatures w14:val="none"/>
        </w:rPr>
        <w:t>III/ 1. La prédominance des micro-agressions et des traitements défavorables</w:t>
      </w:r>
    </w:p>
    <w:p>
      <w:pPr>
        <w:pStyle w:val="Normal"/>
        <w:rPr>
          <w:rFonts w:ascii="Times New Roman" w:hAnsi="Times New Roman"/>
        </w:rPr>
      </w:pPr>
      <w:r>
        <w:rPr>
          <w:rFonts w:eastAsia="Calibri" w:cs="Times New Roman"/>
          <w14:ligatures w14:val="none"/>
        </w:rPr>
        <w:t>Le matériau collecté montre la variété des manifestations du racisme et des discriminations dans le contexte universitaire. Les données quantitatives soulignent cependant la prégnance particulière des micro-agressions, rapportées par 35,7 % des étudiant·e·s minorisé·e·s, toutes catégories d’hétéro-identification confondues</w:t>
      </w:r>
      <w:r>
        <w:rPr>
          <w:rStyle w:val="FootnoteReference"/>
          <w:rFonts w:eastAsia="Calibri" w:cs="Times New Roman"/>
          <w14:ligatures w14:val="none"/>
        </w:rPr>
        <w:footnoteReference w:id="12"/>
      </w:r>
      <w:r>
        <w:rPr>
          <w:rFonts w:eastAsia="Calibri" w:cs="Times New Roman"/>
          <w14:ligatures w14:val="none"/>
        </w:rPr>
        <w:t xml:space="preserve"> (Tableau 1).</w:t>
      </w:r>
    </w:p>
    <w:p>
      <w:pPr>
        <w:pStyle w:val="Normal"/>
        <w:spacing w:lineRule="auto" w:line="240" w:before="0" w:after="0"/>
        <w:jc w:val="start"/>
        <w:textAlignment w:val="auto"/>
        <w:rPr>
          <w:rFonts w:ascii="Times New Roman" w:hAnsi="Times New Roman" w:eastAsia="Calibri" w:cs="Times New Roman"/>
          <w14:ligatures w14:val="none"/>
        </w:rPr>
      </w:pPr>
      <w:r>
        <w:rPr>
          <w:rFonts w:eastAsia="Calibri" w:cs="Times New Roman"/>
          <w14:ligatures w14:val="none"/>
        </w:rPr>
      </w:r>
      <w:r>
        <w:br w:type="page"/>
      </w:r>
    </w:p>
    <w:p>
      <w:pPr>
        <w:pStyle w:val="Normal"/>
        <w:spacing w:before="0" w:after="0"/>
        <w:rPr>
          <w:rFonts w:ascii="Times New Roman" w:hAnsi="Times New Roman" w:eastAsia="Calibri" w:cs="Times New Roman"/>
          <w14:ligatures w14:val="none"/>
        </w:rPr>
      </w:pPr>
      <w:r>
        <w:rPr>
          <w:rFonts w:eastAsia="Calibri" w:cs="Times New Roman"/>
          <w14:ligatures w14:val="none"/>
        </w:rPr>
      </w:r>
    </w:p>
    <w:p>
      <w:pPr>
        <w:pStyle w:val="Normal"/>
        <w:jc w:val="center"/>
        <w:rPr>
          <w:rFonts w:ascii="Times New Roman" w:hAnsi="Times New Roman"/>
        </w:rPr>
      </w:pPr>
      <w:r>
        <w:rPr>
          <w:rFonts w:eastAsia="Calibri" w:cs="Times New Roman"/>
          <w:b/>
          <w:bCs/>
          <w:spacing w:val="-2"/>
          <w:sz w:val="23"/>
          <w:szCs w:val="23"/>
          <w14:ligatures w14:val="none"/>
        </w:rPr>
        <w:t>Tableau 1. Déclaration de traitements inégalitaires liés à l’origine, la nationalité, la couleur de peau ou la religion par les étudiant·e·s en fonction de leur statut racial (%)</w:t>
      </w:r>
      <w:r>
        <w:rPr>
          <w:rStyle w:val="FootnoteReference"/>
          <w:rFonts w:eastAsia="Calibri" w:cs="Times New Roman"/>
          <w:b/>
          <w:bCs/>
          <w:spacing w:val="-2"/>
          <w:sz w:val="23"/>
          <w:szCs w:val="23"/>
          <w14:ligatures w14:val="none"/>
        </w:rPr>
        <w:footnoteReference w:id="13"/>
      </w:r>
    </w:p>
    <w:tbl>
      <w:tblPr>
        <w:tblW w:w="9070" w:type="dxa"/>
        <w:jc w:val="start"/>
        <w:tblInd w:w="0" w:type="dxa"/>
        <w:tblLayout w:type="fixed"/>
        <w:tblCellMar>
          <w:top w:w="0" w:type="dxa"/>
          <w:start w:w="0" w:type="dxa"/>
          <w:bottom w:w="28" w:type="dxa"/>
          <w:end w:w="0" w:type="dxa"/>
        </w:tblCellMar>
        <w:tblLook w:val="04a0" w:noVBand="1" w:noHBand="0" w:lastColumn="0" w:firstColumn="1" w:lastRow="0" w:firstRow="1"/>
      </w:tblPr>
      <w:tblGrid>
        <w:gridCol w:w="4309"/>
        <w:gridCol w:w="1587"/>
        <w:gridCol w:w="1586"/>
        <w:gridCol w:w="1588"/>
      </w:tblGrid>
      <w:tr>
        <w:trPr>
          <w:tblHeader w:val="true"/>
        </w:trPr>
        <w:tc>
          <w:tcPr>
            <w:tcW w:w="4309" w:type="dxa"/>
            <w:tcBorders>
              <w:top w:val="single" w:sz="6" w:space="0" w:color="000000"/>
              <w:bottom w:val="single" w:sz="6" w:space="0" w:color="000000"/>
            </w:tcBorders>
            <w:vAlign w:val="center"/>
          </w:tcPr>
          <w:p>
            <w:pPr>
              <w:pStyle w:val="Normal"/>
              <w:spacing w:before="113" w:after="0"/>
              <w:rPr>
                <w:rFonts w:ascii="Times New Roman" w:hAnsi="Times New Roman" w:eastAsia="Calibri" w:cs="Times New Roman"/>
                <w:sz w:val="20"/>
                <w:szCs w:val="20"/>
                <w14:ligatures w14:val="none"/>
              </w:rPr>
            </w:pPr>
            <w:r>
              <w:rPr>
                <w:rFonts w:eastAsia="Calibri" w:cs="Times New Roman"/>
                <w:sz w:val="20"/>
                <w:szCs w:val="20"/>
                <w14:ligatures w14:val="none"/>
              </w:rPr>
            </w:r>
          </w:p>
        </w:tc>
        <w:tc>
          <w:tcPr>
            <w:tcW w:w="1587" w:type="dxa"/>
            <w:tcBorders>
              <w:top w:val="single" w:sz="6" w:space="0" w:color="000000"/>
              <w:bottom w:val="single" w:sz="6" w:space="0" w:color="000000"/>
            </w:tcBorders>
            <w:vAlign w:val="center"/>
          </w:tcPr>
          <w:p>
            <w:pPr>
              <w:pStyle w:val="Normal"/>
              <w:spacing w:before="113" w:after="0"/>
              <w:jc w:val="center"/>
              <w:rPr>
                <w:rFonts w:ascii="Times New Roman" w:hAnsi="Times New Roman"/>
                <w:sz w:val="20"/>
                <w:szCs w:val="20"/>
              </w:rPr>
            </w:pPr>
            <w:r>
              <w:rPr>
                <w:rFonts w:eastAsia="Calibri" w:cs="Times New Roman"/>
                <w:b/>
                <w:bCs/>
                <w:sz w:val="20"/>
                <w:szCs w:val="20"/>
                <w14:ligatures w14:val="none"/>
              </w:rPr>
              <w:t>Majoritaires</w:t>
            </w:r>
          </w:p>
          <w:p>
            <w:pPr>
              <w:pStyle w:val="Normal"/>
              <w:jc w:val="center"/>
              <w:rPr>
                <w:rFonts w:ascii="Times New Roman" w:hAnsi="Times New Roman"/>
                <w:sz w:val="20"/>
                <w:szCs w:val="20"/>
              </w:rPr>
            </w:pPr>
            <w:r>
              <w:rPr>
                <w:rFonts w:eastAsia="Calibri" w:cs="Times New Roman"/>
                <w:b/>
                <w:bCs/>
                <w:sz w:val="20"/>
                <w:szCs w:val="20"/>
                <w14:ligatures w14:val="none"/>
              </w:rPr>
              <w:t>(n = 6216)</w:t>
            </w:r>
          </w:p>
        </w:tc>
        <w:tc>
          <w:tcPr>
            <w:tcW w:w="1586" w:type="dxa"/>
            <w:tcBorders>
              <w:top w:val="single" w:sz="6" w:space="0" w:color="000000"/>
              <w:bottom w:val="single" w:sz="6" w:space="0" w:color="000000"/>
            </w:tcBorders>
            <w:vAlign w:val="center"/>
          </w:tcPr>
          <w:p>
            <w:pPr>
              <w:pStyle w:val="Normal"/>
              <w:spacing w:before="113" w:after="0"/>
              <w:jc w:val="center"/>
              <w:rPr>
                <w:rFonts w:ascii="Times New Roman" w:hAnsi="Times New Roman"/>
                <w:sz w:val="20"/>
                <w:szCs w:val="20"/>
              </w:rPr>
            </w:pPr>
            <w:r>
              <w:rPr>
                <w:rFonts w:eastAsia="Calibri" w:cs="Times New Roman"/>
                <w:b/>
                <w:bCs/>
                <w:sz w:val="20"/>
                <w:szCs w:val="20"/>
                <w14:ligatures w14:val="none"/>
              </w:rPr>
              <w:t>Minorisé·e·s</w:t>
            </w:r>
          </w:p>
          <w:p>
            <w:pPr>
              <w:pStyle w:val="Normal"/>
              <w:jc w:val="center"/>
              <w:rPr>
                <w:rFonts w:ascii="Times New Roman" w:hAnsi="Times New Roman"/>
                <w:sz w:val="20"/>
                <w:szCs w:val="20"/>
              </w:rPr>
            </w:pPr>
            <w:r>
              <w:rPr>
                <w:rFonts w:eastAsia="Calibri" w:cs="Times New Roman"/>
                <w:b/>
                <w:bCs/>
                <w:sz w:val="20"/>
                <w:szCs w:val="20"/>
                <w14:ligatures w14:val="none"/>
              </w:rPr>
              <w:t>(n = 2734)</w:t>
            </w:r>
          </w:p>
        </w:tc>
        <w:tc>
          <w:tcPr>
            <w:tcW w:w="1588" w:type="dxa"/>
            <w:tcBorders>
              <w:top w:val="single" w:sz="6" w:space="0" w:color="000000"/>
              <w:bottom w:val="single" w:sz="6" w:space="0" w:color="000000"/>
            </w:tcBorders>
            <w:vAlign w:val="center"/>
          </w:tcPr>
          <w:p>
            <w:pPr>
              <w:pStyle w:val="Normal"/>
              <w:spacing w:before="113" w:after="0"/>
              <w:jc w:val="center"/>
              <w:rPr>
                <w:rFonts w:ascii="Times New Roman" w:hAnsi="Times New Roman"/>
                <w:sz w:val="20"/>
                <w:szCs w:val="20"/>
              </w:rPr>
            </w:pPr>
            <w:r>
              <w:rPr>
                <w:rFonts w:eastAsia="Calibri" w:cs="Times New Roman"/>
                <w:b/>
                <w:bCs/>
                <w:sz w:val="20"/>
                <w:szCs w:val="20"/>
                <w14:ligatures w14:val="none"/>
              </w:rPr>
              <w:t>Ensemble</w:t>
            </w:r>
          </w:p>
          <w:p>
            <w:pPr>
              <w:pStyle w:val="Normal"/>
              <w:jc w:val="center"/>
              <w:rPr>
                <w:rFonts w:ascii="Times New Roman" w:hAnsi="Times New Roman"/>
                <w:sz w:val="20"/>
                <w:szCs w:val="20"/>
              </w:rPr>
            </w:pPr>
            <w:r>
              <w:rPr>
                <w:rFonts w:eastAsia="Calibri" w:cs="Times New Roman"/>
                <w:b/>
                <w:bCs/>
                <w:sz w:val="20"/>
                <w:szCs w:val="20"/>
                <w14:ligatures w14:val="none"/>
              </w:rPr>
              <w:t>(n = 8950)</w:t>
            </w:r>
          </w:p>
        </w:tc>
      </w:tr>
      <w:tr>
        <w:trPr/>
        <w:tc>
          <w:tcPr>
            <w:tcW w:w="4309" w:type="dxa"/>
            <w:tcBorders>
              <w:bottom w:val="single" w:sz="6" w:space="0" w:color="000000"/>
            </w:tcBorders>
            <w:vAlign w:val="center"/>
          </w:tcPr>
          <w:p>
            <w:pPr>
              <w:pStyle w:val="Normal"/>
              <w:spacing w:before="113" w:after="0"/>
              <w:rPr>
                <w:rFonts w:ascii="Times New Roman" w:hAnsi="Times New Roman"/>
                <w:sz w:val="20"/>
                <w:szCs w:val="20"/>
              </w:rPr>
            </w:pPr>
            <w:r>
              <w:rPr>
                <w:rFonts w:eastAsia="Calibri" w:cs="Times New Roman"/>
                <w:sz w:val="20"/>
                <w:szCs w:val="20"/>
                <w14:ligatures w14:val="none"/>
              </w:rPr>
              <w:t>Micro-agressions</w:t>
            </w:r>
          </w:p>
        </w:tc>
        <w:tc>
          <w:tcPr>
            <w:tcW w:w="1587" w:type="dxa"/>
            <w:tcBorders>
              <w:bottom w:val="single" w:sz="6" w:space="0" w:color="000000"/>
            </w:tcBorders>
            <w:vAlign w:val="center"/>
          </w:tcPr>
          <w:p>
            <w:pPr>
              <w:pStyle w:val="Normal"/>
              <w:spacing w:before="113" w:after="0"/>
              <w:jc w:val="center"/>
              <w:rPr>
                <w:rFonts w:ascii="Times New Roman" w:hAnsi="Times New Roman"/>
                <w:sz w:val="20"/>
                <w:szCs w:val="20"/>
              </w:rPr>
            </w:pPr>
            <w:r>
              <w:rPr>
                <w:rFonts w:eastAsia="Calibri" w:cs="Times New Roman"/>
                <w:sz w:val="20"/>
                <w:szCs w:val="20"/>
                <w14:ligatures w14:val="none"/>
              </w:rPr>
              <w:t>4,6</w:t>
            </w:r>
          </w:p>
        </w:tc>
        <w:tc>
          <w:tcPr>
            <w:tcW w:w="1586" w:type="dxa"/>
            <w:tcBorders>
              <w:bottom w:val="single" w:sz="6" w:space="0" w:color="000000"/>
            </w:tcBorders>
            <w:vAlign w:val="center"/>
          </w:tcPr>
          <w:p>
            <w:pPr>
              <w:pStyle w:val="Normal"/>
              <w:spacing w:before="113" w:after="0"/>
              <w:jc w:val="center"/>
              <w:rPr>
                <w:rFonts w:ascii="Times New Roman" w:hAnsi="Times New Roman"/>
                <w:sz w:val="20"/>
                <w:szCs w:val="20"/>
              </w:rPr>
            </w:pPr>
            <w:r>
              <w:rPr>
                <w:rFonts w:eastAsia="Calibri" w:cs="Times New Roman"/>
                <w:sz w:val="20"/>
                <w:szCs w:val="20"/>
                <w14:ligatures w14:val="none"/>
              </w:rPr>
              <w:t>35,7</w:t>
            </w:r>
          </w:p>
        </w:tc>
        <w:tc>
          <w:tcPr>
            <w:tcW w:w="1588" w:type="dxa"/>
            <w:tcBorders>
              <w:bottom w:val="single" w:sz="6" w:space="0" w:color="000000"/>
            </w:tcBorders>
            <w:vAlign w:val="center"/>
          </w:tcPr>
          <w:p>
            <w:pPr>
              <w:pStyle w:val="Normal"/>
              <w:spacing w:before="113" w:after="0"/>
              <w:jc w:val="center"/>
              <w:rPr>
                <w:rFonts w:ascii="Times New Roman" w:hAnsi="Times New Roman"/>
                <w:sz w:val="20"/>
                <w:szCs w:val="20"/>
              </w:rPr>
            </w:pPr>
            <w:r>
              <w:rPr>
                <w:rFonts w:eastAsia="Calibri" w:cs="Times New Roman"/>
                <w:sz w:val="20"/>
                <w:szCs w:val="20"/>
                <w14:ligatures w14:val="none"/>
              </w:rPr>
              <w:t>15,2</w:t>
            </w:r>
          </w:p>
        </w:tc>
      </w:tr>
      <w:tr>
        <w:trPr/>
        <w:tc>
          <w:tcPr>
            <w:tcW w:w="4309" w:type="dxa"/>
            <w:tcBorders>
              <w:bottom w:val="single" w:sz="6" w:space="0" w:color="000000"/>
            </w:tcBorders>
            <w:vAlign w:val="center"/>
          </w:tcPr>
          <w:p>
            <w:pPr>
              <w:pStyle w:val="Normal"/>
              <w:spacing w:before="113" w:after="0"/>
              <w:rPr>
                <w:rFonts w:ascii="Times New Roman" w:hAnsi="Times New Roman"/>
                <w:sz w:val="20"/>
                <w:szCs w:val="20"/>
              </w:rPr>
            </w:pPr>
            <w:r>
              <w:rPr>
                <w:rFonts w:eastAsia="Calibri" w:cs="Times New Roman"/>
                <w:sz w:val="20"/>
                <w:szCs w:val="20"/>
                <w14:ligatures w14:val="none"/>
              </w:rPr>
              <w:t>Traitements défavorables</w:t>
            </w:r>
          </w:p>
        </w:tc>
        <w:tc>
          <w:tcPr>
            <w:tcW w:w="1587" w:type="dxa"/>
            <w:tcBorders>
              <w:bottom w:val="single" w:sz="6" w:space="0" w:color="000000"/>
            </w:tcBorders>
            <w:vAlign w:val="center"/>
          </w:tcPr>
          <w:p>
            <w:pPr>
              <w:pStyle w:val="Normal"/>
              <w:spacing w:before="113" w:after="0"/>
              <w:jc w:val="center"/>
              <w:rPr>
                <w:rFonts w:ascii="Times New Roman" w:hAnsi="Times New Roman"/>
                <w:sz w:val="20"/>
                <w:szCs w:val="20"/>
              </w:rPr>
            </w:pPr>
            <w:r>
              <w:rPr>
                <w:rFonts w:eastAsia="Calibri" w:cs="Times New Roman"/>
                <w:sz w:val="20"/>
                <w:szCs w:val="20"/>
                <w14:ligatures w14:val="none"/>
              </w:rPr>
              <w:t>2</w:t>
            </w:r>
          </w:p>
        </w:tc>
        <w:tc>
          <w:tcPr>
            <w:tcW w:w="1586" w:type="dxa"/>
            <w:tcBorders>
              <w:bottom w:val="single" w:sz="6" w:space="0" w:color="000000"/>
            </w:tcBorders>
            <w:vAlign w:val="center"/>
          </w:tcPr>
          <w:p>
            <w:pPr>
              <w:pStyle w:val="Normal"/>
              <w:spacing w:before="113" w:after="0"/>
              <w:jc w:val="center"/>
              <w:rPr>
                <w:rFonts w:ascii="Times New Roman" w:hAnsi="Times New Roman"/>
                <w:sz w:val="20"/>
                <w:szCs w:val="20"/>
              </w:rPr>
            </w:pPr>
            <w:r>
              <w:rPr>
                <w:rFonts w:eastAsia="Calibri" w:cs="Times New Roman"/>
                <w:sz w:val="20"/>
                <w:szCs w:val="20"/>
                <w14:ligatures w14:val="none"/>
              </w:rPr>
              <w:t>22,4</w:t>
            </w:r>
          </w:p>
        </w:tc>
        <w:tc>
          <w:tcPr>
            <w:tcW w:w="1588" w:type="dxa"/>
            <w:tcBorders>
              <w:bottom w:val="single" w:sz="6" w:space="0" w:color="000000"/>
            </w:tcBorders>
            <w:vAlign w:val="center"/>
          </w:tcPr>
          <w:p>
            <w:pPr>
              <w:pStyle w:val="Normal"/>
              <w:spacing w:before="113" w:after="0"/>
              <w:jc w:val="center"/>
              <w:rPr>
                <w:rFonts w:ascii="Times New Roman" w:hAnsi="Times New Roman"/>
                <w:sz w:val="20"/>
                <w:szCs w:val="20"/>
              </w:rPr>
            </w:pPr>
            <w:r>
              <w:rPr>
                <w:rFonts w:eastAsia="Calibri" w:cs="Times New Roman"/>
                <w:sz w:val="20"/>
                <w:szCs w:val="20"/>
                <w14:ligatures w14:val="none"/>
              </w:rPr>
              <w:t>8,9</w:t>
            </w:r>
          </w:p>
        </w:tc>
      </w:tr>
      <w:tr>
        <w:trPr/>
        <w:tc>
          <w:tcPr>
            <w:tcW w:w="4309" w:type="dxa"/>
            <w:tcBorders>
              <w:bottom w:val="single" w:sz="6" w:space="0" w:color="000000"/>
            </w:tcBorders>
            <w:vAlign w:val="center"/>
          </w:tcPr>
          <w:p>
            <w:pPr>
              <w:pStyle w:val="Normal"/>
              <w:spacing w:before="113" w:after="0"/>
              <w:rPr>
                <w:rFonts w:ascii="Times New Roman" w:hAnsi="Times New Roman"/>
                <w:sz w:val="20"/>
                <w:szCs w:val="20"/>
              </w:rPr>
            </w:pPr>
            <w:r>
              <w:rPr>
                <w:rFonts w:eastAsia="Calibri" w:cs="Times New Roman"/>
                <w:sz w:val="20"/>
                <w:szCs w:val="20"/>
                <w14:ligatures w14:val="none"/>
              </w:rPr>
              <w:t>Injures et insultes</w:t>
            </w:r>
          </w:p>
        </w:tc>
        <w:tc>
          <w:tcPr>
            <w:tcW w:w="1587" w:type="dxa"/>
            <w:tcBorders>
              <w:bottom w:val="single" w:sz="6" w:space="0" w:color="000000"/>
            </w:tcBorders>
            <w:vAlign w:val="center"/>
          </w:tcPr>
          <w:p>
            <w:pPr>
              <w:pStyle w:val="Normal"/>
              <w:spacing w:before="113" w:after="0"/>
              <w:jc w:val="center"/>
              <w:rPr>
                <w:rFonts w:ascii="Times New Roman" w:hAnsi="Times New Roman"/>
                <w:sz w:val="20"/>
                <w:szCs w:val="20"/>
              </w:rPr>
            </w:pPr>
            <w:r>
              <w:rPr>
                <w:rFonts w:eastAsia="Calibri" w:cs="Times New Roman"/>
                <w:sz w:val="20"/>
                <w:szCs w:val="20"/>
                <w14:ligatures w14:val="none"/>
              </w:rPr>
              <w:t>0,8</w:t>
            </w:r>
          </w:p>
        </w:tc>
        <w:tc>
          <w:tcPr>
            <w:tcW w:w="1586" w:type="dxa"/>
            <w:tcBorders>
              <w:bottom w:val="single" w:sz="6" w:space="0" w:color="000000"/>
            </w:tcBorders>
            <w:vAlign w:val="center"/>
          </w:tcPr>
          <w:p>
            <w:pPr>
              <w:pStyle w:val="Normal"/>
              <w:spacing w:before="113" w:after="0"/>
              <w:jc w:val="center"/>
              <w:rPr>
                <w:rFonts w:ascii="Times New Roman" w:hAnsi="Times New Roman"/>
                <w:sz w:val="20"/>
                <w:szCs w:val="20"/>
              </w:rPr>
            </w:pPr>
            <w:r>
              <w:rPr>
                <w:rFonts w:eastAsia="Calibri" w:cs="Times New Roman"/>
                <w:sz w:val="20"/>
                <w:szCs w:val="20"/>
                <w14:ligatures w14:val="none"/>
              </w:rPr>
              <w:t>7,6</w:t>
            </w:r>
          </w:p>
        </w:tc>
        <w:tc>
          <w:tcPr>
            <w:tcW w:w="1588" w:type="dxa"/>
            <w:tcBorders>
              <w:bottom w:val="single" w:sz="6" w:space="0" w:color="000000"/>
            </w:tcBorders>
            <w:vAlign w:val="center"/>
          </w:tcPr>
          <w:p>
            <w:pPr>
              <w:pStyle w:val="Normal"/>
              <w:spacing w:before="113" w:after="0"/>
              <w:jc w:val="center"/>
              <w:rPr>
                <w:rFonts w:ascii="Times New Roman" w:hAnsi="Times New Roman"/>
                <w:sz w:val="20"/>
                <w:szCs w:val="20"/>
              </w:rPr>
            </w:pPr>
            <w:r>
              <w:rPr>
                <w:rFonts w:eastAsia="Calibri" w:cs="Times New Roman"/>
                <w:sz w:val="20"/>
                <w:szCs w:val="20"/>
                <w14:ligatures w14:val="none"/>
              </w:rPr>
              <w:t>3,2</w:t>
            </w:r>
          </w:p>
        </w:tc>
      </w:tr>
      <w:tr>
        <w:trPr/>
        <w:tc>
          <w:tcPr>
            <w:tcW w:w="4309" w:type="dxa"/>
            <w:tcBorders>
              <w:bottom w:val="single" w:sz="6" w:space="0" w:color="000000"/>
            </w:tcBorders>
            <w:vAlign w:val="center"/>
          </w:tcPr>
          <w:p>
            <w:pPr>
              <w:pStyle w:val="Normal"/>
              <w:spacing w:before="113" w:after="0"/>
              <w:rPr>
                <w:rFonts w:ascii="Times New Roman" w:hAnsi="Times New Roman"/>
                <w:sz w:val="20"/>
                <w:szCs w:val="20"/>
              </w:rPr>
            </w:pPr>
            <w:r>
              <w:rPr>
                <w:rFonts w:eastAsia="Calibri" w:cs="Times New Roman"/>
                <w:sz w:val="20"/>
                <w:szCs w:val="20"/>
                <w14:ligatures w14:val="none"/>
              </w:rPr>
              <w:t>Violences sexuelles (avec ou sans contact)</w:t>
            </w:r>
          </w:p>
        </w:tc>
        <w:tc>
          <w:tcPr>
            <w:tcW w:w="1587" w:type="dxa"/>
            <w:tcBorders>
              <w:bottom w:val="single" w:sz="6" w:space="0" w:color="000000"/>
            </w:tcBorders>
            <w:vAlign w:val="center"/>
          </w:tcPr>
          <w:p>
            <w:pPr>
              <w:pStyle w:val="Normal"/>
              <w:spacing w:before="113" w:after="0"/>
              <w:jc w:val="center"/>
              <w:rPr>
                <w:rFonts w:ascii="Times New Roman" w:hAnsi="Times New Roman"/>
                <w:sz w:val="20"/>
                <w:szCs w:val="20"/>
              </w:rPr>
            </w:pPr>
            <w:r>
              <w:rPr>
                <w:rFonts w:eastAsia="Calibri" w:cs="Times New Roman"/>
                <w:sz w:val="20"/>
                <w:szCs w:val="20"/>
                <w14:ligatures w14:val="none"/>
              </w:rPr>
              <w:t>0,2</w:t>
            </w:r>
          </w:p>
        </w:tc>
        <w:tc>
          <w:tcPr>
            <w:tcW w:w="1586" w:type="dxa"/>
            <w:tcBorders>
              <w:bottom w:val="single" w:sz="6" w:space="0" w:color="000000"/>
            </w:tcBorders>
            <w:vAlign w:val="center"/>
          </w:tcPr>
          <w:p>
            <w:pPr>
              <w:pStyle w:val="Normal"/>
              <w:spacing w:before="113" w:after="0"/>
              <w:jc w:val="center"/>
              <w:rPr>
                <w:rFonts w:ascii="Times New Roman" w:hAnsi="Times New Roman"/>
                <w:sz w:val="20"/>
                <w:szCs w:val="20"/>
              </w:rPr>
            </w:pPr>
            <w:r>
              <w:rPr>
                <w:rFonts w:eastAsia="Calibri" w:cs="Times New Roman"/>
                <w:sz w:val="20"/>
                <w:szCs w:val="20"/>
                <w14:ligatures w14:val="none"/>
              </w:rPr>
              <w:t>1,8</w:t>
            </w:r>
          </w:p>
        </w:tc>
        <w:tc>
          <w:tcPr>
            <w:tcW w:w="1588" w:type="dxa"/>
            <w:tcBorders>
              <w:bottom w:val="single" w:sz="6" w:space="0" w:color="000000"/>
            </w:tcBorders>
            <w:vAlign w:val="center"/>
          </w:tcPr>
          <w:p>
            <w:pPr>
              <w:pStyle w:val="Normal"/>
              <w:spacing w:before="113" w:after="0"/>
              <w:jc w:val="center"/>
              <w:rPr>
                <w:rFonts w:ascii="Times New Roman" w:hAnsi="Times New Roman"/>
                <w:sz w:val="20"/>
                <w:szCs w:val="20"/>
              </w:rPr>
            </w:pPr>
            <w:r>
              <w:rPr>
                <w:rFonts w:eastAsia="Calibri" w:cs="Times New Roman"/>
                <w:sz w:val="20"/>
                <w:szCs w:val="20"/>
                <w14:ligatures w14:val="none"/>
              </w:rPr>
              <w:t>0,7</w:t>
            </w:r>
          </w:p>
        </w:tc>
      </w:tr>
      <w:tr>
        <w:trPr/>
        <w:tc>
          <w:tcPr>
            <w:tcW w:w="4309" w:type="dxa"/>
            <w:tcBorders>
              <w:bottom w:val="single" w:sz="6" w:space="0" w:color="000000"/>
            </w:tcBorders>
            <w:vAlign w:val="center"/>
          </w:tcPr>
          <w:p>
            <w:pPr>
              <w:pStyle w:val="Normal"/>
              <w:spacing w:before="113" w:after="0"/>
              <w:rPr>
                <w:rFonts w:ascii="Times New Roman" w:hAnsi="Times New Roman"/>
                <w:sz w:val="20"/>
                <w:szCs w:val="20"/>
              </w:rPr>
            </w:pPr>
            <w:r>
              <w:rPr>
                <w:rFonts w:eastAsia="Calibri" w:cs="Times New Roman"/>
                <w:sz w:val="20"/>
                <w:szCs w:val="20"/>
                <w14:ligatures w14:val="none"/>
              </w:rPr>
              <w:t>Menaces et violences physiques</w:t>
            </w:r>
          </w:p>
        </w:tc>
        <w:tc>
          <w:tcPr>
            <w:tcW w:w="1587" w:type="dxa"/>
            <w:tcBorders>
              <w:bottom w:val="single" w:sz="6" w:space="0" w:color="000000"/>
            </w:tcBorders>
            <w:vAlign w:val="center"/>
          </w:tcPr>
          <w:p>
            <w:pPr>
              <w:pStyle w:val="Normal"/>
              <w:spacing w:before="113" w:after="0"/>
              <w:jc w:val="center"/>
              <w:rPr>
                <w:rFonts w:ascii="Times New Roman" w:hAnsi="Times New Roman"/>
                <w:sz w:val="20"/>
                <w:szCs w:val="20"/>
              </w:rPr>
            </w:pPr>
            <w:r>
              <w:rPr>
                <w:rFonts w:eastAsia="Calibri" w:cs="Times New Roman"/>
                <w:sz w:val="20"/>
                <w:szCs w:val="20"/>
                <w14:ligatures w14:val="none"/>
              </w:rPr>
              <w:t>0,3</w:t>
            </w:r>
          </w:p>
        </w:tc>
        <w:tc>
          <w:tcPr>
            <w:tcW w:w="1586" w:type="dxa"/>
            <w:tcBorders>
              <w:bottom w:val="single" w:sz="6" w:space="0" w:color="000000"/>
            </w:tcBorders>
            <w:vAlign w:val="center"/>
          </w:tcPr>
          <w:p>
            <w:pPr>
              <w:pStyle w:val="Normal"/>
              <w:spacing w:before="113" w:after="0"/>
              <w:jc w:val="center"/>
              <w:rPr>
                <w:rFonts w:ascii="Times New Roman" w:hAnsi="Times New Roman"/>
                <w:sz w:val="20"/>
                <w:szCs w:val="20"/>
              </w:rPr>
            </w:pPr>
            <w:r>
              <w:rPr>
                <w:rFonts w:eastAsia="Calibri" w:cs="Times New Roman"/>
                <w:sz w:val="20"/>
                <w:szCs w:val="20"/>
                <w14:ligatures w14:val="none"/>
              </w:rPr>
              <w:t>1,9</w:t>
            </w:r>
          </w:p>
        </w:tc>
        <w:tc>
          <w:tcPr>
            <w:tcW w:w="1588" w:type="dxa"/>
            <w:tcBorders>
              <w:bottom w:val="single" w:sz="6" w:space="0" w:color="000000"/>
            </w:tcBorders>
            <w:vAlign w:val="center"/>
          </w:tcPr>
          <w:p>
            <w:pPr>
              <w:pStyle w:val="Normal"/>
              <w:spacing w:before="113" w:after="0"/>
              <w:jc w:val="center"/>
              <w:rPr>
                <w:rFonts w:ascii="Times New Roman" w:hAnsi="Times New Roman"/>
                <w:sz w:val="20"/>
                <w:szCs w:val="20"/>
              </w:rPr>
            </w:pPr>
            <w:r>
              <w:rPr>
                <w:rFonts w:eastAsia="Calibri" w:cs="Times New Roman"/>
                <w:sz w:val="20"/>
                <w:szCs w:val="20"/>
                <w14:ligatures w14:val="none"/>
              </w:rPr>
              <w:t>0,9</w:t>
            </w:r>
          </w:p>
        </w:tc>
      </w:tr>
    </w:tbl>
    <w:p>
      <w:pPr>
        <w:pStyle w:val="Normal"/>
        <w:spacing w:lineRule="auto" w:line="240" w:before="0" w:after="0"/>
        <w:rPr>
          <w:rFonts w:ascii="Times New Roman" w:hAnsi="Times New Roman"/>
        </w:rPr>
      </w:pPr>
      <w:r>
        <w:rPr>
          <w:rFonts w:eastAsia="Calibri" w:cs="Times New Roman"/>
          <w:i/>
          <w:iCs/>
          <w:sz w:val="20"/>
          <w:szCs w:val="20"/>
          <w14:ligatures w14:val="none"/>
        </w:rPr>
        <w:t>Champ : Étudiant·e·s ayant renseigné au moins une catégorie selon laquelle ils· elles pensent que les autres les voient (soit 93,3% de l'ensemble), n=8,950, données pondérées, Acadiscri, 2024</w:t>
      </w:r>
      <w:r>
        <w:rPr>
          <w:rFonts w:eastAsia="Calibri" w:cs="Times New Roman"/>
          <w:sz w:val="20"/>
          <w:szCs w:val="20"/>
          <w14:ligatures w14:val="none"/>
        </w:rPr>
        <w:t>.</w:t>
      </w:r>
    </w:p>
    <w:p>
      <w:pPr>
        <w:pStyle w:val="Normal"/>
        <w:spacing w:lineRule="exact" w:line="255" w:before="56" w:after="0"/>
        <w:rPr>
          <w:rFonts w:ascii="Times New Roman" w:hAnsi="Times New Roman"/>
        </w:rPr>
      </w:pPr>
      <w:r>
        <w:rPr>
          <w:rFonts w:eastAsia="Calibri" w:cs="Times New Roman"/>
          <w:i/>
          <w:iCs/>
          <w:sz w:val="20"/>
          <w:szCs w:val="20"/>
          <w14:ligatures w14:val="none"/>
        </w:rPr>
        <w:t>Lecture : 35,7 % des étudiant·e·s minorisé·e·s ont déclaré au moins une forme de micro-agression à raison de l’origine, de la nationalité, de la couleur de peau ou de la religion réelles ou supposées.</w:t>
      </w:r>
    </w:p>
    <w:p>
      <w:pPr>
        <w:pStyle w:val="Normal"/>
        <w:rPr>
          <w:rFonts w:ascii="Times New Roman" w:hAnsi="Times New Roman"/>
        </w:rPr>
      </w:pPr>
      <w:r>
        <w:rPr/>
      </w:r>
    </w:p>
    <w:p>
      <w:pPr>
        <w:pStyle w:val="Normal"/>
        <w:rPr>
          <w:rFonts w:ascii="Times New Roman" w:hAnsi="Times New Roman"/>
        </w:rPr>
      </w:pPr>
      <w:r>
        <w:rPr/>
        <w:t>Les résultats statistiques révèlent aussi le caractère répété de ces micro-agressions (Tableau 2). Comme dans d’autres sphères sociales, l’expérience du racisme à l’université s’appuie rarement sur un élément isolé, mais est le produit d’actes réitérés. On relève en particulier que 12,6 % des étudiant·e·s racisé·e·s rapportent être « assez souvent », « souvent », voire « très souvent » exposé·e·s à de l’humour qu’iels jugent déplacé, lié à leur catégorisation raciale. Ces micro-agressions racistes sous couvert d’humour s’avèrent être la forme la plus déclarée (28 %, toutes fréquences confondues). Beaucoup ont aussi le sentiment de ne pas être à leur place en tant que minoritaire (23 %, dont 13,7 % « assez souvent », « souvent » ou « très souvent »). D’autres comportements parmi les plus cités renvoient à des propos dévalorisants ou infantilisants (23,4 %, toutes fréquences confondues), des remarques déplacées sur les caractéristiques personnelles (18,6 %) ou sur la conformation attendue à certaines normes (15,8 %), ou encore le fait de se tromper ou d’écorcher un prénom ou un nom (12,3 %).</w:t>
      </w:r>
    </w:p>
    <w:p>
      <w:pPr>
        <w:pStyle w:val="Normal"/>
        <w:jc w:val="center"/>
        <w:rPr>
          <w:rFonts w:ascii="Times New Roman" w:hAnsi="Times New Roman"/>
          <w:b/>
          <w:bCs/>
        </w:rPr>
      </w:pPr>
      <w:r>
        <w:rPr>
          <w:b/>
          <w:bCs/>
        </w:rPr>
        <w:t>Tableau 2</w:t>
      </w:r>
    </w:p>
    <w:p>
      <w:pPr>
        <w:pStyle w:val="Normal"/>
        <w:rPr>
          <w:rFonts w:ascii="Times New Roman" w:hAnsi="Times New Roman"/>
        </w:rPr>
      </w:pPr>
      <w:r>
        <w:rPr>
          <w:rFonts w:eastAsia="Calibri" w:cs="Times New Roman"/>
          <w14:ligatures w14:val="none"/>
        </w:rPr>
        <w:t xml:space="preserve">Les traitements défavorables liés à l’origine, la nationalité, la couleur de peau ou la religion sont près de deux fois moins fréquents que les micro-agressions, mais ils s’établissent tout de même à un niveau particulièrement élevé puisque 19 % des étudiant·e·s racisé·e·s en déclarent. À titre comparatif, deux fois moins de femmes étudiantes (8,6 %) rapportent des traitements défavorables sexistes. Le détail des formes interactionnelles (Tableau 3) montre la diversité de ces situations, renvoyant souvent à des micro-discriminations : remarques sur l’inadaptation d’étudiant·e·s à certaines filières d’études (9,6 %), défaut de reconnaissance du travail fourni (7,9 %), manque de soutien et d’aide de la part de membres du personnel universitaire (9,2 %), attentes disproportionnées ou, à l’inverse, déficit d’attentes enseignantes (7,1 %), ou encore, situations de mises à l’écart, </w:t>
      </w:r>
      <w:r>
        <w:rPr>
          <w:rFonts w:eastAsia="Calibri" w:cs="Calibri"/>
          <w14:ligatures w14:val="none"/>
        </w:rPr>
        <w:t>en particulier dans les travaux de groupes entre étudiant·e·s (9,7 %)</w:t>
      </w:r>
      <w:r>
        <w:rPr>
          <w:rFonts w:eastAsia="Calibri" w:cs="Times New Roman"/>
          <w14:ligatures w14:val="none"/>
        </w:rPr>
        <w:t>.</w:t>
      </w:r>
    </w:p>
    <w:p>
      <w:pPr>
        <w:pStyle w:val="Normal"/>
        <w:jc w:val="center"/>
        <w:rPr>
          <w:rFonts w:ascii="Times New Roman" w:hAnsi="Times New Roman" w:eastAsia="Calibri" w:cs="Times New Roman"/>
          <w:b/>
          <w:bCs/>
          <w:i w:val="false"/>
          <w:i w:val="false"/>
          <w:iCs w:val="false"/>
          <w:spacing w:val="-2"/>
          <w:sz w:val="24"/>
          <w:szCs w:val="24"/>
          <w14:ligatures w14:val="none"/>
        </w:rPr>
      </w:pPr>
      <w:r>
        <w:rPr>
          <w:rFonts w:eastAsia="Calibri" w:cs="Times New Roman"/>
          <w:b/>
          <w:bCs/>
          <w:i w:val="false"/>
          <w:iCs w:val="false"/>
          <w:spacing w:val="-2"/>
          <w:sz w:val="24"/>
          <w:szCs w:val="24"/>
          <w14:ligatures w14:val="none"/>
        </w:rPr>
        <w:t>Tableau 3</w:t>
      </w:r>
    </w:p>
    <w:p>
      <w:pPr>
        <w:pStyle w:val="Normal"/>
        <w:rPr>
          <w:rFonts w:ascii="Times New Roman" w:hAnsi="Times New Roman"/>
        </w:rPr>
      </w:pPr>
      <w:r>
        <w:rPr>
          <w:rFonts w:eastAsia="Calibri" w:cs="Times New Roman"/>
          <w14:ligatures w14:val="none"/>
        </w:rPr>
        <w:t>Une part non négligeable des étudiant·e·s racisé·e·s déclarent cependant aussi des discriminations à proprement parler, plus proches de la définition juridique du terme. C’est d’abord le cas des stages, pour lesquels un·e étudiant·e minorisé·e sur six rapporte un traitement défavorable (toutes formes confondues), dans un contexte où les logiques d’alternance ont progressé dans les formations universitaires (Glaymann, 2015). Mais les rapports intra-universitaires sont eux aussi mis en cause pour leur dimension discriminatoire : 10,2 % des étudiant·e·s racisé·e·s évoquent une notation défavorable et 4,1 % un refus illégitime d’admission dans une formation, liés à des motifs raciaux.</w:t>
      </w:r>
    </w:p>
    <w:p>
      <w:pPr>
        <w:pStyle w:val="Normal"/>
        <w:widowControl w:val="false"/>
        <w:rPr>
          <w:rFonts w:ascii="Times New Roman" w:hAnsi="Times New Roman"/>
        </w:rPr>
      </w:pPr>
      <w:r>
        <w:rPr>
          <w:rFonts w:eastAsia="Times New Roman" w:cs="Times New Roman"/>
          <w14:ligatures w14:val="none"/>
        </w:rPr>
        <w:t>Enfin, les insultes et les injures liées à des motifs raciaux sont nettement moins souvent déclarées que les micro-agressions et les traitements défavorables, mais sont tout de même rapportées par 6,3 % des étudiant·e·s racisé·e·s. Les menaces (1%, soit vingt-quatre répondant·e·s), les situations d’agression physique sans arme et dégradations de biens (1,3 %, vingt-huit répondant·e·s) et les agressions physiques avec arme (0,2 %, trois répondant·e·s) sont quant à elles bien plus rares.</w:t>
      </w:r>
    </w:p>
    <w:p>
      <w:pPr>
        <w:pStyle w:val="Normal"/>
        <w:keepNext w:val="true"/>
        <w:keepLines/>
        <w:numPr>
          <w:ilvl w:val="0"/>
          <w:numId w:val="0"/>
        </w:numPr>
        <w:spacing w:before="227" w:after="57"/>
        <w:ind w:hanging="0" w:start="0"/>
        <w:outlineLvl w:val="2"/>
        <w:rPr>
          <w:rFonts w:ascii="Times New Roman" w:hAnsi="Times New Roman"/>
        </w:rPr>
      </w:pPr>
      <w:r>
        <w:rPr>
          <w:rFonts w:eastAsia="Times New Roman" w:cs="Calibri"/>
          <w:b/>
          <w:bCs/>
          <w:sz w:val="26"/>
          <w:szCs w:val="26"/>
          <w14:ligatures w14:val="none"/>
        </w:rPr>
        <w:t>III/ 2. Un cadre universitaire propice au racisme ouvert ?</w:t>
      </w:r>
    </w:p>
    <w:p>
      <w:pPr>
        <w:pStyle w:val="Normal"/>
        <w:rPr>
          <w:rFonts w:ascii="Times New Roman" w:hAnsi="Times New Roman"/>
        </w:rPr>
      </w:pPr>
      <w:r>
        <w:rPr>
          <w:rFonts w:eastAsia="Calibri" w:cs="Times New Roman"/>
          <w14:ligatures w14:val="none"/>
        </w:rPr>
        <w:t xml:space="preserve">Les matériaux collectés révèlent le caractère saillant et explicite du motif racial dans de nombreuses situations rapportées par les enquêté·e·s. Dans les verbatims sur la situation « la plus marquante », y compris ceux évoquant des micro-agressions, la dimension raciale est souvent clairement identifiable par les lecteur et lectrices du récit </w:t>
      </w:r>
      <w:r>
        <w:rPr>
          <w:rFonts w:eastAsia="Calibri" w:cs="Calibri"/>
          <w14:ligatures w14:val="none"/>
        </w:rPr>
        <w:t>–</w:t>
      </w:r>
      <w:r>
        <w:rPr>
          <w:rFonts w:eastAsia="Calibri" w:cs="Times New Roman"/>
          <w14:ligatures w14:val="none"/>
        </w:rPr>
        <w:t xml:space="preserve"> les enquêté·e·s utilisant d'ailleurs souvent les termes de « racisme » ou de « raciste(s) » pour qualifier les actes.</w:t>
      </w:r>
    </w:p>
    <w:p>
      <w:pPr>
        <w:pStyle w:val="Normal"/>
        <w:rPr>
          <w:rFonts w:ascii="Times New Roman" w:hAnsi="Times New Roman"/>
        </w:rPr>
      </w:pPr>
      <w:r>
        <w:rPr>
          <w:rFonts w:eastAsia="Calibri" w:cs="Times New Roman"/>
          <w14:ligatures w14:val="none"/>
        </w:rPr>
        <w:t>C’est le cas de propos jugés « racistes » en ce qu’ils disqualifient publiquement des personnes par l’association entre leur comportement estimé inadapté et leur origine supposée, comme le cas d’une « e</w:t>
      </w:r>
      <w:r>
        <w:rPr>
          <w:rFonts w:eastAsia="Calibri" w:cs="Times New Roman"/>
          <w:lang w:eastAsia="fr-FR"/>
          <w14:ligatures w14:val="none"/>
        </w:rPr>
        <w:t>nseignante qui a fait une remarque raciste suite à un retard d’un camarade : "Vous êtes en retard, on n’est pas en Afrique ici !" » (Étudiante, master Informatique/Sciences de l’ingénierie, immigrée vue comme arabe/maghrébine, Université Eltanin). Ce sont parfois aussi des moqueries ou des insultes racistes ouvertes et collectivement banalisées :</w:t>
      </w:r>
    </w:p>
    <w:p>
      <w:pPr>
        <w:pStyle w:val="Normal"/>
        <w:widowControl w:val="false"/>
        <w:spacing w:lineRule="exact" w:line="283" w:before="57" w:after="0"/>
        <w:ind w:start="567" w:end="567"/>
        <w:rPr>
          <w:rFonts w:ascii="Times New Roman" w:hAnsi="Times New Roman"/>
        </w:rPr>
      </w:pPr>
      <w:r>
        <w:rPr>
          <w:rFonts w:eastAsia="Calibri" w:cs="Times New Roman"/>
          <w:sz w:val="23"/>
          <w:szCs w:val="23"/>
          <w:lang w:eastAsia="fr-FR"/>
          <w14:ligatures w14:val="none"/>
        </w:rPr>
        <w:t>L'ann</w:t>
      </w:r>
      <w:r>
        <w:rPr>
          <w:rFonts w:eastAsia="Calibri" w:cs="Times New Roman"/>
          <w:sz w:val="23"/>
          <w:szCs w:val="23"/>
          <w14:ligatures w14:val="none"/>
        </w:rPr>
        <w:t>ée dernière, j'étais entouré de personnes qui était clairement racistes. Parfois, deux personnes du groupe s'amusaient à s'insulter de "sale noir", et parfois en ajoutant "comme toi" en me pointant du doigt.</w:t>
      </w:r>
      <w:r>
        <w:rPr>
          <w:rFonts w:eastAsia="Calibri" w:cs="Times New Roman"/>
          <w:sz w:val="23"/>
          <w:szCs w:val="23"/>
          <w:lang w:eastAsia="fr-FR"/>
          <w14:ligatures w14:val="none"/>
        </w:rPr>
        <w:t xml:space="preserve"> (Étudiant musulman, fils de deux parents immigrés, vu comme noir, master sciences et techniques, Université Mebsuta).</w:t>
      </w:r>
    </w:p>
    <w:p>
      <w:pPr>
        <w:pStyle w:val="Normal"/>
        <w:rPr>
          <w:rFonts w:ascii="Times New Roman" w:hAnsi="Times New Roman"/>
        </w:rPr>
      </w:pPr>
      <w:r>
        <w:rPr>
          <w:rFonts w:eastAsia="Calibri" w:cs="Times New Roman"/>
          <w:lang w:eastAsia="fr-FR"/>
          <w14:ligatures w14:val="none"/>
        </w:rPr>
        <w:t>Les verbatims évoquent également des situations qui font re-circuler</w:t>
      </w:r>
      <w:r>
        <w:rPr>
          <w:rFonts w:eastAsia="Calibri" w:cs="Times New Roman"/>
          <w14:ligatures w14:val="none"/>
        </w:rPr>
        <w:t xml:space="preserve"> sous couvert d’humour des stéréotypes dévalorisant la supposée culture ou religion de certain·e·s étudiant·e·s :</w:t>
      </w:r>
    </w:p>
    <w:p>
      <w:pPr>
        <w:pStyle w:val="Normal"/>
        <w:widowControl w:val="false"/>
        <w:spacing w:lineRule="exact" w:line="283" w:before="57" w:after="0"/>
        <w:ind w:start="567" w:end="567"/>
        <w:rPr>
          <w:rFonts w:ascii="Times New Roman" w:hAnsi="Times New Roman"/>
        </w:rPr>
      </w:pPr>
      <w:r>
        <w:rPr>
          <w:rFonts w:eastAsia="Calibri" w:cs="Times New Roman"/>
          <w:sz w:val="23"/>
          <w:szCs w:val="23"/>
          <w14:ligatures w14:val="none"/>
        </w:rPr>
        <w:t>Je suis française d'origine algérienne du côté de mon père, et durant ma deuxième et troisième année un camarade (français d'origine française) a à plusieurs reprises évoqué des propos racistes sous le ton de l'humour avec son groupe d'amis. Je n'étais pas la seule, chaque personne de couleur ou d'origine différente était une cible et il ne s'en cachait pas car il faisait passer cela sous le ton de l'humour et lorsqu'il le faisait en public, une gêne apparaissait mais eux rigolaient. Exemple : répéter sans cesse "Allahu akbar" et faire référence au terrorisme, ou des filles indiennes de ma classe : il s'amusait à faire des bruits ("dingdingding") ou des remarques sur la religion musulmane, etc.</w:t>
      </w:r>
      <w:r>
        <w:rPr>
          <w:rFonts w:eastAsia="Calibri" w:cs="Times New Roman"/>
          <w:i/>
          <w:iCs/>
          <w:sz w:val="23"/>
          <w:szCs w:val="23"/>
          <w14:ligatures w14:val="none"/>
        </w:rPr>
        <w:t xml:space="preserve"> </w:t>
      </w:r>
      <w:r>
        <w:rPr>
          <w:rFonts w:eastAsia="Calibri" w:cs="Times New Roman"/>
          <w:sz w:val="23"/>
          <w:szCs w:val="23"/>
          <w14:ligatures w14:val="none"/>
        </w:rPr>
        <w:t>(Étudiante musulmane vue comme Arabe ou Maghrébine, filière médicale, Université Hoedus)</w:t>
      </w:r>
    </w:p>
    <w:p>
      <w:pPr>
        <w:pStyle w:val="Normal"/>
        <w:rPr>
          <w:rFonts w:ascii="Times New Roman" w:hAnsi="Times New Roman"/>
        </w:rPr>
      </w:pPr>
      <w:r>
        <w:rPr>
          <w:rFonts w:eastAsia="Calibri" w:cs="Times New Roman"/>
          <w14:ligatures w14:val="none"/>
        </w:rPr>
        <w:t xml:space="preserve">Cette place importante de l’humour racialisé dans les verbatims recueillis souligne le rôle central des « blagues » dans le racisme contemporain : loin de se limiter à des expressions d’hostilité et de haine, le racisme se traduit par des interactions ordinaires se voulant humoristiques (Pérez, 2022), qui ont l’avantage pour les auteurs ou autrices (et les personnes qui en rient) d’euphémiser la charge raciste par leur forme, tout en maniant des stéréotypes et références raciales souvent explicites et en contribuant ainsi à la (re)production des hiérarchies raciales. </w:t>
      </w:r>
    </w:p>
    <w:p>
      <w:pPr>
        <w:pStyle w:val="Normal"/>
        <w:rPr>
          <w:rFonts w:ascii="Times New Roman" w:hAnsi="Times New Roman"/>
        </w:rPr>
      </w:pPr>
      <w:r>
        <w:rPr/>
        <w:t>Les surnoms racisants et dégradants, les appellations insultantes ou déshumanisantes (« singe », « animal »), principalement dans le groupe de pairs mais parfois de la part d’enseignant·e·s, sont aussi répandus dans le corpus de verbatims :</w:t>
      </w:r>
    </w:p>
    <w:p>
      <w:pPr>
        <w:pStyle w:val="Normal"/>
        <w:widowControl w:val="false"/>
        <w:spacing w:lineRule="exact" w:line="283" w:before="57" w:after="0"/>
        <w:ind w:start="567" w:end="567"/>
        <w:rPr>
          <w:rFonts w:ascii="Times New Roman" w:hAnsi="Times New Roman"/>
        </w:rPr>
      </w:pPr>
      <w:r>
        <w:rPr>
          <w:rFonts w:eastAsia="Calibri" w:cs="Times New Roman"/>
          <w:sz w:val="23"/>
          <w:szCs w:val="23"/>
          <w14:ligatures w14:val="none"/>
        </w:rPr>
        <w:t>Un jour où j'étais absente, mon professeur de mathématiques m'a appelée Bamboula il a dit plus précisément : "Beh, elle est où bamboula ?". (Étudiante vue comme noire, licence Sciences et techniques, Université Pollux)</w:t>
      </w:r>
    </w:p>
    <w:p>
      <w:pPr>
        <w:pStyle w:val="Normal"/>
        <w:widowControl w:val="false"/>
        <w:spacing w:lineRule="exact" w:line="283" w:before="57" w:after="0"/>
        <w:ind w:start="567" w:end="567"/>
        <w:rPr>
          <w:rFonts w:ascii="Times New Roman" w:hAnsi="Times New Roman"/>
        </w:rPr>
      </w:pPr>
      <w:r>
        <w:rPr>
          <w:rFonts w:eastAsia="Calibri" w:cs="Times New Roman"/>
          <w:sz w:val="23"/>
          <w:szCs w:val="23"/>
          <w14:ligatures w14:val="none"/>
        </w:rPr>
        <w:t>Moquerie en raison du fait que je serai une "islamo-racaille", dans les couloirs de la faculté. (</w:t>
      </w:r>
      <w:r>
        <w:rPr>
          <w:rFonts w:eastAsia="Calibri" w:cs="Times New Roman"/>
          <w:sz w:val="23"/>
          <w:szCs w:val="23"/>
          <w:lang w:eastAsia="fr-FR"/>
          <w14:ligatures w14:val="none"/>
        </w:rPr>
        <w:t>Étudiant musulman, enfant d’immigré·e·s, licence Sciences humaines et sociales, Université Hyadum)</w:t>
      </w:r>
    </w:p>
    <w:p>
      <w:pPr>
        <w:pStyle w:val="Normal"/>
        <w:rPr>
          <w:rFonts w:ascii="Times New Roman" w:hAnsi="Times New Roman"/>
        </w:rPr>
      </w:pPr>
      <w:r>
        <w:rPr/>
        <w:t xml:space="preserve">Ces exemples montrent que l’hypothèse d’un racisme principalement voilé à l’université ne représente qu’une partie de la situation. </w:t>
      </w:r>
      <w:r>
        <w:rPr>
          <w:rFonts w:eastAsia="Calibri" w:cs="Times New Roman"/>
          <w14:ligatures w14:val="none"/>
        </w:rPr>
        <w:t>La saillance des formes plus ouvertes de racisme peut toutefois en partie tenir aux conditions d’énonciation de l’expérience. Ayant précisé à travers le questionnaire le type de faits vécus, puis leur motif (ethnoracial ou non), les répondant·e·s étaient ensuite invité·e·s par des questions ouvertes à décrire la situation « la plus marquante ». Il est probable que les personnes qui ont pris le temps de raconter par écrit une telle situation sont celles ayant vécu un épisode particulièrement caractérisé, ou du moins aisément interprétable comme raciste. Les personnes racisées peuvent avoir l’habitude que leur parole et/ou la qualification raciste des faits soit mise en doute par des interlocuteur·ices « blanc·hes ». Tant le choix de la situation que la construction de leur texte témoigneraient alors de leur double expertise – pour reconnaître le racisme mais aussi pour le mettre en récit –, l’enjeu étant d’assurer la crédibilité de ce récit aux yeux des personnes du groupe majoritaire, afin d’éviter que la violence vécue ne soit pas redoublée par le déni du racisme, voire par des accusations de « victimisation » ou de « paranoïa » (Noël, 2008; Streiff-Fénart, 2006).</w:t>
      </w:r>
    </w:p>
    <w:p>
      <w:pPr>
        <w:pStyle w:val="Normal"/>
        <w:keepNext w:val="true"/>
        <w:keepLines/>
        <w:numPr>
          <w:ilvl w:val="0"/>
          <w:numId w:val="0"/>
        </w:numPr>
        <w:spacing w:before="227" w:after="57"/>
        <w:ind w:hanging="0" w:start="0"/>
        <w:outlineLvl w:val="2"/>
        <w:rPr>
          <w:rFonts w:ascii="Times New Roman" w:hAnsi="Times New Roman"/>
        </w:rPr>
      </w:pPr>
      <w:r>
        <w:rPr>
          <w:rFonts w:eastAsia="Times New Roman" w:cs="Calibri"/>
          <w:b/>
          <w:bCs/>
          <w:sz w:val="26"/>
          <w:szCs w:val="26"/>
          <w14:ligatures w14:val="none"/>
        </w:rPr>
        <w:t>III/ 3. Le racisme voilé et/ou dissimulé, enjeu d’enquête et de qualification</w:t>
      </w:r>
    </w:p>
    <w:p>
      <w:pPr>
        <w:pStyle w:val="Normal"/>
        <w:rPr>
          <w:rFonts w:ascii="Times New Roman" w:hAnsi="Times New Roman"/>
        </w:rPr>
      </w:pPr>
      <w:r>
        <w:rPr>
          <w:rFonts w:eastAsia="Calibri" w:cs="Times New Roman"/>
          <w14:ligatures w14:val="none"/>
        </w:rPr>
        <w:t>Au-delà des expressions ouvertes du racisme, les verbatims et les entretiens donnent aussi à voir des situations caractérisées par le doute, l’hésitation ou la prudence dans la qualification. Non seulement n’importe quelle expérience sociale se présente « avec toutes ses incertitudes, ses mystères et ses doutes, et sa connaissance imparfaite » (Dewey, 2014 : 79), mais dans le cas particulier des expériences discriminatoires, les motifs qui les sous-tendent ont souvent un caractère peu transparent et peuvent être multiples – ainsi une étudiante s’interroge-t-elle par exemple sur ce qui l’a conduit à « subir toutes ces injustices fondées sur quels critères ? » (Étudiante originaire d’un Drom-Com, master de Sciences de l’éducation, université Schedar).</w:t>
      </w:r>
    </w:p>
    <w:p>
      <w:pPr>
        <w:pStyle w:val="Normal"/>
        <w:rPr>
          <w:rFonts w:ascii="Times New Roman" w:hAnsi="Times New Roman"/>
        </w:rPr>
      </w:pPr>
      <w:r>
        <w:rPr/>
        <w:t>Au-delà de cette incertitude fondatrice, le doute peut aussi parfois découler de formes de dissimulation de l’hostilité dans des contextes publics, tels que la salle de cours. C’est ce que suggère en entretien Stéphanie, étudiante en Philosophie, qui explique qu’une de ses chargé·e·s n’hésitait pas, lors de repas partagés informels avec quelques étudiant·e·s, à attaquer explicitement les hommes musulmans au motif qu’ils « traitent leurs femmes comme des chameaux » et à qualifier ses étudiantes portant le foulard de « connes médiévales », mais qu’en contexte de cours, cette hostilité était beaucoup plus insidieuse, et donc difficile à dénoncer :</w:t>
      </w:r>
    </w:p>
    <w:p>
      <w:pPr>
        <w:pStyle w:val="Normal"/>
        <w:widowControl w:val="false"/>
        <w:spacing w:lineRule="exact" w:line="283" w:before="57" w:after="0"/>
        <w:ind w:start="567" w:end="567"/>
        <w:rPr>
          <w:rFonts w:ascii="Times New Roman" w:hAnsi="Times New Roman"/>
        </w:rPr>
      </w:pPr>
      <w:r>
        <w:rPr>
          <w:rFonts w:eastAsia="Calibri" w:cs="Calibri"/>
          <w:sz w:val="23"/>
          <w:szCs w:val="23"/>
          <w14:ligatures w14:val="none"/>
        </w:rPr>
        <w:t xml:space="preserve">Les deux camarades qui avaient […] un voile […] elle ne leur adressait jamais la parole. […] Ça n'allait pas plus loin, donc est-ce qu'il faut disqualifier ça ? Ça fait régner une sale ambiance mais il n’y avait pas d'attaques </w:t>
      </w:r>
      <w:r>
        <w:rPr>
          <w:rFonts w:eastAsia="Calibri" w:cs="Calibri"/>
          <w:i/>
          <w:iCs/>
          <w:sz w:val="23"/>
          <w:szCs w:val="23"/>
          <w14:ligatures w14:val="none"/>
        </w:rPr>
        <w:t>ad hominem</w:t>
      </w:r>
      <w:r>
        <w:rPr>
          <w:rFonts w:eastAsia="Calibri" w:cs="Calibri"/>
          <w:sz w:val="23"/>
          <w:szCs w:val="23"/>
          <w14:ligatures w14:val="none"/>
        </w:rPr>
        <w:t xml:space="preserve"> en cours.</w:t>
      </w:r>
    </w:p>
    <w:p>
      <w:pPr>
        <w:pStyle w:val="Normal"/>
        <w:rPr>
          <w:rFonts w:ascii="Times New Roman" w:hAnsi="Times New Roman"/>
        </w:rPr>
      </w:pPr>
      <w:r>
        <w:rPr>
          <w:rFonts w:eastAsia="Calibri" w:cs="Times New Roman"/>
          <w14:ligatures w14:val="none"/>
        </w:rPr>
        <w:t xml:space="preserve">Dans les verbatims, les situations d'absence de considération et d'indifférence, expérience typique de l'invisibilité sociale (Le Blanc, 2009; Renault, 2024), sont régulièrement évoquées par des étudiantes </w:t>
      </w:r>
      <w:r>
        <w:rPr>
          <w:rFonts w:eastAsia="Calibri" w:cs="Calibri"/>
          <w14:ligatures w14:val="none"/>
        </w:rPr>
        <w:t>―</w:t>
      </w:r>
      <w:r>
        <w:rPr>
          <w:rFonts w:eastAsia="Calibri" w:cs="Times New Roman"/>
          <w14:ligatures w14:val="none"/>
        </w:rPr>
        <w:t xml:space="preserve"> car cette dimension apparaît simultanément genrée. Celles-ci ne se risquent guère à nommer la dimension raciale et </w:t>
      </w:r>
      <w:r>
        <w:rPr>
          <w:rFonts w:eastAsia="Calibri" w:cs="Times New Roman"/>
          <w:i/>
          <w:iCs/>
          <w14:ligatures w14:val="none"/>
        </w:rPr>
        <w:t>a fortiori</w:t>
      </w:r>
      <w:r>
        <w:rPr>
          <w:rFonts w:eastAsia="Calibri" w:cs="Times New Roman"/>
          <w14:ligatures w14:val="none"/>
        </w:rPr>
        <w:t xml:space="preserve"> raciste, et insistent au contraire sur le fait qu'il ne s'agisse que d'un « sentiment » ou une « impression » :</w:t>
      </w:r>
    </w:p>
    <w:p>
      <w:pPr>
        <w:pStyle w:val="Normal"/>
        <w:widowControl w:val="false"/>
        <w:spacing w:lineRule="exact" w:line="283" w:before="57" w:after="0"/>
        <w:ind w:start="567" w:end="567"/>
        <w:rPr>
          <w:rFonts w:ascii="Times New Roman" w:hAnsi="Times New Roman"/>
        </w:rPr>
      </w:pPr>
      <w:r>
        <w:rPr>
          <w:rFonts w:eastAsia="Calibri" w:cs="Times New Roman"/>
          <w:sz w:val="23"/>
          <w:szCs w:val="23"/>
          <w14:ligatures w14:val="none"/>
        </w:rPr>
        <w:t>C'est un sentiment donc il n'y a pas de situation particulière à raconter. Cependant, je peux donner un exemple qui illustre la situation. Mes camarades de classe discutent et j'essaie de participer à la discussion et quand je parle, personne ne prête attention à ce que je dis comme si j’étais un fantôme. (Étudiante musulmane portant un voile, licence Sciences et techniques, Université Vildiur)</w:t>
      </w:r>
    </w:p>
    <w:p>
      <w:pPr>
        <w:pStyle w:val="Normal"/>
        <w:rPr>
          <w:rFonts w:ascii="Times New Roman" w:hAnsi="Times New Roman"/>
        </w:rPr>
      </w:pPr>
      <w:r>
        <w:rPr>
          <w:rFonts w:eastAsia="Calibri" w:cs="Times New Roman"/>
          <w14:ligatures w14:val="none"/>
        </w:rPr>
        <w:t>D’autres personnes évoquent la cause potentielle des « origines » avec prudence, s’appuyant sur la répétition d’un type de situation, sur la comparaison avec d’autres cas, afin de crédibiliser cette hypothèse :</w:t>
      </w:r>
    </w:p>
    <w:p>
      <w:pPr>
        <w:pStyle w:val="Normal"/>
        <w:widowControl w:val="false"/>
        <w:spacing w:lineRule="exact" w:line="283" w:before="57" w:after="0"/>
        <w:ind w:start="567" w:end="567"/>
        <w:rPr>
          <w:rFonts w:ascii="Times New Roman" w:hAnsi="Times New Roman"/>
        </w:rPr>
      </w:pPr>
      <w:r>
        <w:rPr>
          <w:rFonts w:eastAsia="Calibri" w:cs="Times New Roman"/>
          <w:sz w:val="23"/>
          <w:szCs w:val="23"/>
          <w14:ligatures w14:val="none"/>
        </w:rPr>
        <w:t>J'ai eu en effet une atteinte à mes conditions de travail mais, je ne sais pas si c'est à cause de mes origines, cela reste une supposition, dans la mesure où toutes les personnes que je connais dans la même situation que moi ne sont pas français. (Fille d’immigré·e·s, vue comme Arabe ou Maghrébine, licence Lettres et langue, université Hyadum)</w:t>
      </w:r>
    </w:p>
    <w:p>
      <w:pPr>
        <w:pStyle w:val="Normal"/>
        <w:rPr>
          <w:rFonts w:ascii="Times New Roman" w:hAnsi="Times New Roman"/>
        </w:rPr>
      </w:pPr>
      <w:r>
        <w:rPr>
          <w:rFonts w:eastAsia="Calibri" w:cs="Times New Roman"/>
          <w14:ligatures w14:val="none"/>
        </w:rPr>
        <w:t xml:space="preserve">Le caractère raciste d’une situation fait parfois l’objet d’une véritable démonstration, donnant à voir le procédé évaluatif (Essed, 1991) auquel se livrent les individus pour interpréter ce qu’iels vivent. La comparaison avec les autres, facilitée dans le contexte des études par l’insertion au quotidien au sein d’une promotion, peut servir à soutenir un raisonnement se rapprochant du </w:t>
      </w:r>
      <w:r>
        <w:rPr>
          <w:rFonts w:eastAsia="Calibri" w:cs="Times New Roman"/>
          <w:i/>
          <w:iCs/>
          <w14:ligatures w14:val="none"/>
        </w:rPr>
        <w:t>testing</w:t>
      </w:r>
      <w:r>
        <w:rPr>
          <w:rFonts w:eastAsia="Calibri" w:cs="Times New Roman"/>
          <w14:ligatures w14:val="none"/>
        </w:rPr>
        <w:t>, et certain·e·s étudiant·e·s cherchent ainsi à collecter des témoignages et des indices afin de déterminer le motif sous-jacent du traitement négatif vécu :</w:t>
      </w:r>
    </w:p>
    <w:p>
      <w:pPr>
        <w:pStyle w:val="Normal"/>
        <w:widowControl w:val="false"/>
        <w:spacing w:lineRule="exact" w:line="283" w:before="57" w:after="0"/>
        <w:ind w:start="567" w:end="567"/>
        <w:rPr>
          <w:rFonts w:ascii="Times New Roman" w:hAnsi="Times New Roman"/>
        </w:rPr>
      </w:pPr>
      <w:r>
        <w:rPr>
          <w:rFonts w:eastAsia="Calibri" w:cs="Times New Roman"/>
          <w:sz w:val="23"/>
          <w:szCs w:val="23"/>
          <w14:ligatures w14:val="none"/>
        </w:rPr>
        <w:t>Lors d'un cours avec activité en groupe, une professeure me demande de me parler à son bureau. […] Cette professeure parle au nom de l'ensemble de l'équipe pédagogique et passe 10 minutes à me reprocher toutes sortes de choses concernant mon travail. Elle me demande alors de ne pas réaliser le même travail que les autres élèves, mais de rendre un travail qui montre mon dévouement pour la formation […] car "ça se voit que je fais le strict minimum". […] Je prends rendez-vous avec d'autres professeurs […] j'apprends qu'ils ne sont même pas au courant, qu'ils n'ont absolument rien à me reprocher… Je contacte d'anciens élèves, et j'apprends que chaque année, cette histoire se déroule avec la même professeure, avec un même type d'élève : les élèves d'origine maghrébine ; sans aucune raison. (Étudiante française née de parents français vue comme Arabe ou Maghrébine, licence Sciences et techniques, université Schedar)</w:t>
      </w:r>
    </w:p>
    <w:p>
      <w:pPr>
        <w:pStyle w:val="Normal"/>
        <w:rPr>
          <w:rFonts w:ascii="Times New Roman" w:hAnsi="Times New Roman"/>
        </w:rPr>
      </w:pPr>
      <w:r>
        <w:rPr>
          <w:rFonts w:eastAsia="Calibri" w:cs="Times New Roman"/>
          <w14:ligatures w14:val="none"/>
        </w:rPr>
        <w:t>Bien qu’ayant mené une forme d’enquête, l’étudiante évite de recourir aux catégories de racisme ou de discrimination, laissant implicitement le soin aux chercheur·e·s de qualifier la situation décrite. Cette stratégie de délégation rejoint celle de Moussa, a</w:t>
      </w:r>
      <w:r>
        <w:rPr>
          <w:rFonts w:eastAsia="Calibri" w:cs="Calibri"/>
          <w14:ligatures w14:val="none"/>
        </w:rPr>
        <w:t>ncien étudiant en master d’une filière Économie, venu en France par le biais d’un prestigieux programme de bourses, et qui a subi de la part de ses camarades « français » une exclusion systématique des travaux de groupe, entraînant des retards ou des défaillances dans le rendu de ses devoirs. S</w:t>
      </w:r>
      <w:r>
        <w:rPr>
          <w:rFonts w:eastAsia="Calibri" w:cs="Times New Roman"/>
          <w14:ligatures w14:val="none"/>
        </w:rPr>
        <w:t>i dans l’entretien il n’hésite pas à qualifier ce qu’il vit de « racisme », il se garde de décrire en ces termes les faits lorsqu’il parle de sa situation à des enseignant·e·s, recourant plutôt au registre de « l’intégration » mais espérant que ces dernier·e·s en comprennent davantage :</w:t>
      </w:r>
    </w:p>
    <w:p>
      <w:pPr>
        <w:pStyle w:val="Normal"/>
        <w:widowControl w:val="false"/>
        <w:spacing w:lineRule="exact" w:line="283" w:before="57" w:after="0"/>
        <w:ind w:start="567" w:end="567"/>
        <w:rPr>
          <w:rFonts w:ascii="Times New Roman" w:hAnsi="Times New Roman"/>
        </w:rPr>
      </w:pPr>
      <w:r>
        <w:rPr>
          <w:rFonts w:eastAsia="Calibri" w:cs="Times New Roman"/>
          <w:sz w:val="23"/>
          <w:szCs w:val="23"/>
          <w14:ligatures w14:val="none"/>
        </w:rPr>
        <w:t>Même avec le professeur, là, on ne lui a pas dit clairement : "On subit le racisme", parce qu'il fallait expliquer, mais en expliquant on allait expliquer quoi ? On a juste dit : "On n'arrive pas à intégrer des groupes".</w:t>
      </w:r>
    </w:p>
    <w:p>
      <w:pPr>
        <w:pStyle w:val="Normal"/>
        <w:rPr>
          <w:rFonts w:ascii="Times New Roman" w:hAnsi="Times New Roman"/>
        </w:rPr>
      </w:pPr>
      <w:r>
        <w:rPr>
          <w:rFonts w:eastAsia="Calibri" w:cs="Times New Roman"/>
          <w14:ligatures w14:val="none"/>
        </w:rPr>
        <w:t xml:space="preserve">Moussa anticipe le fait de ne pas être cru et de ne pouvoir faire la preuve de ce qu’il avance. Probablement plus qu’une stratégie identitaire (Bouchareb, 2022), il s’agit là d’une tactique pour ne pas être la personne par qui arrive le « grand mot » de racisme. Cela témoigne d’une facette importante de l’expérience du racisme : les individus ont conscience du risque associé au recours explicite à cette catégorie, dans un contexte institutionnel (et national) qui confère au mot une lourde charge morale, et qui contraint le dicible à une justification spécifique </w:t>
      </w:r>
      <w:r>
        <w:rPr>
          <w:rFonts w:eastAsia="Calibri" w:cs="Calibri"/>
          <w14:ligatures w14:val="none"/>
        </w:rPr>
        <w:t>–</w:t>
      </w:r>
      <w:r>
        <w:rPr>
          <w:rFonts w:eastAsia="Calibri" w:cs="Times New Roman"/>
          <w14:ligatures w14:val="none"/>
        </w:rPr>
        <w:t xml:space="preserve"> justification d’autant plus attendue et moins aisée que le racisme est voilé.</w:t>
      </w:r>
    </w:p>
    <w:p>
      <w:pPr>
        <w:pStyle w:val="Normal"/>
        <w:keepNext w:val="true"/>
        <w:keepLines/>
        <w:numPr>
          <w:ilvl w:val="0"/>
          <w:numId w:val="0"/>
        </w:numPr>
        <w:spacing w:before="340" w:after="113"/>
        <w:ind w:hanging="0" w:start="0"/>
        <w:outlineLvl w:val="1"/>
        <w:rPr>
          <w:rFonts w:ascii="Times New Roman" w:hAnsi="Times New Roman"/>
        </w:rPr>
      </w:pPr>
      <w:r>
        <w:rPr>
          <w:rFonts w:eastAsia="Calibri" w:cs="Times New Roman"/>
          <w:b/>
          <w:bCs/>
          <w:color w:val="000000"/>
          <w:sz w:val="30"/>
          <w:szCs w:val="30"/>
          <w14:ligatures w14:val="none"/>
        </w:rPr>
        <w:t>IV/ L’importance subjective accordée aux situations vécues</w:t>
      </w:r>
    </w:p>
    <w:p>
      <w:pPr>
        <w:pStyle w:val="Normal"/>
        <w:keepNext w:val="true"/>
        <w:keepLines/>
        <w:numPr>
          <w:ilvl w:val="0"/>
          <w:numId w:val="0"/>
        </w:numPr>
        <w:spacing w:before="227" w:after="57"/>
        <w:ind w:hanging="0" w:start="0"/>
        <w:outlineLvl w:val="2"/>
        <w:rPr>
          <w:rFonts w:ascii="Times New Roman" w:hAnsi="Times New Roman"/>
        </w:rPr>
      </w:pPr>
      <w:r>
        <w:rPr>
          <w:rFonts w:eastAsia="Times New Roman" w:cs="Calibri"/>
          <w:b/>
          <w:bCs/>
          <w:sz w:val="26"/>
          <w:szCs w:val="26"/>
          <w14:ligatures w14:val="none"/>
        </w:rPr>
        <w:t>IV/ 1. Ce qui fait la gravité des situations</w:t>
      </w:r>
    </w:p>
    <w:p>
      <w:pPr>
        <w:pStyle w:val="Normal"/>
        <w:rPr>
          <w:rFonts w:ascii="Times New Roman" w:hAnsi="Times New Roman"/>
        </w:rPr>
      </w:pPr>
      <w:r>
        <w:rPr>
          <w:rFonts w:eastAsia="Calibri" w:cs="Times New Roman"/>
          <w14:ligatures w14:val="none"/>
        </w:rPr>
        <w:t xml:space="preserve">L'enquête Acadiscri appréhende l’importance subjective attribuée aux situations déclarées en permettant aux répondant·e·s de se prononcer sur leur gravité. Celle-ci renvoie potentiellement à plusieurs dimensions de l’expérience du racisme. Si la nature (à la fois objective et subjective) des situations </w:t>
      </w:r>
      <w:r>
        <w:rPr>
          <w:rFonts w:eastAsia="Calibri" w:cs="Calibri"/>
          <w14:ligatures w14:val="none"/>
        </w:rPr>
        <w:t>―</w:t>
      </w:r>
      <w:r>
        <w:rPr>
          <w:rFonts w:eastAsia="Calibri" w:cs="Times New Roman"/>
          <w14:ligatures w14:val="none"/>
        </w:rPr>
        <w:t xml:space="preserve"> plus ou moins dénigrantes, humiliantes, violentes </w:t>
      </w:r>
      <w:r>
        <w:rPr>
          <w:rFonts w:eastAsia="Calibri" w:cs="Calibri"/>
          <w14:ligatures w14:val="none"/>
        </w:rPr>
        <w:t>―</w:t>
      </w:r>
      <w:r>
        <w:rPr>
          <w:rFonts w:eastAsia="Calibri" w:cs="Times New Roman"/>
          <w14:ligatures w14:val="none"/>
        </w:rPr>
        <w:t xml:space="preserve"> joue bien sûr, la hiérarchie pénale n’est pas un indicateur suffisant pour comprendre l’appréciation subjective de leur gravité. En effet, les micro-agressions racistes sont jugées </w:t>
      </w:r>
      <w:r>
        <w:rPr/>
        <w:t xml:space="preserve">comme ayant un caractère de gravité par plus de la moitié (52 %) des étudiant·e·s qui les ont rapportés (dont 20,4% « assez graves », et </w:t>
      </w:r>
      <w:r>
        <w:rPr>
          <w:rFonts w:eastAsia="Calibri" w:cs="Times New Roman"/>
          <w14:ligatures w14:val="none"/>
        </w:rPr>
        <w:t>31,6% « très graves » ou ayant « créé un contexte difficile à supporter »).</w:t>
      </w:r>
    </w:p>
    <w:p>
      <w:pPr>
        <w:pStyle w:val="Normal"/>
        <w:rPr>
          <w:rFonts w:ascii="Times New Roman" w:hAnsi="Times New Roman"/>
        </w:rPr>
      </w:pPr>
      <w:r>
        <w:rPr>
          <w:rFonts w:eastAsia="Calibri" w:cs="Times New Roman"/>
          <w14:ligatures w14:val="none"/>
        </w:rPr>
        <w:t xml:space="preserve">Au-delà de leur forme, la perception subjective des faits n’est pas indépendante des contextes et des trajectoires sociales dans lesquels ils prennent place et sens, d’où des variations selon les caractéristiques des individus. Les résultats d’une régression (Tableau 4) montrent d'abord un effet du sexe : toutes choses égales par ailleurs, les femmes ont 1,8 fois plus de chances que les hommes de déclarer les situations vécues comme graves. Il est probable que l’expérience souvent précoce du sexisme au cours de leur trajectoire, comme les nouvelles formulations de l’enjeu de l’égalité des sexes dans la société actuelle depuis </w:t>
      </w:r>
      <w:r>
        <w:rPr>
          <w:rFonts w:eastAsia="Calibri" w:cs="Times New Roman"/>
          <w:i/>
          <w:iCs/>
          <w14:ligatures w14:val="none"/>
        </w:rPr>
        <w:t>#MeToo</w:t>
      </w:r>
      <w:r>
        <w:rPr>
          <w:rFonts w:eastAsia="Calibri" w:cs="Times New Roman"/>
          <w14:ligatures w14:val="none"/>
        </w:rPr>
        <w:t>, suscitent chez une partie des étudiantes une conscience plus forte des inégalités et des discriminations en général, incluant celles racistes, et de leur caractère systémique dans la société.</w:t>
      </w:r>
    </w:p>
    <w:p>
      <w:pPr>
        <w:pStyle w:val="Normal"/>
        <w:rPr>
          <w:rFonts w:ascii="Times New Roman" w:hAnsi="Times New Roman"/>
        </w:rPr>
      </w:pPr>
      <w:r>
        <w:rPr>
          <w:rFonts w:eastAsia="Calibri" w:cs="Times New Roman"/>
          <w14:ligatures w14:val="none"/>
        </w:rPr>
        <w:t>Par ailleurs, les étudiant·e·s ayant une plus grande ancienneté dans leur parcours et étant notamment inscrit·e·s en master ou plus ont 1,5 fois plus de probabilité de déclarer les faits comme graves (Tableau 4). Non seulement le temps passé à l’université fait croître le risque d’exposition objective à de tels événements, mais l’âge et la socialisation intellectuelle dans le cadre d’études plus longues pourraient accroître la conscientisation de ces questions, en favorisant un rapport plus critique au monde social.</w:t>
      </w:r>
    </w:p>
    <w:p>
      <w:pPr>
        <w:pStyle w:val="Normal"/>
        <w:rPr>
          <w:rFonts w:ascii="Times New Roman" w:hAnsi="Times New Roman" w:eastAsia="Calibri" w:cs="Times New Roman"/>
          <w14:ligatures w14:val="none"/>
        </w:rPr>
      </w:pPr>
      <w:r>
        <w:rPr>
          <w:rFonts w:eastAsia="Calibri" w:cs="Times New Roman"/>
          <w14:ligatures w14:val="none"/>
        </w:rPr>
        <w:t>Enfin, le statut d’immigré·e augmente de 5 fois la probabilité de déclarer graves les situations racistes vécues à l’université, toutes choses égales par ailleurs, par rapport aux étudiant·e·s français·e·s né·e·s de parents français (Tableau 4).</w:t>
      </w:r>
    </w:p>
    <w:p>
      <w:pPr>
        <w:pStyle w:val="Normal"/>
        <w:jc w:val="center"/>
        <w:rPr>
          <w:rFonts w:ascii="Times New Roman" w:hAnsi="Times New Roman"/>
        </w:rPr>
      </w:pPr>
      <w:r>
        <w:rPr>
          <w:rFonts w:eastAsia="Calibri" w:cs="Times New Roman"/>
          <w:b/>
          <w:bCs/>
          <w14:ligatures w14:val="none"/>
        </w:rPr>
        <w:t>Tableau 4</w:t>
      </w:r>
    </w:p>
    <w:p>
      <w:pPr>
        <w:pStyle w:val="Normal"/>
        <w:rPr>
          <w:rFonts w:ascii="Times New Roman" w:hAnsi="Times New Roman"/>
        </w:rPr>
      </w:pPr>
      <w:r>
        <w:rPr>
          <w:rFonts w:eastAsia="Times New Roman" w:cs="Times New Roman"/>
          <w:lang w:eastAsia="fr-FR"/>
          <w14:ligatures w14:val="none"/>
        </w:rPr>
        <w:t>Les verbatims permettent d’éclairer certains des mécanismes en jeu dans l’expérience spécifique des étudiant·e·s</w:t>
      </w:r>
      <w:r>
        <w:rPr>
          <w:rFonts w:eastAsia="Calibri" w:cs="Times New Roman"/>
          <w:color w:val="000000"/>
          <w14:ligatures w14:val="none"/>
        </w:rPr>
        <w:t xml:space="preserve"> ayant immigré pour poursuivre leurs études. L’enquête TeO tendait à souligner une plus forte déclaration du racisme et des discriminations chez les enfants d’immigré·e·s par rapport aux immigré·e·s, en raison à la fois de leur intériorisation des valeurs méritocratiques et de leurs relations sociales plus fréquentes avec les majoritaires (Hamel, Lesné &amp; Primon, 2015). S’agissant des étudiant·e·s, ces facteurs semblent ici moins en jeu : les contacts sont généralement mixtes dans le cadre universitaire, quoiqu’à des degrés variables, et pour les personnes immigrées la scolarité en France est investie d’espoirs de promotion sociale et intellectuelle. C’est plutôt alors la découverte matérielle du racisme, qui souvent coïncide avec l’entrée à l’université en France, qui peut créer un « stress post-migratoire » spécifique (Quassoli et Colombo, 2023). Les étudiant·e·s venu·e·s en France pour leurs études constatent que leurs représentations de l’université et du pays sont prises en défaut, et que leurs efforts d’adaptation ne seront pas nécessairement reconnus :</w:t>
      </w:r>
    </w:p>
    <w:p>
      <w:pPr>
        <w:pStyle w:val="Normal"/>
        <w:widowControl w:val="false"/>
        <w:spacing w:lineRule="exact" w:line="283" w:before="57" w:after="0"/>
        <w:ind w:start="567" w:end="567"/>
        <w:rPr>
          <w:rFonts w:ascii="Times New Roman" w:hAnsi="Times New Roman"/>
        </w:rPr>
      </w:pPr>
      <w:r>
        <w:rPr>
          <w:rFonts w:eastAsia="Calibri" w:cs="Times New Roman"/>
          <w:sz w:val="23"/>
          <w:szCs w:val="23"/>
          <w14:ligatures w14:val="none"/>
        </w:rPr>
        <w:t>Une discussion, lors de mon premier jour à la fac, m'a marquée, et a pour moi été le moment où mes illusions de ce que serait ma vie en France ont été brisées. Nous devions lors d'un jeu en équipe faire un cri de guerre par groupe, et une fille s'est tournée vers moi et m'a dit « s'il te plait ne fais pas vos "youyouyou" ». Avant cela, elle m'a fait un monologue de son expérience en Tunisie et comment elle considère mon pays comme "insalubre", un pays, selon elle, pas développé. Elle s'est permise de me regarder de haut, moi et le pays dans lequel j'ai grandi. (Étudiante vue comme Arabe ou Maghrébine, fille d’immigré·e·s, licence Droit, économie et gestion, Université Hyadum)</w:t>
      </w:r>
    </w:p>
    <w:p>
      <w:pPr>
        <w:pStyle w:val="Normal"/>
        <w:rPr>
          <w:rFonts w:ascii="Times New Roman" w:hAnsi="Times New Roman"/>
        </w:rPr>
      </w:pPr>
      <w:r>
        <w:rPr>
          <w:rFonts w:eastAsia="Calibri" w:cs="Times New Roman"/>
          <w14:ligatures w14:val="none"/>
        </w:rPr>
        <w:t xml:space="preserve">Au sujet de la mixité des contacts à l’université, on observe toutes choses égales par ailleurs que les formations qui scolarisent une proportion importante d’étudiant·e·s racisé·e·s (40 % et plus) sont celles où les probabilités de déclarer de tels événements racistes et de souligner leur gravité sont deux fois moins élevées </w:t>
      </w:r>
      <w:r>
        <w:rPr>
          <w:rFonts w:eastAsia="Calibri" w:cs="Calibri"/>
          <w14:ligatures w14:val="none"/>
        </w:rPr>
        <w:t>―</w:t>
      </w:r>
      <w:r>
        <w:rPr>
          <w:rFonts w:eastAsia="Calibri" w:cs="Times New Roman"/>
          <w14:ligatures w14:val="none"/>
        </w:rPr>
        <w:t xml:space="preserve"> relativement aux étudiant·e·s minorisé·e·s inscrit·e·s dans des filières où cette proportion s’établit à 20 %-40 % (Tableau 4). La coprésence de pairs racisé·e·s semble donc créer un environnement plus sécurisant.</w:t>
      </w:r>
      <w:r>
        <w:rPr>
          <w:rFonts w:eastAsia="Calibri" w:cs="Times New Roman"/>
          <w:i/>
          <w:iCs/>
          <w14:ligatures w14:val="none"/>
        </w:rPr>
        <w:t xml:space="preserve"> A contrario</w:t>
      </w:r>
      <w:r>
        <w:rPr>
          <w:rFonts w:eastAsia="Calibri" w:cs="Times New Roman"/>
          <w14:ligatures w14:val="none"/>
        </w:rPr>
        <w:t>, dans les entretiens qualitatifs conduits avec des étudiant·e·s racisé·e·s inscrit·e·s dans des filières plus sélectives socialement et majoritairement fréquenté·e·s par des étudiant·e·s « blanc·hes », le récit d’épisodes de racisme tient une place beaucoup plus importante. Par exemple, Samia, inscrite dans une formation relativement élitiste, très « masculine » et « blanche », commente abondamment les blagues sexistes et racistes qui marquent au quotidien la sociabilité entre les « garçons » de sa promotion :</w:t>
      </w:r>
    </w:p>
    <w:p>
      <w:pPr>
        <w:pStyle w:val="Normal"/>
        <w:widowControl w:val="false"/>
        <w:tabs>
          <w:tab w:val="clear" w:pos="708"/>
          <w:tab w:val="left" w:pos="560" w:leader="none"/>
          <w:tab w:val="left" w:pos="1140" w:leader="none"/>
          <w:tab w:val="left" w:pos="1700" w:leader="none"/>
          <w:tab w:val="left" w:pos="2260" w:leader="none"/>
          <w:tab w:val="left" w:pos="2840" w:leader="none"/>
          <w:tab w:val="left" w:pos="3400" w:leader="none"/>
          <w:tab w:val="left" w:pos="3980" w:leader="none"/>
          <w:tab w:val="left" w:pos="4540" w:leader="none"/>
          <w:tab w:val="left" w:pos="5100" w:leader="none"/>
          <w:tab w:val="left" w:pos="5660" w:leader="none"/>
          <w:tab w:val="left" w:pos="6240" w:leader="none"/>
          <w:tab w:val="left" w:pos="6800" w:leader="none"/>
          <w:tab w:val="left" w:pos="7380" w:leader="none"/>
          <w:tab w:val="left" w:pos="7940" w:leader="none"/>
          <w:tab w:val="left" w:pos="8500" w:leader="none"/>
          <w:tab w:val="left" w:pos="9080" w:leader="none"/>
          <w:tab w:val="left" w:pos="9640" w:leader="none"/>
          <w:tab w:val="left" w:pos="10200" w:leader="none"/>
          <w:tab w:val="left" w:pos="10760" w:leader="none"/>
          <w:tab w:val="left" w:pos="11320" w:leader="none"/>
          <w:tab w:val="left" w:pos="11900" w:leader="none"/>
        </w:tabs>
        <w:spacing w:lineRule="exact" w:line="283" w:before="57" w:after="0"/>
        <w:ind w:start="567" w:end="567"/>
        <w:rPr>
          <w:rFonts w:ascii="Times New Roman" w:hAnsi="Times New Roman"/>
        </w:rPr>
      </w:pPr>
      <w:r>
        <w:rPr>
          <w:rFonts w:eastAsia="Calibri" w:cs="Times New Roman"/>
          <w:color w:val="000000"/>
          <w:sz w:val="23"/>
          <w:szCs w:val="23"/>
          <w14:ligatures w14:val="none"/>
        </w:rPr>
        <w:t>Ils ne se cachent pas, ils rigolent à pleine gorge […]. Je pense qu'en fait ils ne mesurent même pas la gravité de leurs propos […]. On comprend, quand peut-être on a cinq ans et qu'on n’a pas compris les choses, mais quand on en a vingt-deux et qu'on rigole comme un gamin de cinq ans à des blagues racistes, machistes, etc., bon ben voilà. […] Et on se dit : c'est eux les futurs, disons cadres, ou que sais-je, qu'on va mettre entre guillemets sur un piédestal… (Samia, étudiante en master Finance, fille d’immigré·e·s marocain·e·s)</w:t>
      </w:r>
    </w:p>
    <w:p>
      <w:pPr>
        <w:pStyle w:val="Normal"/>
        <w:rPr>
          <w:rFonts w:ascii="Times New Roman" w:hAnsi="Times New Roman"/>
        </w:rPr>
      </w:pPr>
      <w:r>
        <w:rPr>
          <w:rFonts w:eastAsia="Calibri" w:cs="Times New Roman"/>
          <w14:ligatures w14:val="none"/>
        </w:rPr>
        <w:t>Comme on le voit ici,</w:t>
      </w:r>
      <w:r>
        <w:rPr>
          <w:rFonts w:eastAsia="Calibri" w:cs="Times New Roman"/>
          <w:lang w:eastAsia="fr-FR"/>
          <w14:ligatures w14:val="none"/>
        </w:rPr>
        <w:t xml:space="preserve"> ce qui fait la gravité d’une situation est d’abord son caractère relativement inattendu dans un contexte donné. Les étudiant·e·s s’imaginent souvent l’université comme un espace défendant des valeurs égalitaires, dédié à l’ouverture, au savoir, à la réflexivité et à la maturité intellectuelles (relativement à l’école et à l’enfance), et formant, comme le dit Samia, les « futurs cadres » de la société. La confrontation au racisme, directe ou non, remet brutalement en cause cette représentation idéalisée</w:t>
      </w:r>
      <w:r>
        <w:rPr>
          <w:rFonts w:eastAsia="Calibri" w:cs="Calibri"/>
          <w14:ligatures w14:val="none"/>
        </w:rPr>
        <w:t>. C’est donc sous l’angle de la surprise, voire du « choc » que ces situations sont relatées, l’écart entre les attentes et le réel étant au fondement de la violence vue ou vécue :</w:t>
      </w:r>
    </w:p>
    <w:p>
      <w:pPr>
        <w:pStyle w:val="Normal"/>
        <w:spacing w:lineRule="exact" w:line="283" w:before="57" w:after="0"/>
        <w:ind w:start="567" w:end="567"/>
        <w:rPr>
          <w:rFonts w:ascii="Times New Roman" w:hAnsi="Times New Roman"/>
        </w:rPr>
      </w:pPr>
      <w:r>
        <w:rPr>
          <w:rFonts w:eastAsia="Calibri" w:cs="Calibri"/>
          <w:sz w:val="23"/>
          <w:szCs w:val="23"/>
          <w14:ligatures w14:val="none"/>
        </w:rPr>
        <w:t>Moi, ça m’a choquée, dans le milieu universitaire. Quand ça vient de dehors, […] je me dis c’est normal. Mais dans le milieu universitaire, ça me choque, honnêtement. […] Dans une université où on est censé développer le savoir, avoir ces préjugés, ça pèse. (Safia, doctorante, qui a vécu des discriminations liées au port du foulard à l’université)</w:t>
      </w:r>
    </w:p>
    <w:p>
      <w:pPr>
        <w:pStyle w:val="Normal"/>
        <w:rPr>
          <w:rFonts w:ascii="Times New Roman" w:hAnsi="Times New Roman"/>
        </w:rPr>
      </w:pPr>
      <w:r>
        <w:rPr>
          <w:rFonts w:eastAsia="Calibri" w:cs="Times New Roman"/>
          <w:lang w:eastAsia="fr-FR"/>
          <w14:ligatures w14:val="none"/>
        </w:rPr>
        <w:t>L</w:t>
      </w:r>
      <w:r>
        <w:rPr>
          <w:rFonts w:eastAsia="Calibri" w:cs="Times New Roman"/>
          <w14:ligatures w14:val="none"/>
        </w:rPr>
        <w:t xml:space="preserve">es verbatims et les entretiens montrent que les interactions racistes prennent souvent sens dans un rapport de classement (de la part des enseignant·e·s) et de concurrence (entre étudiant·e·s), révélant aux personnes racisées que l’accès à l’université </w:t>
      </w:r>
      <w:r>
        <w:rPr>
          <w:rFonts w:eastAsia="Calibri" w:cs="Calibri"/>
          <w14:ligatures w14:val="none"/>
        </w:rPr>
        <w:t>–</w:t>
      </w:r>
      <w:r>
        <w:rPr>
          <w:rFonts w:eastAsia="Calibri" w:cs="Times New Roman"/>
          <w14:ligatures w14:val="none"/>
        </w:rPr>
        <w:t xml:space="preserve"> qui pour beaucoup a pu relever d’un combat contre le déterminisme socio-scolaire </w:t>
      </w:r>
      <w:r>
        <w:rPr>
          <w:rFonts w:eastAsia="Calibri" w:cs="Calibri"/>
          <w14:ligatures w14:val="none"/>
        </w:rPr>
        <w:t>– n</w:t>
      </w:r>
      <w:r>
        <w:rPr>
          <w:rFonts w:eastAsia="Calibri" w:cs="Times New Roman"/>
          <w14:ligatures w14:val="none"/>
        </w:rPr>
        <w:t xml:space="preserve">e constitue pas en soi la légitimité à y être aux yeux des autres. Ces épisodes racistes soulignent que l’enjeu social de l’université n’est pas uniquement d’apprendre, </w:t>
      </w:r>
      <w:r>
        <w:rPr>
          <w:rFonts w:eastAsia="Calibri" w:cs="Times New Roman"/>
          <w:i/>
          <w:iCs/>
          <w14:ligatures w14:val="none"/>
        </w:rPr>
        <w:t>a fortiori</w:t>
      </w:r>
      <w:r>
        <w:rPr>
          <w:rFonts w:eastAsia="Calibri" w:cs="Times New Roman"/>
          <w14:ligatures w14:val="none"/>
        </w:rPr>
        <w:t xml:space="preserve"> collectivement, mais de trier et sélectionner </w:t>
      </w:r>
      <w:r>
        <w:rPr>
          <w:rFonts w:eastAsia="Calibri" w:cs="Calibri"/>
          <w14:ligatures w14:val="none"/>
        </w:rPr>
        <w:t>–</w:t>
      </w:r>
      <w:r>
        <w:rPr>
          <w:rFonts w:eastAsia="Calibri" w:cs="Times New Roman"/>
          <w14:ligatures w14:val="none"/>
        </w:rPr>
        <w:t xml:space="preserve"> processus dans lesquels les étudiant·e·s découvrent le rôle que peut tenir la race, en particulier celles et ceux vu·e·s comme noir·e·s :</w:t>
      </w:r>
    </w:p>
    <w:p>
      <w:pPr>
        <w:pStyle w:val="Normal"/>
        <w:widowControl w:val="false"/>
        <w:spacing w:lineRule="exact" w:line="283" w:before="57" w:after="0"/>
        <w:ind w:start="567" w:end="567"/>
        <w:rPr>
          <w:rFonts w:ascii="Times New Roman" w:hAnsi="Times New Roman"/>
        </w:rPr>
      </w:pPr>
      <w:r>
        <w:rPr>
          <w:rFonts w:eastAsia="Calibri" w:cs="Times New Roman"/>
          <w:sz w:val="23"/>
          <w:szCs w:val="23"/>
          <w14:ligatures w14:val="none"/>
        </w:rPr>
        <w:t xml:space="preserve">Une [étudiante de mon groupe] m'a parlé en haussant le ton et en me traitant comme si je n'étais pas assez intelligente alors que j'avais de bonnes idées. Elle ne supportait pas qu'une personne de ma couleur soit aussi brillante. </w:t>
      </w:r>
      <w:r>
        <w:rPr>
          <w:rFonts w:eastAsia="Calibri" w:cs="Times New Roman"/>
          <w:sz w:val="23"/>
          <w:szCs w:val="23"/>
          <w:lang w:eastAsia="fr-FR"/>
          <w14:ligatures w14:val="none"/>
        </w:rPr>
        <w:t>(Étudiante immigrée vue comme noire, master Économie et gestion, université Pollux)</w:t>
      </w:r>
    </w:p>
    <w:p>
      <w:pPr>
        <w:pStyle w:val="Normal"/>
        <w:widowControl w:val="false"/>
        <w:spacing w:lineRule="exact" w:line="283" w:before="57" w:after="0"/>
        <w:ind w:start="567" w:end="567"/>
        <w:rPr>
          <w:rFonts w:ascii="Times New Roman" w:hAnsi="Times New Roman"/>
        </w:rPr>
      </w:pPr>
      <w:r>
        <w:rPr>
          <w:rFonts w:eastAsia="Calibri" w:cs="Times New Roman"/>
          <w:color w:val="000000"/>
          <w:sz w:val="23"/>
          <w:szCs w:val="23"/>
          <w14:ligatures w14:val="none"/>
        </w:rPr>
        <w:t xml:space="preserve">Faire des blagues en référence à l'esclavage dès que je suis dans un certain groupe, utiliser des termes comme "bamboula", etc. Me faire sentir que je suis différent des autres par ma couleur et que je ne suis pas à ma place, tout ça caché sous des moqueries ou des vannes. </w:t>
      </w:r>
      <w:r>
        <w:rPr>
          <w:rFonts w:eastAsia="Calibri" w:cs="Times New Roman"/>
          <w:sz w:val="23"/>
          <w:szCs w:val="23"/>
          <w:lang w:eastAsia="fr-FR"/>
          <w14:ligatures w14:val="none"/>
        </w:rPr>
        <w:t>(Étudiant vu comme noir, fils d’immigré·e·s, licence, université Eltanin)</w:t>
      </w:r>
    </w:p>
    <w:p>
      <w:pPr>
        <w:pStyle w:val="Normal"/>
        <w:rPr>
          <w:rFonts w:ascii="Times New Roman" w:hAnsi="Times New Roman"/>
        </w:rPr>
      </w:pPr>
      <w:r>
        <w:rPr>
          <w:rFonts w:eastAsia="Calibri" w:cs="Times New Roman"/>
          <w:color w:val="000000"/>
          <w14:ligatures w14:val="none"/>
        </w:rPr>
        <w:t>Ce second exemple, comme les propos de Samia cités plus haut, soulignent l’importance d’une autre dimension qui influence la perception de la gravité des faits : le caractère public des interactions disqualifiantes. Dans les verbatims, la récurrence</w:t>
      </w:r>
      <w:r>
        <w:rPr>
          <w:rFonts w:eastAsia="Calibri" w:cs="Times New Roman"/>
          <w14:ligatures w14:val="none"/>
        </w:rPr>
        <w:t xml:space="preserve"> de formules insistant sur la dimension non seulement de visibilité publique des actes, mais d’exposition des victimes </w:t>
      </w:r>
      <w:r>
        <w:rPr>
          <w:rFonts w:eastAsia="Calibri" w:cs="Times New Roman"/>
          <w:color w:val="000000"/>
          <w14:ligatures w14:val="none"/>
        </w:rPr>
        <w:t>est</w:t>
      </w:r>
      <w:r>
        <w:rPr>
          <w:rFonts w:eastAsia="Calibri" w:cs="Times New Roman"/>
          <w14:ligatures w14:val="none"/>
        </w:rPr>
        <w:t xml:space="preserve"> frappante :</w:t>
      </w:r>
      <w:r>
        <w:rPr>
          <w:rFonts w:eastAsia="Calibri" w:cs="Times New Roman"/>
          <w:color w:val="000000"/>
          <w14:ligatures w14:val="none"/>
        </w:rPr>
        <w:t xml:space="preserve"> « [me] dénigrant devant les autres élèves », « il commentait mon projet en face de toute la classe », etc. Les situations de discrédit public ont des effets importants d’humiliation :</w:t>
      </w:r>
    </w:p>
    <w:p>
      <w:pPr>
        <w:pStyle w:val="Normal"/>
        <w:widowControl w:val="false"/>
        <w:spacing w:lineRule="exact" w:line="283" w:before="57" w:after="0"/>
        <w:ind w:start="567" w:end="567"/>
        <w:rPr>
          <w:rFonts w:ascii="Times New Roman" w:hAnsi="Times New Roman"/>
        </w:rPr>
      </w:pPr>
      <w:r>
        <w:rPr>
          <w:rFonts w:eastAsia="Calibri" w:cs="Times New Roman"/>
          <w:color w:val="000000"/>
          <w:sz w:val="23"/>
          <w:szCs w:val="23"/>
          <w14:ligatures w14:val="none"/>
        </w:rPr>
        <w:t>J'ai des cheveux frisés que je porte souvent au naturel (sous forme d'afro) et un prof m'a pointée du doigt en TD devant toute la classe en me disant "regardez bien ce qui se passe quand on met les doigts dans la prise". Je me suis sentie humiliée. (Étudiante, fille d’un seul parent immigré, licence Sciences humaines et sociales, université Schedar)</w:t>
      </w:r>
    </w:p>
    <w:p>
      <w:pPr>
        <w:pStyle w:val="Normal"/>
        <w:widowControl w:val="false"/>
        <w:spacing w:lineRule="exact" w:line="283" w:before="57" w:after="0"/>
        <w:ind w:start="567" w:end="567"/>
        <w:rPr>
          <w:rFonts w:ascii="Times New Roman" w:hAnsi="Times New Roman"/>
        </w:rPr>
      </w:pPr>
      <w:r>
        <w:rPr>
          <w:rFonts w:eastAsia="Calibri" w:cs="Times New Roman"/>
          <w:sz w:val="23"/>
          <w:szCs w:val="23"/>
          <w14:ligatures w14:val="none"/>
        </w:rPr>
        <w:t>Chargé de TD qui se moque de mon nom de famille en l'écorchant lors d'une séance de TD. Sensation d'être humiliée devant la classe. (Étudiante, fille d’un seul parent immigré, licence Droit, université Hoedus)</w:t>
      </w:r>
    </w:p>
    <w:p>
      <w:pPr>
        <w:pStyle w:val="Normal"/>
        <w:rPr>
          <w:rFonts w:ascii="Times New Roman" w:hAnsi="Times New Roman"/>
        </w:rPr>
      </w:pPr>
      <w:bookmarkStart w:id="1" w:name="ZOTERO_ITEM_CSL_CITATION_{&quot;citationID&quot;%2"/>
      <w:r>
        <w:rPr>
          <w:rFonts w:eastAsia="Calibri" w:cs="Times New Roman"/>
          <w:color w:val="000000"/>
          <w14:ligatures w14:val="none"/>
        </w:rPr>
        <w:t xml:space="preserve">La gravité conférée à ces faits semble liée à la signification socio-politique de ces gestes : en dégradant publiquement et en prenant le collectif à témoin, il s’agit de performer aux yeux de tou·tes des normes qui organisent l’espace de l’université, conduisant simultanément à reproduire l’ordre hiérarchique par la démonstration de pouvoir des auteurs et autrices, et à </w:t>
      </w:r>
      <w:r>
        <w:rPr>
          <w:rFonts w:eastAsia="Calibri" w:cs="Times New Roman"/>
          <w:i/>
          <w:iCs/>
          <w:color w:val="000000"/>
          <w14:ligatures w14:val="none"/>
        </w:rPr>
        <w:t>mon(s)trer</w:t>
      </w:r>
      <w:r>
        <w:rPr>
          <w:rFonts w:eastAsia="Calibri" w:cs="Times New Roman"/>
          <w:color w:val="000000"/>
          <w14:ligatures w14:val="none"/>
        </w:rPr>
        <w:t xml:space="preserve"> des personnes supposées non conformes.</w:t>
      </w:r>
      <w:bookmarkEnd w:id="1"/>
    </w:p>
    <w:p>
      <w:pPr>
        <w:pStyle w:val="Normal"/>
        <w:keepNext w:val="true"/>
        <w:keepLines/>
        <w:numPr>
          <w:ilvl w:val="0"/>
          <w:numId w:val="0"/>
        </w:numPr>
        <w:spacing w:before="227" w:after="57"/>
        <w:ind w:hanging="0" w:start="0"/>
        <w:outlineLvl w:val="2"/>
        <w:rPr>
          <w:rFonts w:ascii="Times New Roman" w:hAnsi="Times New Roman"/>
        </w:rPr>
      </w:pPr>
      <w:r>
        <w:rPr>
          <w:rFonts w:eastAsia="Times New Roman" w:cs="Calibri"/>
          <w:b/>
          <w:bCs/>
          <w:sz w:val="26"/>
          <w:szCs w:val="26"/>
          <w14:ligatures w14:val="none"/>
        </w:rPr>
        <w:t>IV/ 2. Conscientisation politique et perception de la gravité</w:t>
      </w:r>
    </w:p>
    <w:p>
      <w:pPr>
        <w:pStyle w:val="Normal"/>
        <w:rPr>
          <w:rFonts w:ascii="Times New Roman" w:hAnsi="Times New Roman"/>
        </w:rPr>
      </w:pPr>
      <w:r>
        <w:rPr>
          <w:rFonts w:eastAsia="Calibri" w:cs="Times New Roman"/>
          <w:color w:val="000000"/>
          <w14:ligatures w14:val="none"/>
        </w:rPr>
        <w:t>Une autre dimension permettant d’éclairer le degré de gravité accordé aux faits est le processus de conscientisation. Celui-ci renvoie à la fois à la constitution d’une expertise concernant le caractère raciste et discriminatoire des situations (Blassel 2021 ; Essed 1991) mais aussi, plus largement, à une prise de conscience critique des systèmes de domination qui s’imposent à soi, et de sa propre position de discriminable (Freire 1974). S’agissant du racisme (comme d’autres rapports de domination), la conscientisation se nourrit d’une perception politisée du monde qui permet de désingulariser l’expérience vécue, de ne plus l’interpréter comme un fait isolé ayant des causes individuelles (</w:t>
      </w:r>
      <w:r>
        <w:rPr>
          <w:rFonts w:eastAsia="Calibri" w:cs="Times New Roman"/>
          <w14:ligatures w14:val="none"/>
        </w:rPr>
        <w:t xml:space="preserve">Boltanski, Darré &amp; Schiltz 1984 ; </w:t>
      </w:r>
      <w:r>
        <w:rPr>
          <w:rFonts w:eastAsia="Calibri" w:cs="Times New Roman"/>
          <w:color w:val="000000"/>
          <w14:ligatures w14:val="none"/>
        </w:rPr>
        <w:t xml:space="preserve">Hamidi 2006) et de reconnaître le caractère structurel des discriminations (Druez et Durand 2023 ; </w:t>
      </w:r>
      <w:r>
        <w:rPr>
          <w:rFonts w:eastAsia="Calibri" w:cs="Times New Roman"/>
          <w14:ligatures w14:val="none"/>
        </w:rPr>
        <w:t>Primon et Simon 2018</w:t>
      </w:r>
      <w:r>
        <w:rPr>
          <w:rFonts w:eastAsia="Calibri" w:cs="Times New Roman"/>
          <w:color w:val="000000"/>
          <w14:ligatures w14:val="none"/>
        </w:rPr>
        <w:t>).</w:t>
      </w:r>
    </w:p>
    <w:p>
      <w:pPr>
        <w:pStyle w:val="Normal"/>
        <w:rPr>
          <w:rFonts w:ascii="Times New Roman" w:hAnsi="Times New Roman"/>
        </w:rPr>
      </w:pPr>
      <w:r>
        <w:rPr/>
        <w:t xml:space="preserve">Pour approcher cela, le questionnaire invitait les répondant·e·s à se prononcer sur la prégnance des discriminations raciales et religieuses dans la société française en général, au-delà de leur expérience individuelle. Les réponses montrent que ces représentations sur les discriminations dans la société sont fortement associées à la perception de gravité des situations personnelles. Toutes choses égales par ailleurs, considérer les discriminations </w:t>
      </w:r>
      <w:r>
        <w:rPr>
          <w14:ligatures w14:val="none"/>
        </w:rPr>
        <w:t>raciales et religieuses comme « très </w:t>
      </w:r>
      <w:r>
        <w:rPr/>
        <w:t xml:space="preserve">répandues dans la société française » multiplie de </w:t>
      </w:r>
      <w:r>
        <w:rPr>
          <w14:ligatures w14:val="none"/>
        </w:rPr>
        <w:t>2,2 à 2,5 fois</w:t>
      </w:r>
      <w:r>
        <w:rPr/>
        <w:t xml:space="preserve"> la probabilité de juger graves les faits vécus, y compris les micro-agressions, alors que </w:t>
      </w:r>
      <w:r>
        <w:rPr>
          <w14:ligatures w14:val="none"/>
        </w:rPr>
        <w:t>minimiser le racisme divise cette probabilité par trois (Tableau 4)</w:t>
      </w:r>
      <w:r>
        <w:rPr/>
        <w:t>.</w:t>
      </w:r>
    </w:p>
    <w:p>
      <w:pPr>
        <w:pStyle w:val="Normal"/>
        <w:rPr>
          <w:rFonts w:ascii="Times New Roman" w:hAnsi="Times New Roman"/>
        </w:rPr>
      </w:pPr>
      <w:r>
        <w:rPr>
          <w:rFonts w:eastAsia="Calibri" w:cs="Times New Roman"/>
          <w:color w:val="000000"/>
          <w14:ligatures w14:val="none"/>
        </w:rPr>
        <w:t>Nos données montrent aussi que l'intérêt pour la politique est un facteur important influençant la gravité perçue des faits. Une fois les effets de l’origine sociale et des performances scolaires contrôlés, les</w:t>
      </w:r>
      <w:r>
        <w:rPr>
          <w:rFonts w:eastAsia="Calibri" w:cs="Times New Roman"/>
          <w14:ligatures w14:val="none"/>
        </w:rPr>
        <w:t xml:space="preserve"> étudiant·e·s racisé·e·s qui déclarent s’intéresser « beaucoup » à la politique présentent</w:t>
      </w:r>
      <w:r>
        <w:rPr>
          <w:rFonts w:eastAsia="Calibri" w:cs="Times New Roman"/>
          <w:color w:val="000000"/>
          <w14:ligatures w14:val="none"/>
        </w:rPr>
        <w:t xml:space="preserve"> </w:t>
      </w:r>
      <w:r>
        <w:rPr>
          <w:rFonts w:eastAsia="Calibri" w:cs="Times New Roman"/>
          <w14:ligatures w14:val="none"/>
        </w:rPr>
        <w:t>1,6 fois plus de chance de qualifier les faits de graves relativement au groupe de référence (« assez ») ; à l’inverse, les étudiant·e·s minorisé·e·s ne s’intéressant « pas du tout » à la chose politique ont 1,4 fois moins de chance de déclarer des faits « graves » (Tableau 4).</w:t>
      </w:r>
    </w:p>
    <w:p>
      <w:pPr>
        <w:pStyle w:val="Normal"/>
        <w:rPr>
          <w:rFonts w:ascii="Times New Roman" w:hAnsi="Times New Roman"/>
        </w:rPr>
      </w:pPr>
      <w:r>
        <w:rPr>
          <w:rFonts w:eastAsia="Calibri" w:cs="Times New Roman"/>
          <w14:ligatures w14:val="none"/>
        </w:rPr>
        <w:t>Déclarer des situations vécues à l’occasion d’une enquête, les relier à des motifs raciaux, et enfin en souligner la gravité, nécessitent donc au préalable un travail (cognitif et politique) de conscientisation. Bien souvent, celui-ci s’appuie sur des formes de socialisation politique antérieures à l’université : dans le cas de Samia par exemple, c’est sa mère, très politisée, travailleuse sociale engagée auprès des migrant·e·s, qui a contribué à forger sa sensibilité au racisme et aux discriminations, ce qui lui rend particulièrement insupportables les blagues racistes de ses camarades masculins, même si elles ne la visent pas directement. Mais le cadre universitaire peut renforcer ces dispositions politiques antérieures par la place que peuvent y prendre les discussions de portée politique. Dans le verbatim suivant, la politisation de l’étudiante lui permet de désingulariser le racisme vécu et d’assumer le conflit sous un angle politique à travers « des oppositions » à des pairs comme à des enseignants :</w:t>
      </w:r>
    </w:p>
    <w:p>
      <w:pPr>
        <w:pStyle w:val="Normal"/>
        <w:widowControl w:val="false"/>
        <w:spacing w:lineRule="exact" w:line="283" w:before="57" w:after="0"/>
        <w:ind w:start="567" w:end="567"/>
        <w:rPr>
          <w:rFonts w:ascii="Times New Roman" w:hAnsi="Times New Roman"/>
        </w:rPr>
      </w:pPr>
      <w:r>
        <w:rPr>
          <w:rFonts w:eastAsia="Calibri" w:cs="Times New Roman"/>
          <w:sz w:val="23"/>
          <w:szCs w:val="23"/>
          <w14:ligatures w14:val="none"/>
        </w:rPr>
        <w:t>Étant assez engagée à gauche et ne m'en cachant pas, dans une université plutôt à droite, et étant une femme avec un prénom d'origine étrangère, il m’est arrivé plusieurs fois d'avoir des oppositions à des étudiants ou des chargés de TD assez virulentes. (Étudiante perçue comme musulmane, fille de deux parents immigrés, licence Droit-Économie gestion, Université Hyadum)</w:t>
      </w:r>
    </w:p>
    <w:p>
      <w:pPr>
        <w:pStyle w:val="Normal"/>
        <w:keepNext w:val="true"/>
        <w:keepLines/>
        <w:numPr>
          <w:ilvl w:val="0"/>
          <w:numId w:val="0"/>
        </w:numPr>
        <w:spacing w:before="340" w:after="113"/>
        <w:ind w:hanging="0" w:start="0"/>
        <w:outlineLvl w:val="1"/>
        <w:rPr>
          <w:rFonts w:ascii="Times New Roman" w:hAnsi="Times New Roman"/>
        </w:rPr>
      </w:pPr>
      <w:r>
        <w:rPr>
          <w:rFonts w:eastAsia="Calibri" w:cs="Times New Roman"/>
          <w:b/>
          <w:bCs/>
          <w:sz w:val="30"/>
          <w:szCs w:val="30"/>
          <w14:ligatures w14:val="none"/>
        </w:rPr>
        <w:t>V/ Conclusion</w:t>
      </w:r>
    </w:p>
    <w:p>
      <w:pPr>
        <w:pStyle w:val="Normal"/>
        <w:widowControl w:val="false"/>
        <w:rPr>
          <w:rFonts w:ascii="Times New Roman" w:hAnsi="Times New Roman"/>
        </w:rPr>
      </w:pPr>
      <w:bookmarkStart w:id="2" w:name="_Hlk215086421"/>
      <w:r>
        <w:rPr>
          <w:rFonts w:eastAsia="Calibri" w:cs="Times New Roman"/>
          <w14:ligatures w14:val="none"/>
        </w:rPr>
        <w:t>Contrairement à l’une des hypothèses initiales qui avaient guidé la conception de l’enquête Acadiscri, le racisme voilé est loin d’épuiser la compréhension du phénomène tel qu’il se déploie dans le contexte universitaire. Les formes ordinaires de racisme, telles que les micro-agressions, y sont les plus répandues, mais cela ne signifie pas que le racisme soit toujours latent ou souterrain, au contraire, ces situations revêtent parfois un caractère ouvert.</w:t>
      </w:r>
    </w:p>
    <w:p>
      <w:pPr>
        <w:pStyle w:val="Normal"/>
        <w:widowControl w:val="false"/>
        <w:rPr>
          <w:rFonts w:ascii="Times New Roman" w:hAnsi="Times New Roman"/>
        </w:rPr>
      </w:pPr>
      <w:r>
        <w:rPr>
          <w:rFonts w:eastAsia="Calibri" w:cs="Times New Roman"/>
          <w14:ligatures w14:val="none"/>
        </w:rPr>
        <w:t>Si la notion de micro-agression est utile, c’est parce qu’elle pointe l’intérêt de porter le regard sur les formes microsociologiques d’un racisme « quotidien » (Essed, 1991). Mais elle présente aussi le risque de laisser penser que le racisme, ainsi défini comme « micro », découlerait essentiellement de préjugés individuels inconscients, serait surtout implicite (Hajjat, Zoubir, 2025), ou encore qu’il n’aurait pas de conséquences fortes sur les subjectivités et les parcours individuels. Le racisme dans l’ESR est en définitive un ensemble composite, fait de processus structurels, et, à un niveau microsociologique, de manifestations ouvertes d’hostilité, de comportements incorporés, tout autant que de « blagues ». En atténuant la charge négative des propos par sa forme, cet humour racialisé, prégnant dans l’enquête, rend le racisme plus difficile à dénoncer publiquement par les personnes visées, tout en actualisant l’infériorisation raciale de manière parfois très explicite.</w:t>
      </w:r>
    </w:p>
    <w:p>
      <w:pPr>
        <w:pStyle w:val="Normal"/>
        <w:widowControl w:val="false"/>
        <w:rPr>
          <w:rFonts w:ascii="Times New Roman" w:hAnsi="Times New Roman"/>
        </w:rPr>
      </w:pPr>
      <w:r>
        <w:rPr/>
        <w:t xml:space="preserve">Que le racisme soit saillant ou voilé, et quelle que soit leur forme, les situations vécues à l’université sont en tout cas très majoritairement considérées comme graves par les étudiant·e·s qui les rapportent. </w:t>
      </w:r>
      <w:r>
        <w:rPr>
          <w:rFonts w:eastAsia="Calibri" w:cs="Times New Roman"/>
          <w14:ligatures w14:val="none"/>
        </w:rPr>
        <w:t xml:space="preserve">L’appréciation subjective de la gravité des faits dépend cependant des trajectoires expérientielles spécifiques des individus, suscitant ou non une conscientisation accrue des discriminations. Les femmes et les immigré·e·s tendent à déclarer plus souvent que d’autres groupes des situations racistes graves. Dans le cas des étudiantes qui, très tôt, sont aussi exposées à diverses formes de sexisme, cette conscientisation a pu être forgée au fil du temps, alors que pour les étudiant·e·s arrivé·e·s en France pour leurs études, elle peut coïncider avec la « découverte » à l’université de la matérialité du racisme. </w:t>
      </w:r>
      <w:r>
        <w:rPr/>
        <w:t>Ces trajectoires expérientielles favorisant la conscientisation ont aussi une dimension politique : le rapport politique des étudiant·e·s à ces phénomènes, éventuellement nourri ou renforcé par la socialisation universitaire, joue sur la manière de les rapporter dans l’enquête.</w:t>
      </w:r>
    </w:p>
    <w:p>
      <w:pPr>
        <w:pStyle w:val="Normal"/>
        <w:widowControl w:val="false"/>
        <w:rPr>
          <w:rFonts w:ascii="Times New Roman" w:hAnsi="Times New Roman"/>
        </w:rPr>
      </w:pPr>
      <w:r>
        <w:rPr/>
        <w:t>L’importance du racisme vécu à l’université, d’autant plus dans des formes explicites, contredit le discours d’une institution universitaire qui se réclame de principes égalitaires et met en avant des dispositifs « équité, diversité, inclusion » ou « contre le racisme et l’antisémitisme ». Cette contradiction se comprend mieux lorsqu’on prend en considération la tension qui caractérise le fonctionnement et les normes sociales organisant l’université : d’un côté l’importance des dynamiques de concurrence, de tri et de hiérarchisation ; de l’autre, la valeur accordée à l’égalité, à la connaissance et à l’ouverture intellectuelle au monde. Le racisme vécu à l’université vient en définitive remettre en cause, parfois de manière brutale, les croyances égalitaires investies par nombre d’étudiant·e·s dans l’institution universitaire, en révélant ses normes de sélection et leur dimension potentiellement racialisée, dans un contexte global où les</w:t>
      </w:r>
      <w:r>
        <w:rPr>
          <w:rFonts w:eastAsia="Calibri" w:cs="Times New Roman"/>
          <w14:ligatures w14:val="none"/>
        </w:rPr>
        <w:t xml:space="preserve"> logiques de classement et de concurrence sont aujourd’hui exacerbées dans les institutions de formation (Hugrée et Poullaouec 2022</w:t>
      </w:r>
      <w:bookmarkEnd w:id="2"/>
      <w:r>
        <w:rPr>
          <w:rFonts w:eastAsia="Calibri" w:cs="Times New Roman"/>
          <w14:ligatures w14:val="none"/>
        </w:rPr>
        <w:t>).</w:t>
      </w:r>
    </w:p>
    <w:p>
      <w:pPr>
        <w:pStyle w:val="Normal"/>
        <w:widowControl w:val="false"/>
        <w:rPr>
          <w:rFonts w:ascii="Times New Roman" w:hAnsi="Times New Roman" w:eastAsia="Calibri" w:cs="Times New Roman"/>
          <w14:ligatures w14:val="none"/>
        </w:rPr>
      </w:pPr>
      <w:r>
        <w:rPr>
          <w:rFonts w:eastAsia="Calibri" w:cs="Times New Roman"/>
          <w14:ligatures w14:val="none"/>
        </w:rPr>
      </w:r>
    </w:p>
    <w:p>
      <w:pPr>
        <w:sectPr>
          <w:footerReference w:type="even" r:id="rId2"/>
          <w:footerReference w:type="default" r:id="rId3"/>
          <w:footerReference w:type="first" r:id="rId4"/>
          <w:footnotePr>
            <w:numFmt w:val="decimal"/>
          </w:footnotePr>
          <w:type w:val="nextPage"/>
          <w:pgSz w:w="11906" w:h="16838"/>
          <w:pgMar w:left="1417" w:right="1417" w:gutter="0" w:header="0" w:top="720" w:footer="720" w:bottom="1417"/>
          <w:pgNumType w:fmt="decimal"/>
          <w:formProt w:val="false"/>
          <w:textDirection w:val="lrTb"/>
          <w:docGrid w:type="default" w:linePitch="100" w:charSpace="0"/>
        </w:sectPr>
      </w:pPr>
    </w:p>
    <w:p>
      <w:pPr>
        <w:pStyle w:val="Normal"/>
        <w:spacing w:lineRule="auto" w:line="240" w:before="0" w:after="0"/>
        <w:jc w:val="start"/>
        <w:textAlignment w:val="auto"/>
        <w:rPr>
          <w:rFonts w:ascii="Times New Roman" w:hAnsi="Times New Roman" w:eastAsia="Calibri" w:cs="Times New Roman"/>
          <w:b/>
          <w:bCs/>
          <w:sz w:val="26"/>
          <w:szCs w:val="26"/>
          <w14:ligatures w14:val="none"/>
        </w:rPr>
      </w:pPr>
      <w:r>
        <w:rPr>
          <w:rFonts w:eastAsia="Calibri" w:cs="Times New Roman"/>
          <w:b/>
          <w:bCs/>
          <w:sz w:val="26"/>
          <w:szCs w:val="26"/>
          <w14:ligatures w14:val="none"/>
        </w:rPr>
      </w:r>
      <w:bookmarkStart w:id="4" w:name="__DdeLink__5068_4083536392"/>
      <w:bookmarkStart w:id="5" w:name="__DdeLink__5068_4083536392"/>
      <w:r>
        <w:br w:type="page"/>
      </w:r>
    </w:p>
    <w:p>
      <w:pPr>
        <w:pStyle w:val="Normal"/>
        <w:widowControl w:val="false"/>
        <w:spacing w:before="0" w:after="0"/>
        <w:rPr>
          <w:rFonts w:ascii="Times New Roman" w:hAnsi="Times New Roman"/>
          <w:sz w:val="30"/>
          <w:szCs w:val="30"/>
        </w:rPr>
      </w:pPr>
      <w:bookmarkStart w:id="6" w:name="__DdeLink__5068_4083536392"/>
      <w:r>
        <w:rPr>
          <w:rFonts w:eastAsia="Calibri" w:cs="Times New Roman"/>
          <w:b/>
          <w:bCs/>
          <w:sz w:val="30"/>
          <w:szCs w:val="30"/>
          <w14:ligatures w14:val="none"/>
        </w:rPr>
        <w:t>VI/ Références bibliographiques</w:t>
      </w:r>
      <w:bookmarkEnd w:id="6"/>
    </w:p>
    <w:p>
      <w:pPr>
        <w:pStyle w:val="Normal"/>
        <w:suppressLineNumbers/>
        <w:spacing w:lineRule="exact" w:line="283"/>
        <w:ind w:hanging="720" w:start="720"/>
        <w:rPr>
          <w:rFonts w:ascii="Times New Roman" w:hAnsi="Times New Roman"/>
        </w:rPr>
      </w:pPr>
      <w:r>
        <w:rPr>
          <w:rFonts w:eastAsia="Calibri" w:cs="Noto Sans"/>
          <w14:ligatures w14:val="none"/>
        </w:rPr>
        <w:t xml:space="preserve">Ahmed Sara (2019) « Le langage de la diversité », </w:t>
      </w:r>
      <w:r>
        <w:rPr>
          <w:rFonts w:eastAsia="Calibri" w:cs="Noto Sans"/>
          <w:i/>
          <w:lang w:val="en-US"/>
          <w14:ligatures w14:val="none"/>
        </w:rPr>
        <w:t>GLAD!</w:t>
      </w:r>
      <w:r>
        <w:rPr>
          <w:rFonts w:eastAsia="Calibri" w:cs="Noto Sans"/>
          <w:lang w:val="en-US"/>
          <w14:ligatures w14:val="none"/>
        </w:rPr>
        <w:t xml:space="preserve"> (07). [En ligne], consulté le 26 janvier 2023, DOI : https://doi.org/10.4000/glad.1647</w:t>
      </w:r>
    </w:p>
    <w:p>
      <w:pPr>
        <w:pStyle w:val="Normal"/>
        <w:suppressLineNumbers/>
        <w:spacing w:lineRule="exact" w:line="283"/>
        <w:ind w:hanging="720" w:start="720"/>
        <w:rPr/>
      </w:pPr>
      <w:r>
        <w:rPr>
          <w:rFonts w:eastAsia="Calibri" w:cs="Noto Sans"/>
          <w:lang w:val="en-US"/>
          <w14:ligatures w14:val="none"/>
        </w:rPr>
        <w:t>Algava Elisabeth, Bèque Marilyne (</w:t>
      </w:r>
      <w:r>
        <w:rPr>
          <w:rFonts w:eastAsia="Calibri" w:cs="Noto Sans"/>
          <w14:ligatures w14:val="none"/>
        </w:rPr>
        <w:t xml:space="preserve">2006) « Perception et vécu des comportements intolérants. Une analyse du module </w:t>
      </w:r>
      <w:r>
        <w:rPr>
          <w:rStyle w:val="Strong"/>
          <w:b w:val="false"/>
          <w:bCs w:val="false"/>
        </w:rPr>
        <w:t>“</w:t>
      </w:r>
      <w:r>
        <w:rPr>
          <w:rFonts w:eastAsia="Calibri" w:cs="Noto Sans"/>
          <w14:ligatures w14:val="none"/>
        </w:rPr>
        <w:t>Relations avec les autres</w:t>
      </w:r>
      <w:r>
        <w:rPr>
          <w:rStyle w:val="Strong"/>
          <w:b w:val="false"/>
          <w:bCs w:val="false"/>
        </w:rPr>
        <w:t>”</w:t>
      </w:r>
      <w:r>
        <w:rPr>
          <w:rFonts w:eastAsia="Calibri" w:cs="Noto Sans"/>
          <w14:ligatures w14:val="none"/>
        </w:rPr>
        <w:t xml:space="preserve"> de l’enquête Histoire de Vie », </w:t>
      </w:r>
      <w:r>
        <w:rPr>
          <w:rFonts w:eastAsia="Calibri" w:cs="Noto Sans"/>
          <w:i/>
          <w:iCs/>
          <w14:ligatures w14:val="none"/>
        </w:rPr>
        <w:t>É</w:t>
      </w:r>
      <w:r>
        <w:rPr>
          <w:rFonts w:eastAsia="Calibri" w:cs="Noto Sans"/>
          <w:i/>
          <w14:ligatures w14:val="none"/>
        </w:rPr>
        <w:t>conomie et Statistique,</w:t>
      </w:r>
      <w:r>
        <w:rPr>
          <w:rFonts w:eastAsia="Calibri" w:cs="Noto Sans"/>
          <w14:ligatures w14:val="none"/>
        </w:rPr>
        <w:t xml:space="preserve"> 393(1), pp. 115</w:t>
        <w:noBreakHyphen/>
        <w:t>50.</w:t>
      </w:r>
    </w:p>
    <w:p>
      <w:pPr>
        <w:pStyle w:val="Normal"/>
        <w:suppressLineNumbers/>
        <w:spacing w:lineRule="exact" w:line="283"/>
        <w:ind w:hanging="720" w:start="720"/>
        <w:rPr>
          <w:rFonts w:ascii="Times New Roman" w:hAnsi="Times New Roman"/>
        </w:rPr>
      </w:pPr>
      <w:r>
        <w:rPr>
          <w:rFonts w:eastAsia="Calibri" w:cs="Noto Sans"/>
          <w14:ligatures w14:val="none"/>
        </w:rPr>
        <w:t xml:space="preserve">Barbier Jean-Marie Barbier, Thievenaz Joris </w:t>
      </w:r>
      <w:r>
        <w:rPr/>
        <w:t>Éds. (2013)</w:t>
      </w:r>
      <w:r>
        <w:rPr>
          <w:rFonts w:eastAsia="Calibri" w:cs="Noto Sans"/>
          <w14:ligatures w14:val="none"/>
        </w:rPr>
        <w:t xml:space="preserve">, </w:t>
      </w:r>
      <w:r>
        <w:rPr>
          <w:rFonts w:eastAsia="Calibri" w:cs="Noto Sans"/>
          <w:i/>
          <w14:ligatures w14:val="none"/>
        </w:rPr>
        <w:t>Le travail de l’expérience</w:t>
      </w:r>
      <w:r>
        <w:rPr>
          <w:rFonts w:eastAsia="Calibri" w:cs="Noto Sans"/>
          <w14:ligatures w14:val="none"/>
        </w:rPr>
        <w:t>. Paris, L’Harmattan.</w:t>
      </w:r>
    </w:p>
    <w:p>
      <w:pPr>
        <w:pStyle w:val="Normal"/>
        <w:suppressLineNumbers/>
        <w:spacing w:lineRule="exact" w:line="283"/>
        <w:ind w:hanging="720" w:start="720"/>
        <w:rPr>
          <w:rFonts w:ascii="Times New Roman" w:hAnsi="Times New Roman"/>
        </w:rPr>
      </w:pPr>
      <w:r>
        <w:rPr>
          <w:rFonts w:eastAsia="Calibri" w:cs="Noto Sans"/>
          <w:lang w:val="en-US"/>
          <w14:ligatures w14:val="none"/>
        </w:rPr>
        <w:t xml:space="preserve">Bhopal Kalwant (2016) </w:t>
      </w:r>
      <w:r>
        <w:rPr>
          <w:rFonts w:eastAsia="Calibri" w:cs="Noto Sans"/>
          <w:i/>
          <w:lang w:val="en-US"/>
          <w14:ligatures w14:val="none"/>
        </w:rPr>
        <w:t>Experiences of Black and Minority Ethnic Academics : A Comparative Study of the Unequal Academy,</w:t>
      </w:r>
      <w:r>
        <w:rPr>
          <w:rFonts w:eastAsia="Calibri" w:cs="Noto Sans"/>
          <w:lang w:val="en-US"/>
          <w14:ligatures w14:val="none"/>
        </w:rPr>
        <w:t xml:space="preserve"> London, Routledge.</w:t>
      </w:r>
    </w:p>
    <w:p>
      <w:pPr>
        <w:pStyle w:val="Normal"/>
        <w:suppressLineNumbers/>
        <w:spacing w:lineRule="exact" w:line="283"/>
        <w:ind w:hanging="720" w:start="720"/>
        <w:rPr>
          <w:rFonts w:ascii="Times New Roman" w:hAnsi="Times New Roman"/>
        </w:rPr>
      </w:pPr>
      <w:r>
        <w:rPr>
          <w:rFonts w:eastAsia="Calibri" w:cs="Noto Sans"/>
          <w14:ligatures w14:val="none"/>
        </w:rPr>
        <w:t>Blassel Romane (2021) « (Dé)construire la race. Socialisation et conscientisation des rapports sociaux chez les diplômé.e.s du supérieur », Thèse de Doctorat de Sociologie, Université Côte d’Azur.</w:t>
      </w:r>
    </w:p>
    <w:p>
      <w:pPr>
        <w:pStyle w:val="Normal"/>
        <w:suppressLineNumbers/>
        <w:spacing w:lineRule="exact" w:line="283"/>
        <w:ind w:hanging="720" w:start="720"/>
        <w:rPr>
          <w:rFonts w:ascii="Times New Roman" w:hAnsi="Times New Roman"/>
        </w:rPr>
      </w:pPr>
      <w:r>
        <w:rPr>
          <w:rFonts w:eastAsia="Calibri" w:cs="Noto Sans"/>
          <w14:ligatures w14:val="none"/>
        </w:rPr>
        <w:t xml:space="preserve">Blassel Romane, Bozec Géraldine, Druez Élodie, Megnimeza-Fongang Rosette, Nyambek-Mebenga Francine, Touddimte Malika (2022) « Par et au-delà de la race : jeux de proximité et de distance dans une enquête sur l’expérience du racisme », </w:t>
      </w:r>
      <w:r>
        <w:rPr>
          <w:rFonts w:eastAsia="Calibri" w:cs="Noto Sans"/>
          <w:i/>
          <w:iCs/>
          <w14:ligatures w14:val="none"/>
        </w:rPr>
        <w:t>Émulations</w:t>
      </w:r>
      <w:r>
        <w:rPr>
          <w:rFonts w:eastAsia="Calibri" w:cs="Noto Sans"/>
          <w14:ligatures w14:val="none"/>
        </w:rPr>
        <w:t>, 42 : pp. 83-98.</w:t>
      </w:r>
    </w:p>
    <w:p>
      <w:pPr>
        <w:pStyle w:val="Normal"/>
        <w:suppressLineNumbers/>
        <w:spacing w:lineRule="exact" w:line="283"/>
        <w:ind w:hanging="720" w:start="720"/>
        <w:rPr>
          <w:rFonts w:ascii="Times New Roman" w:hAnsi="Times New Roman"/>
        </w:rPr>
      </w:pPr>
      <w:r>
        <w:rPr>
          <w:rFonts w:eastAsia="Calibri" w:cs="Noto Sans"/>
          <w14:ligatures w14:val="none"/>
        </w:rPr>
        <w:t xml:space="preserve">Boltanski Luc, Darré Yann, Schiltz Marie-Ange (1984) « La dénonciation », </w:t>
      </w:r>
      <w:r>
        <w:rPr>
          <w:rFonts w:eastAsia="Calibri" w:cs="Noto Sans"/>
          <w:i/>
          <w:iCs/>
          <w14:ligatures w14:val="none"/>
        </w:rPr>
        <w:t>Actes de la recherche en sciences sociales,</w:t>
      </w:r>
      <w:r>
        <w:rPr>
          <w:rFonts w:eastAsia="Calibri" w:cs="Noto Sans"/>
          <w14:ligatures w14:val="none"/>
        </w:rPr>
        <w:t xml:space="preserve"> 51, pp. 3-40.</w:t>
      </w:r>
    </w:p>
    <w:p>
      <w:pPr>
        <w:pStyle w:val="Normal"/>
        <w:suppressLineNumbers/>
        <w:spacing w:lineRule="exact" w:line="283"/>
        <w:ind w:hanging="720" w:start="720"/>
        <w:rPr>
          <w:rFonts w:ascii="Times New Roman" w:hAnsi="Times New Roman"/>
        </w:rPr>
      </w:pPr>
      <w:r>
        <w:rPr>
          <w:rFonts w:eastAsia="Calibri" w:cs="Noto Sans"/>
          <w14:ligatures w14:val="none"/>
        </w:rPr>
        <w:t xml:space="preserve">Bouchareb Rachid (2022) « Ne pas se dire victime de racisme. Entre déni et stratégies identitaires », </w:t>
      </w:r>
      <w:r>
        <w:rPr>
          <w:rFonts w:eastAsia="Calibri" w:cs="Noto Sans"/>
          <w:i/>
          <w14:ligatures w14:val="none"/>
        </w:rPr>
        <w:t>Émulations,</w:t>
      </w:r>
      <w:r>
        <w:rPr>
          <w:rFonts w:eastAsia="Calibri" w:cs="Noto Sans"/>
          <w14:ligatures w14:val="none"/>
        </w:rPr>
        <w:t xml:space="preserve"> 42, pp. 115</w:t>
        <w:noBreakHyphen/>
        <w:t>26.</w:t>
      </w:r>
    </w:p>
    <w:p>
      <w:pPr>
        <w:pStyle w:val="Normal"/>
        <w:suppressLineNumbers/>
        <w:spacing w:lineRule="exact" w:line="283"/>
        <w:ind w:hanging="720" w:start="720"/>
        <w:rPr>
          <w:rFonts w:ascii="Times New Roman" w:hAnsi="Times New Roman"/>
        </w:rPr>
      </w:pPr>
      <w:r>
        <w:rPr>
          <w:rFonts w:eastAsia="Calibri" w:cs="Noto Sans"/>
          <w14:ligatures w14:val="none"/>
        </w:rPr>
        <w:t xml:space="preserve">Bozec Géraldine, Blassel Romane, Rodrigues Cécile, Schuft Laura, Hamel Christelle, Karimi Hanane, Weiss Pierre-Olivier, Morand Ludovic, Cognet Marguerite, Dhume Fabrice (2024) </w:t>
      </w:r>
      <w:r>
        <w:rPr>
          <w:rFonts w:eastAsia="Calibri" w:cs="Noto Sans"/>
          <w:i/>
          <w14:ligatures w14:val="none"/>
        </w:rPr>
        <w:t>Dénoncer les discriminations vécues à l’université : entre silence, révélation et signalement,</w:t>
      </w:r>
      <w:r>
        <w:rPr>
          <w:rFonts w:eastAsia="Calibri" w:cs="Noto Sans"/>
          <w14:ligatures w14:val="none"/>
        </w:rPr>
        <w:t xml:space="preserve"> Paris, Défenseur des droits.</w:t>
      </w:r>
    </w:p>
    <w:p>
      <w:pPr>
        <w:pStyle w:val="Normal"/>
        <w:suppressLineNumbers/>
        <w:spacing w:lineRule="exact" w:line="283"/>
        <w:ind w:hanging="720" w:start="720"/>
        <w:rPr>
          <w:rFonts w:ascii="Times New Roman" w:hAnsi="Times New Roman"/>
        </w:rPr>
      </w:pPr>
      <w:r>
        <w:rPr>
          <w:rFonts w:eastAsia="Calibri" w:cs="Noto Sans"/>
          <w14:ligatures w14:val="none"/>
        </w:rPr>
        <w:t xml:space="preserve">Brinbaum Yaël, Chauvel Séverine, Tenret Elise (2025). « Analyser les expériences d’injustice et de discriminations à l’école : contextualisation, ressources et ambivalences. Apports des méthodes mixtes », </w:t>
      </w:r>
      <w:r>
        <w:rPr>
          <w:rFonts w:eastAsia="Calibri" w:cs="Noto Sans"/>
          <w:i/>
          <w:iCs/>
          <w14:ligatures w14:val="none"/>
        </w:rPr>
        <w:t>Cahiers de la recherche sur l’éducation et les savoirs</w:t>
      </w:r>
      <w:r>
        <w:rPr>
          <w:rFonts w:eastAsia="Calibri" w:cs="Noto Sans"/>
          <w14:ligatures w14:val="none"/>
        </w:rPr>
        <w:t xml:space="preserve"> [En ligne], n°24, pp. 211-237. </w:t>
      </w:r>
    </w:p>
    <w:p>
      <w:pPr>
        <w:pStyle w:val="Normal"/>
        <w:suppressLineNumbers/>
        <w:spacing w:lineRule="exact" w:line="283"/>
        <w:ind w:hanging="720" w:start="720"/>
        <w:rPr>
          <w:rFonts w:ascii="Times New Roman" w:hAnsi="Times New Roman"/>
        </w:rPr>
      </w:pPr>
      <w:r>
        <w:rPr>
          <w:rFonts w:eastAsia="Calibri" w:cs="Noto Sans"/>
          <w14:ligatures w14:val="none"/>
        </w:rPr>
        <w:t xml:space="preserve">Brouard Sylvain, Tiberj Vincent (2005) </w:t>
      </w:r>
      <w:r>
        <w:rPr>
          <w:rFonts w:eastAsia="Calibri" w:cs="Noto Sans"/>
          <w:i/>
          <w:iCs/>
          <w14:ligatures w14:val="none"/>
        </w:rPr>
        <w:t>Français comme les autres ? Enquête sur les citoyens d’origine maghrébine, africaine et turque,</w:t>
      </w:r>
      <w:r>
        <w:rPr>
          <w:rFonts w:eastAsia="Calibri" w:cs="Noto Sans"/>
          <w14:ligatures w14:val="none"/>
        </w:rPr>
        <w:t xml:space="preserve"> Paris, Presses de Sciences Po.</w:t>
      </w:r>
    </w:p>
    <w:p>
      <w:pPr>
        <w:pStyle w:val="Normal"/>
        <w:suppressLineNumbers/>
        <w:spacing w:lineRule="exact" w:line="283"/>
        <w:ind w:hanging="720" w:start="720"/>
        <w:rPr>
          <w:rFonts w:ascii="Times New Roman" w:hAnsi="Times New Roman"/>
        </w:rPr>
      </w:pPr>
      <w:r>
        <w:rPr>
          <w:rFonts w:eastAsia="Calibri" w:cs="Noto Sans"/>
          <w14:ligatures w14:val="none"/>
        </w:rPr>
        <w:t xml:space="preserve">Brun Solène (2022) « La socialisation raciale : enseignements de la sociologie étatsunienne et perspectives françaises », </w:t>
      </w:r>
      <w:r>
        <w:rPr>
          <w:rFonts w:eastAsia="Calibri" w:cs="Noto Sans"/>
          <w:i/>
          <w:lang w:val="en-US"/>
          <w14:ligatures w14:val="none"/>
        </w:rPr>
        <w:t>Sociologie,</w:t>
      </w:r>
      <w:r>
        <w:rPr>
          <w:rFonts w:eastAsia="Calibri" w:cs="Noto Sans"/>
          <w:lang w:val="en-US"/>
          <w14:ligatures w14:val="none"/>
        </w:rPr>
        <w:t xml:space="preserve"> 13(2), pp. 199</w:t>
        <w:noBreakHyphen/>
        <w:t>217.</w:t>
      </w:r>
    </w:p>
    <w:p>
      <w:pPr>
        <w:pStyle w:val="Normal"/>
        <w:suppressLineNumbers/>
        <w:spacing w:lineRule="exact" w:line="283"/>
        <w:ind w:hanging="720" w:start="720"/>
        <w:rPr>
          <w:rFonts w:ascii="Times New Roman" w:hAnsi="Times New Roman"/>
        </w:rPr>
      </w:pPr>
      <w:r>
        <w:rPr>
          <w:rFonts w:eastAsia="Calibri" w:cs="Noto Sans"/>
          <w14:ligatures w14:val="none"/>
        </w:rPr>
        <w:t xml:space="preserve">Butler Judith (2017) </w:t>
      </w:r>
      <w:r>
        <w:rPr>
          <w:rFonts w:eastAsia="Calibri" w:cs="Noto Sans"/>
          <w:i/>
          <w14:ligatures w14:val="none"/>
        </w:rPr>
        <w:t>Le pouvoir des mots. Discours de haine et politique du performatif,</w:t>
      </w:r>
      <w:r>
        <w:rPr>
          <w:rFonts w:eastAsia="Calibri" w:cs="Noto Sans"/>
          <w14:ligatures w14:val="none"/>
        </w:rPr>
        <w:t xml:space="preserve"> Paris, Éditions Amsterdam.</w:t>
      </w:r>
    </w:p>
    <w:p>
      <w:pPr>
        <w:pStyle w:val="Normal"/>
        <w:suppressLineNumbers/>
        <w:spacing w:lineRule="exact" w:line="283"/>
        <w:ind w:hanging="720" w:start="720"/>
        <w:rPr>
          <w:rFonts w:ascii="Times New Roman" w:hAnsi="Times New Roman"/>
        </w:rPr>
      </w:pPr>
      <w:r>
        <w:rPr>
          <w:rFonts w:eastAsia="Calibri" w:cs="Noto Sans"/>
          <w14:ligatures w14:val="none"/>
        </w:rPr>
        <w:t xml:space="preserve">Chareyron Sylvain, Erb Louis-Alexandre, L’Horty Yannick (2022) </w:t>
      </w:r>
      <w:r>
        <w:rPr>
          <w:rFonts w:eastAsia="Calibri" w:cs="Noto Sans"/>
          <w:i/>
          <w14:ligatures w14:val="none"/>
        </w:rPr>
        <w:t>Discrimination dans l’accès aux masters : une évaluation expérimentale,</w:t>
      </w:r>
      <w:r>
        <w:rPr>
          <w:rFonts w:eastAsia="Calibri" w:cs="Noto Sans"/>
          <w14:ligatures w14:val="none"/>
        </w:rPr>
        <w:t xml:space="preserve"> Rapport d’étude n°22-01, Marne-La-Vallée, ONDES/Université Gustave Eiffel.</w:t>
      </w:r>
    </w:p>
    <w:p>
      <w:pPr>
        <w:pStyle w:val="Normal"/>
        <w:suppressLineNumbers/>
        <w:spacing w:lineRule="exact" w:line="283"/>
        <w:ind w:hanging="720" w:start="720"/>
        <w:rPr>
          <w:rFonts w:ascii="Times New Roman" w:hAnsi="Times New Roman"/>
        </w:rPr>
      </w:pPr>
      <w:r>
        <w:rPr>
          <w:rFonts w:eastAsia="Calibri" w:cs="Noto Sans"/>
          <w14:ligatures w14:val="none"/>
        </w:rPr>
        <w:t xml:space="preserve">Chassonnery-Zaïgouche Cléo, Goldzahl Léontine, Levionnois Charlotte (2020) « Quantifier les discriminations raciales entre données d’enquête et données expérimentales : l’évolution du rôle du chercheur dans la construction de la variable “race” », </w:t>
      </w:r>
      <w:r>
        <w:rPr>
          <w:rFonts w:eastAsia="Calibri" w:cs="Noto Sans"/>
          <w:i/>
          <w:iCs/>
          <w14:ligatures w14:val="none"/>
        </w:rPr>
        <w:t>in</w:t>
      </w:r>
      <w:r>
        <w:rPr>
          <w:rFonts w:eastAsia="Calibri" w:cs="Noto Sans"/>
          <w14:ligatures w14:val="none"/>
        </w:rPr>
        <w:t xml:space="preserve"> Laurent Feller et Agnès Gramain Éds, </w:t>
      </w:r>
      <w:r>
        <w:rPr>
          <w:rFonts w:eastAsia="Calibri" w:cs="Noto Sans"/>
          <w:i/>
          <w14:ligatures w14:val="none"/>
        </w:rPr>
        <w:t>L’évident et l’invisible : Questions de méthodes en économie et en histoire</w:t>
      </w:r>
      <w:r>
        <w:rPr>
          <w:rFonts w:eastAsia="Calibri" w:cs="Noto Sans"/>
          <w14:ligatures w14:val="none"/>
        </w:rPr>
        <w:t>, Paris, Éditions de la Sorbonne, pp. 73</w:t>
        <w:noBreakHyphen/>
        <w:t>97.</w:t>
      </w:r>
    </w:p>
    <w:p>
      <w:pPr>
        <w:pStyle w:val="Normal"/>
        <w:suppressLineNumbers/>
        <w:spacing w:lineRule="exact" w:line="283"/>
        <w:ind w:hanging="720" w:start="720"/>
        <w:rPr>
          <w:rFonts w:ascii="Times New Roman" w:hAnsi="Times New Roman"/>
        </w:rPr>
      </w:pPr>
      <w:r>
        <w:rPr>
          <w:rFonts w:eastAsia="Calibri" w:cs="Noto Sans"/>
          <w14:ligatures w14:val="none"/>
        </w:rPr>
        <w:t xml:space="preserve">Chauvel Séverine, Nyambek-Mebenga Francine, Primon Jean-Luc (2023) « Discriminations et violences racistes dans l’enseignement supérieur : des expériences différenciées selon le sexe et l’origine migratoire des étudiants », </w:t>
      </w:r>
      <w:r>
        <w:rPr>
          <w:rFonts w:eastAsia="Calibri" w:cs="Noto Sans"/>
          <w:i/>
          <w:iCs/>
          <w14:ligatures w14:val="none"/>
        </w:rPr>
        <w:t>in</w:t>
      </w:r>
      <w:r>
        <w:rPr>
          <w:rFonts w:eastAsia="Calibri" w:cs="Noto Sans"/>
          <w14:ligatures w14:val="none"/>
        </w:rPr>
        <w:t xml:space="preserve"> Ferès Belghith, Marie-Paule Couto et Olivier Rey Éds, </w:t>
      </w:r>
      <w:r>
        <w:rPr>
          <w:rFonts w:eastAsia="Calibri" w:cs="Noto Sans"/>
          <w:i/>
          <w14:ligatures w14:val="none"/>
        </w:rPr>
        <w:t>Être étudiant avant et pendant la crise sanitaire</w:t>
      </w:r>
      <w:r>
        <w:rPr>
          <w:rFonts w:eastAsia="Calibri" w:cs="Noto Sans"/>
          <w14:ligatures w14:val="none"/>
        </w:rPr>
        <w:t>, Paris, La Documentation française, pp. 219-232.</w:t>
      </w:r>
    </w:p>
    <w:p>
      <w:pPr>
        <w:pStyle w:val="Normal"/>
        <w:suppressLineNumbers/>
        <w:spacing w:lineRule="exact" w:line="283"/>
        <w:ind w:hanging="720" w:start="720"/>
        <w:rPr>
          <w:rFonts w:ascii="Times New Roman" w:hAnsi="Times New Roman"/>
        </w:rPr>
      </w:pPr>
      <w:r>
        <w:rPr>
          <w:rFonts w:eastAsia="Calibri" w:cs="Noto Sans"/>
          <w:lang w:val="en-US"/>
          <w14:ligatures w14:val="none"/>
        </w:rPr>
        <w:t xml:space="preserve">Crenshaw Kimberle, Gotanda Neil, Peller Gary, Thomas Kendall (1995) </w:t>
      </w:r>
      <w:r>
        <w:rPr>
          <w:rFonts w:eastAsia="Calibri" w:cs="Noto Sans"/>
          <w:i/>
          <w:lang w:val="en-US"/>
          <w14:ligatures w14:val="none"/>
        </w:rPr>
        <w:t>Critical Race Theory: The Key Writings That Formed the Movement,</w:t>
      </w:r>
      <w:r>
        <w:rPr>
          <w:rFonts w:eastAsia="Calibri" w:cs="Noto Sans"/>
          <w:lang w:val="en-US"/>
          <w14:ligatures w14:val="none"/>
        </w:rPr>
        <w:t xml:space="preserve"> New York, The New Press.</w:t>
      </w:r>
    </w:p>
    <w:p>
      <w:pPr>
        <w:pStyle w:val="Normal"/>
        <w:suppressLineNumbers/>
        <w:spacing w:lineRule="exact" w:line="283"/>
        <w:ind w:hanging="720" w:start="720"/>
        <w:rPr>
          <w:rFonts w:ascii="Times New Roman" w:hAnsi="Times New Roman"/>
        </w:rPr>
      </w:pPr>
      <w:r>
        <w:rPr>
          <w:rFonts w:eastAsia="Calibri" w:cs="Noto Sans"/>
          <w:lang w:val="en-US"/>
          <w14:ligatures w14:val="none"/>
        </w:rPr>
        <w:t xml:space="preserve">Cuturello Paul (2011) </w:t>
      </w:r>
      <w:r>
        <w:rPr>
          <w:rFonts w:eastAsia="Calibri" w:cs="Noto Sans"/>
          <w14:ligatures w14:val="none"/>
        </w:rPr>
        <w:t xml:space="preserve">« Discrimination : faire face ou faire avec ? Le(s) sens du mot "discrimination" chez les jeunes d’origine maghrébine », </w:t>
      </w:r>
      <w:r>
        <w:rPr>
          <w:rFonts w:eastAsia="Calibri" w:cs="Noto Sans"/>
          <w:i/>
          <w14:ligatures w14:val="none"/>
        </w:rPr>
        <w:t>Agora débats/jeunesses</w:t>
      </w:r>
      <w:r>
        <w:rPr>
          <w:rFonts w:eastAsia="Calibri" w:cs="Noto Sans"/>
          <w14:ligatures w14:val="none"/>
        </w:rPr>
        <w:t xml:space="preserve"> 57(1), pp. 63</w:t>
        <w:noBreakHyphen/>
        <w:t>78.</w:t>
      </w:r>
    </w:p>
    <w:p>
      <w:pPr>
        <w:pStyle w:val="Normal"/>
        <w:suppressLineNumbers/>
        <w:spacing w:lineRule="exact" w:line="283"/>
        <w:ind w:hanging="720" w:start="720"/>
        <w:rPr>
          <w:rFonts w:ascii="Times New Roman" w:hAnsi="Times New Roman"/>
        </w:rPr>
      </w:pPr>
      <w:r>
        <w:rPr>
          <w:rFonts w:eastAsia="Calibri" w:cs="Noto Sans"/>
          <w14:ligatures w14:val="none"/>
        </w:rPr>
        <w:t xml:space="preserve">De Rudder Véronique (1991) « Le racisme dans les relations interethniques », </w:t>
      </w:r>
      <w:r>
        <w:rPr>
          <w:rFonts w:eastAsia="Calibri" w:cs="Noto Sans"/>
          <w:i/>
          <w14:ligatures w14:val="none"/>
        </w:rPr>
        <w:t>L’Homme et la Société</w:t>
      </w:r>
      <w:r>
        <w:rPr>
          <w:rFonts w:eastAsia="Calibri" w:cs="Noto Sans"/>
          <w14:ligatures w14:val="none"/>
        </w:rPr>
        <w:t xml:space="preserve"> 102(4), pp. 93</w:t>
        <w:noBreakHyphen/>
        <w:t>102.</w:t>
      </w:r>
    </w:p>
    <w:p>
      <w:pPr>
        <w:pStyle w:val="Normal"/>
        <w:suppressLineNumbers/>
        <w:spacing w:lineRule="exact" w:line="283"/>
        <w:ind w:hanging="720" w:start="720"/>
        <w:rPr>
          <w:rFonts w:ascii="Times New Roman" w:hAnsi="Times New Roman"/>
        </w:rPr>
      </w:pPr>
      <w:r>
        <w:rPr>
          <w:rFonts w:eastAsia="Calibri" w:cs="Noto Sans"/>
          <w14:ligatures w14:val="none"/>
        </w:rPr>
        <w:t xml:space="preserve">De Rudder Véronique, Poiret Christian, Vourc’h François (2000) </w:t>
      </w:r>
      <w:r>
        <w:rPr>
          <w:rFonts w:eastAsia="Calibri" w:cs="Noto Sans"/>
          <w:i/>
          <w14:ligatures w14:val="none"/>
        </w:rPr>
        <w:t>L’inégalité raciste. L’universalité républicaine à l’épreuve</w:t>
      </w:r>
      <w:r>
        <w:rPr>
          <w:rFonts w:eastAsia="Calibri" w:cs="Noto Sans"/>
          <w14:ligatures w14:val="none"/>
        </w:rPr>
        <w:t>, Paris, PUF.</w:t>
      </w:r>
    </w:p>
    <w:p>
      <w:pPr>
        <w:pStyle w:val="Normal"/>
        <w:suppressLineNumbers/>
        <w:spacing w:lineRule="exact" w:line="283"/>
        <w:ind w:hanging="720" w:start="720"/>
        <w:rPr>
          <w:rFonts w:ascii="Times New Roman" w:hAnsi="Times New Roman"/>
        </w:rPr>
      </w:pPr>
      <w:r>
        <w:rPr>
          <w:rFonts w:eastAsia="Calibri" w:cs="Noto Sans"/>
          <w14:ligatures w14:val="none"/>
        </w:rPr>
        <w:t xml:space="preserve">Decharne Marie-Noëlle, Liedts Éric (2007) </w:t>
      </w:r>
      <w:r>
        <w:rPr>
          <w:rFonts w:eastAsia="Calibri" w:cs="Noto Sans"/>
          <w:i/>
          <w14:ligatures w14:val="none"/>
        </w:rPr>
        <w:t>Porter un prénom arabe ou musulman est-il discriminant dans l’enseignement supérieur ? Orientation et poursuite d’études dans l’enseignement supérieur du Nord-Pas de Calais,</w:t>
      </w:r>
      <w:r>
        <w:rPr>
          <w:rFonts w:eastAsia="Calibri" w:cs="Noto Sans"/>
          <w14:ligatures w14:val="none"/>
        </w:rPr>
        <w:t xml:space="preserve"> Lille, ORES </w:t>
      </w:r>
      <w:r>
        <w:rPr>
          <w:rFonts w:eastAsia="Calibri" w:cs="Calibri"/>
          <w14:ligatures w14:val="none"/>
        </w:rPr>
        <w:t>―</w:t>
      </w:r>
      <w:r>
        <w:rPr>
          <w:rFonts w:eastAsia="Calibri" w:cs="Noto Sans"/>
          <w14:ligatures w14:val="none"/>
        </w:rPr>
        <w:t xml:space="preserve"> Pôle universitaire Lille-Nord-Pas-de-Calais.</w:t>
      </w:r>
    </w:p>
    <w:p>
      <w:pPr>
        <w:pStyle w:val="Normal"/>
        <w:suppressLineNumbers/>
        <w:spacing w:lineRule="exact" w:line="283"/>
        <w:ind w:hanging="720" w:start="720"/>
        <w:rPr>
          <w:rFonts w:ascii="Times New Roman" w:hAnsi="Times New Roman"/>
        </w:rPr>
      </w:pPr>
      <w:r>
        <w:rPr>
          <w:rFonts w:eastAsia="Calibri" w:cs="Noto Sans"/>
          <w:lang w:val="en-US"/>
          <w14:ligatures w14:val="none"/>
        </w:rPr>
        <w:t xml:space="preserve">Dei George J. Sefa, Kempf Arlo (2013) </w:t>
      </w:r>
      <w:r>
        <w:rPr>
          <w:rFonts w:eastAsia="Calibri" w:cs="Noto Sans"/>
          <w:i/>
          <w:lang w:val="en-US"/>
          <w14:ligatures w14:val="none"/>
        </w:rPr>
        <w:t>New Perspectives on African-Centred Education in Canada,</w:t>
      </w:r>
      <w:r>
        <w:rPr>
          <w:rFonts w:eastAsia="Calibri" w:cs="Noto Sans"/>
          <w:lang w:val="en-US"/>
          <w14:ligatures w14:val="none"/>
        </w:rPr>
        <w:t xml:space="preserve"> Toronto, Canadian Scholars’ Press.</w:t>
      </w:r>
    </w:p>
    <w:p>
      <w:pPr>
        <w:pStyle w:val="Normal"/>
        <w:suppressLineNumbers/>
        <w:spacing w:lineRule="exact" w:line="283"/>
        <w:ind w:hanging="720" w:start="720"/>
        <w:rPr>
          <w:rFonts w:ascii="Times New Roman" w:hAnsi="Times New Roman"/>
        </w:rPr>
      </w:pPr>
      <w:r>
        <w:rPr>
          <w:rFonts w:eastAsia="Calibri" w:cs="Noto Sans"/>
          <w14:ligatures w14:val="none"/>
        </w:rPr>
        <w:t xml:space="preserve">Delattre Éric, Leandri Noam, Meurs Dominique, Rathelot Roland (2013) « Trois approches de la discrimination : évaluations indirectes, expérimentation, discriminations ressenties », </w:t>
      </w:r>
      <w:r>
        <w:rPr>
          <w:rFonts w:eastAsia="Calibri" w:cs="Noto Sans"/>
          <w:i/>
          <w14:ligatures w14:val="none"/>
        </w:rPr>
        <w:t>Economie et statistique,</w:t>
      </w:r>
      <w:r>
        <w:rPr>
          <w:rFonts w:eastAsia="Calibri" w:cs="Noto Sans"/>
          <w14:ligatures w14:val="none"/>
        </w:rPr>
        <w:t xml:space="preserve"> 464</w:t>
        <w:noBreakHyphen/>
        <w:t>466, pp. 7</w:t>
        <w:noBreakHyphen/>
        <w:t>13.</w:t>
      </w:r>
    </w:p>
    <w:p>
      <w:pPr>
        <w:pStyle w:val="Normal"/>
        <w:suppressLineNumbers/>
        <w:spacing w:lineRule="exact" w:line="283"/>
        <w:ind w:hanging="720" w:start="720"/>
        <w:rPr>
          <w:rFonts w:ascii="Times New Roman" w:hAnsi="Times New Roman"/>
        </w:rPr>
      </w:pPr>
      <w:r>
        <w:rPr>
          <w:rFonts w:eastAsia="Calibri" w:cs="Noto Sans"/>
          <w14:ligatures w14:val="none"/>
        </w:rPr>
        <w:t xml:space="preserve">Dewey John (2014) </w:t>
      </w:r>
      <w:r>
        <w:rPr>
          <w:rFonts w:eastAsia="Calibri" w:cs="Noto Sans"/>
          <w:i/>
          <w14:ligatures w14:val="none"/>
        </w:rPr>
        <w:t>Reconstruction en philosophie,</w:t>
      </w:r>
      <w:r>
        <w:rPr>
          <w:rFonts w:eastAsia="Calibri" w:cs="Noto Sans"/>
          <w14:ligatures w14:val="none"/>
        </w:rPr>
        <w:t xml:space="preserve"> Paris, Gallimard.</w:t>
      </w:r>
    </w:p>
    <w:p>
      <w:pPr>
        <w:pStyle w:val="Normal"/>
        <w:suppressLineNumbers/>
        <w:spacing w:lineRule="exact" w:line="283"/>
        <w:ind w:hanging="720" w:start="720"/>
        <w:rPr>
          <w:rFonts w:ascii="Times New Roman" w:hAnsi="Times New Roman"/>
        </w:rPr>
      </w:pPr>
      <w:r>
        <w:rPr/>
        <w:t xml:space="preserve">Dhume-Sonzogni Fabrice (2025) </w:t>
      </w:r>
      <w:r>
        <w:rPr>
          <w:i/>
        </w:rPr>
        <w:t>Les discriminations scolaires. Une mise en perspective des connaissances</w:t>
      </w:r>
      <w:r>
        <w:rPr/>
        <w:t>, Rennes, PUR.</w:t>
      </w:r>
    </w:p>
    <w:p>
      <w:pPr>
        <w:pStyle w:val="Normal"/>
        <w:suppressLineNumbers/>
        <w:spacing w:lineRule="exact" w:line="283"/>
        <w:ind w:hanging="720" w:start="720"/>
        <w:rPr>
          <w:rFonts w:ascii="Times New Roman" w:hAnsi="Times New Roman"/>
        </w:rPr>
      </w:pPr>
      <w:r>
        <w:rPr>
          <w:rFonts w:eastAsia="Calibri" w:cs="Noto Sans"/>
          <w14:ligatures w14:val="none"/>
        </w:rPr>
        <w:t xml:space="preserve">Dhume Fabrice, Bérard Samuel (2023) « Être personnel scolaire racisé·e. Formes et signification de l’expérience du racisme au travail dans l’éducation nationale française », </w:t>
      </w:r>
      <w:r>
        <w:rPr>
          <w:rFonts w:eastAsia="Calibri" w:cs="Noto Sans"/>
          <w:i/>
          <w14:ligatures w14:val="none"/>
        </w:rPr>
        <w:t>Marronnages</w:t>
      </w:r>
      <w:r>
        <w:rPr>
          <w:rFonts w:eastAsia="Calibri" w:cs="Noto Sans"/>
          <w14:ligatures w14:val="none"/>
        </w:rPr>
        <w:t xml:space="preserve"> 2(1), pp. 116</w:t>
        <w:noBreakHyphen/>
        <w:t>38.</w:t>
      </w:r>
    </w:p>
    <w:p>
      <w:pPr>
        <w:pStyle w:val="Normal"/>
        <w:suppressLineNumbers/>
        <w:spacing w:lineRule="exact" w:line="283"/>
        <w:ind w:hanging="720" w:start="720"/>
        <w:rPr>
          <w:rFonts w:ascii="Times New Roman" w:hAnsi="Times New Roman"/>
        </w:rPr>
      </w:pPr>
      <w:r>
        <w:rPr>
          <w:rFonts w:eastAsia="Calibri" w:cs="Noto Sans"/>
          <w14:ligatures w14:val="none"/>
        </w:rPr>
        <w:t xml:space="preserve">Dhume Fabrice, Cognet Marguerite (2020) « Racisme et discriminations raciales à l’école et à l’université : où en est la recherche ? », </w:t>
      </w:r>
      <w:r>
        <w:rPr>
          <w:rFonts w:eastAsia="Calibri" w:cs="Noto Sans"/>
          <w:i/>
          <w14:ligatures w14:val="none"/>
        </w:rPr>
        <w:t>Le français aujourd’hui</w:t>
      </w:r>
      <w:r>
        <w:rPr>
          <w:rFonts w:eastAsia="Calibri" w:cs="Noto Sans"/>
          <w14:ligatures w14:val="none"/>
        </w:rPr>
        <w:t>, 209(2), pp. 17</w:t>
        <w:noBreakHyphen/>
        <w:t>27.</w:t>
      </w:r>
    </w:p>
    <w:p>
      <w:pPr>
        <w:pStyle w:val="Normal"/>
        <w:suppressLineNumbers/>
        <w:spacing w:lineRule="exact" w:line="283"/>
        <w:ind w:hanging="720" w:start="720"/>
        <w:rPr>
          <w:rFonts w:ascii="Times New Roman" w:hAnsi="Times New Roman"/>
        </w:rPr>
      </w:pPr>
      <w:r>
        <w:rPr/>
        <w:t xml:space="preserve">Dhume-Sonzogni Fabrice (2014) </w:t>
      </w:r>
      <w:r>
        <w:rPr>
          <w:i/>
          <w:iCs/>
        </w:rPr>
        <w:t>Entre l’école et l’entreprise, la discrimination en stage. Une sociologie publique de l’ethnicisation des frontières scolaires</w:t>
      </w:r>
      <w:r>
        <w:rPr/>
        <w:t>, Aix-en-Provence, Presses universitaires de Provence.</w:t>
      </w:r>
    </w:p>
    <w:p>
      <w:pPr>
        <w:pStyle w:val="Normal"/>
        <w:suppressLineNumbers/>
        <w:spacing w:lineRule="exact" w:line="283"/>
        <w:ind w:hanging="720" w:start="720"/>
        <w:rPr>
          <w:rFonts w:ascii="Times New Roman" w:hAnsi="Times New Roman"/>
        </w:rPr>
      </w:pPr>
      <w:r>
        <w:rPr>
          <w:rFonts w:eastAsia="Calibri" w:cs="Noto Sans"/>
          <w14:ligatures w14:val="none"/>
        </w:rPr>
        <w:t xml:space="preserve">Druez Élodie (2016) « Réussite, racisme et discrimination scolaires. L’expérience des diplômé·e·s d’origine subsaharienne en France », </w:t>
      </w:r>
      <w:r>
        <w:rPr>
          <w:rFonts w:eastAsia="Calibri" w:cs="Noto Sans"/>
          <w:i/>
          <w14:ligatures w14:val="none"/>
        </w:rPr>
        <w:t>Terrains &amp; travaux</w:t>
      </w:r>
      <w:r>
        <w:rPr>
          <w:rFonts w:eastAsia="Calibri" w:cs="Noto Sans"/>
          <w14:ligatures w14:val="none"/>
        </w:rPr>
        <w:t>, 29(2), pp. 21</w:t>
        <w:noBreakHyphen/>
        <w:t>41.</w:t>
      </w:r>
    </w:p>
    <w:p>
      <w:pPr>
        <w:pStyle w:val="Normal"/>
        <w:suppressLineNumbers/>
        <w:spacing w:lineRule="exact" w:line="283"/>
        <w:ind w:hanging="720" w:start="720"/>
        <w:rPr/>
      </w:pPr>
      <w:r>
        <w:rPr>
          <w:rFonts w:eastAsia="Calibri" w:cs="Noto Sans"/>
          <w14:ligatures w14:val="none"/>
        </w:rPr>
        <w:t xml:space="preserve">Druez Élodie (2021) « Politisation, discriminations racistes et études supérieures. Complexifier le </w:t>
      </w:r>
      <w:r>
        <w:rPr>
          <w:rStyle w:val="Strong"/>
          <w:b w:val="false"/>
          <w:bCs w:val="false"/>
        </w:rPr>
        <w:t>“</w:t>
      </w:r>
      <w:r>
        <w:rPr>
          <w:rFonts w:eastAsia="Calibri" w:cs="Noto Sans"/>
          <w14:ligatures w14:val="none"/>
        </w:rPr>
        <w:t>quanti</w:t>
      </w:r>
      <w:r>
        <w:rPr>
          <w:rStyle w:val="Strong"/>
          <w:b w:val="false"/>
          <w:bCs w:val="false"/>
        </w:rPr>
        <w:t>”</w:t>
      </w:r>
      <w:r>
        <w:rPr>
          <w:rFonts w:eastAsia="Calibri" w:cs="Noto Sans"/>
          <w14:ligatures w14:val="none"/>
        </w:rPr>
        <w:t xml:space="preserve"> par le </w:t>
      </w:r>
      <w:r>
        <w:rPr>
          <w:rStyle w:val="Strong"/>
          <w:b w:val="false"/>
          <w:bCs w:val="false"/>
        </w:rPr>
        <w:t>“</w:t>
      </w:r>
      <w:r>
        <w:rPr>
          <w:rFonts w:eastAsia="Calibri" w:cs="Noto Sans"/>
          <w14:ligatures w14:val="none"/>
        </w:rPr>
        <w:t>quali</w:t>
      </w:r>
      <w:r>
        <w:rPr>
          <w:rStyle w:val="Strong"/>
          <w:b w:val="false"/>
          <w:bCs w:val="false"/>
        </w:rPr>
        <w:t>”</w:t>
      </w:r>
      <w:r>
        <w:rPr>
          <w:rFonts w:eastAsia="Calibri" w:cs="Noto Sans"/>
          <w14:ligatures w14:val="none"/>
        </w:rPr>
        <w:t xml:space="preserve"> », </w:t>
      </w:r>
      <w:r>
        <w:rPr>
          <w:rFonts w:eastAsia="Calibri" w:cs="Noto Sans"/>
          <w:i/>
          <w14:ligatures w14:val="none"/>
        </w:rPr>
        <w:t>Revue française de science politique</w:t>
      </w:r>
      <w:r>
        <w:rPr>
          <w:rFonts w:eastAsia="Calibri" w:cs="Noto Sans"/>
          <w14:ligatures w14:val="none"/>
        </w:rPr>
        <w:t xml:space="preserve"> 71(3), pp. 437</w:t>
        <w:noBreakHyphen/>
        <w:t>59.</w:t>
      </w:r>
    </w:p>
    <w:p>
      <w:pPr>
        <w:pStyle w:val="Normal"/>
        <w:suppressLineNumbers/>
        <w:spacing w:lineRule="exact" w:line="283"/>
        <w:ind w:hanging="720" w:start="720"/>
        <w:rPr>
          <w:rFonts w:ascii="Times New Roman" w:hAnsi="Times New Roman"/>
        </w:rPr>
      </w:pPr>
      <w:r>
        <w:rPr>
          <w:rFonts w:eastAsia="Calibri" w:cs="Noto Sans"/>
          <w14:ligatures w14:val="none"/>
        </w:rPr>
        <w:t xml:space="preserve">Druez Élodie, Durand Mickaël (2023) « Introduction : Comment penser la socialisation politique des individus minorisés ? », </w:t>
      </w:r>
      <w:r>
        <w:rPr>
          <w:rFonts w:eastAsia="Calibri" w:cs="Noto Sans"/>
          <w:i/>
          <w:iCs/>
          <w14:ligatures w14:val="none"/>
        </w:rPr>
        <w:t>Revue française de science politique,</w:t>
      </w:r>
      <w:r>
        <w:rPr>
          <w:rFonts w:eastAsia="Calibri" w:cs="Noto Sans"/>
          <w14:ligatures w14:val="none"/>
        </w:rPr>
        <w:t xml:space="preserve"> 73(4-5), pp. 547-572.</w:t>
      </w:r>
    </w:p>
    <w:p>
      <w:pPr>
        <w:pStyle w:val="Normal"/>
        <w:suppressLineNumbers/>
        <w:spacing w:lineRule="exact" w:line="283"/>
        <w:ind w:hanging="720" w:start="720"/>
        <w:rPr>
          <w:rFonts w:ascii="Times New Roman" w:hAnsi="Times New Roman"/>
        </w:rPr>
      </w:pPr>
      <w:r>
        <w:rPr>
          <w:rFonts w:eastAsia="Calibri" w:cs="Noto Sans"/>
          <w:lang w:val="en-US"/>
          <w14:ligatures w14:val="none"/>
        </w:rPr>
        <w:t xml:space="preserve">Essed Philomena (1991) </w:t>
      </w:r>
      <w:r>
        <w:rPr>
          <w:rFonts w:eastAsia="Calibri" w:cs="Noto Sans"/>
          <w:i/>
          <w:lang w:val="en-US"/>
          <w14:ligatures w14:val="none"/>
        </w:rPr>
        <w:t xml:space="preserve">Understanding Everyday Racism. </w:t>
      </w:r>
      <w:r>
        <w:rPr>
          <w:rFonts w:eastAsia="Calibri" w:cs="Noto Sans"/>
          <w:i/>
          <w14:ligatures w14:val="none"/>
        </w:rPr>
        <w:t xml:space="preserve">An Interdisciplinary Theory, </w:t>
      </w:r>
      <w:r>
        <w:rPr>
          <w:rFonts w:eastAsia="Calibri" w:cs="Noto Sans"/>
          <w14:ligatures w14:val="none"/>
        </w:rPr>
        <w:t>Vol. 2, Sage Publications, Inc.</w:t>
      </w:r>
    </w:p>
    <w:p>
      <w:pPr>
        <w:pStyle w:val="Normal"/>
        <w:suppressLineNumbers/>
        <w:spacing w:lineRule="exact" w:line="283"/>
        <w:ind w:hanging="720" w:start="720"/>
        <w:rPr/>
      </w:pPr>
      <w:r>
        <w:rPr>
          <w:rFonts w:eastAsia="Calibri" w:cs="Noto Sans"/>
          <w14:ligatures w14:val="none"/>
        </w:rPr>
        <w:t>Ferry Odile, Tenret Élise (2017) « </w:t>
      </w:r>
      <w:r>
        <w:rPr>
          <w:rStyle w:val="Strong"/>
          <w:b w:val="false"/>
          <w:bCs w:val="false"/>
        </w:rPr>
        <w:t>“</w:t>
      </w:r>
      <w:r>
        <w:rPr>
          <w:rFonts w:eastAsia="Calibri" w:cs="Noto Sans"/>
          <w14:ligatures w14:val="none"/>
        </w:rPr>
        <w:t>À la tête de l’étudiant·e</w:t>
      </w:r>
      <w:r>
        <w:rPr>
          <w:rStyle w:val="Strong"/>
          <w:b w:val="false"/>
          <w:bCs w:val="false"/>
        </w:rPr>
        <w:t>”</w:t>
      </w:r>
      <w:r>
        <w:rPr>
          <w:rFonts w:eastAsia="Calibri" w:cs="Noto Sans"/>
          <w14:ligatures w14:val="none"/>
        </w:rPr>
        <w:t xml:space="preserve"> ? Les discriminations perçues dans l’enseignement supérieur », </w:t>
      </w:r>
      <w:r>
        <w:rPr>
          <w:rFonts w:eastAsia="Calibri" w:cs="Noto Sans"/>
          <w:i/>
          <w14:ligatures w14:val="none"/>
        </w:rPr>
        <w:t>OVE infos</w:t>
      </w:r>
      <w:r>
        <w:rPr>
          <w:rFonts w:eastAsia="Calibri" w:cs="Noto Sans"/>
          <w14:ligatures w14:val="none"/>
        </w:rPr>
        <w:t xml:space="preserve"> 35, Paris, Observatoire National de la Vie Etudiante.</w:t>
      </w:r>
    </w:p>
    <w:p>
      <w:pPr>
        <w:pStyle w:val="Normal"/>
        <w:suppressLineNumbers/>
        <w:spacing w:lineRule="exact" w:line="283"/>
        <w:ind w:hanging="720" w:start="720"/>
        <w:rPr>
          <w:rFonts w:ascii="Times New Roman" w:hAnsi="Times New Roman"/>
        </w:rPr>
      </w:pPr>
      <w:r>
        <w:rPr>
          <w:rFonts w:eastAsia="Calibri" w:cs="Noto Sans"/>
          <w14:ligatures w14:val="none"/>
        </w:rPr>
        <w:t xml:space="preserve">Freire Paulo (1974) </w:t>
      </w:r>
      <w:r>
        <w:rPr>
          <w:rFonts w:eastAsia="Calibri" w:cs="Noto Sans"/>
          <w:i/>
          <w14:ligatures w14:val="none"/>
        </w:rPr>
        <w:t>Pédagogie des opprimés. Suivi de Conscientisation et révolution,</w:t>
      </w:r>
      <w:r>
        <w:rPr>
          <w:rFonts w:eastAsia="Calibri" w:cs="Noto Sans"/>
          <w14:ligatures w14:val="none"/>
        </w:rPr>
        <w:t xml:space="preserve"> </w:t>
      </w:r>
      <w:r>
        <w:rPr>
          <w:rFonts w:eastAsia="Calibri" w:cs="Noto Sans"/>
          <w:lang w:val="en-US"/>
          <w14:ligatures w14:val="none"/>
        </w:rPr>
        <w:t>Paris, François Maspero.</w:t>
      </w:r>
    </w:p>
    <w:p>
      <w:pPr>
        <w:pStyle w:val="Normal"/>
        <w:suppressLineNumbers/>
        <w:spacing w:lineRule="exact" w:line="283"/>
        <w:ind w:hanging="720" w:start="720"/>
        <w:rPr>
          <w:rFonts w:ascii="Times New Roman" w:hAnsi="Times New Roman"/>
        </w:rPr>
      </w:pPr>
      <w:r>
        <w:rPr>
          <w:rFonts w:eastAsia="Calibri" w:cs="Noto Sans"/>
          <w14:ligatures w14:val="none"/>
        </w:rPr>
        <w:t xml:space="preserve">Glaymann Dominique (2015) « Quels effets de l’inflation des stages dans l’enseignement supérieur ? », </w:t>
      </w:r>
      <w:r>
        <w:rPr>
          <w:rFonts w:eastAsia="Calibri" w:cs="Noto Sans"/>
          <w:i/>
          <w14:ligatures w14:val="none"/>
        </w:rPr>
        <w:t>Formation emploi</w:t>
      </w:r>
      <w:r>
        <w:rPr>
          <w:rFonts w:eastAsia="Calibri" w:cs="Noto Sans"/>
          <w14:ligatures w14:val="none"/>
        </w:rPr>
        <w:t>, 129, pp. 5</w:t>
        <w:noBreakHyphen/>
        <w:t>22.</w:t>
      </w:r>
    </w:p>
    <w:p>
      <w:pPr>
        <w:pStyle w:val="Normal"/>
        <w:suppressLineNumbers/>
        <w:spacing w:lineRule="exact" w:line="283"/>
        <w:ind w:hanging="720" w:start="720"/>
        <w:rPr>
          <w:rFonts w:ascii="Times New Roman" w:hAnsi="Times New Roman"/>
        </w:rPr>
      </w:pPr>
      <w:r>
        <w:rPr>
          <w:rFonts w:eastAsia="Calibri" w:cs="Noto Sans"/>
          <w14:ligatures w14:val="none"/>
        </w:rPr>
        <w:t xml:space="preserve">Guillaumin Colette (1972) </w:t>
      </w:r>
      <w:r>
        <w:rPr>
          <w:rFonts w:eastAsia="Calibri" w:cs="Noto Sans"/>
          <w:i/>
          <w14:ligatures w14:val="none"/>
        </w:rPr>
        <w:t>L’idéologie raciste. Genèse et langage actuel,</w:t>
      </w:r>
      <w:r>
        <w:rPr>
          <w:rFonts w:eastAsia="Calibri" w:cs="Noto Sans"/>
          <w14:ligatures w14:val="none"/>
        </w:rPr>
        <w:t xml:space="preserve"> Paris, Mouton.</w:t>
      </w:r>
    </w:p>
    <w:p>
      <w:pPr>
        <w:pStyle w:val="Normal"/>
        <w:suppressLineNumbers/>
        <w:spacing w:lineRule="exact" w:line="283"/>
        <w:ind w:hanging="720" w:start="720"/>
        <w:rPr>
          <w:rFonts w:ascii="Times New Roman" w:hAnsi="Times New Roman"/>
        </w:rPr>
      </w:pPr>
      <w:r>
        <w:rPr>
          <w:rFonts w:eastAsia="Calibri" w:cs="Noto Sans"/>
          <w14:ligatures w14:val="none"/>
        </w:rPr>
        <w:t xml:space="preserve">Hajjat Abdellali, Zoubir Zacharia (2025) « L’université, une canopée cosmopolite ? Interprétations, formes et spatialisation des expériences estudiantines du racisme quotidien », </w:t>
      </w:r>
      <w:r>
        <w:rPr>
          <w:rFonts w:eastAsia="Calibri" w:cs="Noto Sans"/>
          <w:i/>
          <w:iCs/>
          <w14:ligatures w14:val="none"/>
        </w:rPr>
        <w:t>Marronnages</w:t>
      </w:r>
      <w:r>
        <w:rPr>
          <w:rFonts w:eastAsia="Calibri" w:cs="Noto Sans"/>
          <w14:ligatures w14:val="none"/>
        </w:rPr>
        <w:t xml:space="preserve">, </w:t>
      </w:r>
      <w:r>
        <w:rPr>
          <w:rFonts w:eastAsia="Calibri" w:cs="Noto Sans"/>
          <w:i/>
          <w:iCs/>
          <w14:ligatures w14:val="none"/>
        </w:rPr>
        <w:t>4</w:t>
      </w:r>
      <w:r>
        <w:rPr>
          <w:rFonts w:eastAsia="Calibri" w:cs="Noto Sans"/>
          <w14:ligatures w14:val="none"/>
        </w:rPr>
        <w:t>(1), pp. 48-69.</w:t>
      </w:r>
    </w:p>
    <w:p>
      <w:pPr>
        <w:pStyle w:val="Normal"/>
        <w:suppressLineNumbers/>
        <w:spacing w:lineRule="exact" w:line="283"/>
        <w:ind w:hanging="720" w:start="720"/>
        <w:rPr>
          <w:rFonts w:ascii="Times New Roman" w:hAnsi="Times New Roman"/>
        </w:rPr>
      </w:pPr>
      <w:r>
        <w:rPr>
          <w:rFonts w:eastAsia="Calibri" w:cs="Noto Sans"/>
          <w14:ligatures w14:val="none"/>
        </w:rPr>
        <w:t xml:space="preserve">Hamel Christelle, Lesné Maud, Primon Jean-Luc (2016) « La place du racisme dans l’étude des discriminations », </w:t>
      </w:r>
      <w:r>
        <w:rPr>
          <w:rFonts w:eastAsia="Calibri" w:cs="Noto Sans"/>
          <w:i/>
          <w:iCs/>
          <w14:ligatures w14:val="none"/>
        </w:rPr>
        <w:t>in</w:t>
      </w:r>
      <w:r>
        <w:rPr>
          <w:rFonts w:eastAsia="Calibri" w:cs="Noto Sans"/>
          <w14:ligatures w14:val="none"/>
        </w:rPr>
        <w:t xml:space="preserve"> Chris Beauchemin et Patrick Simon Éds, </w:t>
      </w:r>
      <w:r>
        <w:rPr>
          <w:rFonts w:eastAsia="Calibri" w:cs="Noto Sans"/>
          <w:i/>
          <w14:ligatures w14:val="none"/>
        </w:rPr>
        <w:t>Trajectoires et origines. Enquête sur la diversité des populations en France</w:t>
      </w:r>
      <w:r>
        <w:rPr>
          <w:rFonts w:eastAsia="Calibri" w:cs="Noto Sans"/>
          <w14:ligatures w14:val="none"/>
        </w:rPr>
        <w:t>, Paris, Ined Éditions, pp. 443</w:t>
        <w:noBreakHyphen/>
        <w:t>470.</w:t>
      </w:r>
    </w:p>
    <w:p>
      <w:pPr>
        <w:pStyle w:val="Normal"/>
        <w:suppressLineNumbers/>
        <w:spacing w:lineRule="exact" w:line="283"/>
        <w:ind w:hanging="720" w:start="720"/>
        <w:rPr>
          <w:rFonts w:ascii="Times New Roman" w:hAnsi="Times New Roman"/>
        </w:rPr>
      </w:pPr>
      <w:r>
        <w:rPr>
          <w:rFonts w:eastAsia="Calibri" w:cs="Noto Sans"/>
          <w14:ligatures w14:val="none"/>
        </w:rPr>
        <w:t>Hamidi Camille (2006) « Éléments pour une approche interactionniste de la politisation »,</w:t>
      </w:r>
      <w:r>
        <w:rPr>
          <w:rFonts w:eastAsia="Calibri" w:cs="Noto Sans"/>
          <w:i/>
          <w:iCs/>
          <w14:ligatures w14:val="none"/>
        </w:rPr>
        <w:t xml:space="preserve"> Revue française de science politique</w:t>
      </w:r>
      <w:r>
        <w:rPr>
          <w:rFonts w:eastAsia="Calibri" w:cs="Noto Sans"/>
          <w14:ligatures w14:val="none"/>
        </w:rPr>
        <w:t>,</w:t>
      </w:r>
      <w:r>
        <w:rPr>
          <w:rFonts w:eastAsia="Calibri" w:cs="Noto Sans"/>
          <w:i/>
          <w:iCs/>
          <w14:ligatures w14:val="none"/>
        </w:rPr>
        <w:t xml:space="preserve"> </w:t>
      </w:r>
      <w:r>
        <w:rPr>
          <w:rFonts w:eastAsia="Calibri" w:cs="Noto Sans"/>
          <w14:ligatures w14:val="none"/>
        </w:rPr>
        <w:t>56 (1), pp. 5-25.</w:t>
      </w:r>
    </w:p>
    <w:p>
      <w:pPr>
        <w:pStyle w:val="Normal"/>
        <w:suppressLineNumbers/>
        <w:spacing w:lineRule="exact" w:line="283"/>
        <w:ind w:hanging="720" w:start="720"/>
        <w:rPr>
          <w:rFonts w:ascii="Times New Roman" w:hAnsi="Times New Roman"/>
        </w:rPr>
      </w:pPr>
      <w:r>
        <w:rPr>
          <w:rFonts w:eastAsia="Calibri" w:cs="Noto Sans"/>
          <w14:ligatures w14:val="none"/>
        </w:rPr>
        <w:t xml:space="preserve">Hayakawa Miyako (2025) « Déni et minimisation des expériences du racisme chez les personnes d’origine asiatique de classes moyennes et supérieures en France », </w:t>
      </w:r>
      <w:r>
        <w:rPr>
          <w:rFonts w:eastAsia="Calibri" w:cs="Noto Sans"/>
          <w:i/>
          <w14:ligatures w14:val="none"/>
        </w:rPr>
        <w:t>Appartenances &amp; Altérités</w:t>
      </w:r>
      <w:r>
        <w:rPr>
          <w:rFonts w:eastAsia="Calibri" w:cs="Noto Sans"/>
          <w14:ligatures w14:val="none"/>
        </w:rPr>
        <w:t xml:space="preserve">, 6. </w:t>
      </w:r>
      <w:r>
        <w:rPr/>
        <w:t>[En ligne], consulté le 6 mai 2025, DOI : https://doi.org/10.4000/13s0i.</w:t>
      </w:r>
    </w:p>
    <w:p>
      <w:pPr>
        <w:pStyle w:val="Normal"/>
        <w:suppressLineNumbers/>
        <w:spacing w:lineRule="exact" w:line="283"/>
        <w:ind w:hanging="720" w:start="720"/>
        <w:rPr>
          <w:rFonts w:ascii="Times New Roman" w:hAnsi="Times New Roman"/>
        </w:rPr>
      </w:pPr>
      <w:r>
        <w:rPr>
          <w:rFonts w:eastAsia="Calibri" w:cs="Noto Sans"/>
          <w14:ligatures w14:val="none"/>
        </w:rPr>
        <w:t xml:space="preserve">Hugrée Cédric, Poullaouec Tristan (2022) </w:t>
      </w:r>
      <w:r>
        <w:rPr>
          <w:rFonts w:eastAsia="Calibri" w:cs="Noto Sans"/>
          <w:i/>
          <w14:ligatures w14:val="none"/>
        </w:rPr>
        <w:t>L’université qui vient. Un nouveau régime de sélection scolaire,</w:t>
      </w:r>
      <w:r>
        <w:rPr>
          <w:rFonts w:eastAsia="Calibri" w:cs="Noto Sans"/>
          <w14:ligatures w14:val="none"/>
        </w:rPr>
        <w:t xml:space="preserve"> Paris, Raisons d’agir.</w:t>
      </w:r>
    </w:p>
    <w:p>
      <w:pPr>
        <w:pStyle w:val="Normal"/>
        <w:suppressLineNumbers/>
        <w:spacing w:lineRule="exact" w:line="283"/>
        <w:ind w:hanging="720" w:start="720"/>
        <w:rPr>
          <w:rFonts w:ascii="Times New Roman" w:hAnsi="Times New Roman"/>
        </w:rPr>
      </w:pPr>
      <w:r>
        <w:rPr>
          <w:rFonts w:eastAsia="Calibri" w:cs="Noto Sans"/>
          <w14:ligatures w14:val="none"/>
        </w:rPr>
        <w:t xml:space="preserve">Joubert Léo, Lê Van Truoc Olivier, Mercklé Pierre, Tudoux Benoit (2023) « Redresser l’échantillon d’une enquête en ligne : un exemple à partir de l’enquête Vico », </w:t>
      </w:r>
      <w:r>
        <w:rPr>
          <w:rFonts w:eastAsia="Calibri" w:cs="Noto Sans"/>
          <w:i/>
          <w14:ligatures w14:val="none"/>
        </w:rPr>
        <w:t>Bulletin de Méthodologie Sociologique</w:t>
      </w:r>
      <w:r>
        <w:rPr>
          <w:rFonts w:eastAsia="Calibri" w:cs="Noto Sans"/>
          <w14:ligatures w14:val="none"/>
        </w:rPr>
        <w:t xml:space="preserve">, </w:t>
      </w:r>
      <w:r>
        <w:rPr>
          <w:rFonts w:eastAsia="Calibri" w:cs="Noto Sans"/>
          <w:i/>
          <w14:ligatures w14:val="none"/>
        </w:rPr>
        <w:t>158</w:t>
      </w:r>
      <w:r>
        <w:rPr>
          <w:rFonts w:eastAsia="Calibri" w:cs="Noto Sans"/>
          <w14:ligatures w14:val="none"/>
        </w:rPr>
        <w:t>(1), pp. 143</w:t>
        <w:noBreakHyphen/>
        <w:t>166.</w:t>
      </w:r>
    </w:p>
    <w:p>
      <w:pPr>
        <w:pStyle w:val="Normal"/>
        <w:suppressLineNumbers/>
        <w:spacing w:lineRule="exact" w:line="283"/>
        <w:ind w:hanging="720" w:start="720"/>
        <w:rPr>
          <w:rFonts w:ascii="Times New Roman" w:hAnsi="Times New Roman"/>
        </w:rPr>
      </w:pPr>
      <w:r>
        <w:rPr>
          <w:rFonts w:eastAsia="Calibri" w:cs="Noto Sans"/>
          <w14:ligatures w14:val="none"/>
        </w:rPr>
        <w:t xml:space="preserve">Le Blanc Guillaume (2009) </w:t>
      </w:r>
      <w:r>
        <w:rPr>
          <w:rFonts w:eastAsia="Calibri" w:cs="Noto Sans"/>
          <w:i/>
          <w:iCs/>
          <w14:ligatures w14:val="none"/>
        </w:rPr>
        <w:t>L’invisibilité sociale</w:t>
      </w:r>
      <w:r>
        <w:rPr>
          <w:rFonts w:eastAsia="Calibri" w:cs="Noto Sans"/>
          <w14:ligatures w14:val="none"/>
        </w:rPr>
        <w:t>, Paris, Puf.</w:t>
      </w:r>
    </w:p>
    <w:p>
      <w:pPr>
        <w:pStyle w:val="Normal"/>
        <w:suppressLineNumbers/>
        <w:spacing w:lineRule="exact" w:line="283"/>
        <w:ind w:hanging="720" w:start="720"/>
        <w:rPr>
          <w:rFonts w:ascii="Times New Roman" w:hAnsi="Times New Roman"/>
        </w:rPr>
      </w:pPr>
      <w:r>
        <w:rPr>
          <w:rFonts w:eastAsia="Calibri" w:cs="Noto Sans"/>
          <w14:ligatures w14:val="none"/>
        </w:rPr>
        <w:t xml:space="preserve">Lebugle Amandine, Dupuis Justine et l’équipe de l’enquête Virage (2018) « Les violences subies dans le cadre des études universitaires », </w:t>
      </w:r>
      <w:r>
        <w:rPr>
          <w:rFonts w:eastAsia="Calibri" w:cs="Noto Sans"/>
          <w:i/>
          <w:iCs/>
          <w14:ligatures w14:val="none"/>
        </w:rPr>
        <w:t>Documents de travail</w:t>
      </w:r>
      <w:r>
        <w:rPr>
          <w:rFonts w:eastAsia="Calibri" w:cs="Noto Sans"/>
          <w14:ligatures w14:val="none"/>
        </w:rPr>
        <w:t>, 245, Paris, Ined.</w:t>
      </w:r>
    </w:p>
    <w:p>
      <w:pPr>
        <w:pStyle w:val="Normal"/>
        <w:suppressLineNumbers/>
        <w:spacing w:lineRule="exact" w:line="283"/>
        <w:ind w:hanging="720" w:start="720"/>
        <w:rPr/>
      </w:pPr>
      <w:r>
        <w:rPr>
          <w:rFonts w:eastAsia="Calibri" w:cs="Noto Sans"/>
          <w14:ligatures w14:val="none"/>
        </w:rPr>
        <w:t xml:space="preserve">Lesné Maud, Simon Patrick (2012) « La mesure des discriminations dans l’enquête </w:t>
      </w:r>
      <w:r>
        <w:rPr>
          <w:rStyle w:val="Strong"/>
          <w:b w:val="false"/>
          <w:bCs w:val="false"/>
        </w:rPr>
        <w:t>“</w:t>
      </w:r>
      <w:r>
        <w:rPr>
          <w:rFonts w:eastAsia="Calibri" w:cs="Noto Sans"/>
          <w14:ligatures w14:val="none"/>
        </w:rPr>
        <w:t>Trajectoires et Origines</w:t>
      </w:r>
      <w:r>
        <w:rPr>
          <w:rStyle w:val="Strong"/>
          <w:b w:val="false"/>
          <w:bCs w:val="false"/>
        </w:rPr>
        <w:t>”</w:t>
      </w:r>
      <w:r>
        <w:rPr>
          <w:rFonts w:eastAsia="Calibri" w:cs="Noto Sans"/>
          <w14:ligatures w14:val="none"/>
        </w:rPr>
        <w:t xml:space="preserve"> », </w:t>
      </w:r>
      <w:r>
        <w:rPr>
          <w:rFonts w:eastAsia="Calibri" w:cs="Noto Sans"/>
          <w:i/>
          <w14:ligatures w14:val="none"/>
        </w:rPr>
        <w:t>Série Trajectoires et Origines</w:t>
      </w:r>
      <w:r>
        <w:rPr>
          <w:rFonts w:eastAsia="Calibri" w:cs="Noto Sans"/>
          <w14:ligatures w14:val="none"/>
        </w:rPr>
        <w:t>, 184, Paris, Ined.</w:t>
      </w:r>
    </w:p>
    <w:p>
      <w:pPr>
        <w:pStyle w:val="Normal"/>
        <w:suppressLineNumbers/>
        <w:spacing w:lineRule="exact" w:line="283"/>
        <w:ind w:hanging="720" w:start="720"/>
        <w:rPr>
          <w:rFonts w:ascii="Times New Roman" w:hAnsi="Times New Roman"/>
        </w:rPr>
      </w:pPr>
      <w:r>
        <w:rPr>
          <w:rFonts w:eastAsia="Calibri" w:cs="Noto Sans"/>
          <w:lang w:val="en-US"/>
          <w14:ligatures w14:val="none"/>
        </w:rPr>
        <w:t xml:space="preserve">Meer Nasar, Modood Tariq (2010) « The Racialisation of Muslims », </w:t>
      </w:r>
      <w:r>
        <w:rPr>
          <w:rFonts w:eastAsia="Calibri" w:cs="Noto Sans"/>
          <w:i/>
          <w:iCs/>
          <w:lang w:val="en-US"/>
          <w14:ligatures w14:val="none"/>
        </w:rPr>
        <w:t>in</w:t>
      </w:r>
      <w:r>
        <w:rPr>
          <w:rFonts w:eastAsia="Calibri" w:cs="Noto Sans"/>
          <w:lang w:val="en-US"/>
          <w14:ligatures w14:val="none"/>
        </w:rPr>
        <w:t xml:space="preserve"> Salman Sayyid et Abdool-Karim Vakil Éds, </w:t>
      </w:r>
      <w:r>
        <w:rPr>
          <w:rFonts w:eastAsia="Calibri" w:cs="Noto Sans"/>
          <w:i/>
          <w:iCs/>
          <w:lang w:val="en-US"/>
          <w14:ligatures w14:val="none"/>
        </w:rPr>
        <w:t>Thinking through islamophobia. Global perspectives</w:t>
      </w:r>
      <w:r>
        <w:rPr>
          <w:rFonts w:eastAsia="Calibri" w:cs="Noto Sans"/>
          <w:lang w:val="en-US"/>
          <w14:ligatures w14:val="none"/>
        </w:rPr>
        <w:t>, New York, Columbia University Press, pp. 69-84.</w:t>
      </w:r>
    </w:p>
    <w:p>
      <w:pPr>
        <w:pStyle w:val="Normal"/>
        <w:suppressLineNumbers/>
        <w:spacing w:lineRule="exact" w:line="283"/>
        <w:ind w:hanging="720" w:start="720"/>
        <w:rPr>
          <w:rFonts w:ascii="Times New Roman" w:hAnsi="Times New Roman"/>
        </w:rPr>
      </w:pPr>
      <w:r>
        <w:rPr>
          <w:rFonts w:eastAsia="Calibri" w:cs="Noto Sans"/>
          <w:lang w:val="en-US"/>
          <w14:ligatures w14:val="none"/>
        </w:rPr>
        <w:t xml:space="preserve">Mohanty Chandra T. (1989) « On Race and Voice: Challenges for Liberal Education in the 1990s », </w:t>
      </w:r>
      <w:r>
        <w:rPr>
          <w:rFonts w:eastAsia="Calibri" w:cs="Noto Sans"/>
          <w:i/>
          <w:iCs/>
          <w:lang w:val="en-US"/>
          <w14:ligatures w14:val="none"/>
        </w:rPr>
        <w:t>Cultural Critique,</w:t>
      </w:r>
      <w:r>
        <w:rPr>
          <w:rFonts w:eastAsia="Calibri" w:cs="Noto Sans"/>
          <w:lang w:val="en-US"/>
          <w14:ligatures w14:val="none"/>
        </w:rPr>
        <w:t xml:space="preserve"> 14, pp. 179-208.</w:t>
      </w:r>
    </w:p>
    <w:p>
      <w:pPr>
        <w:pStyle w:val="Normal"/>
        <w:suppressLineNumbers/>
        <w:spacing w:lineRule="exact" w:line="283"/>
        <w:ind w:hanging="720" w:start="720"/>
        <w:rPr>
          <w:rFonts w:ascii="Times New Roman" w:hAnsi="Times New Roman"/>
        </w:rPr>
      </w:pPr>
      <w:r>
        <w:rPr>
          <w:rFonts w:eastAsia="Calibri" w:cs="Noto Sans"/>
          <w:lang w:val="en-US"/>
          <w14:ligatures w14:val="none"/>
        </w:rPr>
        <w:t xml:space="preserve">Morales Erica M. (2014) « Intersectional Impact: Black Students and Race, Gender and Class Microaggressions in Higher Education », </w:t>
      </w:r>
      <w:r>
        <w:rPr>
          <w:rFonts w:eastAsia="Calibri" w:cs="Noto Sans"/>
          <w:i/>
          <w:lang w:val="en-US"/>
          <w14:ligatures w14:val="none"/>
        </w:rPr>
        <w:t>Race, Gender &amp; Class,</w:t>
      </w:r>
      <w:r>
        <w:rPr>
          <w:rFonts w:eastAsia="Calibri" w:cs="Noto Sans"/>
          <w:lang w:val="en-US"/>
          <w14:ligatures w14:val="none"/>
        </w:rPr>
        <w:t xml:space="preserve"> 21(3/4), pp. 48</w:t>
        <w:noBreakHyphen/>
        <w:t>66.</w:t>
      </w:r>
    </w:p>
    <w:p>
      <w:pPr>
        <w:pStyle w:val="Normal"/>
        <w:suppressLineNumbers/>
        <w:spacing w:lineRule="exact" w:line="283"/>
        <w:ind w:hanging="720" w:start="720"/>
        <w:rPr>
          <w:rFonts w:ascii="Times New Roman" w:hAnsi="Times New Roman"/>
        </w:rPr>
      </w:pPr>
      <w:r>
        <w:rPr>
          <w:rFonts w:eastAsia="Calibri" w:cs="Noto Sans"/>
          <w:lang w:val="en-US"/>
          <w14:ligatures w14:val="none"/>
        </w:rPr>
        <w:t xml:space="preserve">Museus Samuel D., Ledesma María C., Parker Tara L. (2015) « Racism and Racial Equity in Higher Education », </w:t>
      </w:r>
      <w:r>
        <w:rPr>
          <w:rFonts w:eastAsia="Calibri" w:cs="Noto Sans"/>
          <w:i/>
          <w:lang w:val="en-US"/>
          <w14:ligatures w14:val="none"/>
        </w:rPr>
        <w:t>ASHE Higher Education Report</w:t>
      </w:r>
      <w:r>
        <w:rPr>
          <w:rFonts w:eastAsia="Calibri" w:cs="Noto Sans"/>
          <w:lang w:val="en-US"/>
          <w14:ligatures w14:val="none"/>
        </w:rPr>
        <w:t>, 42(1), pp. 1</w:t>
        <w:noBreakHyphen/>
        <w:t>112.</w:t>
      </w:r>
    </w:p>
    <w:p>
      <w:pPr>
        <w:pStyle w:val="Normal"/>
        <w:suppressLineNumbers/>
        <w:spacing w:lineRule="exact" w:line="283"/>
        <w:ind w:hanging="720" w:start="720"/>
        <w:rPr>
          <w:rFonts w:ascii="Times New Roman" w:hAnsi="Times New Roman"/>
        </w:rPr>
      </w:pPr>
      <w:r>
        <w:rPr>
          <w:rFonts w:eastAsia="Calibri" w:cs="Noto Sans"/>
          <w14:ligatures w14:val="none"/>
        </w:rPr>
        <w:t xml:space="preserve">Noël Olivier (2008) « Subjectivation des vécus, objectivation juridique des faits », </w:t>
      </w:r>
      <w:r>
        <w:rPr>
          <w:rFonts w:eastAsia="Calibri" w:cs="Noto Sans"/>
          <w:i/>
          <w14:ligatures w14:val="none"/>
        </w:rPr>
        <w:t>Informations sociales</w:t>
      </w:r>
      <w:r>
        <w:rPr>
          <w:rFonts w:eastAsia="Calibri" w:cs="Noto Sans"/>
          <w14:ligatures w14:val="none"/>
        </w:rPr>
        <w:t>, 148, pp. 124</w:t>
        <w:noBreakHyphen/>
        <w:t>133.</w:t>
      </w:r>
    </w:p>
    <w:p>
      <w:pPr>
        <w:pStyle w:val="Normal"/>
        <w:suppressLineNumbers/>
        <w:spacing w:lineRule="exact" w:line="283"/>
        <w:ind w:hanging="720" w:start="720"/>
        <w:rPr>
          <w:rFonts w:ascii="Times New Roman" w:hAnsi="Times New Roman"/>
        </w:rPr>
      </w:pPr>
      <w:r>
        <w:rPr>
          <w:rFonts w:eastAsia="Calibri" w:cs="Noto Sans"/>
          <w14:ligatures w14:val="none"/>
        </w:rPr>
        <w:t>Cote-Colisson Daniel (2007) « Qu’est-ce qu’un échantillon représentatif  ? </w:t>
      </w:r>
      <w:r>
        <w:rPr>
          <w:rFonts w:eastAsia="Calibri" w:cs="Noto Sans"/>
          <w:i/>
          <w14:ligatures w14:val="none"/>
        </w:rPr>
        <w:t>»,</w:t>
      </w:r>
      <w:r>
        <w:rPr>
          <w:rFonts w:eastAsia="Calibri" w:cs="Noto Sans"/>
          <w14:ligatures w14:val="none"/>
        </w:rPr>
        <w:t xml:space="preserve"> </w:t>
      </w:r>
      <w:r>
        <w:rPr>
          <w:rFonts w:eastAsia="Calibri" w:cs="Noto Sans"/>
          <w:i/>
          <w14:ligatures w14:val="none"/>
        </w:rPr>
        <w:t>Lettre blanche</w:t>
      </w:r>
      <w:r>
        <w:rPr>
          <w:rFonts w:eastAsia="Calibri" w:cs="Noto Sans"/>
          <w14:ligatures w14:val="none"/>
        </w:rPr>
        <w:t>, 47. [En ligne] consulté le 21 mai 2025, URL: http://penombre.org/Qu-est-ce-qu-un-echantillon.</w:t>
      </w:r>
    </w:p>
    <w:p>
      <w:pPr>
        <w:pStyle w:val="Normal"/>
        <w:suppressLineNumbers/>
        <w:spacing w:lineRule="exact" w:line="283"/>
        <w:ind w:hanging="720" w:start="720"/>
        <w:rPr>
          <w:rFonts w:ascii="Times New Roman" w:hAnsi="Times New Roman"/>
        </w:rPr>
      </w:pPr>
      <w:r>
        <w:rPr>
          <w:rFonts w:eastAsia="Calibri" w:cs="Noto Sans"/>
          <w14:ligatures w14:val="none"/>
        </w:rPr>
        <w:t xml:space="preserve">Pettigrew Thomas, Meertens Roel W. (1993) « Le racisme voilé : dimensions et mesures » in Wieviorka Michel Éd, </w:t>
      </w:r>
      <w:r>
        <w:rPr>
          <w:rFonts w:eastAsia="Calibri" w:cs="Noto Sans"/>
          <w:i/>
          <w14:ligatures w14:val="none"/>
        </w:rPr>
        <w:t>Racisme et modernité</w:t>
      </w:r>
      <w:r>
        <w:rPr>
          <w:rFonts w:eastAsia="Calibri" w:cs="Noto Sans"/>
          <w14:ligatures w14:val="none"/>
        </w:rPr>
        <w:t xml:space="preserve">. </w:t>
      </w:r>
      <w:r>
        <w:rPr>
          <w:rFonts w:eastAsia="Calibri" w:cs="Noto Sans"/>
          <w:lang w:val="en-US"/>
          <w14:ligatures w14:val="none"/>
        </w:rPr>
        <w:t>Paris, La Découverte, pp. 109-126.</w:t>
      </w:r>
    </w:p>
    <w:p>
      <w:pPr>
        <w:pStyle w:val="Normal"/>
        <w:suppressLineNumbers/>
        <w:spacing w:lineRule="exact" w:line="283"/>
        <w:ind w:hanging="720" w:start="720"/>
        <w:rPr>
          <w:rFonts w:ascii="Times New Roman" w:hAnsi="Times New Roman"/>
        </w:rPr>
      </w:pPr>
      <w:r>
        <w:rPr>
          <w:rFonts w:eastAsia="Calibri" w:cs="Noto Sans"/>
          <w:lang w:val="en-US"/>
          <w14:ligatures w14:val="none"/>
        </w:rPr>
        <w:t xml:space="preserve">Perez </w:t>
      </w:r>
      <w:r>
        <w:rPr>
          <w:rFonts w:eastAsia="Calibri" w:cs="Times New Roman"/>
          <w:lang w:val="en-US"/>
          <w14:ligatures w14:val="none"/>
        </w:rPr>
        <w:t xml:space="preserve">Raúl (2022) </w:t>
      </w:r>
      <w:r>
        <w:rPr>
          <w:rFonts w:eastAsia="Calibri" w:cs="Times New Roman"/>
          <w:i/>
          <w:iCs/>
          <w:lang w:val="en-US"/>
          <w14:ligatures w14:val="none"/>
        </w:rPr>
        <w:t>The Souls of White Jokes. How Racist Humour Fuels White Supremacy</w:t>
      </w:r>
      <w:r>
        <w:rPr>
          <w:rFonts w:eastAsia="Calibri" w:cs="Times New Roman"/>
          <w:lang w:val="en-US"/>
          <w14:ligatures w14:val="none"/>
        </w:rPr>
        <w:t>, Standford, California, Standford University Press.</w:t>
      </w:r>
    </w:p>
    <w:p>
      <w:pPr>
        <w:pStyle w:val="Normal"/>
        <w:suppressLineNumbers/>
        <w:spacing w:lineRule="exact" w:line="283"/>
        <w:ind w:hanging="720" w:start="720"/>
        <w:rPr/>
      </w:pPr>
      <w:r>
        <w:rPr>
          <w:rFonts w:eastAsia="Calibri" w:cs="Noto Sans"/>
          <w14:ligatures w14:val="none"/>
        </w:rPr>
        <w:t xml:space="preserve">Poiret Christian (2011) « Les processus d’ethnicisation et de raci(ali)sation dans la France contemporaine : Africains, Ultramarins et </w:t>
      </w:r>
      <w:r>
        <w:rPr>
          <w:rStyle w:val="Strong"/>
          <w:b w:val="false"/>
          <w:bCs w:val="false"/>
        </w:rPr>
        <w:t>“</w:t>
      </w:r>
      <w:r>
        <w:rPr>
          <w:rFonts w:eastAsia="Calibri" w:cs="Noto Sans"/>
          <w14:ligatures w14:val="none"/>
        </w:rPr>
        <w:t>Noirs</w:t>
      </w:r>
      <w:r>
        <w:rPr>
          <w:rStyle w:val="Strong"/>
          <w:b w:val="false"/>
          <w:bCs w:val="false"/>
        </w:rPr>
        <w:t>”</w:t>
      </w:r>
      <w:r>
        <w:rPr>
          <w:rFonts w:eastAsia="Calibri" w:cs="Noto Sans"/>
          <w14:ligatures w14:val="none"/>
        </w:rPr>
        <w:t xml:space="preserve"> », </w:t>
      </w:r>
      <w:r>
        <w:rPr>
          <w:rFonts w:eastAsia="Calibri" w:cs="Noto Sans"/>
          <w:i/>
          <w14:ligatures w14:val="none"/>
        </w:rPr>
        <w:t>Revue Européenne des Migrations Internationales</w:t>
      </w:r>
      <w:r>
        <w:rPr>
          <w:rFonts w:eastAsia="Calibri" w:cs="Noto Sans"/>
          <w14:ligatures w14:val="none"/>
        </w:rPr>
        <w:t>, 27(1), pp. 107</w:t>
        <w:noBreakHyphen/>
        <w:t>127.</w:t>
      </w:r>
    </w:p>
    <w:p>
      <w:pPr>
        <w:pStyle w:val="Normal"/>
        <w:suppressLineNumbers/>
        <w:spacing w:lineRule="exact" w:line="283"/>
        <w:ind w:hanging="720" w:start="720"/>
        <w:rPr>
          <w:rFonts w:ascii="Times New Roman" w:hAnsi="Times New Roman"/>
        </w:rPr>
      </w:pPr>
      <w:r>
        <w:rPr>
          <w:rFonts w:eastAsia="Calibri" w:cs="Noto Sans"/>
          <w14:ligatures w14:val="none"/>
        </w:rPr>
        <w:t xml:space="preserve">Primon Jean-Luc, Simon Patrick (2018) « Mesurer le racisme ? L’apport des enquêtes quantitatives à la sociologie du racisme », </w:t>
      </w:r>
      <w:r>
        <w:rPr>
          <w:rFonts w:eastAsia="Calibri" w:cs="Noto Sans"/>
          <w:i/>
          <w14:ligatures w14:val="none"/>
        </w:rPr>
        <w:t>Sociologie et Sociétés</w:t>
      </w:r>
      <w:r>
        <w:rPr>
          <w:rFonts w:eastAsia="Calibri" w:cs="Noto Sans"/>
          <w14:ligatures w14:val="none"/>
        </w:rPr>
        <w:t>, 2(50), pp. 175</w:t>
        <w:noBreakHyphen/>
        <w:t>202.</w:t>
      </w:r>
    </w:p>
    <w:p>
      <w:pPr>
        <w:pStyle w:val="Normal"/>
        <w:suppressLineNumbers/>
        <w:spacing w:lineRule="exact" w:line="283"/>
        <w:ind w:hanging="720" w:start="720"/>
        <w:rPr>
          <w:rFonts w:ascii="Times New Roman" w:hAnsi="Times New Roman"/>
        </w:rPr>
      </w:pPr>
      <w:r>
        <w:rPr>
          <w:rFonts w:eastAsia="Calibri" w:cs="Noto Sans"/>
          <w14:ligatures w14:val="none"/>
        </w:rPr>
        <w:t xml:space="preserve">Quassoli Fabio, Colombo Monica (2023) « Post-Migration Stress: Racial Microaggressions and Everyday Discrimination », </w:t>
      </w:r>
      <w:r>
        <w:rPr>
          <w:rFonts w:eastAsia="Calibri" w:cs="Noto Sans"/>
          <w:i/>
          <w14:ligatures w14:val="none"/>
        </w:rPr>
        <w:t>Social Inclusion</w:t>
      </w:r>
      <w:r>
        <w:rPr>
          <w:rFonts w:eastAsia="Calibri" w:cs="Noto Sans"/>
          <w14:ligatures w14:val="none"/>
        </w:rPr>
        <w:t>, 11(2), pp. 1</w:t>
        <w:noBreakHyphen/>
        <w:t>4.</w:t>
      </w:r>
    </w:p>
    <w:p>
      <w:pPr>
        <w:pStyle w:val="Normal"/>
        <w:suppressLineNumbers/>
        <w:spacing w:lineRule="exact" w:line="283"/>
        <w:ind w:hanging="720" w:start="720"/>
        <w:rPr>
          <w:rFonts w:ascii="Times New Roman" w:hAnsi="Times New Roman"/>
        </w:rPr>
      </w:pPr>
      <w:r>
        <w:rPr>
          <w:rFonts w:eastAsia="Calibri" w:cs="Noto Sans"/>
          <w14:ligatures w14:val="none"/>
        </w:rPr>
        <w:t xml:space="preserve">Quintero Oscar (2012) </w:t>
      </w:r>
      <w:r>
        <w:rPr>
          <w:rFonts w:eastAsia="Calibri" w:cs="Noto Sans"/>
          <w:i/>
          <w:iCs/>
          <w14:ligatures w14:val="none"/>
        </w:rPr>
        <w:t>Racisme et discrimination à l’université. Lectures croisées des sociétés française et colombienne à partir de l’expérience vécue des étudiants noirs à Paris et Bogota</w:t>
      </w:r>
      <w:r>
        <w:rPr>
          <w:rFonts w:eastAsia="Calibri" w:cs="Noto Sans"/>
          <w14:ligatures w14:val="none"/>
        </w:rPr>
        <w:t>, Thèse de Doctorat de Sociologie, Université Rennes 2.</w:t>
      </w:r>
    </w:p>
    <w:p>
      <w:pPr>
        <w:pStyle w:val="Normal"/>
        <w:suppressLineNumbers/>
        <w:spacing w:lineRule="exact" w:line="283"/>
        <w:ind w:hanging="720" w:start="720"/>
        <w:rPr>
          <w:rFonts w:ascii="Times New Roman" w:hAnsi="Times New Roman"/>
        </w:rPr>
      </w:pPr>
      <w:r>
        <w:rPr>
          <w:rFonts w:eastAsia="Calibri" w:cs="Noto Sans"/>
          <w14:ligatures w14:val="none"/>
        </w:rPr>
        <w:t xml:space="preserve">Renault Emmanuel (2024) « L’invisibilité sociale comme métaphore et comme expérience », </w:t>
      </w:r>
      <w:r>
        <w:rPr>
          <w:rFonts w:eastAsia="Calibri" w:cs="Noto Sans"/>
          <w:i/>
          <w14:ligatures w14:val="none"/>
        </w:rPr>
        <w:t>Terrains/Théories</w:t>
      </w:r>
      <w:r>
        <w:rPr>
          <w:rFonts w:eastAsia="Calibri" w:cs="Noto Sans"/>
          <w14:ligatures w14:val="none"/>
        </w:rPr>
        <w:t xml:space="preserve">, 19 </w:t>
      </w:r>
      <w:r>
        <w:rPr/>
        <w:t>[En ligne] consulté le 21 novembre 2025, DOI : https://doi.org/10.4000/13c4x</w:t>
      </w:r>
    </w:p>
    <w:p>
      <w:pPr>
        <w:pStyle w:val="Normal"/>
        <w:suppressLineNumbers/>
        <w:spacing w:lineRule="exact" w:line="283"/>
        <w:ind w:hanging="720" w:start="720"/>
        <w:rPr>
          <w:rFonts w:ascii="Times New Roman" w:hAnsi="Times New Roman"/>
        </w:rPr>
      </w:pPr>
      <w:r>
        <w:rPr>
          <w:lang w:val="en-US"/>
        </w:rPr>
        <w:t xml:space="preserve">Roig Emilia (2017), « Uttering “race” in colorblind France and post-racial Germany », </w:t>
      </w:r>
      <w:r>
        <w:rPr>
          <w:i/>
          <w:iCs/>
          <w:lang w:val="en-US"/>
        </w:rPr>
        <w:t>in</w:t>
      </w:r>
      <w:r>
        <w:rPr>
          <w:lang w:val="en-US"/>
        </w:rPr>
        <w:t xml:space="preserve"> Karim Fereidooni et Meral El Éds, </w:t>
      </w:r>
      <w:r>
        <w:rPr>
          <w:i/>
          <w:iCs/>
          <w:lang w:val="en-US"/>
        </w:rPr>
        <w:t>Rassismuskritik und Widerstandsformen</w:t>
      </w:r>
      <w:r>
        <w:rPr>
          <w:lang w:val="en-US"/>
        </w:rPr>
        <w:t>, Wiesbaden, Springer, pp. 613-627.</w:t>
      </w:r>
    </w:p>
    <w:p>
      <w:pPr>
        <w:pStyle w:val="Normal"/>
        <w:suppressLineNumbers/>
        <w:spacing w:lineRule="exact" w:line="283"/>
        <w:ind w:hanging="720" w:start="720"/>
        <w:rPr>
          <w:rFonts w:ascii="Times New Roman" w:hAnsi="Times New Roman"/>
        </w:rPr>
      </w:pPr>
      <w:r>
        <w:rPr>
          <w:rFonts w:eastAsia="Calibri" w:cs="Noto Sans"/>
          <w14:ligatures w14:val="none"/>
        </w:rPr>
        <w:t xml:space="preserve">Roux Patricia, Pérez Juan Antonio (1996) « Antiracisme manifeste et racisme symbolique » </w:t>
      </w:r>
      <w:r>
        <w:rPr>
          <w:rFonts w:eastAsia="Calibri" w:cs="Noto Sans"/>
          <w:i/>
          <w:iCs/>
          <w14:ligatures w14:val="none"/>
        </w:rPr>
        <w:t>in</w:t>
      </w:r>
      <w:r>
        <w:rPr>
          <w:rFonts w:eastAsia="Calibri" w:cs="Noto Sans"/>
          <w14:ligatures w14:val="none"/>
        </w:rPr>
        <w:t xml:space="preserve"> Hans-Rudolf Wicker, Jean-Luc Alber, Claudio Bolzman Éds, </w:t>
      </w:r>
      <w:r>
        <w:rPr>
          <w:rFonts w:eastAsia="Calibri" w:cs="Noto Sans"/>
          <w:i/>
          <w14:ligatures w14:val="none"/>
        </w:rPr>
        <w:t>L’altérité dans la société : migration, ethnicité, État</w:t>
      </w:r>
      <w:r>
        <w:rPr>
          <w:rFonts w:eastAsia="Calibri" w:cs="Noto Sans"/>
          <w14:ligatures w14:val="none"/>
        </w:rPr>
        <w:t>, Zurich, Seismo, pp. 265</w:t>
        <w:noBreakHyphen/>
        <w:t>275.</w:t>
      </w:r>
    </w:p>
    <w:p>
      <w:pPr>
        <w:pStyle w:val="Normal"/>
        <w:suppressLineNumbers/>
        <w:spacing w:lineRule="exact" w:line="283"/>
        <w:ind w:hanging="720" w:start="720"/>
        <w:rPr>
          <w:rFonts w:ascii="Times New Roman" w:hAnsi="Times New Roman"/>
        </w:rPr>
      </w:pPr>
      <w:r>
        <w:rPr>
          <w:rFonts w:eastAsia="Calibri" w:cs="Noto Sans"/>
          <w14:ligatures w14:val="none"/>
        </w:rPr>
        <w:t xml:space="preserve">Safi Mirna, Simon Patrick (2013) « Les discriminations ethniques et raciales dans l’enquête Trajectoires et Origines : représentations, expériences subjectives et situations vécues », </w:t>
      </w:r>
      <w:r>
        <w:rPr>
          <w:rFonts w:eastAsia="Calibri" w:cs="Noto Sans"/>
          <w:i/>
          <w14:ligatures w14:val="none"/>
        </w:rPr>
        <w:t>Economie et Statistique</w:t>
      </w:r>
      <w:r>
        <w:rPr>
          <w:rFonts w:eastAsia="Calibri" w:cs="Noto Sans"/>
          <w14:ligatures w14:val="none"/>
        </w:rPr>
        <w:t>, 464(1), pp. 245</w:t>
        <w:noBreakHyphen/>
        <w:t>275.</w:t>
      </w:r>
    </w:p>
    <w:p>
      <w:pPr>
        <w:pStyle w:val="Normal"/>
        <w:suppressLineNumbers/>
        <w:spacing w:lineRule="exact" w:line="283"/>
        <w:ind w:hanging="720" w:start="720"/>
        <w:rPr>
          <w:rFonts w:ascii="Times New Roman" w:hAnsi="Times New Roman"/>
        </w:rPr>
      </w:pPr>
      <w:r>
        <w:rPr>
          <w:rFonts w:eastAsia="Calibri" w:cs="Noto Sans"/>
          <w14:ligatures w14:val="none"/>
        </w:rPr>
        <w:t xml:space="preserve">Sherif Muzafer, Sherif Carolyn (1979) « Les relations intra- et intergroupes, analyse expérimentale », </w:t>
      </w:r>
      <w:r>
        <w:rPr>
          <w:rFonts w:eastAsia="Calibri" w:cs="Noto Sans"/>
          <w:i/>
          <w:iCs/>
          <w14:ligatures w14:val="none"/>
        </w:rPr>
        <w:t>in</w:t>
      </w:r>
      <w:r>
        <w:rPr>
          <w:rFonts w:eastAsia="Calibri" w:cs="Noto Sans"/>
          <w14:ligatures w14:val="none"/>
        </w:rPr>
        <w:t xml:space="preserve"> Jacqueline Deschamps et Willem Doise Éds, </w:t>
      </w:r>
      <w:r>
        <w:rPr>
          <w:rFonts w:eastAsia="Calibri" w:cs="Noto Sans"/>
          <w:i/>
          <w14:ligatures w14:val="none"/>
        </w:rPr>
        <w:t>Expériences entre groupes,</w:t>
      </w:r>
      <w:r>
        <w:rPr>
          <w:rFonts w:eastAsia="Calibri" w:cs="Noto Sans"/>
          <w14:ligatures w14:val="none"/>
        </w:rPr>
        <w:t xml:space="preserve"> Paris, Mouton, pp. 15-58.</w:t>
      </w:r>
    </w:p>
    <w:p>
      <w:pPr>
        <w:pStyle w:val="Normal"/>
        <w:suppressLineNumbers/>
        <w:spacing w:lineRule="exact" w:line="283"/>
        <w:ind w:hanging="720" w:start="720"/>
        <w:rPr>
          <w:rFonts w:ascii="Times New Roman" w:hAnsi="Times New Roman"/>
        </w:rPr>
      </w:pPr>
      <w:r>
        <w:rPr>
          <w:rFonts w:eastAsia="Calibri" w:cs="Noto Sans"/>
          <w:lang w:val="en-US"/>
          <w14:ligatures w14:val="none"/>
        </w:rPr>
        <w:t xml:space="preserve">Solorzano Daniel, Ceja Miguel, Yosso Tara (2000) « Critical Race Theory, Racial Microaggressions, and Campus Racial Climate: The Experiences of African American College Students », </w:t>
      </w:r>
      <w:r>
        <w:rPr>
          <w:rFonts w:eastAsia="Calibri" w:cs="Noto Sans"/>
          <w:i/>
          <w:lang w:val="en-US"/>
          <w14:ligatures w14:val="none"/>
        </w:rPr>
        <w:t>The Journal of Negro Education</w:t>
      </w:r>
      <w:r>
        <w:rPr>
          <w:rFonts w:eastAsia="Calibri" w:cs="Noto Sans"/>
          <w:lang w:val="en-US"/>
          <w14:ligatures w14:val="none"/>
        </w:rPr>
        <w:t>, 69(1/2), pp. 60</w:t>
        <w:noBreakHyphen/>
        <w:t>73.</w:t>
      </w:r>
    </w:p>
    <w:p>
      <w:pPr>
        <w:pStyle w:val="Normal"/>
        <w:suppressLineNumbers/>
        <w:spacing w:lineRule="exact" w:line="283"/>
        <w:ind w:hanging="720" w:start="720"/>
        <w:rPr>
          <w:rFonts w:ascii="Times New Roman" w:hAnsi="Times New Roman"/>
        </w:rPr>
      </w:pPr>
      <w:r>
        <w:rPr>
          <w:rFonts w:eastAsia="Calibri" w:cs="Noto Sans"/>
          <w14:ligatures w14:val="none"/>
        </w:rPr>
        <w:t xml:space="preserve">Streiff-Fénart Jocelyne (2006) « L’attribution de paranoïa comme délégitimation de la parole des minoritaires : l’exemple d’une entreprise de transports publics », </w:t>
      </w:r>
      <w:r>
        <w:rPr>
          <w:rFonts w:eastAsia="Calibri" w:cs="Noto Sans"/>
          <w:i/>
          <w14:ligatures w14:val="none"/>
        </w:rPr>
        <w:t>Cahiers de l’Urmis</w:t>
      </w:r>
      <w:r>
        <w:rPr>
          <w:rFonts w:eastAsia="Calibri" w:cs="Noto Sans"/>
          <w14:ligatures w14:val="none"/>
        </w:rPr>
        <w:t>, 10</w:t>
        <w:noBreakHyphen/>
        <w:t xml:space="preserve">11. [En ligne] consulté le 5 juin 2024, </w:t>
      </w:r>
      <w:r>
        <w:rPr/>
        <w:t>DOI : https://doi.org/10.4000/urmis.257</w:t>
      </w:r>
    </w:p>
    <w:p>
      <w:pPr>
        <w:pStyle w:val="Normal"/>
        <w:suppressLineNumbers/>
        <w:spacing w:lineRule="exact" w:line="283"/>
        <w:ind w:hanging="720" w:start="720"/>
        <w:rPr>
          <w:rFonts w:ascii="Times New Roman" w:hAnsi="Times New Roman"/>
        </w:rPr>
      </w:pPr>
      <w:r>
        <w:rPr>
          <w:rFonts w:eastAsia="Calibri" w:cs="Noto Sans"/>
          <w14:ligatures w14:val="none"/>
        </w:rPr>
        <w:t xml:space="preserve">Streiff-Fénart Jocelyne, Poutignat Philippe (1997) « Être un étudiant africain. Production et mise en saillance de l’identité ethnique dans un contexte universitaire », </w:t>
      </w:r>
      <w:r>
        <w:rPr>
          <w:rFonts w:eastAsia="Calibri" w:cs="Noto Sans"/>
          <w:i/>
          <w:iCs/>
          <w14:ligatures w14:val="none"/>
        </w:rPr>
        <w:t>in</w:t>
      </w:r>
      <w:r>
        <w:rPr>
          <w:rFonts w:eastAsia="Calibri" w:cs="Noto Sans"/>
          <w14:ligatures w14:val="none"/>
        </w:rPr>
        <w:t xml:space="preserve"> France Aubert, Maryse Tripier et François Vourc’h Éds, </w:t>
      </w:r>
      <w:r>
        <w:rPr>
          <w:rFonts w:eastAsia="Calibri" w:cs="Noto Sans"/>
          <w:i/>
          <w14:ligatures w14:val="none"/>
        </w:rPr>
        <w:t>Jeunes issus de l’immigration. De l’école à l’emploi</w:t>
      </w:r>
      <w:r>
        <w:rPr>
          <w:rFonts w:eastAsia="Calibri" w:cs="Noto Sans"/>
          <w14:ligatures w14:val="none"/>
        </w:rPr>
        <w:t>, Paris, L’Harmattan, pp. 219-231.</w:t>
      </w:r>
    </w:p>
    <w:p>
      <w:pPr>
        <w:pStyle w:val="Normal"/>
        <w:suppressLineNumbers/>
        <w:spacing w:lineRule="exact" w:line="283"/>
        <w:ind w:hanging="720" w:start="720"/>
        <w:rPr>
          <w:rFonts w:ascii="Times New Roman" w:hAnsi="Times New Roman"/>
        </w:rPr>
      </w:pPr>
      <w:r>
        <w:rPr>
          <w:rFonts w:eastAsia="Calibri" w:cs="Noto Sans"/>
          <w:lang w:val="en-US"/>
          <w14:ligatures w14:val="none"/>
        </w:rPr>
        <w:t xml:space="preserve">Sue Derald Wing (2010) </w:t>
      </w:r>
      <w:r>
        <w:rPr>
          <w:rFonts w:eastAsia="Calibri" w:cs="Noto Sans"/>
          <w:i/>
          <w:lang w:val="en-US"/>
          <w14:ligatures w14:val="none"/>
        </w:rPr>
        <w:t>Microaggressions in Everyday Life: Race, Gender, and Sexual Orientation,</w:t>
      </w:r>
      <w:r>
        <w:rPr>
          <w:rFonts w:eastAsia="Calibri" w:cs="Noto Sans"/>
          <w:lang w:val="en-US"/>
          <w14:ligatures w14:val="none"/>
        </w:rPr>
        <w:t xml:space="preserve"> </w:t>
      </w:r>
      <w:r>
        <w:rPr>
          <w:rFonts w:eastAsia="Calibri" w:cs="Noto Sans"/>
          <w14:ligatures w14:val="none"/>
        </w:rPr>
        <w:t>Hoboken, NJ, Wiley.</w:t>
      </w:r>
    </w:p>
    <w:p>
      <w:pPr>
        <w:pStyle w:val="Normal"/>
        <w:suppressLineNumbers/>
        <w:spacing w:lineRule="exact" w:line="283"/>
        <w:ind w:hanging="720" w:start="720"/>
        <w:rPr>
          <w:rFonts w:ascii="Times New Roman" w:hAnsi="Times New Roman"/>
        </w:rPr>
      </w:pPr>
      <w:r>
        <w:rPr>
          <w:rFonts w:eastAsia="Calibri" w:cs="Noto Sans"/>
          <w14:ligatures w14:val="none"/>
        </w:rPr>
        <w:t>Trucco Daniela, Bergamaschi Alessandro, Pantaléon Nathalie, Saint-Germes Eve (2022) « </w:t>
      </w:r>
      <w:r>
        <w:rPr>
          <w:rFonts w:eastAsia="Calibri" w:cs="Times New Roman"/>
          <w14:ligatures w14:val="none"/>
        </w:rPr>
        <w:t>"</w:t>
      </w:r>
      <w:r>
        <w:rPr>
          <w:rFonts w:eastAsia="Calibri" w:cs="Noto Sans"/>
          <w14:ligatures w14:val="none"/>
        </w:rPr>
        <w:t>Dire</w:t>
      </w:r>
      <w:r>
        <w:rPr>
          <w:rFonts w:eastAsia="Calibri" w:cs="Times New Roman"/>
          <w14:ligatures w14:val="none"/>
        </w:rPr>
        <w:t>"</w:t>
      </w:r>
      <w:r>
        <w:rPr>
          <w:rFonts w:eastAsia="Calibri" w:cs="Noto Sans"/>
          <w14:ligatures w14:val="none"/>
        </w:rPr>
        <w:t xml:space="preserve"> les discriminations ethno-raciales à des chercheur.e.s </w:t>
      </w:r>
      <w:r>
        <w:rPr>
          <w:rFonts w:eastAsia="Calibri" w:cs="Times New Roman"/>
          <w14:ligatures w14:val="none"/>
        </w:rPr>
        <w:t>"</w:t>
      </w:r>
      <w:r>
        <w:rPr>
          <w:rFonts w:eastAsia="Calibri" w:cs="Noto Sans"/>
          <w14:ligatures w14:val="none"/>
        </w:rPr>
        <w:t>blanc.he.s</w:t>
      </w:r>
      <w:r>
        <w:rPr>
          <w:rFonts w:eastAsia="Calibri" w:cs="Times New Roman"/>
          <w14:ligatures w14:val="none"/>
        </w:rPr>
        <w:t>"</w:t>
      </w:r>
      <w:r>
        <w:rPr>
          <w:rFonts w:eastAsia="Calibri" w:cs="Noto Sans"/>
          <w14:ligatures w14:val="none"/>
        </w:rPr>
        <w:t xml:space="preserve">. Réflexions à partir d’une enquête qualitative auprès de jeunes racisé·e·s », </w:t>
      </w:r>
      <w:r>
        <w:rPr>
          <w:rFonts w:eastAsia="Calibri" w:cs="Noto Sans"/>
          <w:i/>
          <w:iCs/>
          <w14:ligatures w14:val="none"/>
        </w:rPr>
        <w:t>Émulations</w:t>
      </w:r>
      <w:r>
        <w:rPr>
          <w:rFonts w:eastAsia="Calibri" w:cs="Noto Sans"/>
          <w14:ligatures w14:val="none"/>
        </w:rPr>
        <w:t>,</w:t>
      </w:r>
      <w:r>
        <w:rPr>
          <w:rFonts w:eastAsia="Calibri" w:cs="Noto Sans"/>
          <w:i/>
          <w:iCs/>
          <w14:ligatures w14:val="none"/>
        </w:rPr>
        <w:t xml:space="preserve"> </w:t>
      </w:r>
      <w:r>
        <w:rPr>
          <w:rFonts w:eastAsia="Calibri" w:cs="Noto Sans"/>
          <w14:ligatures w14:val="none"/>
        </w:rPr>
        <w:t>42, pp. 99-114.</w:t>
      </w:r>
    </w:p>
    <w:p>
      <w:pPr>
        <w:pStyle w:val="Normal"/>
        <w:suppressLineNumbers/>
        <w:spacing w:lineRule="exact" w:line="283"/>
        <w:ind w:hanging="720" w:start="720"/>
        <w:rPr>
          <w:rFonts w:ascii="Times New Roman" w:hAnsi="Times New Roman"/>
        </w:rPr>
      </w:pPr>
      <w:r>
        <w:rPr>
          <w:rFonts w:eastAsia="Calibri" w:cs="Noto Sans"/>
          <w14:ligatures w14:val="none"/>
        </w:rPr>
        <w:t xml:space="preserve">Williams Monnica T. (2021) « Racial Microaggressions: Critical Questions, State of the Science, and New Directions », </w:t>
      </w:r>
      <w:r>
        <w:rPr>
          <w:rFonts w:eastAsia="Calibri" w:cs="Noto Sans"/>
          <w:i/>
          <w:iCs/>
          <w14:ligatures w14:val="none"/>
        </w:rPr>
        <w:t>Perspectives on Psychological Science</w:t>
      </w:r>
      <w:r>
        <w:rPr>
          <w:rFonts w:eastAsia="Calibri" w:cs="Noto Sans"/>
          <w14:ligatures w14:val="none"/>
        </w:rPr>
        <w:t>, 16(5), pp. 880-885.</w:t>
      </w:r>
    </w:p>
    <w:p>
      <w:pPr>
        <w:pStyle w:val="Normal"/>
        <w:suppressLineNumbers/>
        <w:spacing w:lineRule="exact" w:line="283"/>
        <w:ind w:hanging="720" w:start="720"/>
        <w:rPr>
          <w:rFonts w:ascii="Times New Roman" w:hAnsi="Times New Roman"/>
        </w:rPr>
      </w:pPr>
      <w:r>
        <w:rPr>
          <w:rFonts w:eastAsia="Calibri" w:cs="Noto Sans"/>
          <w14:ligatures w14:val="none"/>
        </w:rPr>
        <w:t xml:space="preserve">Zask Joëlle (2018) « L’expérience comme méthode démocratique », </w:t>
      </w:r>
      <w:r>
        <w:rPr>
          <w:rFonts w:eastAsia="Calibri" w:cs="Noto Sans"/>
          <w:i/>
          <w:iCs/>
          <w14:ligatures w14:val="none"/>
        </w:rPr>
        <w:t>in</w:t>
      </w:r>
      <w:r>
        <w:rPr>
          <w:rFonts w:eastAsia="Calibri" w:cs="Noto Sans"/>
          <w14:ligatures w14:val="none"/>
        </w:rPr>
        <w:t xml:space="preserve"> John Dewey, </w:t>
      </w:r>
      <w:r>
        <w:rPr>
          <w:rFonts w:eastAsia="Calibri" w:cs="Noto Sans"/>
          <w:i/>
          <w14:ligatures w14:val="none"/>
        </w:rPr>
        <w:t>Démocratie et éducation</w:t>
      </w:r>
      <w:r>
        <w:rPr>
          <w:rFonts w:eastAsia="Calibri" w:cs="Noto Sans"/>
          <w14:ligatures w14:val="none"/>
        </w:rPr>
        <w:t xml:space="preserve">, </w:t>
      </w:r>
      <w:r>
        <w:rPr>
          <w:rFonts w:eastAsia="Calibri" w:cs="Noto Sans"/>
          <w:i/>
          <w14:ligatures w14:val="none"/>
        </w:rPr>
        <w:t>Individu et société</w:t>
      </w:r>
      <w:r>
        <w:rPr>
          <w:rFonts w:eastAsia="Calibri" w:cs="Noto Sans"/>
          <w14:ligatures w14:val="none"/>
        </w:rPr>
        <w:t>. Paris: Armand Colin, pp. 29-40.</w:t>
      </w:r>
    </w:p>
    <w:sectPr>
      <w:footnotePr>
        <w:numFmt w:val="decimal"/>
      </w:footnotePr>
      <w:type w:val="continuous"/>
      <w:pgSz w:w="11906" w:h="16838"/>
      <w:pgMar w:left="1417" w:right="1417" w:gutter="0" w:header="0" w:top="720" w:footer="720" w:bottom="1417"/>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Aptos">
    <w:charset w:val="01"/>
    <w:family w:val="swiss"/>
    <w:pitch w:val="default"/>
  </w:font>
  <w:font w:name="Times New Roman">
    <w:charset w:val="01"/>
    <w:family w:val="roman"/>
    <w:pitch w:val="default"/>
  </w:font>
  <w:font w:name="Aptos Display">
    <w:charset w:val="01"/>
    <w:family w:val="roman"/>
    <w:pitch w:val="default"/>
  </w:font>
  <w:font w:name="OpenSymbol">
    <w:altName w:val="Arial Unicode MS"/>
    <w:charset w:val="01"/>
    <w:family w:val="swiss"/>
    <w:pitch w:val="default"/>
  </w:font>
  <w:font w:name="Calibri">
    <w:charset w:val="01"/>
    <w:family w:val="swiss"/>
    <w:pitch w:val="default"/>
  </w:font>
  <w:font w:name="Lucida Grande">
    <w:charset w:val="01"/>
    <w:family w:val="swiss"/>
    <w:pitch w:val="default"/>
  </w:font>
  <w:font w:name="Courier New">
    <w:charset w:val="01"/>
    <w:family w:val="swiss"/>
    <w:pitch w:val="default"/>
  </w:font>
  <w:font w:name="Calibri Light">
    <w:charset w:val="01"/>
    <w:family w:val="swiss"/>
    <w:pitch w:val="default"/>
  </w:font>
  <w:font w:name="Liberation Mono">
    <w:altName w:val="Courier New"/>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lineRule="exact" w:line="283" w:before="113" w:after="0"/>
      <w:jc w:val="end"/>
      <w:rPr/>
    </w:pPr>
    <w:r>
      <w:rPr/>
      <w:t xml:space="preserve">Page </w:t>
    </w:r>
    <w:bookmarkStart w:id="3" w:name="PageNumWizard_FOOTER_Style_de_page_par_d"/>
    <w:r>
      <w:rPr/>
      <w:fldChar w:fldCharType="begin"/>
    </w:r>
    <w:r>
      <w:rPr/>
      <w:instrText xml:space="preserve"> PAGE </w:instrText>
    </w:r>
    <w:r>
      <w:rPr/>
      <w:fldChar w:fldCharType="separate"/>
    </w:r>
    <w:r>
      <w:rPr/>
      <w:t>0</w:t>
    </w:r>
    <w:r>
      <w:rPr/>
      <w:fldChar w:fldCharType="end"/>
    </w:r>
    <w:bookmarkEnd w:id="3"/>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13" w:after="0"/>
      <w:jc w:val="end"/>
      <w:rPr/>
    </w:pPr>
    <w:r>
      <w:rPr/>
      <w:fldChar w:fldCharType="begin"/>
    </w:r>
    <w:r>
      <w:rPr/>
      <w:instrText xml:space="preserve"> PAGE </w:instrText>
    </w:r>
    <w:r>
      <w:rPr/>
      <w:fldChar w:fldCharType="separate"/>
    </w:r>
    <w:r>
      <w:rPr/>
      <w:t>21</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13" w:after="0"/>
      <w:jc w:val="end"/>
      <w:rPr/>
    </w:pPr>
    <w:r>
      <w:rPr/>
      <w:fldChar w:fldCharType="begin"/>
    </w:r>
    <w:r>
      <w:rPr/>
      <w:instrText xml:space="preserve"> PAGE </w:instrText>
    </w:r>
    <w:r>
      <w:rPr/>
      <w:fldChar w:fldCharType="separate"/>
    </w:r>
    <w:r>
      <w:rPr/>
      <w:t>21</w:t>
    </w:r>
    <w:r>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
        <w:rPr/>
      </w:pPr>
      <w:r>
        <w:rPr>
          <w:rStyle w:val="Caractresdenotedebasdepage"/>
        </w:rPr>
        <w:footnoteRef/>
      </w:r>
      <w:r>
        <w:rPr/>
        <w:t>https://acadiscri.hypotheses.org/</w:t>
      </w:r>
    </w:p>
  </w:footnote>
  <w:footnote w:id="3">
    <w:p>
      <w:pPr>
        <w:pStyle w:val="Footnote"/>
        <w:rPr/>
      </w:pPr>
      <w:r>
        <w:rPr>
          <w:rStyle w:val="Caractresdenotedebasdepage"/>
        </w:rPr>
        <w:footnoteRef/>
      </w:r>
      <w:r>
        <w:rPr/>
        <w:t xml:space="preserve">Cette notion fait l’objet de critiques portant tant sur la qualification de la nature des faits que sur l’hypothèse sous-jacente d’une société structurellement raciste (Williams, 2021). Sans entrer ici dans le débat, faute de place, nous reprenons cette notion qui a le mérite de prioriser une lecture des interactions par leurs effets sur les personnes, et révèle des mécanismes quotidiens de maintien de normes racistes. Nous reviendrons toutefois sur la portée et les ambiguïtés de la notion en conclusion de ce texte. </w:t>
      </w:r>
    </w:p>
  </w:footnote>
  <w:footnote w:id="4">
    <w:p>
      <w:pPr>
        <w:pStyle w:val="Footnote"/>
        <w:rPr/>
      </w:pPr>
      <w:r>
        <w:rPr>
          <w:rStyle w:val="Caractresdenotedebasdepage"/>
        </w:rPr>
        <w:footnoteRef/>
      </w:r>
      <w:r>
        <w:rPr/>
        <w:t>Choix non-exclusif parmi les catégories « Arabe ou Maghrébin·e », « Rom, tsigane », « Latino·a », « Indien·e », « Musulman·e », « Juif·ve », « Asiatique », « Métis·se », « Blanc·he », « Noir·e », ou « Autre ».</w:t>
      </w:r>
    </w:p>
  </w:footnote>
  <w:footnote w:id="5">
    <w:p>
      <w:pPr>
        <w:pStyle w:val="Footnote"/>
        <w:rPr/>
      </w:pPr>
      <w:r>
        <w:rPr>
          <w:rStyle w:val="Caractresdenotedebasdepage"/>
        </w:rPr>
        <w:footnoteRef/>
      </w:r>
      <w:r>
        <w:rPr/>
        <w:t>Associant l’équipe Acadiscri et le Groupe d’Étude sur l’Origine des Discriminations et sur l’Égalité (Geode).</w:t>
      </w:r>
    </w:p>
  </w:footnote>
  <w:footnote w:id="6">
    <w:p>
      <w:pPr>
        <w:pStyle w:val="Footnote"/>
        <w:rPr/>
      </w:pPr>
      <w:r>
        <w:rPr>
          <w:rStyle w:val="Caractresdenotedebasdepage"/>
        </w:rPr>
        <w:footnoteRef/>
      </w:r>
      <w:r>
        <w:rPr/>
        <w:t xml:space="preserve">Les pondérations visent à garantir la meilleure représentativité possible (Joubert </w:t>
      </w:r>
      <w:r>
        <w:rPr>
          <w:i/>
          <w:iCs/>
        </w:rPr>
        <w:t>et al.,</w:t>
      </w:r>
      <w:r>
        <w:rPr/>
        <w:t xml:space="preserve"> 2023) compte tenu de ce qu'on peut savoir de la population-cible (Cote-Colisson, 2007). Ont été utilisées pour ce faire les données administratives des établissements concernant la répartition des étudiant·e·s selon le sexe, l’âge, le domaine et le niveau d’études, la bourse, la nationalité et le pays de naissance.</w:t>
      </w:r>
    </w:p>
  </w:footnote>
  <w:footnote w:id="7">
    <w:p>
      <w:pPr>
        <w:pStyle w:val="Footnote"/>
        <w:rPr/>
      </w:pPr>
      <w:r>
        <w:rPr>
          <w:rStyle w:val="Caractresdenotedebasdepage"/>
        </w:rPr>
        <w:footnoteRef/>
      </w:r>
      <w:r>
        <w:rPr/>
        <w:t>D’autant que la population estudiantine est à la fois mobile et très sollicitée par les enquêtes.</w:t>
      </w:r>
    </w:p>
  </w:footnote>
  <w:footnote w:id="8">
    <w:p>
      <w:pPr>
        <w:pStyle w:val="FootnoteText"/>
        <w:spacing w:lineRule="auto" w:line="240" w:before="0" w:after="0"/>
        <w:rPr>
          <w:sz w:val="20"/>
          <w:szCs w:val="20"/>
        </w:rPr>
      </w:pPr>
      <w:r>
        <w:rPr>
          <w:rStyle w:val="Caractresdenotedebasdepage"/>
        </w:rPr>
        <w:footnoteRef/>
      </w:r>
      <w:r>
        <w:rPr>
          <w:sz w:val="20"/>
          <w:szCs w:val="20"/>
        </w:rPr>
        <w:t xml:space="preserve"> </w:t>
      </w:r>
      <w:r>
        <w:rPr>
          <w:sz w:val="20"/>
          <w:szCs w:val="20"/>
        </w:rPr>
        <w:t xml:space="preserve">L’intégralité du questionnaire est disponible en ligne : </w:t>
      </w:r>
      <w:hyperlink r:id="rId1">
        <w:r>
          <w:rPr>
            <w:rStyle w:val="Hyperlink"/>
            <w:sz w:val="20"/>
            <w:szCs w:val="20"/>
          </w:rPr>
          <w:t>https://acadiscri.hypotheses.org/contenu-de-lenquete</w:t>
        </w:r>
      </w:hyperlink>
      <w:r>
        <w:rPr>
          <w:sz w:val="20"/>
          <w:szCs w:val="20"/>
        </w:rPr>
        <w:t>. Une grande partie des questions et items proposés figure aussi dans les tableaux statistiques présentés ci-après.</w:t>
      </w:r>
    </w:p>
  </w:footnote>
  <w:footnote w:id="9">
    <w:p>
      <w:pPr>
        <w:pStyle w:val="Footnote"/>
        <w:rPr/>
      </w:pPr>
      <w:r>
        <w:rPr>
          <w:rStyle w:val="Caractresdenotedebasdepage"/>
        </w:rPr>
        <w:footnoteRef/>
      </w:r>
      <w:r>
        <w:rPr/>
        <w:t>L’enquête proposait aussi « votre accent ou votre maîtrise de la langue française ». L’analyse des liens entre glottophobie et racisme mériterait des développements conséquents, qui ne seront pas détaillés ici.</w:t>
      </w:r>
    </w:p>
  </w:footnote>
  <w:footnote w:id="10">
    <w:p>
      <w:pPr>
        <w:pStyle w:val="Footnote"/>
        <w:rPr/>
      </w:pPr>
      <w:r>
        <w:rPr>
          <w:rStyle w:val="Caractresdenotedebasdepage"/>
        </w:rPr>
        <w:footnoteRef/>
      </w:r>
      <w:r>
        <w:rPr/>
        <w:t>La pseudonymisation des établissements vise à éviter des effets délétères de mise en concurrence sur le degré présumé de racisme et de discriminations ; cette règle fait partie de l’accord passé avec les universités participantes au projet.</w:t>
      </w:r>
    </w:p>
  </w:footnote>
  <w:footnote w:id="11">
    <w:p>
      <w:pPr>
        <w:pStyle w:val="FootnoteText"/>
        <w:spacing w:lineRule="auto" w:line="240" w:before="0" w:after="0"/>
        <w:rPr>
          <w:sz w:val="20"/>
          <w:szCs w:val="20"/>
        </w:rPr>
      </w:pPr>
      <w:r>
        <w:rPr>
          <w:rStyle w:val="Caractresdenotedebasdepage"/>
        </w:rPr>
        <w:footnoteRef/>
      </w:r>
      <w:r>
        <w:rPr>
          <w:sz w:val="20"/>
          <w:szCs w:val="20"/>
        </w:rPr>
        <w:t xml:space="preserve"> </w:t>
      </w:r>
      <w:r>
        <w:rPr>
          <w:sz w:val="20"/>
          <w:szCs w:val="20"/>
        </w:rPr>
        <w:t xml:space="preserve">La loi n° 2025-732 du 31 juillet 2025 relative à la lutte contre l'antisémitisme dans l'enseignement supérieur prescrit ainsi la nomination de référent·e·s exclusivement chargé·e·s des questions d’antisémitisme et de racisme à l’université. Les postes de référent·e·s racisme et antisémitisme existaient déjà depuis 2015, mais étaient inégalement mis en place, de nombreuses universités n’en ayant jamais nommé. </w:t>
      </w:r>
    </w:p>
  </w:footnote>
  <w:footnote w:id="12">
    <w:p>
      <w:pPr>
        <w:pStyle w:val="FootnoteText"/>
        <w:spacing w:lineRule="auto" w:line="240" w:before="0" w:after="0"/>
        <w:rPr/>
      </w:pPr>
      <w:r>
        <w:rPr>
          <w:rStyle w:val="Caractresdenotedebasdepage"/>
        </w:rPr>
        <w:footnoteRef/>
      </w:r>
      <w:r>
        <w:rPr/>
        <w:t xml:space="preserve"> </w:t>
      </w:r>
      <w:r>
        <w:rPr>
          <w:sz w:val="20"/>
          <w:szCs w:val="20"/>
        </w:rPr>
        <w:t>Soit celles et ceux qui se disent vu·e·s par les autres en général comme « Arabe ou Maghrébin·e·s », « Roms, tsiganes », « Latino·as(d’Amérique latine) », « Indien·e·s », « Musulman·e·s », « Juif·ves », « Asiatiques », « Métis·ses » ou « Noir·e·s ».</w:t>
      </w:r>
    </w:p>
  </w:footnote>
  <w:footnote w:id="13">
    <w:p>
      <w:pPr>
        <w:pStyle w:val="BodyText"/>
        <w:spacing w:before="113" w:after="0"/>
        <w:rPr>
          <w:sz w:val="20"/>
          <w:szCs w:val="20"/>
        </w:rPr>
      </w:pPr>
      <w:r>
        <w:rPr>
          <w:rStyle w:val="Caractresdenotedebasdepage"/>
        </w:rPr>
        <w:footnoteRef/>
      </w:r>
      <w:r>
        <w:rPr>
          <w:sz w:val="20"/>
          <w:szCs w:val="20"/>
        </w:rPr>
        <w:t>Les scripts de production des tableaux peuvent être consultés ici : [LienVersUnDepotZenodo]</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720" w:hanging="360"/>
      </w:pPr>
      <w:rPr/>
    </w:lvl>
    <w:lvl w:ilvl="1">
      <w:start w:val="1"/>
      <w:numFmt w:val="decimal"/>
      <w:lvlText w:val="%2."/>
      <w:lvlJc w:val="start"/>
      <w:pPr>
        <w:tabs>
          <w:tab w:val="num" w:pos="0"/>
        </w:tabs>
        <w:ind w:start="1080" w:hanging="360"/>
      </w:pPr>
      <w:rPr/>
    </w:lvl>
    <w:lvl w:ilvl="2">
      <w:start w:val="1"/>
      <w:numFmt w:val="decimal"/>
      <w:lvlText w:val="%3."/>
      <w:lvlJc w:val="start"/>
      <w:pPr>
        <w:tabs>
          <w:tab w:val="num" w:pos="0"/>
        </w:tabs>
        <w:ind w:start="1440" w:hanging="360"/>
      </w:pPr>
      <w:rPr/>
    </w:lvl>
    <w:lvl w:ilvl="3">
      <w:start w:val="1"/>
      <w:numFmt w:val="decimal"/>
      <w:lvlText w:val="%4."/>
      <w:lvlJc w:val="start"/>
      <w:pPr>
        <w:tabs>
          <w:tab w:val="num" w:pos="0"/>
        </w:tabs>
        <w:ind w:start="1800" w:hanging="360"/>
      </w:pPr>
      <w:rPr/>
    </w:lvl>
    <w:lvl w:ilvl="4">
      <w:start w:val="1"/>
      <w:numFmt w:val="decimal"/>
      <w:lvlText w:val="%5."/>
      <w:lvlJc w:val="start"/>
      <w:pPr>
        <w:tabs>
          <w:tab w:val="num" w:pos="0"/>
        </w:tabs>
        <w:ind w:start="2160" w:hanging="360"/>
      </w:pPr>
      <w:rPr/>
    </w:lvl>
    <w:lvl w:ilvl="5">
      <w:start w:val="1"/>
      <w:numFmt w:val="decimal"/>
      <w:lvlText w:val="%6."/>
      <w:lvlJc w:val="start"/>
      <w:pPr>
        <w:tabs>
          <w:tab w:val="num" w:pos="0"/>
        </w:tabs>
        <w:ind w:start="2520" w:hanging="360"/>
      </w:pPr>
      <w:rPr/>
    </w:lvl>
    <w:lvl w:ilvl="6">
      <w:start w:val="1"/>
      <w:numFmt w:val="decimal"/>
      <w:lvlText w:val="%7."/>
      <w:lvlJc w:val="start"/>
      <w:pPr>
        <w:tabs>
          <w:tab w:val="num" w:pos="0"/>
        </w:tabs>
        <w:ind w:start="2880" w:hanging="360"/>
      </w:pPr>
      <w:rPr/>
    </w:lvl>
    <w:lvl w:ilvl="7">
      <w:start w:val="1"/>
      <w:numFmt w:val="decimal"/>
      <w:lvlText w:val="%8."/>
      <w:lvlJc w:val="start"/>
      <w:pPr>
        <w:tabs>
          <w:tab w:val="num" w:pos="0"/>
        </w:tabs>
        <w:ind w:start="3240" w:hanging="360"/>
      </w:pPr>
      <w:rPr/>
    </w:lvl>
    <w:lvl w:ilvl="8">
      <w:start w:val="1"/>
      <w:numFmt w:val="decimal"/>
      <w:lvlText w:val="%9."/>
      <w:lvlJc w:val="start"/>
      <w:pPr>
        <w:tabs>
          <w:tab w:val="num" w:pos="0"/>
        </w:tabs>
        <w:ind w:start="3600" w:hanging="36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60"/>
  <w:defaultTabStop w:val="708"/>
  <w:autoHyphenation w:val="true"/>
  <w:hyphenationZone w:val="425"/>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2"/>
        <w:szCs w:val="22"/>
        <w:lang w:val="fr-FR"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uiPriority="0"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0"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0"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uiPriority="0" w:semiHidden="1" w:unhideWhenUsed="1"/>
    <w:lsdException w:name="Smart Link" w:semiHidden="1" w:unhideWhenUsed="1"/>
  </w:latentStyles>
  <w:style w:type="paragraph" w:styleId="Normal" w:default="1">
    <w:name w:val="Normal"/>
    <w:qFormat/>
    <w:pPr>
      <w:widowControl/>
      <w:suppressAutoHyphens w:val="true"/>
      <w:bidi w:val="0"/>
      <w:spacing w:lineRule="exact" w:line="340" w:before="113" w:after="0"/>
      <w:jc w:val="both"/>
      <w:textAlignment w:val="baseline"/>
    </w:pPr>
    <w:rPr>
      <w:rFonts w:ascii="Times New Roman" w:hAnsi="Times New Roman" w:eastAsia="Aptos" w:cs="" w:cstheme="minorBidi" w:eastAsiaTheme="minorHAnsi"/>
      <w:color w:val="auto"/>
      <w:kern w:val="2"/>
      <w:sz w:val="24"/>
      <w:szCs w:val="24"/>
      <w:lang w:val="fr-FR" w:eastAsia="en-US" w:bidi="ar-SA"/>
      <w14:ligatures w14:val="standardContextual"/>
    </w:rPr>
  </w:style>
  <w:style w:type="paragraph" w:styleId="Heading1">
    <w:name w:val="heading 1"/>
    <w:basedOn w:val="Normal"/>
    <w:next w:val="Normal"/>
    <w:link w:val="Titre1Car"/>
    <w:uiPriority w:val="9"/>
    <w:qFormat/>
    <w:rsid w:val="001413cf"/>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Titre2Car"/>
    <w:uiPriority w:val="9"/>
    <w:unhideWhenUsed/>
    <w:qFormat/>
    <w:rsid w:val="001413cf"/>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Titre3Car"/>
    <w:uiPriority w:val="9"/>
    <w:unhideWhenUsed/>
    <w:qFormat/>
    <w:rsid w:val="001413cf"/>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Titre4Car"/>
    <w:uiPriority w:val="9"/>
    <w:semiHidden/>
    <w:unhideWhenUsed/>
    <w:qFormat/>
    <w:rsid w:val="001413cf"/>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Titre5Car"/>
    <w:uiPriority w:val="9"/>
    <w:semiHidden/>
    <w:unhideWhenUsed/>
    <w:qFormat/>
    <w:rsid w:val="001413cf"/>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Titre6Car"/>
    <w:uiPriority w:val="9"/>
    <w:semiHidden/>
    <w:unhideWhenUsed/>
    <w:qFormat/>
    <w:rsid w:val="001413cf"/>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Titre7Car"/>
    <w:unhideWhenUsed/>
    <w:qFormat/>
    <w:rsid w:val="001413cf"/>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Titre8Car"/>
    <w:unhideWhenUsed/>
    <w:qFormat/>
    <w:rsid w:val="001413cf"/>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Titre9Car"/>
    <w:unhideWhenUsed/>
    <w:qFormat/>
    <w:rsid w:val="001413cf"/>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Titre1Car" w:customStyle="1">
    <w:name w:val="Titre 1 Car"/>
    <w:basedOn w:val="DefaultParagraphFont"/>
    <w:uiPriority w:val="9"/>
    <w:qFormat/>
    <w:rsid w:val="001413cf"/>
    <w:rPr>
      <w:rFonts w:ascii="Aptos Display" w:hAnsi="Aptos Display" w:eastAsia="" w:cs="" w:asciiTheme="majorHAnsi" w:cstheme="majorBidi" w:eastAsiaTheme="majorEastAsia" w:hAnsiTheme="majorHAnsi"/>
      <w:color w:themeColor="accent1" w:themeShade="bf" w:val="0F4761"/>
      <w:sz w:val="40"/>
      <w:szCs w:val="40"/>
    </w:rPr>
  </w:style>
  <w:style w:type="character" w:styleId="Titre2Car" w:customStyle="1">
    <w:name w:val="Titre 2 Car"/>
    <w:basedOn w:val="DefaultParagraphFont"/>
    <w:uiPriority w:val="9"/>
    <w:qFormat/>
    <w:rsid w:val="001413cf"/>
    <w:rPr>
      <w:rFonts w:ascii="Aptos Display" w:hAnsi="Aptos Display" w:eastAsia="" w:cs="" w:asciiTheme="majorHAnsi" w:cstheme="majorBidi" w:eastAsiaTheme="majorEastAsia" w:hAnsiTheme="majorHAnsi"/>
      <w:color w:themeColor="accent1" w:themeShade="bf" w:val="0F4761"/>
      <w:sz w:val="32"/>
      <w:szCs w:val="32"/>
    </w:rPr>
  </w:style>
  <w:style w:type="character" w:styleId="Titre3Car" w:customStyle="1">
    <w:name w:val="Titre 3 Car"/>
    <w:basedOn w:val="DefaultParagraphFont"/>
    <w:uiPriority w:val="9"/>
    <w:qFormat/>
    <w:rsid w:val="001413cf"/>
    <w:rPr>
      <w:rFonts w:eastAsia="" w:cs="" w:cstheme="majorBidi" w:eastAsiaTheme="majorEastAsia"/>
      <w:color w:themeColor="accent1" w:themeShade="bf" w:val="0F4761"/>
      <w:sz w:val="28"/>
      <w:szCs w:val="28"/>
    </w:rPr>
  </w:style>
  <w:style w:type="character" w:styleId="Titre4Car" w:customStyle="1">
    <w:name w:val="Titre 4 Car"/>
    <w:basedOn w:val="DefaultParagraphFont"/>
    <w:uiPriority w:val="9"/>
    <w:semiHidden/>
    <w:qFormat/>
    <w:rsid w:val="001413cf"/>
    <w:rPr>
      <w:rFonts w:eastAsia="" w:cs="" w:cstheme="majorBidi" w:eastAsiaTheme="majorEastAsia"/>
      <w:i/>
      <w:iCs/>
      <w:color w:themeColor="accent1" w:themeShade="bf" w:val="0F4761"/>
    </w:rPr>
  </w:style>
  <w:style w:type="character" w:styleId="Titre5Car" w:customStyle="1">
    <w:name w:val="Titre 5 Car"/>
    <w:basedOn w:val="DefaultParagraphFont"/>
    <w:uiPriority w:val="9"/>
    <w:semiHidden/>
    <w:qFormat/>
    <w:rsid w:val="001413cf"/>
    <w:rPr>
      <w:rFonts w:eastAsia="" w:cs="" w:cstheme="majorBidi" w:eastAsiaTheme="majorEastAsia"/>
      <w:color w:themeColor="accent1" w:themeShade="bf" w:val="0F4761"/>
    </w:rPr>
  </w:style>
  <w:style w:type="character" w:styleId="Titre6Car" w:customStyle="1">
    <w:name w:val="Titre 6 Car"/>
    <w:basedOn w:val="DefaultParagraphFont"/>
    <w:uiPriority w:val="9"/>
    <w:semiHidden/>
    <w:qFormat/>
    <w:rsid w:val="001413cf"/>
    <w:rPr>
      <w:rFonts w:eastAsia="" w:cs="" w:cstheme="majorBidi" w:eastAsiaTheme="majorEastAsia"/>
      <w:i/>
      <w:iCs/>
      <w:color w:themeColor="text1" w:themeTint="a6" w:val="595959"/>
    </w:rPr>
  </w:style>
  <w:style w:type="character" w:styleId="Titre7Car" w:customStyle="1">
    <w:name w:val="Titre 7 Car"/>
    <w:basedOn w:val="DefaultParagraphFont"/>
    <w:qFormat/>
    <w:rsid w:val="001413cf"/>
    <w:rPr>
      <w:rFonts w:eastAsia="" w:cs="" w:cstheme="majorBidi" w:eastAsiaTheme="majorEastAsia"/>
      <w:color w:themeColor="text1" w:themeTint="a6" w:val="595959"/>
    </w:rPr>
  </w:style>
  <w:style w:type="character" w:styleId="Titre8Car" w:customStyle="1">
    <w:name w:val="Titre 8 Car"/>
    <w:basedOn w:val="DefaultParagraphFont"/>
    <w:qFormat/>
    <w:rsid w:val="001413cf"/>
    <w:rPr>
      <w:rFonts w:eastAsia="" w:cs="" w:cstheme="majorBidi" w:eastAsiaTheme="majorEastAsia"/>
      <w:i/>
      <w:iCs/>
      <w:color w:themeColor="text1" w:themeTint="d8" w:val="272727"/>
    </w:rPr>
  </w:style>
  <w:style w:type="character" w:styleId="Titre9Car" w:customStyle="1">
    <w:name w:val="Titre 9 Car"/>
    <w:basedOn w:val="DefaultParagraphFont"/>
    <w:qFormat/>
    <w:rsid w:val="001413cf"/>
    <w:rPr>
      <w:rFonts w:eastAsia="" w:cs="" w:cstheme="majorBidi" w:eastAsiaTheme="majorEastAsia"/>
      <w:color w:themeColor="text1" w:themeTint="d8" w:val="272727"/>
    </w:rPr>
  </w:style>
  <w:style w:type="character" w:styleId="TitreCar" w:customStyle="1">
    <w:name w:val="Titre Car"/>
    <w:basedOn w:val="DefaultParagraphFont"/>
    <w:qFormat/>
    <w:rsid w:val="001413cf"/>
    <w:rPr>
      <w:rFonts w:ascii="Aptos Display" w:hAnsi="Aptos Display" w:eastAsia="" w:cs="" w:asciiTheme="majorHAnsi" w:cstheme="majorBidi" w:eastAsiaTheme="majorEastAsia" w:hAnsiTheme="majorHAnsi"/>
      <w:spacing w:val="-10"/>
      <w:kern w:val="2"/>
      <w:sz w:val="56"/>
      <w:szCs w:val="56"/>
    </w:rPr>
  </w:style>
  <w:style w:type="character" w:styleId="Sous-titreCar" w:customStyle="1">
    <w:name w:val="Sous-titre Car"/>
    <w:basedOn w:val="DefaultParagraphFont"/>
    <w:uiPriority w:val="11"/>
    <w:qFormat/>
    <w:rsid w:val="001413cf"/>
    <w:rPr>
      <w:rFonts w:eastAsia="" w:cs="" w:cstheme="majorBidi" w:eastAsiaTheme="majorEastAsia"/>
      <w:color w:themeColor="text1" w:themeTint="a6" w:val="595959"/>
      <w:spacing w:val="15"/>
      <w:sz w:val="28"/>
      <w:szCs w:val="28"/>
    </w:rPr>
  </w:style>
  <w:style w:type="character" w:styleId="CitationCar" w:customStyle="1">
    <w:name w:val="Citation Car"/>
    <w:basedOn w:val="DefaultParagraphFont"/>
    <w:link w:val="Quote"/>
    <w:qFormat/>
    <w:rsid w:val="001413cf"/>
    <w:rPr>
      <w:i/>
      <w:iCs/>
      <w:color w:themeColor="text1" w:themeTint="bf" w:val="404040"/>
    </w:rPr>
  </w:style>
  <w:style w:type="character" w:styleId="IntenseEmphasis">
    <w:name w:val="Intense Emphasis"/>
    <w:basedOn w:val="DefaultParagraphFont"/>
    <w:qFormat/>
    <w:rsid w:val="001413cf"/>
    <w:rPr>
      <w:i/>
      <w:iCs/>
      <w:color w:themeColor="accent1" w:themeShade="bf" w:val="0F4761"/>
    </w:rPr>
  </w:style>
  <w:style w:type="character" w:styleId="CitationintenseCar" w:customStyle="1">
    <w:name w:val="Citation intense Car"/>
    <w:basedOn w:val="DefaultParagraphFont"/>
    <w:link w:val="IntenseQuote"/>
    <w:qFormat/>
    <w:rsid w:val="001413cf"/>
    <w:rPr>
      <w:i/>
      <w:iCs/>
      <w:color w:themeColor="accent1" w:themeShade="bf" w:val="0F4761"/>
    </w:rPr>
  </w:style>
  <w:style w:type="character" w:styleId="IntenseReference">
    <w:name w:val="Intense Reference"/>
    <w:basedOn w:val="DefaultParagraphFont"/>
    <w:qFormat/>
    <w:rsid w:val="001413cf"/>
    <w:rPr>
      <w:b/>
      <w:bCs/>
      <w:smallCaps/>
      <w:color w:themeColor="accent1" w:themeShade="bf" w:val="0F4761"/>
      <w:spacing w:val="5"/>
    </w:rPr>
  </w:style>
  <w:style w:type="character" w:styleId="PieddepageCar" w:customStyle="1">
    <w:name w:val="Pied de page Car"/>
    <w:basedOn w:val="DefaultParagraphFont"/>
    <w:qFormat/>
    <w:rsid w:val="001413cf"/>
    <w:rPr>
      <w:rFonts w:ascii="Times New Roman" w:hAnsi="Times New Roman" w:eastAsia="Calibri" w:cs="Times New Roman"/>
      <w:kern w:val="2"/>
      <w:sz w:val="24"/>
      <w:szCs w:val="24"/>
      <w14:ligatures w14:val="none"/>
    </w:rPr>
  </w:style>
  <w:style w:type="character" w:styleId="CommentaireCar" w:customStyle="1">
    <w:name w:val="Commentaire Car"/>
    <w:basedOn w:val="DefaultParagraphFont"/>
    <w:qFormat/>
    <w:rsid w:val="001413cf"/>
    <w:rPr>
      <w:rFonts w:ascii="Times New Roman" w:hAnsi="Times New Roman" w:eastAsia="Calibri" w:cs="Times New Roman"/>
      <w:kern w:val="2"/>
      <w:sz w:val="20"/>
      <w:szCs w:val="20"/>
      <w14:ligatures w14:val="none"/>
    </w:rPr>
  </w:style>
  <w:style w:type="character" w:styleId="ObjetducommentaireCar" w:customStyle="1">
    <w:name w:val="Objet du commentaire Car"/>
    <w:basedOn w:val="CommentaireCar"/>
    <w:link w:val="annotationsubject"/>
    <w:qFormat/>
    <w:rsid w:val="001413cf"/>
    <w:rPr>
      <w:rFonts w:ascii="Times New Roman" w:hAnsi="Times New Roman" w:eastAsia="Calibri" w:cs="Times New Roman"/>
      <w:b/>
      <w:bCs/>
      <w:kern w:val="2"/>
      <w:sz w:val="20"/>
      <w:szCs w:val="20"/>
      <w14:ligatures w14:val="none"/>
    </w:rPr>
  </w:style>
  <w:style w:type="character" w:styleId="Puces" w:customStyle="1">
    <w:name w:val="Puces"/>
    <w:qFormat/>
    <w:rPr>
      <w:rFonts w:ascii="OpenSymbol" w:hAnsi="OpenSymbol" w:eastAsia="OpenSymbol" w:cs="OpenSymbol"/>
    </w:rPr>
  </w:style>
  <w:style w:type="character" w:styleId="FootnoteSymbolWWWW" w:customStyle="1">
    <w:name w:val="Footnote Symbol (WW) (WW)"/>
    <w:qFormat/>
    <w:rsid w:val="001413cf"/>
    <w:rPr/>
  </w:style>
  <w:style w:type="character" w:styleId="FootnoteSymbolWW" w:customStyle="1">
    <w:name w:val="Footnote Symbol (WW)"/>
    <w:qFormat/>
    <w:rsid w:val="001413cf"/>
    <w:rPr>
      <w:vertAlign w:val="superscript"/>
    </w:rPr>
  </w:style>
  <w:style w:type="character" w:styleId="FootnoteSymbol" w:customStyle="1">
    <w:name w:val="Footnote Symbol"/>
    <w:qFormat/>
    <w:rsid w:val="001413cf"/>
    <w:rPr/>
  </w:style>
  <w:style w:type="character" w:styleId="Caractresdenotedebasdepage" w:customStyle="1">
    <w:name w:val="Caractères de note de bas de page"/>
    <w:qFormat/>
    <w:rPr>
      <w:vertAlign w:val="superscript"/>
    </w:rPr>
  </w:style>
  <w:style w:type="character" w:styleId="Caractresdenotedebasdepageuser">
    <w:name w:val="Caractères de note de bas de page (user)"/>
    <w:qFormat/>
    <w:rPr>
      <w:vertAlign w:val="superscript"/>
    </w:rPr>
  </w:style>
  <w:style w:type="character" w:styleId="FootnoteReference">
    <w:name w:val="footnote reference"/>
    <w:rPr>
      <w:vertAlign w:val="superscript"/>
    </w:rPr>
  </w:style>
  <w:style w:type="character" w:styleId="EndnoteSymbolWW" w:customStyle="1">
    <w:name w:val="Endnote Symbol (WW)"/>
    <w:qFormat/>
    <w:rsid w:val="001413cf"/>
    <w:rPr>
      <w:vertAlign w:val="superscript"/>
    </w:rPr>
  </w:style>
  <w:style w:type="character" w:styleId="EndnoteSymbol" w:customStyle="1">
    <w:name w:val="Endnote Symbol"/>
    <w:qFormat/>
    <w:rsid w:val="001413cf"/>
    <w:rPr>
      <w:vertAlign w:val="superscript"/>
    </w:rPr>
  </w:style>
  <w:style w:type="character" w:styleId="Caractresdenotedefin" w:customStyle="1">
    <w:name w:val="Caractères de note de fin"/>
    <w:qFormat/>
    <w:rPr>
      <w:vertAlign w:val="superscript"/>
    </w:rPr>
  </w:style>
  <w:style w:type="character" w:styleId="Caractresdenotedefinuser">
    <w:name w:val="Caractères de note de fin (user)"/>
    <w:qFormat/>
    <w:rPr>
      <w:vertAlign w:val="superscript"/>
    </w:rPr>
  </w:style>
  <w:style w:type="character" w:styleId="EndnoteReference">
    <w:name w:val="endnote reference"/>
    <w:rPr>
      <w:vertAlign w:val="superscript"/>
    </w:rPr>
  </w:style>
  <w:style w:type="character" w:styleId="EndnoteSymbolWWWW" w:customStyle="1">
    <w:name w:val="Endnote Symbol (WW) (WW)"/>
    <w:qFormat/>
    <w:rsid w:val="001413cf"/>
    <w:rPr/>
  </w:style>
  <w:style w:type="character" w:styleId="StrongEmphasisWWWW" w:customStyle="1">
    <w:name w:val="Strong Emphasis (WW) (WW)"/>
    <w:qFormat/>
    <w:rsid w:val="001413cf"/>
    <w:rPr>
      <w:b/>
      <w:bCs/>
    </w:rPr>
  </w:style>
  <w:style w:type="character" w:styleId="CommentReference">
    <w:name w:val="annotation reference"/>
    <w:basedOn w:val="DefaultParagraphFont"/>
    <w:qFormat/>
    <w:rsid w:val="001413cf"/>
    <w:rPr>
      <w:rFonts w:ascii="Times New Roman" w:hAnsi="Times New Roman" w:eastAsia="Times New Roman" w:cs="Times New Roman"/>
      <w:sz w:val="16"/>
      <w:szCs w:val="16"/>
    </w:rPr>
  </w:style>
  <w:style w:type="character" w:styleId="CommentaireCar1" w:customStyle="1">
    <w:name w:val="Commentaire Car1"/>
    <w:basedOn w:val="DefaultParagraphFont"/>
    <w:qFormat/>
    <w:rsid w:val="001413cf"/>
    <w:rPr>
      <w:sz w:val="20"/>
      <w:szCs w:val="20"/>
    </w:rPr>
  </w:style>
  <w:style w:type="character" w:styleId="LineNumbering" w:customStyle="1">
    <w:name w:val="Line Numbering"/>
    <w:qFormat/>
    <w:rsid w:val="001413cf"/>
    <w:rPr/>
  </w:style>
  <w:style w:type="character" w:styleId="LineNumbering1" w:customStyle="1">
    <w:name w:val="Line Numbering1"/>
    <w:qFormat/>
    <w:rsid w:val="001413cf"/>
    <w:rPr/>
  </w:style>
  <w:style w:type="character" w:styleId="LineNumbering2" w:customStyle="1">
    <w:name w:val="Line Numbering2"/>
    <w:qFormat/>
    <w:rsid w:val="001413cf"/>
    <w:rPr/>
  </w:style>
  <w:style w:type="character" w:styleId="LineNumbering3" w:customStyle="1">
    <w:name w:val="Line Numbering3"/>
    <w:qFormat/>
    <w:rsid w:val="001413cf"/>
    <w:rPr/>
  </w:style>
  <w:style w:type="character" w:styleId="Emphasis">
    <w:name w:val="Emphasis"/>
    <w:uiPriority w:val="20"/>
    <w:qFormat/>
    <w:rsid w:val="001413cf"/>
    <w:rPr>
      <w:i/>
      <w:iCs/>
    </w:rPr>
  </w:style>
  <w:style w:type="character" w:styleId="StrongEmphasisWW" w:customStyle="1">
    <w:name w:val="Strong Emphasis (WW)"/>
    <w:qFormat/>
    <w:rsid w:val="001413cf"/>
    <w:rPr>
      <w:b/>
      <w:bCs/>
    </w:rPr>
  </w:style>
  <w:style w:type="character" w:styleId="CommentaireCar2" w:customStyle="1">
    <w:name w:val="Commentaire Car2"/>
    <w:basedOn w:val="DefaultParagraphFont"/>
    <w:qFormat/>
    <w:rsid w:val="001413cf"/>
    <w:rPr>
      <w:sz w:val="20"/>
      <w:szCs w:val="20"/>
    </w:rPr>
  </w:style>
  <w:style w:type="character" w:styleId="Caractresdenotedebasdepage1" w:customStyle="1">
    <w:name w:val="CaractÃ¨res de note de bas de page"/>
    <w:qFormat/>
    <w:rsid w:val="001413cf"/>
    <w:rPr>
      <w:vertAlign w:val="superscript"/>
    </w:rPr>
  </w:style>
  <w:style w:type="character" w:styleId="Caractresdenotedefin1" w:customStyle="1">
    <w:name w:val="CaractÃ¨res de note de fin"/>
    <w:qFormat/>
    <w:rsid w:val="001413cf"/>
    <w:rPr>
      <w:vertAlign w:val="superscript"/>
    </w:rPr>
  </w:style>
  <w:style w:type="character" w:styleId="TitreCar1" w:customStyle="1">
    <w:name w:val="Titre Car1"/>
    <w:basedOn w:val="DefaultParagraphFont"/>
    <w:qFormat/>
    <w:rsid w:val="001413cf"/>
    <w:rPr>
      <w:rFonts w:ascii="Calibri" w:hAnsi="Calibri" w:eastAsia="PingFang SC" w:cs="Lucida Sans"/>
      <w:sz w:val="28"/>
      <w:szCs w:val="28"/>
    </w:rPr>
  </w:style>
  <w:style w:type="character" w:styleId="CorpsdetexteCar" w:customStyle="1">
    <w:name w:val="Corps de texte Car"/>
    <w:basedOn w:val="DefaultParagraphFont"/>
    <w:qFormat/>
    <w:rsid w:val="001413cf"/>
    <w:rPr>
      <w:rFonts w:ascii="Times New Roman" w:hAnsi="Times New Roman" w:eastAsia="Times New Roman" w:cs="Times New Roman"/>
      <w:sz w:val="24"/>
      <w:szCs w:val="24"/>
    </w:rPr>
  </w:style>
  <w:style w:type="character" w:styleId="Sous-titreCar1" w:customStyle="1">
    <w:name w:val="Sous-titre Car1"/>
    <w:basedOn w:val="DefaultParagraphFont"/>
    <w:qFormat/>
    <w:rsid w:val="001413cf"/>
    <w:rPr>
      <w:rFonts w:ascii="Calibri" w:hAnsi="Calibri" w:eastAsia="Times New Roman" w:cs="Calibri"/>
      <w:color w:val="595959"/>
      <w:spacing w:val="15"/>
      <w:sz w:val="28"/>
      <w:szCs w:val="28"/>
    </w:rPr>
  </w:style>
  <w:style w:type="character" w:styleId="CitationCar1" w:customStyle="1">
    <w:name w:val="Citation Car1"/>
    <w:basedOn w:val="DefaultParagraphFont"/>
    <w:qFormat/>
    <w:rsid w:val="001413cf"/>
    <w:rPr>
      <w:rFonts w:ascii="Times New Roman" w:hAnsi="Times New Roman" w:eastAsia="Times New Roman" w:cs="Times New Roman"/>
      <w:i/>
      <w:iCs/>
      <w:color w:val="404040"/>
      <w:sz w:val="24"/>
      <w:szCs w:val="24"/>
    </w:rPr>
  </w:style>
  <w:style w:type="character" w:styleId="CitationintenseCar1" w:customStyle="1">
    <w:name w:val="Citation intense Car1"/>
    <w:basedOn w:val="DefaultParagraphFont"/>
    <w:qFormat/>
    <w:rsid w:val="001413cf"/>
    <w:rPr>
      <w:rFonts w:ascii="Times New Roman" w:hAnsi="Times New Roman" w:eastAsia="Times New Roman" w:cs="Times New Roman"/>
      <w:i/>
      <w:iCs/>
      <w:color w:val="2F5496"/>
      <w:sz w:val="24"/>
      <w:szCs w:val="24"/>
    </w:rPr>
  </w:style>
  <w:style w:type="character" w:styleId="CommentaireCar3" w:customStyle="1">
    <w:name w:val="Commentaire Car3"/>
    <w:basedOn w:val="DefaultParagraphFont"/>
    <w:qFormat/>
    <w:rsid w:val="001413cf"/>
    <w:rPr>
      <w:rFonts w:ascii="Times New Roman" w:hAnsi="Times New Roman" w:eastAsia="Times New Roman" w:cs="Times New Roman"/>
      <w:sz w:val="20"/>
      <w:szCs w:val="20"/>
    </w:rPr>
  </w:style>
  <w:style w:type="character" w:styleId="ObjetducommentaireCar1" w:customStyle="1">
    <w:name w:val="Objet du commentaire Car1"/>
    <w:basedOn w:val="CommentaireCar3"/>
    <w:qFormat/>
    <w:rsid w:val="001413cf"/>
    <w:rPr>
      <w:rFonts w:ascii="Times New Roman" w:hAnsi="Times New Roman" w:eastAsia="Times New Roman" w:cs="Times New Roman"/>
      <w:b/>
      <w:bCs/>
      <w:sz w:val="20"/>
      <w:szCs w:val="20"/>
    </w:rPr>
  </w:style>
  <w:style w:type="character" w:styleId="NotedebasdepageCar" w:customStyle="1">
    <w:name w:val="Note de bas de page Car"/>
    <w:basedOn w:val="DefaultParagraphFont"/>
    <w:qFormat/>
    <w:rsid w:val="001413cf"/>
    <w:rPr>
      <w:rFonts w:ascii="Times New Roman" w:hAnsi="Times New Roman" w:eastAsia="Times New Roman" w:cs="Times New Roman"/>
      <w:sz w:val="24"/>
      <w:szCs w:val="24"/>
    </w:rPr>
  </w:style>
  <w:style w:type="character" w:styleId="UnresolvedMention">
    <w:name w:val="Unresolved Mention"/>
    <w:basedOn w:val="DefaultParagraphFont"/>
    <w:qFormat/>
    <w:rsid w:val="001413cf"/>
    <w:rPr>
      <w:rFonts w:ascii="Times New Roman" w:hAnsi="Times New Roman" w:eastAsia="Times New Roman" w:cs="Times New Roman"/>
      <w:color w:val="605E5C"/>
      <w:sz w:val="24"/>
      <w:szCs w:val="24"/>
      <w:shd w:fill="E1DFDD" w:val="clear"/>
    </w:rPr>
  </w:style>
  <w:style w:type="character" w:styleId="q" w:customStyle="1">
    <w:name w:val="q"/>
    <w:qFormat/>
    <w:rsid w:val="001413cf"/>
    <w:rPr/>
  </w:style>
  <w:style w:type="character" w:styleId="ExplorateurdedocumentCar" w:customStyle="1">
    <w:name w:val="Explorateur de document Car"/>
    <w:qFormat/>
    <w:rsid w:val="001413cf"/>
    <w:rPr>
      <w:rFonts w:ascii="Lucida Grande" w:hAnsi="Lucida Grande" w:eastAsia="Times New Roman" w:cs="Lucida Grande"/>
      <w:color w:val="000000"/>
      <w:szCs w:val="24"/>
    </w:rPr>
  </w:style>
  <w:style w:type="character" w:styleId="WW-Policepardfaut" w:customStyle="1">
    <w:name w:val="WW-Police par défaut"/>
    <w:qFormat/>
    <w:rsid w:val="001413cf"/>
    <w:rPr/>
  </w:style>
  <w:style w:type="character" w:styleId="WW8Num1z1" w:customStyle="1">
    <w:name w:val="WW8Num1z1"/>
    <w:qFormat/>
    <w:rsid w:val="001413cf"/>
    <w:rPr>
      <w:rFonts w:ascii="Courier New" w:hAnsi="Courier New" w:eastAsia="Courier New" w:cs="Courier New"/>
    </w:rPr>
  </w:style>
  <w:style w:type="character" w:styleId="WW8Num1z0" w:customStyle="1">
    <w:name w:val="WW8Num1z0"/>
    <w:qFormat/>
    <w:rsid w:val="001413cf"/>
    <w:rPr>
      <w:rFonts w:ascii="Times New Roman" w:hAnsi="Times New Roman" w:eastAsia="Times" w:cs="Times New Roman"/>
    </w:rPr>
  </w:style>
  <w:style w:type="character" w:styleId="Absatz-Standardschriftart" w:customStyle="1">
    <w:name w:val="Absatz-Standardschriftart"/>
    <w:qFormat/>
    <w:rsid w:val="001413cf"/>
    <w:rPr/>
  </w:style>
  <w:style w:type="character" w:styleId="StrongEmphasis" w:customStyle="1">
    <w:name w:val="Strong Emphasis"/>
    <w:qFormat/>
    <w:rsid w:val="001413cf"/>
    <w:rPr>
      <w:b/>
      <w:bCs/>
    </w:rPr>
  </w:style>
  <w:style w:type="character" w:styleId="Internetlink" w:customStyle="1">
    <w:name w:val="Internet link"/>
    <w:qFormat/>
    <w:rsid w:val="001413cf"/>
    <w:rPr>
      <w:color w:val="000080"/>
      <w:u w:val="single"/>
    </w:rPr>
  </w:style>
  <w:style w:type="character" w:styleId="CommentaireCar4" w:customStyle="1">
    <w:name w:val="Commentaire Car4"/>
    <w:basedOn w:val="DefaultParagraphFont"/>
    <w:qFormat/>
    <w:rsid w:val="001413cf"/>
    <w:rPr>
      <w:sz w:val="20"/>
      <w:szCs w:val="20"/>
    </w:rPr>
  </w:style>
  <w:style w:type="character" w:styleId="NotedebasdepageCar1" w:customStyle="1">
    <w:name w:val="Note de bas de page Car1"/>
    <w:basedOn w:val="DefaultParagraphFont"/>
    <w:qFormat/>
    <w:rsid w:val="001413cf"/>
    <w:rPr>
      <w:sz w:val="20"/>
      <w:szCs w:val="20"/>
    </w:rPr>
  </w:style>
  <w:style w:type="character" w:styleId="StandardCar" w:customStyle="1">
    <w:name w:val="Standard Car"/>
    <w:basedOn w:val="DefaultParagraphFont"/>
    <w:qFormat/>
    <w:rsid w:val="001413cf"/>
    <w:rPr/>
  </w:style>
  <w:style w:type="character" w:styleId="Linenumbering4" w:customStyle="1">
    <w:name w:val="Line numbering4"/>
    <w:qFormat/>
    <w:rsid w:val="001413cf"/>
    <w:rPr/>
  </w:style>
  <w:style w:type="character" w:styleId="NotedebasdepageCar2" w:customStyle="1">
    <w:name w:val="Note de bas de page Car2"/>
    <w:basedOn w:val="DefaultParagraphFont"/>
    <w:qFormat/>
    <w:rsid w:val="001413cf"/>
    <w:rPr>
      <w:sz w:val="20"/>
      <w:szCs w:val="20"/>
    </w:rPr>
  </w:style>
  <w:style w:type="character" w:styleId="CommentaireCar5" w:customStyle="1">
    <w:name w:val="Commentaire Car5"/>
    <w:basedOn w:val="DefaultParagraphFont"/>
    <w:qFormat/>
    <w:rsid w:val="001413cf"/>
    <w:rPr>
      <w:sz w:val="20"/>
      <w:szCs w:val="20"/>
    </w:rPr>
  </w:style>
  <w:style w:type="character" w:styleId="CommentaireCar6" w:customStyle="1">
    <w:name w:val="Commentaire Car6"/>
    <w:basedOn w:val="DefaultParagraphFont"/>
    <w:qFormat/>
    <w:rsid w:val="001413cf"/>
    <w:rPr>
      <w:sz w:val="20"/>
      <w:szCs w:val="20"/>
    </w:rPr>
  </w:style>
  <w:style w:type="character" w:styleId="NotedebasdepageCar3" w:customStyle="1">
    <w:name w:val="Note de bas de page Car3"/>
    <w:basedOn w:val="DefaultParagraphFont"/>
    <w:qFormat/>
    <w:rsid w:val="001413cf"/>
    <w:rPr>
      <w:sz w:val="20"/>
      <w:szCs w:val="20"/>
    </w:rPr>
  </w:style>
  <w:style w:type="character" w:styleId="Caractresdenotedebasdepage11" w:customStyle="1">
    <w:name w:val="Caractères de note de bas de page1"/>
    <w:qFormat/>
    <w:rsid w:val="001413cf"/>
    <w:rPr/>
  </w:style>
  <w:style w:type="character" w:styleId="FootnoteCharacters" w:customStyle="1">
    <w:name w:val="Footnote Characters"/>
    <w:qFormat/>
    <w:rsid w:val="001413cf"/>
    <w:rPr/>
  </w:style>
  <w:style w:type="character" w:styleId="EndnoteCharacters" w:customStyle="1">
    <w:name w:val="Endnote Characters"/>
    <w:qFormat/>
    <w:rsid w:val="001413cf"/>
    <w:rPr/>
  </w:style>
  <w:style w:type="character" w:styleId="CommentaireCar7" w:customStyle="1">
    <w:name w:val="Commentaire Car7"/>
    <w:basedOn w:val="DefaultParagraphFont"/>
    <w:qFormat/>
    <w:rsid w:val="001413cf"/>
    <w:rPr>
      <w:sz w:val="20"/>
      <w:szCs w:val="20"/>
    </w:rPr>
  </w:style>
  <w:style w:type="character" w:styleId="CommentaireCar8" w:customStyle="1">
    <w:name w:val="Commentaire Car8"/>
    <w:basedOn w:val="DefaultParagraphFont"/>
    <w:qFormat/>
    <w:rsid w:val="001413cf"/>
    <w:rPr>
      <w:sz w:val="20"/>
      <w:szCs w:val="20"/>
    </w:rPr>
  </w:style>
  <w:style w:type="character" w:styleId="TextedebullesCar" w:customStyle="1">
    <w:name w:val="Texte de bulles Car"/>
    <w:basedOn w:val="DefaultParagraphFont"/>
    <w:link w:val="BalloonText"/>
    <w:uiPriority w:val="99"/>
    <w:semiHidden/>
    <w:qFormat/>
    <w:rsid w:val="001413cf"/>
    <w:rPr>
      <w:rFonts w:ascii="Times New Roman" w:hAnsi="Times New Roman" w:eastAsia="Calibri" w:cs="Times New Roman"/>
      <w:kern w:val="2"/>
      <w:sz w:val="18"/>
      <w:szCs w:val="18"/>
      <w14:ligatures w14:val="none"/>
    </w:rPr>
  </w:style>
  <w:style w:type="character" w:styleId="Hyperlink">
    <w:name w:val="Hyperlink"/>
    <w:basedOn w:val="DefaultParagraphFont"/>
    <w:uiPriority w:val="99"/>
    <w:unhideWhenUsed/>
    <w:rsid w:val="001413cf"/>
    <w:rPr>
      <w:color w:themeColor="hyperlink" w:val="467886"/>
      <w:u w:val="single"/>
    </w:rPr>
  </w:style>
  <w:style w:type="character" w:styleId="LineNumber">
    <w:name w:val="line number"/>
    <w:rPr/>
  </w:style>
  <w:style w:type="character" w:styleId="Strong">
    <w:name w:val="Strong"/>
    <w:qFormat/>
    <w:rPr>
      <w:b/>
      <w:bCs/>
    </w:rPr>
  </w:style>
  <w:style w:type="paragraph" w:styleId="Titre">
    <w:name w:val="Titre"/>
    <w:basedOn w:val="Normal"/>
    <w:next w:val="BodyText"/>
    <w:qFormat/>
    <w:pPr>
      <w:keepNext w:val="true"/>
      <w:spacing w:before="240" w:after="120"/>
    </w:pPr>
    <w:rPr>
      <w:rFonts w:ascii="Calibri" w:hAnsi="Calibri" w:eastAsia="PingFang SC" w:cs="Lucida Sans"/>
      <w:sz w:val="26"/>
      <w:szCs w:val="28"/>
    </w:rPr>
  </w:style>
  <w:style w:type="paragraph" w:styleId="BodyText">
    <w:name w:val="Body Text"/>
    <w:basedOn w:val="Normal"/>
    <w:pPr/>
    <w:rPr/>
  </w:style>
  <w:style w:type="paragraph" w:styleId="List">
    <w:name w:val="List"/>
    <w:basedOn w:val="TextbodyWWWW"/>
    <w:rsid w:val="001413cf"/>
    <w:pPr/>
    <w:rPr>
      <w:rFonts w:cs="Noto Sans"/>
    </w:rPr>
  </w:style>
  <w:style w:type="paragraph" w:styleId="Caption">
    <w:name w:val="caption"/>
    <w:basedOn w:val="StandardWWWW"/>
    <w:qFormat/>
    <w:rsid w:val="001413cf"/>
    <w:pPr>
      <w:suppressLineNumbers/>
      <w:spacing w:before="120" w:after="120"/>
    </w:pPr>
    <w:rPr>
      <w:i/>
      <w:iCs/>
      <w:sz w:val="20"/>
      <w:szCs w:val="20"/>
    </w:rPr>
  </w:style>
  <w:style w:type="paragraph" w:styleId="Index" w:customStyle="1">
    <w:name w:val="Index"/>
    <w:basedOn w:val="StandardWWWW"/>
    <w:qFormat/>
    <w:rsid w:val="001413cf"/>
    <w:pPr>
      <w:suppressLineNumbers/>
    </w:pPr>
    <w:rPr>
      <w:rFonts w:cs="Noto Sans"/>
    </w:rPr>
  </w:style>
  <w:style w:type="paragraph" w:styleId="Titreuser">
    <w:name w:val="Titre (user)"/>
    <w:basedOn w:val="Normal"/>
    <w:next w:val="BodyText"/>
    <w:qFormat/>
    <w:pPr>
      <w:keepNext w:val="true"/>
      <w:spacing w:before="240" w:after="120"/>
    </w:pPr>
    <w:rPr>
      <w:rFonts w:ascii="Calibri" w:hAnsi="Calibri" w:eastAsia="PingFang SC" w:cs="Lucida Sans"/>
      <w:sz w:val="26"/>
      <w:szCs w:val="28"/>
    </w:rPr>
  </w:style>
  <w:style w:type="paragraph" w:styleId="Title">
    <w:name w:val="Title"/>
    <w:basedOn w:val="Normal"/>
    <w:next w:val="BodyText"/>
    <w:link w:val="TitreCar"/>
    <w:uiPriority w:val="10"/>
    <w:qFormat/>
    <w:rsid w:val="001413cf"/>
    <w:pPr>
      <w:spacing w:lineRule="auto" w:line="240" w:before="0" w:after="80"/>
      <w:contextualSpacing/>
    </w:pPr>
    <w:rPr>
      <w:rFonts w:ascii="Aptos Display" w:hAnsi="Aptos Display" w:eastAsia="" w:cs="" w:asciiTheme="majorHAnsi" w:cstheme="majorBidi" w:eastAsiaTheme="majorEastAsia" w:hAnsiTheme="majorHAnsi"/>
      <w:spacing w:val="-10"/>
      <w:sz w:val="56"/>
      <w:szCs w:val="56"/>
    </w:rPr>
  </w:style>
  <w:style w:type="paragraph" w:styleId="Titre1" w:customStyle="1">
    <w:name w:val="Titre1"/>
    <w:basedOn w:val="StandardWWWW"/>
    <w:next w:val="StandardWWWW"/>
    <w:qFormat/>
    <w:rsid w:val="001413cf"/>
    <w:pPr>
      <w:spacing w:before="0" w:after="80"/>
      <w:contextualSpacing/>
    </w:pPr>
    <w:rPr>
      <w:rFonts w:ascii="Calibri Light" w:hAnsi="Calibri Light" w:eastAsia="Calibri Light" w:cs="Calibri Light"/>
      <w:spacing w:val="-10"/>
      <w:sz w:val="56"/>
      <w:szCs w:val="56"/>
    </w:rPr>
  </w:style>
  <w:style w:type="paragraph" w:styleId="Subtitle">
    <w:name w:val="Subtitle"/>
    <w:basedOn w:val="Normal"/>
    <w:next w:val="Normal"/>
    <w:link w:val="Sous-titreCar"/>
    <w:uiPriority w:val="11"/>
    <w:qFormat/>
    <w:rsid w:val="001413cf"/>
    <w:pPr/>
    <w:rPr>
      <w:rFonts w:eastAsia="" w:cs="" w:cstheme="majorBidi" w:eastAsiaTheme="majorEastAsia"/>
      <w:color w:themeColor="text1" w:themeTint="a6" w:val="595959"/>
      <w:spacing w:val="15"/>
      <w:sz w:val="28"/>
      <w:szCs w:val="28"/>
    </w:rPr>
  </w:style>
  <w:style w:type="paragraph" w:styleId="Quote">
    <w:name w:val="Quote"/>
    <w:basedOn w:val="Normal"/>
    <w:next w:val="Normal"/>
    <w:link w:val="CitationCar"/>
    <w:qFormat/>
    <w:rsid w:val="001413cf"/>
    <w:pPr>
      <w:spacing w:before="160" w:after="160"/>
      <w:jc w:val="center"/>
    </w:pPr>
    <w:rPr>
      <w:i/>
      <w:iCs/>
      <w:color w:themeColor="text1" w:themeTint="bf" w:val="404040"/>
    </w:rPr>
  </w:style>
  <w:style w:type="paragraph" w:styleId="ListParagraph">
    <w:name w:val="List Paragraph"/>
    <w:basedOn w:val="Normal"/>
    <w:qFormat/>
    <w:rsid w:val="001413cf"/>
    <w:pPr>
      <w:spacing w:before="0" w:after="160"/>
      <w:ind w:start="720"/>
      <w:contextualSpacing/>
    </w:pPr>
    <w:rPr/>
  </w:style>
  <w:style w:type="paragraph" w:styleId="IntenseQuote">
    <w:name w:val="Intense Quote"/>
    <w:basedOn w:val="Normal"/>
    <w:next w:val="Normal"/>
    <w:link w:val="CitationintenseCar"/>
    <w:qFormat/>
    <w:rsid w:val="001413cf"/>
    <w:pPr>
      <w:pBdr>
        <w:top w:val="single" w:sz="4" w:space="10" w:color="0F4761" w:themeColor="accent1" w:themeShade="bf"/>
        <w:bottom w:val="single" w:sz="4" w:space="10" w:color="0F4761" w:themeColor="accent1" w:themeShade="bf"/>
      </w:pBdr>
      <w:spacing w:before="360" w:after="360"/>
      <w:ind w:start="864" w:end="864"/>
      <w:jc w:val="center"/>
    </w:pPr>
    <w:rPr>
      <w:i/>
      <w:iCs/>
      <w:color w:themeColor="accent1" w:themeShade="bf" w:val="0F4761"/>
    </w:rPr>
  </w:style>
  <w:style w:type="paragraph" w:styleId="Standard" w:customStyle="1">
    <w:name w:val="Standard"/>
    <w:qFormat/>
    <w:rsid w:val="001413cf"/>
    <w:pPr>
      <w:widowControl w:val="false"/>
      <w:suppressAutoHyphens w:val="true"/>
      <w:bidi w:val="0"/>
      <w:spacing w:before="0" w:after="0"/>
      <w:jc w:val="start"/>
      <w:textAlignment w:val="baseline"/>
    </w:pPr>
    <w:rPr>
      <w:rFonts w:ascii="Times New Roman" w:hAnsi="Times New Roman" w:eastAsia="Calibri" w:cs="Times New Roman"/>
      <w:color w:val="auto"/>
      <w:kern w:val="2"/>
      <w:sz w:val="24"/>
      <w:szCs w:val="24"/>
      <w:lang w:val="fr-FR" w:eastAsia="en-US" w:bidi="ar-SA"/>
      <w14:ligatures w14:val="none"/>
    </w:rPr>
  </w:style>
  <w:style w:type="paragraph" w:styleId="Textbody" w:customStyle="1">
    <w:name w:val="Text body"/>
    <w:basedOn w:val="Standard"/>
    <w:qFormat/>
    <w:rsid w:val="001413cf"/>
    <w:pPr>
      <w:spacing w:lineRule="exact" w:line="340" w:before="113" w:after="0"/>
      <w:jc w:val="both"/>
    </w:pPr>
    <w:rPr>
      <w:rFonts w:eastAsia="Times New Roman"/>
    </w:rPr>
  </w:style>
  <w:style w:type="paragraph" w:styleId="StandardWW" w:customStyle="1">
    <w:name w:val="Standard (WW)"/>
    <w:qFormat/>
    <w:rsid w:val="001413cf"/>
    <w:pPr>
      <w:widowControl/>
      <w:suppressAutoHyphens w:val="true"/>
      <w:bidi w:val="0"/>
      <w:spacing w:lineRule="exact" w:line="340" w:before="113" w:after="0"/>
      <w:jc w:val="both"/>
      <w:textAlignment w:val="baseline"/>
    </w:pPr>
    <w:rPr>
      <w:rFonts w:ascii="Times New Roman" w:hAnsi="Times New Roman" w:eastAsia="Calibri" w:cs="Times New Roman"/>
      <w:color w:val="auto"/>
      <w:kern w:val="2"/>
      <w:sz w:val="24"/>
      <w:szCs w:val="24"/>
      <w:lang w:val="fr-FR" w:eastAsia="en-US" w:bidi="ar-SA"/>
      <w14:ligatures w14:val="none"/>
    </w:rPr>
  </w:style>
  <w:style w:type="paragraph" w:styleId="TextbodyWW" w:customStyle="1">
    <w:name w:val="Text body (WW)"/>
    <w:basedOn w:val="StandardWW"/>
    <w:qFormat/>
    <w:rsid w:val="001413cf"/>
    <w:pPr>
      <w:spacing w:lineRule="auto" w:line="276" w:before="0" w:after="140"/>
    </w:pPr>
    <w:rPr/>
  </w:style>
  <w:style w:type="paragraph" w:styleId="StandardWWWW" w:customStyle="1">
    <w:name w:val="Standard (WW) (WW)"/>
    <w:qFormat/>
    <w:rsid w:val="001413cf"/>
    <w:pPr>
      <w:widowControl/>
      <w:suppressAutoHyphens w:val="true"/>
      <w:bidi w:val="0"/>
      <w:spacing w:lineRule="exact" w:line="340" w:before="113" w:after="0"/>
      <w:jc w:val="both"/>
      <w:textAlignment w:val="baseline"/>
    </w:pPr>
    <w:rPr>
      <w:rFonts w:ascii="Times New Roman" w:hAnsi="Times New Roman" w:eastAsia="Calibri" w:cs="Times New Roman"/>
      <w:color w:val="auto"/>
      <w:kern w:val="2"/>
      <w:sz w:val="24"/>
      <w:szCs w:val="24"/>
      <w:lang w:val="fr-FR" w:eastAsia="en-US" w:bidi="ar-SA"/>
      <w14:ligatures w14:val="none"/>
    </w:rPr>
  </w:style>
  <w:style w:type="paragraph" w:styleId="TextbodyWWWW" w:customStyle="1">
    <w:name w:val="Text body (WW) (WW)"/>
    <w:basedOn w:val="StandardWWWW"/>
    <w:qFormat/>
    <w:rsid w:val="001413cf"/>
    <w:pPr>
      <w:spacing w:lineRule="auto" w:line="276" w:before="0" w:after="140"/>
    </w:pPr>
    <w:rPr/>
  </w:style>
  <w:style w:type="paragraph" w:styleId="FootnoteWWWW" w:customStyle="1">
    <w:name w:val="Footnote (WW) (WW)"/>
    <w:basedOn w:val="StandardWWWW"/>
    <w:qFormat/>
    <w:rsid w:val="001413cf"/>
    <w:pPr>
      <w:suppressLineNumbers/>
      <w:spacing w:lineRule="exact" w:line="227" w:before="0" w:after="0"/>
    </w:pPr>
    <w:rPr>
      <w:rFonts w:eastAsia="Times New Roman"/>
      <w:sz w:val="20"/>
      <w:szCs w:val="20"/>
    </w:rPr>
  </w:style>
  <w:style w:type="paragraph" w:styleId="Commentaire1" w:customStyle="1">
    <w:name w:val="Commentaire1"/>
    <w:basedOn w:val="StandardWW"/>
    <w:qFormat/>
    <w:rsid w:val="001413cf"/>
    <w:pPr/>
    <w:rPr>
      <w:sz w:val="20"/>
      <w:szCs w:val="20"/>
    </w:rPr>
  </w:style>
  <w:style w:type="paragraph" w:styleId="En-tteetpieddepage" w:customStyle="1">
    <w:name w:val="En-tête et pied de page"/>
    <w:basedOn w:val="Normal"/>
    <w:qFormat/>
    <w:pPr/>
    <w:rPr/>
  </w:style>
  <w:style w:type="paragraph" w:styleId="En-tteetpieddepageuser">
    <w:name w:val="En-tête et pied de page (user)"/>
    <w:basedOn w:val="Normal"/>
    <w:qFormat/>
    <w:pPr/>
    <w:rPr/>
  </w:style>
  <w:style w:type="paragraph" w:styleId="Footer">
    <w:name w:val="footer"/>
    <w:basedOn w:val="En-tteetpieddepage"/>
    <w:link w:val="PieddepageCar"/>
    <w:rsid w:val="001413cf"/>
    <w:pPr>
      <w:suppressLineNumbers/>
      <w:tabs>
        <w:tab w:val="clear" w:pos="708"/>
        <w:tab w:val="center" w:pos="4819" w:leader="none"/>
        <w:tab w:val="right" w:pos="9638" w:leader="none"/>
      </w:tabs>
    </w:pPr>
    <w:rPr/>
  </w:style>
  <w:style w:type="paragraph" w:styleId="MarginaliaWW" w:customStyle="1">
    <w:name w:val="Marginalia (WW)"/>
    <w:basedOn w:val="StandardWW"/>
    <w:qFormat/>
    <w:rsid w:val="001413cf"/>
    <w:pPr/>
    <w:rPr>
      <w:sz w:val="20"/>
      <w:szCs w:val="20"/>
    </w:rPr>
  </w:style>
  <w:style w:type="paragraph" w:styleId="FootnoteWW" w:customStyle="1">
    <w:name w:val="Footnote (WW)"/>
    <w:basedOn w:val="StandardWW"/>
    <w:qFormat/>
    <w:rsid w:val="001413cf"/>
    <w:pPr/>
    <w:rPr/>
  </w:style>
  <w:style w:type="paragraph" w:styleId="Revision">
    <w:name w:val="Revision"/>
    <w:qFormat/>
    <w:rsid w:val="001413cf"/>
    <w:pPr>
      <w:widowControl/>
      <w:suppressAutoHyphens w:val="true"/>
      <w:bidi w:val="0"/>
      <w:spacing w:before="0" w:after="0"/>
      <w:jc w:val="start"/>
      <w:textAlignment w:val="baseline"/>
    </w:pPr>
    <w:rPr>
      <w:rFonts w:ascii="Times New Roman" w:hAnsi="Times New Roman" w:eastAsia="Calibri" w:cs="Times New Roman"/>
      <w:color w:val="auto"/>
      <w:kern w:val="2"/>
      <w:sz w:val="24"/>
      <w:szCs w:val="24"/>
      <w:lang w:val="fr-FR" w:eastAsia="en-US" w:bidi="ar-SA"/>
      <w14:ligatures w14:val="none"/>
    </w:rPr>
  </w:style>
  <w:style w:type="paragraph" w:styleId="Commentaire2" w:customStyle="1">
    <w:name w:val="Commentaire2"/>
    <w:basedOn w:val="Normal"/>
    <w:qFormat/>
    <w:rsid w:val="001413cf"/>
    <w:pPr>
      <w:widowControl w:val="false"/>
      <w:spacing w:lineRule="auto" w:line="240" w:before="0" w:after="0"/>
    </w:pPr>
    <w:rPr>
      <w:rFonts w:eastAsia="Calibri" w:cs="Times New Roman"/>
      <w:sz w:val="20"/>
      <w:szCs w:val="20"/>
      <w14:ligatures w14:val="none"/>
    </w:rPr>
  </w:style>
  <w:style w:type="paragraph" w:styleId="Bibliographie1" w:customStyle="1">
    <w:name w:val="Bibliographie 1"/>
    <w:basedOn w:val="Index"/>
    <w:qFormat/>
    <w:rsid w:val="001413cf"/>
    <w:pPr>
      <w:spacing w:lineRule="exact" w:line="283"/>
      <w:ind w:hanging="720" w:start="720"/>
    </w:pPr>
    <w:rPr/>
  </w:style>
  <w:style w:type="paragraph" w:styleId="Marginalia" w:customStyle="1">
    <w:name w:val="Marginalia"/>
    <w:basedOn w:val="Standard"/>
    <w:qFormat/>
    <w:rsid w:val="001413cf"/>
    <w:pPr/>
    <w:rPr>
      <w:sz w:val="20"/>
      <w:szCs w:val="20"/>
    </w:rPr>
  </w:style>
  <w:style w:type="paragraph" w:styleId="CommentText">
    <w:name w:val="annotation text"/>
    <w:basedOn w:val="Normal"/>
    <w:link w:val="CommentaireCar"/>
    <w:qFormat/>
    <w:pPr/>
    <w:rPr>
      <w:sz w:val="20"/>
      <w:szCs w:val="20"/>
    </w:rPr>
  </w:style>
  <w:style w:type="paragraph" w:styleId="annotationsubject">
    <w:name w:val="annotation subject"/>
    <w:basedOn w:val="Marginalia"/>
    <w:next w:val="Marginalia"/>
    <w:link w:val="ObjetducommentaireCar"/>
    <w:qFormat/>
    <w:rsid w:val="001413cf"/>
    <w:pPr/>
    <w:rPr>
      <w:b/>
      <w:bCs/>
    </w:rPr>
  </w:style>
  <w:style w:type="paragraph" w:styleId="Footnote" w:customStyle="1">
    <w:name w:val="Footnote"/>
    <w:basedOn w:val="Normal"/>
    <w:qFormat/>
    <w:rsid w:val="001413cf"/>
    <w:pPr>
      <w:widowControl w:val="false"/>
      <w:spacing w:lineRule="auto" w:line="240" w:before="0" w:after="0"/>
    </w:pPr>
    <w:rPr>
      <w:rFonts w:eastAsia="Calibri" w:cs="Times New Roman"/>
      <w:sz w:val="20"/>
      <w:szCs w:val="20"/>
      <w14:ligatures w14:val="none"/>
    </w:rPr>
  </w:style>
  <w:style w:type="paragraph" w:styleId="Contenudetableau" w:customStyle="1">
    <w:name w:val="Contenu de tableau"/>
    <w:basedOn w:val="Standard"/>
    <w:qFormat/>
    <w:rsid w:val="001413cf"/>
    <w:pPr>
      <w:suppressLineNumbers/>
    </w:pPr>
    <w:rPr/>
  </w:style>
  <w:style w:type="paragraph" w:styleId="Titredetableau" w:customStyle="1">
    <w:name w:val="Titre de tableau"/>
    <w:basedOn w:val="Contenudetableau"/>
    <w:qFormat/>
    <w:rsid w:val="001413cf"/>
    <w:pPr>
      <w:spacing w:before="227" w:after="113"/>
      <w:ind w:start="283" w:end="283"/>
      <w:jc w:val="center"/>
    </w:pPr>
    <w:rPr>
      <w:b/>
      <w:bCs/>
      <w:spacing w:val="-2"/>
      <w:sz w:val="23"/>
      <w:szCs w:val="23"/>
    </w:rPr>
  </w:style>
  <w:style w:type="paragraph" w:styleId="Tableaux" w:customStyle="1">
    <w:name w:val="Tableaux"/>
    <w:basedOn w:val="Standard"/>
    <w:qFormat/>
    <w:rsid w:val="001413cf"/>
    <w:pPr>
      <w:numPr>
        <w:ilvl w:val="0"/>
        <w:numId w:val="1"/>
      </w:numPr>
      <w:jc w:val="center"/>
    </w:pPr>
    <w:rPr>
      <w:rFonts w:ascii="Calibri" w:hAnsi="Calibri" w:eastAsia="Arial" w:cs="Calibri Light"/>
      <w:b/>
      <w:color w:val="0F4761"/>
      <w:kern w:val="0"/>
      <w:lang w:eastAsia="fr-FR"/>
    </w:rPr>
  </w:style>
  <w:style w:type="paragraph" w:styleId="Blocdecitation" w:customStyle="1">
    <w:name w:val="Bloc de citation"/>
    <w:basedOn w:val="Standard"/>
    <w:qFormat/>
    <w:rsid w:val="001413cf"/>
    <w:pPr>
      <w:spacing w:lineRule="exact" w:line="283" w:before="57" w:after="0"/>
      <w:ind w:start="567" w:end="567"/>
      <w:jc w:val="both"/>
    </w:pPr>
    <w:rPr>
      <w:sz w:val="23"/>
      <w:szCs w:val="23"/>
    </w:rPr>
  </w:style>
  <w:style w:type="paragraph" w:styleId="Tableau" w:customStyle="1">
    <w:name w:val="Tableau"/>
    <w:basedOn w:val="Caption"/>
    <w:qFormat/>
    <w:rsid w:val="001413cf"/>
    <w:pPr>
      <w:spacing w:lineRule="auto" w:line="240" w:before="0" w:after="0"/>
    </w:pPr>
    <w:rPr>
      <w:i w:val="false"/>
      <w:iCs w:val="false"/>
      <w:sz w:val="21"/>
      <w:szCs w:val="21"/>
    </w:rPr>
  </w:style>
  <w:style w:type="paragraph" w:styleId="Texteprformat" w:customStyle="1">
    <w:name w:val="Texte préformaté"/>
    <w:basedOn w:val="Standard"/>
    <w:qFormat/>
    <w:rsid w:val="001413cf"/>
    <w:pPr/>
    <w:rPr>
      <w:rFonts w:ascii="Liberation Mono" w:hAnsi="Liberation Mono" w:eastAsia="Liberation Mono" w:cs="Liberation Mono"/>
      <w:sz w:val="20"/>
      <w:szCs w:val="20"/>
    </w:rPr>
  </w:style>
  <w:style w:type="paragraph" w:styleId="BalloonText">
    <w:name w:val="Balloon Text"/>
    <w:basedOn w:val="Normal"/>
    <w:link w:val="TextedebullesCar"/>
    <w:uiPriority w:val="99"/>
    <w:semiHidden/>
    <w:unhideWhenUsed/>
    <w:qFormat/>
    <w:rsid w:val="001413cf"/>
    <w:pPr>
      <w:widowControl w:val="false"/>
      <w:spacing w:lineRule="auto" w:line="240" w:before="0" w:after="0"/>
    </w:pPr>
    <w:rPr>
      <w:rFonts w:eastAsia="Calibri" w:cs="Times New Roman"/>
      <w:sz w:val="18"/>
      <w:szCs w:val="18"/>
      <w14:ligatures w14:val="none"/>
    </w:rPr>
  </w:style>
  <w:style w:type="paragraph" w:styleId="FootnoteText">
    <w:name w:val="footnote text"/>
    <w:basedOn w:val="Normal"/>
    <w:pPr/>
    <w:rPr/>
  </w:style>
  <w:style w:type="numbering" w:styleId="Pasdelisteuser" w:default="1">
    <w:name w:val="Pas de liste (user)"/>
    <w:uiPriority w:val="99"/>
    <w:semiHidden/>
    <w:unhideWhenUsed/>
    <w:qFormat/>
  </w:style>
  <w:style w:type="numbering" w:styleId="Pasdeliste" w:customStyle="1">
    <w:name w:val="Pas de liste"/>
    <w:uiPriority w:val="99"/>
    <w:semiHidden/>
    <w:unhideWhenUsed/>
    <w:qFormat/>
  </w:style>
  <w:style w:type="numbering" w:styleId="Aucuneliste1" w:customStyle="1">
    <w:name w:val="Aucune liste1"/>
    <w:uiPriority w:val="99"/>
    <w:semiHidden/>
    <w:unhideWhenUsed/>
    <w:qFormat/>
    <w:rsid w:val="001413cf"/>
  </w:style>
  <w:style w:type="numbering" w:styleId="NoList1" w:customStyle="1">
    <w:name w:val="No List1"/>
    <w:qFormat/>
    <w:rsid w:val="001413cf"/>
  </w:style>
  <w:style w:type="table" w:default="1" w:styleId="Tableau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_rels/footnotes.xml.rels><?xml version="1.0" encoding="UTF-8"?>
<Relationships xmlns="http://schemas.openxmlformats.org/package/2006/relationships"><Relationship Id="rId1" Type="http://schemas.openxmlformats.org/officeDocument/2006/relationships/hyperlink" Target="https://acadiscri.hypotheses.org/contenu-de-lenquete" TargetMode="External"/>
</Relationships>
</file>

<file path=word/theme/theme1.xml><?xml version="1.0" encoding="utf-8"?>
<a:theme xmlns:a="http://schemas.openxmlformats.org/drawingml/2006/main" xmlns:r="http://schemas.openxmlformats.org/officeDocument/2006/relationships" name="Thème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F3F387-E047-4427-B9F5-1B899ED6F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Application>LibreOffice/25.8.1.1$MacOSX_AARCH64 LibreOffice_project/54047653041915e595ad4e45cccea684809c77b5</Application>
  <AppVersion>15.0000</AppVersion>
  <Pages>21</Pages>
  <Words>9964</Words>
  <Characters>56924</Characters>
  <CharactersWithSpaces>66707</CharactersWithSpaces>
  <Paragraphs>203</Paragraphs>
  <Company>Universite Cote d'Azur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2025-12-02T18:23:00Z</dcterms:created>
  <dc:creator>Jimmy Stef</dc:creator>
  <dc:description/>
  <dc:language>fr-FR</dc:language>
  <cp:lastModifiedBy>Fabrice Dhume</cp:lastModifiedBy>
  <cp:lastPrinted>2025-12-02T13:09:00Z</cp:lastPrinted>
  <dcterms:modified xsi:type="dcterms:W3CDTF">2025-12-03T17:46:04Z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zotero-version="7.0.29"&gt;&lt;session id="ZobUAOAe"/&gt;&lt;style id="http://www.zotero.org/styles/apa" locale="fr-FR" hasBibliography="1" bibliographyStyleHasBeenSet="0"/&gt;&lt;prefs&gt;&lt;pref name="fieldType" value="ReferenceMark"/&gt;&lt;/prefs&gt;&lt;/data&gt;</vt:lpwstr>
  </property>
</Properties>
</file>