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D7C66" w:rsidRDefault="002D7C66">
      <w:pPr>
        <w:widowControl w:val="0"/>
        <w:pBdr>
          <w:top w:val="nil"/>
          <w:left w:val="nil"/>
          <w:bottom w:val="nil"/>
          <w:right w:val="nil"/>
          <w:between w:val="nil"/>
        </w:pBdr>
        <w:spacing w:line="276" w:lineRule="auto"/>
        <w:rPr>
          <w:rFonts w:ascii="Arial" w:eastAsia="Arial" w:hAnsi="Arial" w:cs="Arial"/>
          <w:color w:val="000000"/>
          <w:sz w:val="22"/>
          <w:szCs w:val="22"/>
        </w:rPr>
      </w:pPr>
    </w:p>
    <w:p w14:paraId="00000003" w14:textId="58745A52" w:rsidR="002D7C66" w:rsidRPr="00135FD9" w:rsidRDefault="00593996" w:rsidP="00593996">
      <w:pPr>
        <w:jc w:val="center"/>
        <w:rPr>
          <w:rFonts w:eastAsia="Arial"/>
          <w:iCs/>
          <w:lang w:val="fr-BE"/>
        </w:rPr>
      </w:pPr>
      <w:r w:rsidRPr="00135FD9">
        <w:rPr>
          <w:rFonts w:eastAsia="Arial"/>
          <w:iCs/>
          <w:lang w:val="fr-BE"/>
        </w:rPr>
        <w:t>Article 77 – Territorial application</w:t>
      </w:r>
    </w:p>
    <w:p w14:paraId="02B9E358" w14:textId="77777777" w:rsidR="00593996" w:rsidRPr="00135FD9" w:rsidRDefault="00593996" w:rsidP="001F5C7C">
      <w:pPr>
        <w:rPr>
          <w:rFonts w:eastAsia="Arial"/>
          <w:iCs/>
          <w:lang w:val="fr-BE"/>
        </w:rPr>
      </w:pPr>
    </w:p>
    <w:p w14:paraId="00000004" w14:textId="28D5FE8F" w:rsidR="002D7C66" w:rsidRPr="00135FD9" w:rsidRDefault="00BB6175" w:rsidP="001F5C7C">
      <w:pPr>
        <w:jc w:val="center"/>
        <w:rPr>
          <w:rFonts w:eastAsia="Arial"/>
          <w:i/>
          <w:lang w:val="fr-BE"/>
        </w:rPr>
      </w:pPr>
      <w:r w:rsidRPr="00135FD9">
        <w:rPr>
          <w:rFonts w:eastAsia="Arial"/>
          <w:i/>
          <w:lang w:val="fr-BE"/>
        </w:rPr>
        <w:t>Eugénie d'Ursel</w:t>
      </w:r>
      <w:r w:rsidRPr="001F5C7C">
        <w:rPr>
          <w:rFonts w:eastAsia="Arial"/>
          <w:i/>
          <w:vertAlign w:val="superscript"/>
        </w:rPr>
        <w:footnoteReference w:id="1"/>
      </w:r>
      <w:r w:rsidRPr="00135FD9">
        <w:rPr>
          <w:rFonts w:eastAsia="Arial"/>
          <w:i/>
          <w:lang w:val="fr-BE"/>
        </w:rPr>
        <w:t xml:space="preserve"> </w:t>
      </w:r>
    </w:p>
    <w:p w14:paraId="00000005" w14:textId="342993F2" w:rsidR="002D7C66" w:rsidRPr="00135FD9" w:rsidRDefault="002D7C66">
      <w:pPr>
        <w:jc w:val="both"/>
        <w:rPr>
          <w:rFonts w:eastAsia="Arial"/>
          <w:i/>
          <w:lang w:val="fr-BE"/>
        </w:rPr>
      </w:pPr>
    </w:p>
    <w:p w14:paraId="35D743C1" w14:textId="3F3BD14D" w:rsidR="00E04BC3" w:rsidRPr="001F5C7C" w:rsidRDefault="00E04BC3" w:rsidP="001F5C7C">
      <w:pPr>
        <w:pStyle w:val="ListParagraph"/>
        <w:numPr>
          <w:ilvl w:val="0"/>
          <w:numId w:val="3"/>
        </w:numPr>
        <w:spacing w:line="240" w:lineRule="auto"/>
        <w:ind w:right="567"/>
        <w:jc w:val="both"/>
        <w:rPr>
          <w:rFonts w:eastAsia="Arial"/>
          <w:i/>
          <w:sz w:val="20"/>
          <w:szCs w:val="20"/>
        </w:rPr>
      </w:pPr>
      <w:r w:rsidRPr="001F5C7C">
        <w:rPr>
          <w:rFonts w:eastAsia="Arial"/>
          <w:i/>
          <w:sz w:val="20"/>
          <w:szCs w:val="20"/>
        </w:rPr>
        <w:t>Any State or the European Union may, at the time of signature or when depositing its instrument of ratification, acceptance, approval or accession, specify the territory or territories to which this Convention shall apply.</w:t>
      </w:r>
    </w:p>
    <w:p w14:paraId="14FC87A7" w14:textId="17F63469" w:rsidR="00E04BC3" w:rsidRPr="001F5C7C" w:rsidRDefault="00E04BC3" w:rsidP="001F5C7C">
      <w:pPr>
        <w:pStyle w:val="ListParagraph"/>
        <w:numPr>
          <w:ilvl w:val="0"/>
          <w:numId w:val="3"/>
        </w:numPr>
        <w:spacing w:line="240" w:lineRule="auto"/>
        <w:ind w:right="567"/>
        <w:jc w:val="both"/>
        <w:rPr>
          <w:rFonts w:eastAsia="Arial"/>
          <w:i/>
          <w:sz w:val="20"/>
          <w:szCs w:val="20"/>
        </w:rPr>
      </w:pPr>
      <w:r w:rsidRPr="001F5C7C">
        <w:rPr>
          <w:rFonts w:eastAsia="Arial"/>
          <w:i/>
          <w:sz w:val="20"/>
          <w:szCs w:val="20"/>
        </w:rPr>
        <w:t>Any Party may, at any later date, by a declaration addressed to the Secretary General of the Council of Europe, extend the application of this Convention to any other territory specified in the declaration and for whose international relations it is responsible or on whose behalf it is authorised to give undertakings. In respect of such territory, the Convention shall enter into force on the first day of the month following the expiration of a period of three months after the date of receipt of such declaration by the Secretary General.</w:t>
      </w:r>
    </w:p>
    <w:p w14:paraId="3A1D8B46" w14:textId="2C2AA45D" w:rsidR="00E04BC3" w:rsidRPr="001F5C7C" w:rsidRDefault="00E04BC3" w:rsidP="001F5C7C">
      <w:pPr>
        <w:pStyle w:val="ListParagraph"/>
        <w:numPr>
          <w:ilvl w:val="0"/>
          <w:numId w:val="3"/>
        </w:numPr>
        <w:spacing w:line="240" w:lineRule="auto"/>
        <w:ind w:right="567"/>
        <w:jc w:val="both"/>
        <w:rPr>
          <w:rFonts w:eastAsia="Arial"/>
          <w:i/>
          <w:sz w:val="20"/>
          <w:szCs w:val="20"/>
        </w:rPr>
      </w:pPr>
      <w:r w:rsidRPr="001F5C7C">
        <w:rPr>
          <w:rFonts w:eastAsia="Arial"/>
          <w:i/>
          <w:sz w:val="20"/>
          <w:szCs w:val="20"/>
        </w:rPr>
        <w:t>Any declaration made under the two preceding paragraphs may, in respect of any territory specified in such declaration, be withdrawn by a notification addressed to the Secretary General of the Council of Europe. The withdrawal shall become effective on the first day of the month following the expiration of a period of three months after the date of receipt of such notification by the Secretary General.</w:t>
      </w:r>
      <w:r w:rsidRPr="001F5C7C">
        <w:rPr>
          <w:rFonts w:eastAsia="Arial"/>
          <w:i/>
          <w:sz w:val="20"/>
          <w:szCs w:val="20"/>
        </w:rPr>
        <w:cr/>
      </w:r>
    </w:p>
    <w:p w14:paraId="2CDAC412" w14:textId="5E817AD0" w:rsidR="00E04BC3" w:rsidRDefault="00E04BC3">
      <w:pPr>
        <w:jc w:val="both"/>
        <w:rPr>
          <w:rFonts w:eastAsia="Arial"/>
          <w:i/>
        </w:rPr>
      </w:pPr>
    </w:p>
    <w:p w14:paraId="28516C88" w14:textId="77777777" w:rsidR="00106542" w:rsidRPr="001F5C7C" w:rsidRDefault="00106542">
      <w:pPr>
        <w:jc w:val="both"/>
        <w:rPr>
          <w:rFonts w:eastAsia="Arial"/>
          <w:i/>
        </w:rPr>
      </w:pPr>
    </w:p>
    <w:p w14:paraId="00000006" w14:textId="19C4E64D" w:rsidR="002D7C66" w:rsidRPr="001F5C7C" w:rsidRDefault="00BB6175" w:rsidP="001F5C7C">
      <w:pPr>
        <w:pStyle w:val="ListParagraph"/>
        <w:numPr>
          <w:ilvl w:val="0"/>
          <w:numId w:val="1"/>
        </w:numPr>
        <w:spacing w:before="120" w:after="120"/>
        <w:ind w:left="714" w:hanging="357"/>
        <w:contextualSpacing w:val="0"/>
        <w:rPr>
          <w:rFonts w:eastAsia="Arial"/>
          <w:b/>
          <w:bCs/>
          <w:highlight w:val="white"/>
        </w:rPr>
      </w:pPr>
      <w:r w:rsidRPr="001F5C7C">
        <w:rPr>
          <w:rFonts w:eastAsia="Arial"/>
          <w:b/>
          <w:bCs/>
          <w:highlight w:val="white"/>
        </w:rPr>
        <w:t>I</w:t>
      </w:r>
      <w:r w:rsidR="004C7D25" w:rsidRPr="001F5C7C">
        <w:rPr>
          <w:rFonts w:eastAsia="Arial"/>
          <w:b/>
          <w:bCs/>
          <w:highlight w:val="white"/>
        </w:rPr>
        <w:t>ntroduction</w:t>
      </w:r>
    </w:p>
    <w:p w14:paraId="00000007" w14:textId="33027C28" w:rsidR="002D7C66" w:rsidRPr="001F5C7C" w:rsidRDefault="00BB6175" w:rsidP="001F5C7C">
      <w:pPr>
        <w:jc w:val="both"/>
        <w:rPr>
          <w:rFonts w:eastAsia="Arial"/>
          <w:highlight w:val="white"/>
        </w:rPr>
      </w:pPr>
      <w:r w:rsidRPr="001F5C7C">
        <w:rPr>
          <w:rFonts w:eastAsia="Arial"/>
          <w:highlight w:val="white"/>
        </w:rPr>
        <w:t xml:space="preserve">Territorial application is a crucial element of an international agreement, as it draws the borders within which such agreement will be applicable. In the </w:t>
      </w:r>
      <w:r w:rsidR="001F5C7C">
        <w:rPr>
          <w:rFonts w:eastAsia="Arial"/>
          <w:highlight w:val="white"/>
        </w:rPr>
        <w:t>Istanbul Convention,</w:t>
      </w:r>
      <w:r w:rsidRPr="001F5C7C">
        <w:rPr>
          <w:rFonts w:eastAsia="Arial"/>
          <w:highlight w:val="white"/>
        </w:rPr>
        <w:t xml:space="preserve"> territorial application is</w:t>
      </w:r>
      <w:r w:rsidR="00236C5E" w:rsidRPr="001F5C7C">
        <w:rPr>
          <w:rFonts w:eastAsia="Arial"/>
          <w:highlight w:val="white"/>
        </w:rPr>
        <w:t xml:space="preserve"> </w:t>
      </w:r>
      <w:r w:rsidRPr="001F5C7C">
        <w:rPr>
          <w:rFonts w:eastAsia="Arial"/>
          <w:highlight w:val="white"/>
        </w:rPr>
        <w:t xml:space="preserve">governed by Article 77. This </w:t>
      </w:r>
      <w:r w:rsidR="00F273F6">
        <w:rPr>
          <w:rFonts w:eastAsia="Arial"/>
          <w:highlight w:val="white"/>
        </w:rPr>
        <w:t>A</w:t>
      </w:r>
      <w:r w:rsidRPr="001F5C7C">
        <w:rPr>
          <w:rFonts w:eastAsia="Arial"/>
          <w:highlight w:val="white"/>
        </w:rPr>
        <w:t>rticle will describe the rules set out in the Istanbul Convention for its territorial application. This aspect of the Convention is closely linked to the question of jurisdiction, which is addressed in Article 44 of the Convention.</w:t>
      </w:r>
      <w:r w:rsidR="001F5C7C">
        <w:rPr>
          <w:rStyle w:val="FootnoteReference"/>
          <w:rFonts w:eastAsia="Arial"/>
          <w:highlight w:val="white"/>
        </w:rPr>
        <w:footnoteReference w:id="2"/>
      </w:r>
      <w:r w:rsidRPr="001F5C7C">
        <w:rPr>
          <w:rFonts w:eastAsia="Arial"/>
          <w:highlight w:val="white"/>
        </w:rPr>
        <w:t xml:space="preserve"> This is underlined in the Explanatory Report accompanying the Istanbul Convention which states that, </w:t>
      </w:r>
      <w:r w:rsidR="00F273F6">
        <w:rPr>
          <w:rFonts w:eastAsia="Arial"/>
          <w:highlight w:val="white"/>
        </w:rPr>
        <w:t>‘</w:t>
      </w:r>
      <w:r w:rsidRPr="001F5C7C">
        <w:rPr>
          <w:rFonts w:eastAsia="Arial"/>
          <w:highlight w:val="white"/>
        </w:rPr>
        <w:t>without prejudice to the provisions of Article 44, this Convention does not create extra-territorial obligations</w:t>
      </w:r>
      <w:r w:rsidR="001F5C7C">
        <w:rPr>
          <w:rFonts w:eastAsia="Arial"/>
          <w:highlight w:val="white"/>
        </w:rPr>
        <w:t>.</w:t>
      </w:r>
      <w:r w:rsidR="00F273F6">
        <w:rPr>
          <w:rFonts w:eastAsia="Arial"/>
          <w:highlight w:val="white"/>
        </w:rPr>
        <w:t>’</w:t>
      </w:r>
      <w:r w:rsidRPr="001F5C7C">
        <w:rPr>
          <w:rFonts w:eastAsia="Arial"/>
          <w:highlight w:val="white"/>
          <w:vertAlign w:val="superscript"/>
        </w:rPr>
        <w:footnoteReference w:id="3"/>
      </w:r>
      <w:r w:rsidRPr="001F5C7C">
        <w:rPr>
          <w:rFonts w:eastAsia="Arial"/>
          <w:highlight w:val="white"/>
        </w:rPr>
        <w:t xml:space="preserve"> It should nevertheless be highlighted that the </w:t>
      </w:r>
      <w:r w:rsidR="001F5C7C">
        <w:rPr>
          <w:rFonts w:eastAsia="Arial"/>
          <w:highlight w:val="white"/>
        </w:rPr>
        <w:t>issue</w:t>
      </w:r>
      <w:r w:rsidRPr="001F5C7C">
        <w:rPr>
          <w:rFonts w:eastAsia="Arial"/>
          <w:highlight w:val="white"/>
        </w:rPr>
        <w:t xml:space="preserve"> of the (extra)territorial application of the Convention has been particularly </w:t>
      </w:r>
      <w:r w:rsidR="001F5C7C">
        <w:rPr>
          <w:rFonts w:eastAsia="Arial"/>
          <w:highlight w:val="white"/>
        </w:rPr>
        <w:t>challenging</w:t>
      </w:r>
      <w:r w:rsidRPr="001F5C7C">
        <w:rPr>
          <w:rFonts w:eastAsia="Arial"/>
          <w:highlight w:val="white"/>
        </w:rPr>
        <w:t xml:space="preserve"> in some State like the United Kingdom which </w:t>
      </w:r>
      <w:r w:rsidR="001F5C7C">
        <w:rPr>
          <w:rFonts w:eastAsia="Arial"/>
          <w:highlight w:val="white"/>
        </w:rPr>
        <w:t>ratified the</w:t>
      </w:r>
      <w:r w:rsidRPr="001F5C7C">
        <w:rPr>
          <w:rFonts w:eastAsia="Arial"/>
          <w:highlight w:val="white"/>
        </w:rPr>
        <w:t xml:space="preserve"> Convention</w:t>
      </w:r>
      <w:r w:rsidR="001F5C7C">
        <w:rPr>
          <w:rFonts w:eastAsia="Arial"/>
          <w:highlight w:val="white"/>
        </w:rPr>
        <w:t xml:space="preserve"> in 2022 only</w:t>
      </w:r>
      <w:r w:rsidRPr="001F5C7C">
        <w:rPr>
          <w:rFonts w:eastAsia="Arial"/>
          <w:highlight w:val="white"/>
        </w:rPr>
        <w:t xml:space="preserve"> partly because of domestic issues related to the extra-territorial application of the Convention.</w:t>
      </w:r>
      <w:r w:rsidRPr="001F5C7C">
        <w:rPr>
          <w:rFonts w:eastAsia="Arial"/>
          <w:highlight w:val="white"/>
          <w:vertAlign w:val="superscript"/>
        </w:rPr>
        <w:footnoteReference w:id="4"/>
      </w:r>
      <w:r w:rsidRPr="001F5C7C">
        <w:rPr>
          <w:rFonts w:eastAsia="Arial"/>
          <w:highlight w:val="white"/>
        </w:rPr>
        <w:t xml:space="preserve"> </w:t>
      </w:r>
    </w:p>
    <w:p w14:paraId="00000008" w14:textId="77777777" w:rsidR="002D7C66" w:rsidRPr="001F5C7C" w:rsidRDefault="002D7C66">
      <w:pPr>
        <w:spacing w:line="240" w:lineRule="auto"/>
        <w:jc w:val="both"/>
        <w:rPr>
          <w:rFonts w:eastAsia="Arial"/>
          <w:highlight w:val="white"/>
        </w:rPr>
      </w:pPr>
    </w:p>
    <w:p w14:paraId="00000009" w14:textId="64DEEFAA" w:rsidR="002D7C66" w:rsidRPr="001F5C7C" w:rsidRDefault="00BB6175" w:rsidP="001F5C7C">
      <w:pPr>
        <w:pStyle w:val="ListParagraph"/>
        <w:numPr>
          <w:ilvl w:val="0"/>
          <w:numId w:val="1"/>
        </w:numPr>
        <w:spacing w:before="120" w:after="120" w:line="240" w:lineRule="auto"/>
        <w:ind w:left="714" w:hanging="357"/>
        <w:contextualSpacing w:val="0"/>
        <w:rPr>
          <w:rFonts w:eastAsia="Arial"/>
          <w:b/>
          <w:bCs/>
          <w:highlight w:val="white"/>
        </w:rPr>
      </w:pPr>
      <w:r w:rsidRPr="001F5C7C">
        <w:rPr>
          <w:rFonts w:eastAsia="Arial"/>
          <w:b/>
          <w:bCs/>
          <w:highlight w:val="white"/>
        </w:rPr>
        <w:t xml:space="preserve"> T</w:t>
      </w:r>
      <w:r w:rsidR="00E04BC3" w:rsidRPr="001F5C7C">
        <w:rPr>
          <w:rFonts w:eastAsia="Arial"/>
          <w:b/>
          <w:bCs/>
          <w:highlight w:val="white"/>
        </w:rPr>
        <w:t>erritorial application of the Istanbul Convention</w:t>
      </w:r>
    </w:p>
    <w:p w14:paraId="0000000A" w14:textId="77777777" w:rsidR="002D7C66" w:rsidRPr="001F5C7C" w:rsidRDefault="002D7C66">
      <w:pPr>
        <w:spacing w:line="240" w:lineRule="auto"/>
        <w:rPr>
          <w:rFonts w:eastAsia="Arial"/>
          <w:highlight w:val="white"/>
        </w:rPr>
      </w:pPr>
    </w:p>
    <w:p w14:paraId="0000000B" w14:textId="63179561" w:rsidR="002D7C66" w:rsidRPr="001F5C7C" w:rsidRDefault="00BB6175" w:rsidP="001F5C7C">
      <w:pPr>
        <w:jc w:val="both"/>
        <w:rPr>
          <w:rFonts w:eastAsia="Arial"/>
          <w:highlight w:val="white"/>
        </w:rPr>
      </w:pPr>
      <w:r w:rsidRPr="001F5C7C">
        <w:rPr>
          <w:rFonts w:eastAsia="Arial"/>
          <w:highlight w:val="white"/>
        </w:rPr>
        <w:t>Th</w:t>
      </w:r>
      <w:r w:rsidR="001F5C7C">
        <w:rPr>
          <w:rFonts w:eastAsia="Arial"/>
          <w:highlight w:val="white"/>
        </w:rPr>
        <w:t xml:space="preserve">is chapter deals </w:t>
      </w:r>
      <w:r w:rsidR="000E570C">
        <w:rPr>
          <w:rFonts w:eastAsia="Arial"/>
          <w:highlight w:val="white"/>
        </w:rPr>
        <w:t xml:space="preserve">first </w:t>
      </w:r>
      <w:r w:rsidR="001F5C7C">
        <w:rPr>
          <w:rFonts w:eastAsia="Arial"/>
          <w:highlight w:val="white"/>
        </w:rPr>
        <w:t xml:space="preserve">with the </w:t>
      </w:r>
      <w:r w:rsidRPr="001F5C7C">
        <w:rPr>
          <w:rFonts w:eastAsia="Arial"/>
          <w:highlight w:val="white"/>
        </w:rPr>
        <w:t xml:space="preserve">rules applicable to the territorial scope of the Istanbul Convention </w:t>
      </w:r>
      <w:r w:rsidR="001F5C7C">
        <w:rPr>
          <w:rFonts w:eastAsia="Arial"/>
          <w:highlight w:val="white"/>
        </w:rPr>
        <w:t xml:space="preserve">and </w:t>
      </w:r>
      <w:r w:rsidR="000E570C">
        <w:rPr>
          <w:rFonts w:eastAsia="Arial"/>
          <w:highlight w:val="white"/>
        </w:rPr>
        <w:t xml:space="preserve">secondly </w:t>
      </w:r>
      <w:r w:rsidR="001F5C7C">
        <w:rPr>
          <w:rFonts w:eastAsia="Arial"/>
          <w:highlight w:val="white"/>
        </w:rPr>
        <w:t>with</w:t>
      </w:r>
      <w:r w:rsidRPr="001F5C7C">
        <w:rPr>
          <w:rFonts w:eastAsia="Arial"/>
          <w:highlight w:val="white"/>
        </w:rPr>
        <w:t xml:space="preserve"> the state of </w:t>
      </w:r>
      <w:r w:rsidR="000E570C">
        <w:rPr>
          <w:rFonts w:eastAsia="Arial"/>
          <w:highlight w:val="white"/>
        </w:rPr>
        <w:t xml:space="preserve">the art </w:t>
      </w:r>
      <w:r w:rsidRPr="001F5C7C">
        <w:rPr>
          <w:rFonts w:eastAsia="Arial"/>
          <w:highlight w:val="white"/>
        </w:rPr>
        <w:t>as to the way State parties applied these rules</w:t>
      </w:r>
      <w:r w:rsidR="000E570C">
        <w:rPr>
          <w:rFonts w:eastAsia="Arial"/>
          <w:highlight w:val="white"/>
        </w:rPr>
        <w:t xml:space="preserve">. </w:t>
      </w:r>
    </w:p>
    <w:p w14:paraId="0000000C" w14:textId="77777777" w:rsidR="002D7C66" w:rsidRPr="001F5C7C" w:rsidRDefault="002D7C66">
      <w:pPr>
        <w:spacing w:line="240" w:lineRule="auto"/>
        <w:rPr>
          <w:rFonts w:eastAsia="Arial"/>
          <w:b/>
          <w:bCs/>
          <w:highlight w:val="white"/>
        </w:rPr>
      </w:pPr>
    </w:p>
    <w:p w14:paraId="0000000D" w14:textId="292EAEB4" w:rsidR="002D7C66" w:rsidRPr="001F5C7C" w:rsidRDefault="00316DDF" w:rsidP="001F5C7C">
      <w:pPr>
        <w:jc w:val="both"/>
        <w:rPr>
          <w:rFonts w:eastAsia="Arial"/>
          <w:b/>
          <w:bCs/>
          <w:highlight w:val="white"/>
        </w:rPr>
      </w:pPr>
      <w:r w:rsidRPr="001F5C7C">
        <w:rPr>
          <w:rFonts w:eastAsia="Arial"/>
          <w:b/>
          <w:bCs/>
          <w:highlight w:val="white"/>
        </w:rPr>
        <w:t xml:space="preserve">2.1. </w:t>
      </w:r>
      <w:r w:rsidR="00BB6175" w:rsidRPr="001F5C7C">
        <w:rPr>
          <w:rFonts w:eastAsia="Arial"/>
          <w:b/>
          <w:bCs/>
          <w:highlight w:val="white"/>
        </w:rPr>
        <w:t>The rules provided for in Article 77: determination of the territorial application of the Istanbul Convention</w:t>
      </w:r>
    </w:p>
    <w:p w14:paraId="0000000E" w14:textId="77777777" w:rsidR="002D7C66" w:rsidRPr="001F5C7C" w:rsidRDefault="002D7C66">
      <w:pPr>
        <w:spacing w:line="240" w:lineRule="auto"/>
        <w:jc w:val="both"/>
        <w:rPr>
          <w:rFonts w:eastAsia="Arial"/>
          <w:highlight w:val="white"/>
        </w:rPr>
      </w:pPr>
    </w:p>
    <w:p w14:paraId="00000010" w14:textId="0F3C3F2F" w:rsidR="002D7C66" w:rsidRPr="001F5C7C" w:rsidRDefault="00BB6175" w:rsidP="001F5C7C">
      <w:pPr>
        <w:jc w:val="both"/>
        <w:rPr>
          <w:rFonts w:eastAsia="Arial"/>
          <w:highlight w:val="white"/>
        </w:rPr>
      </w:pPr>
      <w:r w:rsidRPr="001F5C7C">
        <w:rPr>
          <w:rFonts w:eastAsia="Arial"/>
          <w:highlight w:val="white"/>
        </w:rPr>
        <w:t xml:space="preserve">Article 77 of the Istanbul Convention sets out the rules determining the territorial application of the Convention. The first paragraph of Article 77 specifies how the territories to which the Convention applies will be determined and indicates that </w:t>
      </w:r>
      <w:r w:rsidR="00390D02">
        <w:rPr>
          <w:rFonts w:eastAsia="Arial"/>
          <w:highlight w:val="white"/>
        </w:rPr>
        <w:t>‘</w:t>
      </w:r>
      <w:r w:rsidRPr="001F5C7C">
        <w:rPr>
          <w:rFonts w:eastAsia="Arial"/>
          <w:highlight w:val="white"/>
        </w:rPr>
        <w:t>any State or the European Union may at the time of signature or when depositing its instrument of ratification, acceptance, approval or accession, specify the territory or territories to which the Convention shall apply</w:t>
      </w:r>
      <w:r w:rsidR="00390D02">
        <w:rPr>
          <w:rFonts w:eastAsia="Arial"/>
          <w:highlight w:val="white"/>
        </w:rPr>
        <w:t>’</w:t>
      </w:r>
      <w:r w:rsidRPr="001F5C7C">
        <w:rPr>
          <w:rFonts w:eastAsia="Arial"/>
          <w:highlight w:val="white"/>
        </w:rPr>
        <w:t xml:space="preserve">. The Explanatory Report accompanying the Istanbul Convention clarifies in that regard that </w:t>
      </w:r>
      <w:r w:rsidR="00390D02">
        <w:rPr>
          <w:rFonts w:eastAsia="Arial"/>
          <w:highlight w:val="white"/>
        </w:rPr>
        <w:t>‘</w:t>
      </w:r>
      <w:r w:rsidRPr="001F5C7C">
        <w:rPr>
          <w:rFonts w:eastAsia="Arial"/>
          <w:highlight w:val="white"/>
        </w:rPr>
        <w:t>it would be incompatible with the object and purpose of the Convention for States parties to exclude parts of their territory from the application of the Convention without a valid reason</w:t>
      </w:r>
      <w:r w:rsidR="00390D02">
        <w:rPr>
          <w:rFonts w:eastAsia="Arial"/>
          <w:highlight w:val="white"/>
        </w:rPr>
        <w:t>’</w:t>
      </w:r>
      <w:r w:rsidRPr="001F5C7C">
        <w:rPr>
          <w:rFonts w:eastAsia="Arial"/>
          <w:highlight w:val="white"/>
        </w:rPr>
        <w:t>.</w:t>
      </w:r>
      <w:r w:rsidRPr="001F5C7C">
        <w:rPr>
          <w:rFonts w:eastAsia="Arial"/>
          <w:highlight w:val="white"/>
          <w:vertAlign w:val="superscript"/>
        </w:rPr>
        <w:footnoteReference w:id="5"/>
      </w:r>
      <w:r w:rsidRPr="001F5C7C">
        <w:rPr>
          <w:rFonts w:eastAsia="Arial"/>
          <w:highlight w:val="white"/>
        </w:rPr>
        <w:t xml:space="preserve"> The existence of different legal systems applying in matters dealt with in the Convention is provided as an example of such a valid reason. Some State parties have excluded overseas territories from the territorial application of the Convention. These cases will be examined in the next section. </w:t>
      </w:r>
    </w:p>
    <w:p w14:paraId="00000012" w14:textId="3E78D3D3" w:rsidR="002D7C66" w:rsidRPr="001F5C7C" w:rsidRDefault="00BB6175" w:rsidP="001F5C7C">
      <w:pPr>
        <w:jc w:val="both"/>
        <w:rPr>
          <w:rFonts w:eastAsia="Arial"/>
          <w:highlight w:val="white"/>
        </w:rPr>
      </w:pPr>
      <w:r w:rsidRPr="001F5C7C">
        <w:rPr>
          <w:rFonts w:eastAsia="Arial"/>
          <w:highlight w:val="white"/>
        </w:rPr>
        <w:t xml:space="preserve">The second paragraph of Article 77 deals with the extension of the application of the Convention to territories for whose international relations the Parties are responsible or on whose behalf they are authorised to give undertakings. Article 77(2) further indicates that the Parties to the Istanbul Convention may at any later date </w:t>
      </w:r>
      <w:r w:rsidR="00390D02">
        <w:rPr>
          <w:rFonts w:eastAsia="Arial"/>
          <w:highlight w:val="white"/>
        </w:rPr>
        <w:t>‘</w:t>
      </w:r>
      <w:r w:rsidRPr="001F5C7C">
        <w:rPr>
          <w:rFonts w:eastAsia="Arial"/>
          <w:highlight w:val="white"/>
        </w:rPr>
        <w:t>extend the application of this Convention to any other territory specified in the declaration and for whose international relations it is responsible or on whose behalf it is authorised to give undertakings</w:t>
      </w:r>
      <w:r w:rsidR="00390D02">
        <w:rPr>
          <w:rFonts w:eastAsia="Arial"/>
          <w:highlight w:val="white"/>
        </w:rPr>
        <w:t>’</w:t>
      </w:r>
      <w:r w:rsidRPr="001F5C7C">
        <w:rPr>
          <w:rFonts w:eastAsia="Arial"/>
          <w:highlight w:val="white"/>
        </w:rPr>
        <w:t xml:space="preserve"> by means of a declaration addressed to the Secretary General of the Council of Europe. In such a case, the Convention shall enter into force, in respect of these territories, on the </w:t>
      </w:r>
      <w:r w:rsidR="00390D02">
        <w:rPr>
          <w:rFonts w:eastAsia="Arial"/>
          <w:highlight w:val="white"/>
        </w:rPr>
        <w:t>‘</w:t>
      </w:r>
      <w:r w:rsidRPr="001F5C7C">
        <w:rPr>
          <w:rFonts w:eastAsia="Arial"/>
          <w:highlight w:val="white"/>
        </w:rPr>
        <w:t>first day of the month following the expiration of a period of three months after the date of receipt of such declaration by the Secretary General</w:t>
      </w:r>
      <w:r w:rsidR="00390D02">
        <w:rPr>
          <w:rFonts w:eastAsia="Arial"/>
          <w:highlight w:val="white"/>
        </w:rPr>
        <w:t>’</w:t>
      </w:r>
      <w:r w:rsidRPr="001F5C7C">
        <w:rPr>
          <w:rFonts w:eastAsia="Arial"/>
          <w:highlight w:val="white"/>
        </w:rPr>
        <w:t>. Thus far, no State parties have made use of this paragraph</w:t>
      </w:r>
      <w:r w:rsidR="00236C5E" w:rsidRPr="001F5C7C">
        <w:rPr>
          <w:rFonts w:eastAsia="Arial"/>
          <w:highlight w:val="white"/>
        </w:rPr>
        <w:t>. T</w:t>
      </w:r>
      <w:r w:rsidR="00E43282" w:rsidRPr="001F5C7C">
        <w:rPr>
          <w:rFonts w:eastAsia="Arial"/>
          <w:highlight w:val="white"/>
        </w:rPr>
        <w:t>here might</w:t>
      </w:r>
      <w:r w:rsidR="00236C5E" w:rsidRPr="001F5C7C">
        <w:rPr>
          <w:rFonts w:eastAsia="Arial"/>
          <w:highlight w:val="white"/>
        </w:rPr>
        <w:t xml:space="preserve"> nevertheless</w:t>
      </w:r>
      <w:r w:rsidR="00E43282" w:rsidRPr="001F5C7C">
        <w:rPr>
          <w:rFonts w:eastAsia="Arial"/>
          <w:highlight w:val="white"/>
        </w:rPr>
        <w:t xml:space="preserve"> be a first case of activation of this provision by Denmark in the near future</w:t>
      </w:r>
      <w:r w:rsidR="000E570C">
        <w:rPr>
          <w:rFonts w:eastAsia="Arial"/>
          <w:highlight w:val="white"/>
        </w:rPr>
        <w:t xml:space="preserve">, as discussed below. </w:t>
      </w:r>
    </w:p>
    <w:p w14:paraId="00000014" w14:textId="44A4A95D" w:rsidR="002D7C66" w:rsidRPr="001F5C7C" w:rsidRDefault="00BB6175" w:rsidP="001F5C7C">
      <w:pPr>
        <w:jc w:val="both"/>
        <w:rPr>
          <w:rFonts w:eastAsia="Arial"/>
          <w:b/>
          <w:highlight w:val="white"/>
          <w:u w:val="single"/>
        </w:rPr>
      </w:pPr>
      <w:r w:rsidRPr="001F5C7C">
        <w:rPr>
          <w:rFonts w:eastAsia="Arial"/>
          <w:highlight w:val="white"/>
        </w:rPr>
        <w:t xml:space="preserve">The declarations made pursuant to the two first paragraphs of Article 77 may be withdrawn by a simple notification addressed to the Secretary General of the Council of Europe. </w:t>
      </w:r>
    </w:p>
    <w:p w14:paraId="6D9F0487" w14:textId="77777777" w:rsidR="00106542" w:rsidRDefault="00106542" w:rsidP="00106542">
      <w:pPr>
        <w:spacing w:before="120" w:after="120"/>
        <w:rPr>
          <w:rFonts w:eastAsia="Arial"/>
          <w:b/>
          <w:bCs/>
          <w:highlight w:val="white"/>
        </w:rPr>
      </w:pPr>
    </w:p>
    <w:p w14:paraId="00000015" w14:textId="7C0232D1" w:rsidR="002D7C66" w:rsidRPr="001F5C7C" w:rsidRDefault="00316DDF" w:rsidP="001F5C7C">
      <w:pPr>
        <w:spacing w:before="120" w:after="120"/>
        <w:rPr>
          <w:rFonts w:eastAsia="Arial"/>
          <w:b/>
          <w:bCs/>
          <w:highlight w:val="white"/>
        </w:rPr>
      </w:pPr>
      <w:r w:rsidRPr="001F5C7C">
        <w:rPr>
          <w:rFonts w:eastAsia="Arial"/>
          <w:b/>
          <w:bCs/>
          <w:highlight w:val="white"/>
        </w:rPr>
        <w:t xml:space="preserve">2.2. </w:t>
      </w:r>
      <w:r w:rsidR="00BB6175" w:rsidRPr="001F5C7C">
        <w:rPr>
          <w:rFonts w:eastAsia="Arial"/>
          <w:b/>
          <w:bCs/>
          <w:highlight w:val="white"/>
        </w:rPr>
        <w:t>Focus on the specific situation of some State parties</w:t>
      </w:r>
    </w:p>
    <w:p w14:paraId="00000017" w14:textId="3C6315AE" w:rsidR="002D7C66" w:rsidRPr="001F5C7C" w:rsidRDefault="00BB6175" w:rsidP="001F5C7C">
      <w:pPr>
        <w:jc w:val="both"/>
        <w:rPr>
          <w:rFonts w:eastAsia="Arial"/>
          <w:highlight w:val="white"/>
        </w:rPr>
      </w:pPr>
      <w:r w:rsidRPr="001F5C7C">
        <w:rPr>
          <w:rFonts w:eastAsia="Arial"/>
          <w:highlight w:val="white"/>
        </w:rPr>
        <w:t xml:space="preserve">Some State parties to the Istanbul Convention have made declarations related to territorial scope. The section below will focus on Denmark and the Netherlands. It should nevertheless also be mentioned </w:t>
      </w:r>
      <w:r w:rsidRPr="001F5C7C">
        <w:rPr>
          <w:rFonts w:eastAsia="Arial"/>
          <w:highlight w:val="white"/>
        </w:rPr>
        <w:lastRenderedPageBreak/>
        <w:t xml:space="preserve">that Spain made a declaration on 10 April 2014 applicable in the event that the Convention were to be ratified by the United Kingdom and extended to Gibraltar. </w:t>
      </w:r>
    </w:p>
    <w:p w14:paraId="00000019" w14:textId="1D3C6FE6" w:rsidR="002D7C66" w:rsidRPr="001F5C7C" w:rsidRDefault="00316DDF" w:rsidP="001F5C7C">
      <w:pPr>
        <w:spacing w:before="120" w:after="120"/>
        <w:jc w:val="both"/>
        <w:rPr>
          <w:rFonts w:eastAsia="Arial"/>
          <w:highlight w:val="white"/>
        </w:rPr>
      </w:pPr>
      <w:r w:rsidRPr="001F5C7C">
        <w:rPr>
          <w:rFonts w:eastAsia="Arial"/>
          <w:b/>
          <w:bCs/>
          <w:highlight w:val="white"/>
        </w:rPr>
        <w:t>2.2.1.</w:t>
      </w:r>
      <w:r w:rsidR="00BB6175" w:rsidRPr="001F5C7C">
        <w:rPr>
          <w:rFonts w:eastAsia="Arial"/>
          <w:b/>
          <w:bCs/>
          <w:highlight w:val="white"/>
        </w:rPr>
        <w:t xml:space="preserve"> Denmark</w:t>
      </w:r>
    </w:p>
    <w:p w14:paraId="0000001B" w14:textId="255C9169" w:rsidR="002D7C66" w:rsidRPr="001F5C7C" w:rsidRDefault="00BB6175" w:rsidP="001F5C7C">
      <w:pPr>
        <w:jc w:val="both"/>
        <w:rPr>
          <w:rFonts w:eastAsia="Arial"/>
          <w:b/>
          <w:bCs/>
          <w:highlight w:val="white"/>
        </w:rPr>
      </w:pPr>
      <w:r w:rsidRPr="001F5C7C">
        <w:rPr>
          <w:rFonts w:eastAsia="Arial"/>
          <w:highlight w:val="white"/>
        </w:rPr>
        <w:t>Denmark made a declaration on 23 April 2014 indicating that the Convention shall not apply to Greenland and the Faroe Islands. Denmark is not the only State party to have overseas territories, but it is one of the few State parties that made such declaration. This is a common practice in Denmark as Greenland and the Faroe Islands are self-governing territories.</w:t>
      </w:r>
      <w:r w:rsidRPr="001F5C7C">
        <w:rPr>
          <w:rFonts w:eastAsia="Arial"/>
          <w:highlight w:val="white"/>
          <w:vertAlign w:val="superscript"/>
        </w:rPr>
        <w:footnoteReference w:id="6"/>
      </w:r>
      <w:r w:rsidRPr="001F5C7C">
        <w:rPr>
          <w:rFonts w:eastAsia="Arial"/>
          <w:highlight w:val="white"/>
        </w:rPr>
        <w:t xml:space="preserve"> However, this practice has not always been followed when it comes to international agreements</w:t>
      </w:r>
      <w:r w:rsidR="00862AA7" w:rsidRPr="001F5C7C">
        <w:rPr>
          <w:rFonts w:eastAsia="Arial"/>
          <w:highlight w:val="white"/>
        </w:rPr>
        <w:t>, even</w:t>
      </w:r>
      <w:r w:rsidRPr="001F5C7C">
        <w:rPr>
          <w:rFonts w:eastAsia="Arial"/>
          <w:highlight w:val="white"/>
        </w:rPr>
        <w:t xml:space="preserve"> in the area of gender equality. Indeed, Denmark ratified the Convention on the Elimination of All Forms of Discrimination against Women</w:t>
      </w:r>
      <w:r w:rsidRPr="001F5C7C">
        <w:rPr>
          <w:rFonts w:eastAsia="Arial"/>
          <w:highlight w:val="white"/>
          <w:vertAlign w:val="superscript"/>
        </w:rPr>
        <w:footnoteReference w:id="7"/>
      </w:r>
      <w:r w:rsidR="003076E9" w:rsidRPr="001F5C7C">
        <w:rPr>
          <w:rFonts w:eastAsia="Arial"/>
          <w:highlight w:val="white"/>
        </w:rPr>
        <w:t xml:space="preserve"> (CEDAW)</w:t>
      </w:r>
      <w:r w:rsidRPr="001F5C7C">
        <w:rPr>
          <w:rFonts w:eastAsia="Arial"/>
          <w:highlight w:val="white"/>
        </w:rPr>
        <w:t xml:space="preserve"> and its optional Protocol</w:t>
      </w:r>
      <w:r w:rsidRPr="001F5C7C">
        <w:rPr>
          <w:rFonts w:eastAsia="Arial"/>
          <w:highlight w:val="white"/>
          <w:vertAlign w:val="superscript"/>
        </w:rPr>
        <w:footnoteReference w:id="8"/>
      </w:r>
      <w:r w:rsidRPr="001F5C7C">
        <w:rPr>
          <w:rFonts w:eastAsia="Arial"/>
          <w:highlight w:val="white"/>
        </w:rPr>
        <w:t xml:space="preserve"> without territorial exclusion. As far as the Istanbul Convention is concerned, Denmark consulted Greenland and the Faroe Islands on a potential inclusion in the territorial scope of the Istanbul Convention.</w:t>
      </w:r>
      <w:r w:rsidRPr="001F5C7C">
        <w:rPr>
          <w:rFonts w:eastAsia="Arial"/>
          <w:highlight w:val="white"/>
          <w:vertAlign w:val="superscript"/>
        </w:rPr>
        <w:footnoteReference w:id="9"/>
      </w:r>
      <w:r w:rsidRPr="001F5C7C">
        <w:rPr>
          <w:rFonts w:eastAsia="Arial"/>
          <w:highlight w:val="white"/>
        </w:rPr>
        <w:t xml:space="preserve"> Both territories were excluded from the territorial scope of the Istanbul Convention pursuant to the above-mentioned declaration. The latest report submitted by the Danish Institute for Human Rights to the Office of the High Commissioner for Human Rights of the United Nations describes the overall level of violence as much higher in Greenland than in Denmark and the Faroe Islands</w:t>
      </w:r>
      <w:r w:rsidR="00390D02">
        <w:rPr>
          <w:rFonts w:eastAsia="Arial"/>
          <w:highlight w:val="white"/>
        </w:rPr>
        <w:t xml:space="preserve"> </w:t>
      </w:r>
      <w:r w:rsidRPr="001F5C7C">
        <w:rPr>
          <w:rFonts w:eastAsia="Arial"/>
          <w:highlight w:val="white"/>
        </w:rPr>
        <w:t>and indicates that the group with the largest exposure to violence are women between 25 and 34 years old.</w:t>
      </w:r>
      <w:r w:rsidRPr="001F5C7C">
        <w:rPr>
          <w:rFonts w:eastAsia="Arial"/>
          <w:highlight w:val="white"/>
          <w:vertAlign w:val="superscript"/>
        </w:rPr>
        <w:footnoteReference w:id="10"/>
      </w:r>
      <w:r w:rsidRPr="001F5C7C">
        <w:rPr>
          <w:rFonts w:eastAsia="Arial"/>
          <w:highlight w:val="white"/>
        </w:rPr>
        <w:t xml:space="preserve"> Particularly significant numbers have been reported for domestic violence against women and sexual abuses against girls. In order to address this issue, the Human Rights Council of Greenland and the Danish Institute for Human Rights have recently recommended that Greenland starts a dialogue with Denmark to withdraw the territorial reservations for Greenland so that the Istanbul Convention becomes applicable to Greenland as well.</w:t>
      </w:r>
      <w:r w:rsidRPr="001F5C7C">
        <w:rPr>
          <w:rFonts w:eastAsia="Arial"/>
          <w:highlight w:val="white"/>
          <w:vertAlign w:val="superscript"/>
        </w:rPr>
        <w:footnoteReference w:id="11"/>
      </w:r>
      <w:r w:rsidRPr="001F5C7C">
        <w:rPr>
          <w:rFonts w:eastAsia="Arial"/>
          <w:highlight w:val="white"/>
        </w:rPr>
        <w:t xml:space="preserve"> </w:t>
      </w:r>
      <w:r w:rsidR="00A86B17" w:rsidRPr="001F5C7C">
        <w:rPr>
          <w:rFonts w:eastAsia="Arial"/>
          <w:highlight w:val="white"/>
        </w:rPr>
        <w:lastRenderedPageBreak/>
        <w:t>Building on that, the CEDAW Committee recommended</w:t>
      </w:r>
      <w:r w:rsidR="00027303" w:rsidRPr="001F5C7C">
        <w:rPr>
          <w:rFonts w:eastAsia="Arial"/>
          <w:highlight w:val="white"/>
        </w:rPr>
        <w:t>,</w:t>
      </w:r>
      <w:r w:rsidR="00A86B17" w:rsidRPr="001F5C7C">
        <w:rPr>
          <w:rFonts w:eastAsia="Arial"/>
          <w:highlight w:val="white"/>
        </w:rPr>
        <w:t xml:space="preserve"> in its concluding observations on the ninth periodic report on Denmark, that Denmark extends the application of the Istanbul Convention to Greenland and the Faroe Islands.</w:t>
      </w:r>
      <w:r w:rsidR="00A86B17" w:rsidRPr="001F5C7C">
        <w:rPr>
          <w:rStyle w:val="FootnoteReference"/>
          <w:rFonts w:eastAsia="Arial"/>
          <w:highlight w:val="white"/>
        </w:rPr>
        <w:footnoteReference w:id="12"/>
      </w:r>
      <w:r w:rsidR="00A86B17" w:rsidRPr="001F5C7C">
        <w:rPr>
          <w:rFonts w:eastAsia="Arial"/>
          <w:highlight w:val="white"/>
        </w:rPr>
        <w:t xml:space="preserve"> </w:t>
      </w:r>
      <w:r w:rsidRPr="001F5C7C">
        <w:rPr>
          <w:rFonts w:eastAsia="Arial"/>
          <w:highlight w:val="white"/>
        </w:rPr>
        <w:t xml:space="preserve">As indicated above, Denmark benefits from the possibility to withdraw its declaration. It is therefore possible that the territorial application will be extended in the future to Greenland or the Faroe Islands. </w:t>
      </w:r>
      <w:r w:rsidR="00A86B17" w:rsidRPr="001F5C7C">
        <w:rPr>
          <w:rFonts w:eastAsia="Arial"/>
          <w:highlight w:val="white"/>
        </w:rPr>
        <w:t>There were recently positive signs in that regard concerning Greenland,</w:t>
      </w:r>
      <w:r w:rsidR="00A73DFF" w:rsidRPr="001F5C7C">
        <w:rPr>
          <w:rFonts w:eastAsia="Arial"/>
          <w:highlight w:val="white"/>
        </w:rPr>
        <w:t xml:space="preserve"> </w:t>
      </w:r>
      <w:r w:rsidR="00A73DFF" w:rsidRPr="001F5C7C">
        <w:rPr>
          <w:rFonts w:eastAsia="Arial"/>
        </w:rPr>
        <w:t xml:space="preserve">following </w:t>
      </w:r>
      <w:r w:rsidR="00A86B17" w:rsidRPr="001F5C7C">
        <w:rPr>
          <w:rFonts w:eastAsia="Arial"/>
        </w:rPr>
        <w:t xml:space="preserve">a decision </w:t>
      </w:r>
      <w:r w:rsidR="00A86B17" w:rsidRPr="001F5C7C">
        <w:rPr>
          <w:rFonts w:eastAsia="Arial"/>
          <w:highlight w:val="white"/>
        </w:rPr>
        <w:t>of the Greenlandic Parliament (</w:t>
      </w:r>
      <w:proofErr w:type="spellStart"/>
      <w:r w:rsidR="00A86B17" w:rsidRPr="001F5C7C">
        <w:rPr>
          <w:rFonts w:eastAsia="Arial"/>
          <w:highlight w:val="white"/>
        </w:rPr>
        <w:t>Inatsisartut</w:t>
      </w:r>
      <w:proofErr w:type="spellEnd"/>
      <w:r w:rsidR="00A86B17" w:rsidRPr="001F5C7C">
        <w:rPr>
          <w:rFonts w:eastAsia="Arial"/>
          <w:highlight w:val="white"/>
        </w:rPr>
        <w:t xml:space="preserve">) in November 2021, requesting that the Greenlandic Government starts to work on the removal of the territorial reservation for the Istanbul Convention. </w:t>
      </w:r>
    </w:p>
    <w:p w14:paraId="0000001D" w14:textId="69CF3B66" w:rsidR="002D7C66" w:rsidRPr="001F5C7C" w:rsidRDefault="00316DDF" w:rsidP="001F5C7C">
      <w:pPr>
        <w:spacing w:before="120" w:after="120"/>
        <w:jc w:val="both"/>
        <w:rPr>
          <w:rFonts w:eastAsia="Arial"/>
          <w:highlight w:val="white"/>
          <w:u w:val="single"/>
        </w:rPr>
      </w:pPr>
      <w:r w:rsidRPr="001F5C7C">
        <w:rPr>
          <w:rFonts w:eastAsia="Arial"/>
          <w:b/>
          <w:bCs/>
          <w:highlight w:val="white"/>
        </w:rPr>
        <w:t xml:space="preserve">2.2.2. </w:t>
      </w:r>
      <w:r w:rsidR="00BB6175" w:rsidRPr="001F5C7C">
        <w:rPr>
          <w:rFonts w:eastAsia="Arial"/>
          <w:b/>
          <w:bCs/>
          <w:highlight w:val="white"/>
        </w:rPr>
        <w:t xml:space="preserve">The Netherlands </w:t>
      </w:r>
    </w:p>
    <w:p w14:paraId="0000001F" w14:textId="5C72AE31" w:rsidR="002D7C66" w:rsidRPr="001F5C7C" w:rsidRDefault="00BB6175" w:rsidP="001F5C7C">
      <w:pPr>
        <w:jc w:val="both"/>
        <w:rPr>
          <w:rFonts w:eastAsia="Arial"/>
          <w:highlight w:val="white"/>
        </w:rPr>
      </w:pPr>
      <w:r w:rsidRPr="001F5C7C">
        <w:rPr>
          <w:rFonts w:eastAsia="Arial"/>
          <w:highlight w:val="white"/>
        </w:rPr>
        <w:t>The Kingdom of the Netherlands consists of four autonomous countries: the Netherlands, Aruba, Curaçao and Sint-Maarten.</w:t>
      </w:r>
      <w:r w:rsidRPr="001F5C7C">
        <w:rPr>
          <w:rFonts w:eastAsia="Arial"/>
          <w:highlight w:val="white"/>
          <w:vertAlign w:val="superscript"/>
        </w:rPr>
        <w:footnoteReference w:id="13"/>
      </w:r>
      <w:r w:rsidRPr="001F5C7C">
        <w:rPr>
          <w:rFonts w:eastAsia="Arial"/>
          <w:highlight w:val="white"/>
        </w:rPr>
        <w:t xml:space="preserve"> All have a large degree of internal autonomy. The country of the Netherlands consists of a territory in Europe (European part) and the islands of Bonaire, Sint Eustatius and Saba in the Caribbean. In a declaration dated 18 November 2015, the Netherlands clarified that it accept</w:t>
      </w:r>
      <w:r w:rsidR="000E570C">
        <w:rPr>
          <w:rFonts w:eastAsia="Arial"/>
          <w:highlight w:val="white"/>
        </w:rPr>
        <w:t>ed</w:t>
      </w:r>
      <w:r w:rsidRPr="001F5C7C">
        <w:rPr>
          <w:rFonts w:eastAsia="Arial"/>
          <w:highlight w:val="white"/>
        </w:rPr>
        <w:t xml:space="preserve"> the Istanbul Convention only for the </w:t>
      </w:r>
      <w:r w:rsidR="00390D02">
        <w:rPr>
          <w:rFonts w:eastAsia="Arial"/>
          <w:highlight w:val="white"/>
        </w:rPr>
        <w:t>‘</w:t>
      </w:r>
      <w:r w:rsidRPr="001F5C7C">
        <w:rPr>
          <w:rFonts w:eastAsia="Arial"/>
          <w:highlight w:val="white"/>
        </w:rPr>
        <w:t>European part of the Netherlands</w:t>
      </w:r>
      <w:r w:rsidR="00390D02">
        <w:rPr>
          <w:rFonts w:eastAsia="Arial"/>
          <w:highlight w:val="white"/>
        </w:rPr>
        <w:t>’</w:t>
      </w:r>
      <w:r w:rsidRPr="001F5C7C">
        <w:rPr>
          <w:rFonts w:eastAsia="Arial"/>
          <w:highlight w:val="white"/>
        </w:rPr>
        <w:t>. This is a common practice for the Netherlands</w:t>
      </w:r>
      <w:r w:rsidRPr="001F5C7C">
        <w:rPr>
          <w:rFonts w:eastAsia="Arial"/>
          <w:highlight w:val="white"/>
          <w:vertAlign w:val="superscript"/>
        </w:rPr>
        <w:footnoteReference w:id="14"/>
      </w:r>
      <w:r w:rsidRPr="001F5C7C">
        <w:rPr>
          <w:rFonts w:eastAsia="Arial"/>
          <w:highlight w:val="white"/>
        </w:rPr>
        <w:t xml:space="preserve"> but it is not automatic as the Netherlands also accepts international agreements for its non-European territories and this, </w:t>
      </w:r>
      <w:r w:rsidRPr="001F5C7C">
        <w:rPr>
          <w:rFonts w:eastAsia="Arial"/>
          <w:i/>
          <w:highlight w:val="white"/>
        </w:rPr>
        <w:t>inter alia,</w:t>
      </w:r>
      <w:r w:rsidRPr="001F5C7C">
        <w:rPr>
          <w:rFonts w:eastAsia="Arial"/>
          <w:highlight w:val="white"/>
        </w:rPr>
        <w:t xml:space="preserve"> in the area of human rights</w:t>
      </w:r>
      <w:r w:rsidRPr="001F5C7C">
        <w:rPr>
          <w:rFonts w:eastAsia="Arial"/>
          <w:highlight w:val="white"/>
          <w:vertAlign w:val="superscript"/>
        </w:rPr>
        <w:footnoteReference w:id="15"/>
      </w:r>
      <w:r w:rsidRPr="001F5C7C">
        <w:rPr>
          <w:rFonts w:eastAsia="Arial"/>
          <w:highlight w:val="white"/>
        </w:rPr>
        <w:t xml:space="preserve"> and even of gender equality. Indeed, the Netherlands ratified the Convention on the Elimination of All Forms of Discrimination against Women</w:t>
      </w:r>
      <w:r w:rsidR="00EC6FC1" w:rsidRPr="001F5C7C">
        <w:rPr>
          <w:rFonts w:eastAsia="Arial"/>
          <w:highlight w:val="white"/>
        </w:rPr>
        <w:t xml:space="preserve"> for the Kingdom in Europe, the Netherlands Antilles and Aruba</w:t>
      </w:r>
      <w:r w:rsidR="003700CB" w:rsidRPr="001F5C7C">
        <w:rPr>
          <w:rFonts w:eastAsia="Arial"/>
          <w:highlight w:val="white"/>
        </w:rPr>
        <w:t>.</w:t>
      </w:r>
      <w:r w:rsidRPr="001F5C7C">
        <w:rPr>
          <w:rFonts w:eastAsia="Arial"/>
          <w:highlight w:val="white"/>
        </w:rPr>
        <w:t xml:space="preserve"> The Istanbul Convention was not accepted without territorial exclusion but only for the European part of t</w:t>
      </w:r>
      <w:r w:rsidR="00467FFE" w:rsidRPr="001F5C7C">
        <w:rPr>
          <w:rFonts w:eastAsia="Arial"/>
          <w:highlight w:val="white"/>
        </w:rPr>
        <w:t xml:space="preserve">he Netherlands, and thus a </w:t>
      </w:r>
      <w:r w:rsidRPr="001F5C7C">
        <w:rPr>
          <w:rFonts w:eastAsia="Arial"/>
          <w:highlight w:val="white"/>
        </w:rPr>
        <w:t xml:space="preserve">more limited territory. The Netherlands </w:t>
      </w:r>
      <w:r w:rsidR="000E570C" w:rsidRPr="001F5C7C">
        <w:rPr>
          <w:rFonts w:eastAsia="Arial"/>
          <w:highlight w:val="white"/>
        </w:rPr>
        <w:t>is</w:t>
      </w:r>
      <w:r w:rsidRPr="001F5C7C">
        <w:rPr>
          <w:rFonts w:eastAsia="Arial"/>
          <w:highlight w:val="white"/>
        </w:rPr>
        <w:t xml:space="preserve"> not the only State party to the Istanbul Convention to have overseas territories, but it is one of the only State parties that made such declaration.</w:t>
      </w:r>
    </w:p>
    <w:p w14:paraId="00000021" w14:textId="2601804F" w:rsidR="002D7C66" w:rsidRPr="001F5C7C" w:rsidRDefault="00BB6175" w:rsidP="001F5C7C">
      <w:pPr>
        <w:jc w:val="both"/>
        <w:rPr>
          <w:rFonts w:eastAsia="Arial"/>
          <w:highlight w:val="white"/>
        </w:rPr>
      </w:pPr>
      <w:r w:rsidRPr="001F5C7C">
        <w:rPr>
          <w:rFonts w:eastAsia="Arial"/>
          <w:highlight w:val="white"/>
        </w:rPr>
        <w:lastRenderedPageBreak/>
        <w:t>The Group of Experts on Action Violence against Violence against Women and Domestic Violence (GREVIO) adopted its first report on the Netherlands in 2019 and made recommendations calling for the extension of the territorial application of the Istanbul Convention to Caribbean territories.</w:t>
      </w:r>
      <w:r w:rsidRPr="001F5C7C">
        <w:rPr>
          <w:rFonts w:eastAsia="Arial"/>
          <w:highlight w:val="white"/>
          <w:vertAlign w:val="superscript"/>
        </w:rPr>
        <w:footnoteReference w:id="16"/>
      </w:r>
      <w:r w:rsidRPr="001F5C7C">
        <w:rPr>
          <w:rFonts w:eastAsia="Arial"/>
          <w:highlight w:val="white"/>
        </w:rPr>
        <w:t xml:space="preserve"> As far as Bonaire, Sint Eustatius and Saba are concerned, the GREVIO reports that the Netherlands aims at applying the Istanbul Convention to these territories in </w:t>
      </w:r>
      <w:r w:rsidR="00D337A5">
        <w:rPr>
          <w:rFonts w:eastAsia="Arial"/>
          <w:highlight w:val="white"/>
        </w:rPr>
        <w:t>‘</w:t>
      </w:r>
      <w:r w:rsidRPr="001F5C7C">
        <w:rPr>
          <w:rFonts w:eastAsia="Arial"/>
          <w:highlight w:val="white"/>
        </w:rPr>
        <w:t>due course</w:t>
      </w:r>
      <w:r w:rsidR="00D337A5">
        <w:rPr>
          <w:rFonts w:eastAsia="Arial"/>
          <w:highlight w:val="white"/>
        </w:rPr>
        <w:t>’</w:t>
      </w:r>
      <w:r w:rsidRPr="001F5C7C">
        <w:rPr>
          <w:rFonts w:eastAsia="Arial"/>
          <w:highlight w:val="white"/>
        </w:rPr>
        <w:t xml:space="preserve"> but regrets the absence of time frame for this process, while welcoming the fact that an administrative agreement was concluded to this end in 2017.</w:t>
      </w:r>
      <w:r w:rsidRPr="001F5C7C">
        <w:rPr>
          <w:rFonts w:eastAsia="Arial"/>
          <w:highlight w:val="white"/>
          <w:vertAlign w:val="superscript"/>
        </w:rPr>
        <w:footnoteReference w:id="17"/>
      </w:r>
      <w:r w:rsidRPr="001F5C7C">
        <w:rPr>
          <w:rFonts w:eastAsia="Arial"/>
          <w:highlight w:val="white"/>
        </w:rPr>
        <w:t xml:space="preserve"> The GREVIO then urged the Dutch authorities to extend the application of the Istanbul Convention to Bonaire, Sint Eustatius and Saba. The Netherlands Institute for Human Rights is also calling for such extension in territorial application.</w:t>
      </w:r>
      <w:r w:rsidRPr="001F5C7C">
        <w:rPr>
          <w:rFonts w:eastAsia="Arial"/>
          <w:highlight w:val="white"/>
          <w:vertAlign w:val="superscript"/>
        </w:rPr>
        <w:footnoteReference w:id="18"/>
      </w:r>
      <w:r w:rsidRPr="001F5C7C">
        <w:rPr>
          <w:rFonts w:eastAsia="Arial"/>
          <w:highlight w:val="white"/>
        </w:rPr>
        <w:t xml:space="preserve"> It should be noted that the Advisory Council on International Affairs of the Netherlands issued a report, in June 2018, where it indicated that, as Bonaire, Sint Eustatius and Saba form part of the Dutch constitutional order, a divergent system of human rights between the European and Caribbean parts of the Netherlands cannot be justified.</w:t>
      </w:r>
      <w:r w:rsidRPr="001F5C7C">
        <w:rPr>
          <w:rFonts w:eastAsia="Arial"/>
          <w:highlight w:val="white"/>
          <w:vertAlign w:val="superscript"/>
        </w:rPr>
        <w:footnoteReference w:id="19"/>
      </w:r>
      <w:r w:rsidRPr="001F5C7C">
        <w:rPr>
          <w:rFonts w:eastAsia="Arial"/>
          <w:highlight w:val="white"/>
        </w:rPr>
        <w:t xml:space="preserve"> Positive developments can be expected in the future.</w:t>
      </w:r>
    </w:p>
    <w:p w14:paraId="00000023" w14:textId="1D6368FB" w:rsidR="002D7C66" w:rsidRPr="001F5C7C" w:rsidRDefault="00BB6175" w:rsidP="001F5C7C">
      <w:pPr>
        <w:jc w:val="both"/>
        <w:rPr>
          <w:rFonts w:eastAsia="Arial"/>
          <w:highlight w:val="white"/>
        </w:rPr>
      </w:pPr>
      <w:r w:rsidRPr="001F5C7C">
        <w:rPr>
          <w:rFonts w:eastAsia="Arial"/>
          <w:highlight w:val="white"/>
        </w:rPr>
        <w:t xml:space="preserve">As far as Aruba, Curaçao and Sint Maarten are concerned, the GREVIO indicated in its 2019 Report on the Netherlands that it had received </w:t>
      </w:r>
      <w:r w:rsidR="00072FFD">
        <w:rPr>
          <w:rFonts w:eastAsia="Arial"/>
          <w:highlight w:val="white"/>
        </w:rPr>
        <w:t>‘</w:t>
      </w:r>
      <w:r w:rsidRPr="001F5C7C">
        <w:rPr>
          <w:rFonts w:eastAsia="Arial"/>
          <w:highlight w:val="white"/>
        </w:rPr>
        <w:t>concerning reports about significant violations of women</w:t>
      </w:r>
      <w:r w:rsidR="00072FFD">
        <w:rPr>
          <w:rFonts w:eastAsia="Arial"/>
          <w:highlight w:val="white"/>
        </w:rPr>
        <w:t>’</w:t>
      </w:r>
      <w:r w:rsidRPr="001F5C7C">
        <w:rPr>
          <w:rFonts w:eastAsia="Arial"/>
          <w:highlight w:val="white"/>
        </w:rPr>
        <w:t>s human rights in these parts of the Kingdom of the Netherlands</w:t>
      </w:r>
      <w:r w:rsidR="00072FFD">
        <w:rPr>
          <w:rFonts w:eastAsia="Arial"/>
          <w:highlight w:val="white"/>
        </w:rPr>
        <w:t>’</w:t>
      </w:r>
      <w:r w:rsidRPr="001F5C7C">
        <w:rPr>
          <w:rFonts w:eastAsia="Arial"/>
          <w:highlight w:val="white"/>
        </w:rPr>
        <w:t xml:space="preserve"> and although it </w:t>
      </w:r>
      <w:r w:rsidR="00072FFD">
        <w:rPr>
          <w:rFonts w:eastAsia="Arial"/>
          <w:highlight w:val="white"/>
        </w:rPr>
        <w:t>‘</w:t>
      </w:r>
      <w:r w:rsidRPr="001F5C7C">
        <w:rPr>
          <w:rFonts w:eastAsia="Arial"/>
          <w:highlight w:val="white"/>
        </w:rPr>
        <w:t>understands that these three countries are at different stages of the ratification process and that decisions on implementation are primarily a matter for the countries, Article 2 of the mutual arrangement within the meaning of Article 38, paragraph 1, of the Charter for the Kingdom of the Netherlands on co-operation between the countries in the implementation of treaties requires the countries to draw up an implementation plan</w:t>
      </w:r>
      <w:r w:rsidR="00072FFD">
        <w:rPr>
          <w:rFonts w:eastAsia="Arial"/>
          <w:highlight w:val="white"/>
        </w:rPr>
        <w:t>’</w:t>
      </w:r>
      <w:r w:rsidRPr="001F5C7C">
        <w:rPr>
          <w:rFonts w:eastAsia="Arial"/>
          <w:highlight w:val="white"/>
        </w:rPr>
        <w:t>.</w:t>
      </w:r>
      <w:r w:rsidRPr="001F5C7C">
        <w:rPr>
          <w:rFonts w:eastAsia="Arial"/>
          <w:highlight w:val="white"/>
          <w:vertAlign w:val="superscript"/>
        </w:rPr>
        <w:footnoteReference w:id="20"/>
      </w:r>
      <w:r w:rsidRPr="001F5C7C">
        <w:rPr>
          <w:rFonts w:eastAsia="Arial"/>
          <w:highlight w:val="white"/>
        </w:rPr>
        <w:t xml:space="preserve"> The GREVIO then urged the Netherlands to draw up such implementation plans and to take all possible measures to encourage Aruba, Curaçao and Sint Maarten to ratify and implement the Istanbul Convention. </w:t>
      </w:r>
    </w:p>
    <w:p w14:paraId="00000025" w14:textId="47522D23" w:rsidR="002D7C66" w:rsidRPr="001F5C7C" w:rsidRDefault="00BB6175" w:rsidP="001F5C7C">
      <w:pPr>
        <w:jc w:val="both"/>
        <w:rPr>
          <w:rFonts w:eastAsia="Arial"/>
          <w:b/>
          <w:bCs/>
          <w:highlight w:val="white"/>
        </w:rPr>
      </w:pPr>
      <w:r w:rsidRPr="001F5C7C">
        <w:rPr>
          <w:rFonts w:eastAsia="Arial"/>
          <w:highlight w:val="white"/>
        </w:rPr>
        <w:t xml:space="preserve">The Committee of the Parties built upon these recommendations of the GREVIO and adopted its own recommendations towards the Netherlands on 30 January 2020. These recommendations indicate that the Netherlands should </w:t>
      </w:r>
      <w:r w:rsidR="00072FFD">
        <w:rPr>
          <w:rFonts w:eastAsia="Arial"/>
          <w:highlight w:val="white"/>
        </w:rPr>
        <w:t>‘</w:t>
      </w:r>
      <w:r w:rsidRPr="001F5C7C">
        <w:rPr>
          <w:rFonts w:eastAsia="Arial"/>
          <w:highlight w:val="white"/>
        </w:rPr>
        <w:t xml:space="preserve">draw up an implementation plan and take all possible measures, including financial, to encourage and assist Aruba, Curaçao and Sint Maarten to ratify and implement the provisions of the Istanbul Convention and to extend the application of the Convention to Bonaire, </w:t>
      </w:r>
      <w:r w:rsidRPr="001F5C7C">
        <w:rPr>
          <w:rFonts w:eastAsia="Arial"/>
          <w:highlight w:val="white"/>
        </w:rPr>
        <w:lastRenderedPageBreak/>
        <w:t>Sint Eustatius and Saba</w:t>
      </w:r>
      <w:r w:rsidR="00072FFD">
        <w:rPr>
          <w:rFonts w:eastAsia="Arial"/>
          <w:highlight w:val="white"/>
        </w:rPr>
        <w:t>’</w:t>
      </w:r>
      <w:r w:rsidRPr="001F5C7C">
        <w:rPr>
          <w:rFonts w:eastAsia="Arial"/>
          <w:i/>
          <w:highlight w:val="white"/>
        </w:rPr>
        <w:t>.</w:t>
      </w:r>
      <w:r w:rsidRPr="001F5C7C">
        <w:rPr>
          <w:rFonts w:eastAsia="Arial"/>
          <w:highlight w:val="white"/>
          <w:vertAlign w:val="superscript"/>
        </w:rPr>
        <w:footnoteReference w:id="21"/>
      </w:r>
      <w:r w:rsidRPr="001F5C7C">
        <w:rPr>
          <w:rFonts w:eastAsia="Arial"/>
          <w:highlight w:val="white"/>
        </w:rPr>
        <w:t xml:space="preserve"> The Netherlands have until 30 January 2023 to report on the measures taken to implement the recommendations of the Committee of the Parties.</w:t>
      </w:r>
      <w:r w:rsidR="004954D9" w:rsidRPr="001F5C7C">
        <w:rPr>
          <w:rFonts w:eastAsia="Arial"/>
          <w:highlight w:val="white"/>
        </w:rPr>
        <w:t xml:space="preserve"> On 21 December 2020, the Netherlands replied to these recommendations indicating that </w:t>
      </w:r>
      <w:r w:rsidR="00316DDF">
        <w:rPr>
          <w:rFonts w:eastAsia="Arial"/>
          <w:highlight w:val="white"/>
        </w:rPr>
        <w:t>‘</w:t>
      </w:r>
      <w:r w:rsidR="004954D9" w:rsidRPr="001F5C7C">
        <w:rPr>
          <w:rFonts w:eastAsia="Arial"/>
          <w:highlight w:val="white"/>
        </w:rPr>
        <w:t>Aruba, Curacao and Sint-Maarten recognise the importance of the Convention and are taking further steps to put it into effect</w:t>
      </w:r>
      <w:r w:rsidR="00316DDF" w:rsidRPr="00316DDF">
        <w:rPr>
          <w:rFonts w:eastAsia="Arial"/>
          <w:highlight w:val="white"/>
        </w:rPr>
        <w:t>’</w:t>
      </w:r>
      <w:r w:rsidR="004954D9" w:rsidRPr="001F5C7C">
        <w:rPr>
          <w:rStyle w:val="FootnoteReference"/>
          <w:rFonts w:eastAsia="Arial"/>
          <w:highlight w:val="white"/>
        </w:rPr>
        <w:footnoteReference w:id="22"/>
      </w:r>
      <w:r w:rsidR="004954D9" w:rsidRPr="001F5C7C">
        <w:rPr>
          <w:rFonts w:eastAsia="Arial"/>
          <w:highlight w:val="white"/>
        </w:rPr>
        <w:t>.</w:t>
      </w:r>
      <w:r w:rsidR="00EC6FC1" w:rsidRPr="001F5C7C">
        <w:rPr>
          <w:rFonts w:eastAsia="Arial"/>
          <w:highlight w:val="white"/>
        </w:rPr>
        <w:t xml:space="preserve"> The appendix to this letter </w:t>
      </w:r>
      <w:r w:rsidR="00CC348E" w:rsidRPr="001F5C7C">
        <w:rPr>
          <w:rFonts w:eastAsia="Arial"/>
          <w:highlight w:val="white"/>
        </w:rPr>
        <w:t xml:space="preserve">provides further explanation (the </w:t>
      </w:r>
      <w:r w:rsidR="00316DDF">
        <w:rPr>
          <w:rFonts w:eastAsia="Arial"/>
          <w:highlight w:val="white"/>
        </w:rPr>
        <w:t>‘</w:t>
      </w:r>
      <w:r w:rsidR="00CC348E" w:rsidRPr="001F5C7C">
        <w:rPr>
          <w:rFonts w:eastAsia="Arial"/>
          <w:highlight w:val="white"/>
        </w:rPr>
        <w:t>Appendix</w:t>
      </w:r>
      <w:r w:rsidR="00316DDF">
        <w:rPr>
          <w:rFonts w:eastAsia="Arial"/>
          <w:highlight w:val="white"/>
        </w:rPr>
        <w:t>’</w:t>
      </w:r>
      <w:r w:rsidR="00CC348E" w:rsidRPr="001F5C7C">
        <w:rPr>
          <w:rFonts w:eastAsia="Arial"/>
          <w:highlight w:val="white"/>
        </w:rPr>
        <w:t>). According to the Appendix, Sint-Maarten is working on its implementing law, Curacao already has appropriate implementing legislati</w:t>
      </w:r>
      <w:r w:rsidR="007D01D1" w:rsidRPr="001F5C7C">
        <w:rPr>
          <w:rFonts w:eastAsia="Arial"/>
          <w:highlight w:val="white"/>
        </w:rPr>
        <w:t>on and Aruba stated that the</w:t>
      </w:r>
      <w:r w:rsidR="00CC348E" w:rsidRPr="001F5C7C">
        <w:rPr>
          <w:rFonts w:eastAsia="Arial"/>
          <w:highlight w:val="white"/>
        </w:rPr>
        <w:t xml:space="preserve"> ratification of the Istanbul Convention is necessary but requires firs</w:t>
      </w:r>
      <w:r w:rsidR="00C617D2" w:rsidRPr="001F5C7C">
        <w:rPr>
          <w:rFonts w:eastAsia="Arial"/>
          <w:highlight w:val="white"/>
        </w:rPr>
        <w:t xml:space="preserve">t </w:t>
      </w:r>
      <w:r w:rsidR="00CC348E" w:rsidRPr="001F5C7C">
        <w:rPr>
          <w:rFonts w:eastAsia="Arial"/>
          <w:highlight w:val="white"/>
        </w:rPr>
        <w:t>having the necessary implementing laws ready</w:t>
      </w:r>
      <w:r w:rsidR="00072FFD">
        <w:rPr>
          <w:rFonts w:eastAsia="Arial"/>
          <w:highlight w:val="white"/>
        </w:rPr>
        <w:t>.</w:t>
      </w:r>
      <w:r w:rsidR="00CC348E" w:rsidRPr="001F5C7C">
        <w:rPr>
          <w:rStyle w:val="FootnoteReference"/>
          <w:rFonts w:eastAsia="Arial"/>
          <w:highlight w:val="white"/>
        </w:rPr>
        <w:footnoteReference w:id="23"/>
      </w:r>
      <w:r w:rsidR="007D01D1" w:rsidRPr="001F5C7C">
        <w:rPr>
          <w:rFonts w:eastAsia="Arial"/>
          <w:highlight w:val="white"/>
        </w:rPr>
        <w:t xml:space="preserve"> </w:t>
      </w:r>
      <w:r w:rsidR="00CC348E" w:rsidRPr="001F5C7C">
        <w:rPr>
          <w:rFonts w:eastAsia="Arial"/>
          <w:highlight w:val="white"/>
        </w:rPr>
        <w:t>When it comes to Bonaire, Sint-Eustatius and Saba, t</w:t>
      </w:r>
      <w:r w:rsidR="004954D9" w:rsidRPr="001F5C7C">
        <w:rPr>
          <w:rFonts w:eastAsia="Arial"/>
          <w:highlight w:val="white"/>
        </w:rPr>
        <w:t xml:space="preserve">he letter </w:t>
      </w:r>
      <w:r w:rsidR="00CC348E" w:rsidRPr="001F5C7C">
        <w:rPr>
          <w:rFonts w:eastAsia="Arial"/>
          <w:highlight w:val="white"/>
        </w:rPr>
        <w:t xml:space="preserve">also </w:t>
      </w:r>
      <w:r w:rsidR="004954D9" w:rsidRPr="001F5C7C">
        <w:rPr>
          <w:rFonts w:eastAsia="Arial"/>
          <w:highlight w:val="white"/>
        </w:rPr>
        <w:t xml:space="preserve">explains that the Ministry of Health, Welfare and Sport </w:t>
      </w:r>
      <w:r w:rsidR="003700CB" w:rsidRPr="001F5C7C">
        <w:rPr>
          <w:rFonts w:eastAsia="Arial"/>
          <w:highlight w:val="white"/>
        </w:rPr>
        <w:t xml:space="preserve">of the Netherlands </w:t>
      </w:r>
      <w:r w:rsidR="004954D9" w:rsidRPr="001F5C7C">
        <w:rPr>
          <w:rFonts w:eastAsia="Arial"/>
          <w:highlight w:val="white"/>
        </w:rPr>
        <w:t>aims at strengthening the approach that was put in place through the 2017 administrative arrangement</w:t>
      </w:r>
      <w:r w:rsidR="003700CB" w:rsidRPr="001F5C7C">
        <w:rPr>
          <w:rFonts w:eastAsia="Arial"/>
          <w:highlight w:val="white"/>
        </w:rPr>
        <w:t>,</w:t>
      </w:r>
      <w:r w:rsidR="004954D9" w:rsidRPr="001F5C7C">
        <w:rPr>
          <w:rFonts w:eastAsia="Arial"/>
          <w:highlight w:val="white"/>
        </w:rPr>
        <w:t xml:space="preserve"> referred to above</w:t>
      </w:r>
      <w:r w:rsidR="003700CB" w:rsidRPr="001F5C7C">
        <w:rPr>
          <w:rFonts w:eastAsia="Arial"/>
          <w:highlight w:val="white"/>
        </w:rPr>
        <w:t>,</w:t>
      </w:r>
      <w:r w:rsidR="004954D9" w:rsidRPr="001F5C7C">
        <w:rPr>
          <w:rFonts w:eastAsia="Arial"/>
          <w:highlight w:val="white"/>
        </w:rPr>
        <w:t xml:space="preserve"> and is working with the public entities of these territories on a successor to such arrangement. The letter does not refer</w:t>
      </w:r>
      <w:r w:rsidR="00CC348E" w:rsidRPr="001F5C7C">
        <w:rPr>
          <w:rFonts w:eastAsia="Arial"/>
          <w:highlight w:val="white"/>
        </w:rPr>
        <w:t xml:space="preserve"> specifically</w:t>
      </w:r>
      <w:r w:rsidR="004954D9" w:rsidRPr="001F5C7C">
        <w:rPr>
          <w:rFonts w:eastAsia="Arial"/>
          <w:highlight w:val="white"/>
        </w:rPr>
        <w:t xml:space="preserve"> to </w:t>
      </w:r>
      <w:r w:rsidR="00CC348E" w:rsidRPr="001F5C7C">
        <w:rPr>
          <w:rFonts w:eastAsia="Arial"/>
          <w:highlight w:val="white"/>
        </w:rPr>
        <w:t xml:space="preserve">an action plan for </w:t>
      </w:r>
      <w:r w:rsidR="004954D9" w:rsidRPr="001F5C7C">
        <w:rPr>
          <w:rFonts w:eastAsia="Arial"/>
          <w:highlight w:val="white"/>
        </w:rPr>
        <w:t xml:space="preserve">the withdrawal of the territorial reservations. </w:t>
      </w:r>
    </w:p>
    <w:p w14:paraId="00000026" w14:textId="369A85A3" w:rsidR="002D7C66" w:rsidRPr="001F5C7C" w:rsidRDefault="00BB6175" w:rsidP="001F5C7C">
      <w:pPr>
        <w:pStyle w:val="ListParagraph"/>
        <w:numPr>
          <w:ilvl w:val="0"/>
          <w:numId w:val="1"/>
        </w:numPr>
        <w:spacing w:before="120" w:after="120"/>
        <w:ind w:left="714" w:hanging="357"/>
        <w:contextualSpacing w:val="0"/>
        <w:rPr>
          <w:rFonts w:eastAsia="Arial"/>
          <w:b/>
          <w:bCs/>
          <w:highlight w:val="white"/>
        </w:rPr>
      </w:pPr>
      <w:r w:rsidRPr="001F5C7C">
        <w:rPr>
          <w:rFonts w:eastAsia="Arial"/>
          <w:b/>
          <w:bCs/>
          <w:highlight w:val="white"/>
        </w:rPr>
        <w:t>C</w:t>
      </w:r>
      <w:r w:rsidR="004D0F1E" w:rsidRPr="001F5C7C">
        <w:rPr>
          <w:rFonts w:eastAsia="Arial"/>
          <w:b/>
          <w:bCs/>
          <w:highlight w:val="white"/>
        </w:rPr>
        <w:t>onclusion</w:t>
      </w:r>
      <w:r w:rsidR="004D0F1E">
        <w:rPr>
          <w:rFonts w:eastAsia="Arial"/>
          <w:b/>
          <w:bCs/>
          <w:highlight w:val="white"/>
        </w:rPr>
        <w:t>s</w:t>
      </w:r>
    </w:p>
    <w:p w14:paraId="00000027" w14:textId="16A1C17E" w:rsidR="002D7C66" w:rsidRPr="001F5C7C" w:rsidRDefault="00BB6175" w:rsidP="001F5C7C">
      <w:pPr>
        <w:jc w:val="both"/>
        <w:rPr>
          <w:rFonts w:eastAsia="Arial"/>
          <w:highlight w:val="white"/>
        </w:rPr>
      </w:pPr>
      <w:r w:rsidRPr="001F5C7C">
        <w:rPr>
          <w:rFonts w:eastAsia="Arial"/>
          <w:highlight w:val="white"/>
        </w:rPr>
        <w:t>The territorial application of the Istanbul Convention is governed by Article 77. To date, only the Netherlands and Denmark have made declarations to limit the territorial application of the Istanbul Convention to some parts of their respective territories. Spain has also made a preventive declaration regarding Gibraltar in case of ratification of the Istanbul Convention by the United Kingdom. These limitations raise important questions, as concerns have been expressed about the existing level of violence against women in the excluded territories. Several national bodies, institutions</w:t>
      </w:r>
      <w:r w:rsidR="00072FFD">
        <w:rPr>
          <w:rFonts w:eastAsia="Arial"/>
          <w:highlight w:val="white"/>
        </w:rPr>
        <w:t xml:space="preserve">, </w:t>
      </w:r>
      <w:r w:rsidRPr="001F5C7C">
        <w:rPr>
          <w:rFonts w:eastAsia="Arial"/>
          <w:highlight w:val="white"/>
        </w:rPr>
        <w:t xml:space="preserve">and non-governmental organisations as well as the GREVIO and even the Committee of the Parties (for the Netherlands) call for an extension of the territorial application or a withdrawal of the territorial limitations of the Istanbul Convention. These calls are relatively recent, and it remains to be seen how the concerned State parties will address them. </w:t>
      </w:r>
    </w:p>
    <w:p w14:paraId="00000028" w14:textId="77777777" w:rsidR="002D7C66" w:rsidRPr="001F5C7C" w:rsidRDefault="002D7C66">
      <w:pPr>
        <w:rPr>
          <w:rFonts w:eastAsia="Arial"/>
          <w:highlight w:val="white"/>
        </w:rPr>
      </w:pPr>
    </w:p>
    <w:p w14:paraId="00000029" w14:textId="77777777" w:rsidR="002D7C66" w:rsidRDefault="002D7C66">
      <w:pPr>
        <w:spacing w:line="240" w:lineRule="auto"/>
        <w:jc w:val="both"/>
        <w:rPr>
          <w:rFonts w:ascii="Arial" w:eastAsia="Arial" w:hAnsi="Arial" w:cs="Arial"/>
          <w:sz w:val="20"/>
          <w:szCs w:val="20"/>
          <w:highlight w:val="white"/>
        </w:rPr>
      </w:pPr>
    </w:p>
    <w:p w14:paraId="0000002A" w14:textId="77777777" w:rsidR="002D7C66" w:rsidRDefault="002D7C66">
      <w:pPr>
        <w:spacing w:line="240" w:lineRule="auto"/>
        <w:jc w:val="both"/>
        <w:rPr>
          <w:rFonts w:ascii="Arial" w:eastAsia="Arial" w:hAnsi="Arial" w:cs="Arial"/>
          <w:sz w:val="20"/>
          <w:szCs w:val="20"/>
          <w:highlight w:val="white"/>
        </w:rPr>
      </w:pPr>
    </w:p>
    <w:sectPr w:rsidR="002D7C66">
      <w:footerReference w:type="default" r:id="rId9"/>
      <w:pgSz w:w="11907" w:h="16840"/>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3BEAA" w14:textId="77777777" w:rsidR="00154983" w:rsidRDefault="00154983">
      <w:pPr>
        <w:spacing w:line="240" w:lineRule="auto"/>
      </w:pPr>
      <w:r>
        <w:separator/>
      </w:r>
    </w:p>
  </w:endnote>
  <w:endnote w:type="continuationSeparator" w:id="0">
    <w:p w14:paraId="6CC59BF4" w14:textId="77777777" w:rsidR="00154983" w:rsidRDefault="00154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A32F8C7" w:rsidR="002D7C66" w:rsidRDefault="00BB6175">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7D01D1">
      <w:rPr>
        <w:noProof/>
        <w:color w:val="000000"/>
      </w:rPr>
      <w:t>4</w:t>
    </w:r>
    <w:r>
      <w:rPr>
        <w:color w:val="000000"/>
      </w:rPr>
      <w:fldChar w:fldCharType="end"/>
    </w:r>
  </w:p>
  <w:p w14:paraId="00000040" w14:textId="77777777" w:rsidR="002D7C66" w:rsidRDefault="002D7C66">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ED9FE" w14:textId="77777777" w:rsidR="00154983" w:rsidRDefault="00154983">
      <w:pPr>
        <w:spacing w:line="240" w:lineRule="auto"/>
      </w:pPr>
      <w:r>
        <w:separator/>
      </w:r>
    </w:p>
  </w:footnote>
  <w:footnote w:type="continuationSeparator" w:id="0">
    <w:p w14:paraId="593CC246" w14:textId="77777777" w:rsidR="00154983" w:rsidRDefault="00154983">
      <w:pPr>
        <w:spacing w:line="240" w:lineRule="auto"/>
      </w:pPr>
      <w:r>
        <w:continuationSeparator/>
      </w:r>
    </w:p>
  </w:footnote>
  <w:footnote w:id="1">
    <w:p w14:paraId="0000002B" w14:textId="7F91C105" w:rsidR="002D7C66" w:rsidRPr="001F5C7C" w:rsidRDefault="00BB6175" w:rsidP="001F5C7C">
      <w:pPr>
        <w:pBdr>
          <w:top w:val="nil"/>
          <w:left w:val="nil"/>
          <w:bottom w:val="nil"/>
          <w:right w:val="nil"/>
          <w:between w:val="nil"/>
        </w:pBdr>
        <w:spacing w:line="240" w:lineRule="auto"/>
        <w:jc w:val="both"/>
        <w:rPr>
          <w:rFonts w:eastAsia="Arial"/>
          <w:color w:val="000000"/>
          <w:sz w:val="20"/>
          <w:szCs w:val="20"/>
        </w:rPr>
      </w:pPr>
      <w:bookmarkStart w:id="0" w:name="_heading=h.gjdgxs" w:colFirst="0" w:colLast="0"/>
      <w:bookmarkEnd w:id="0"/>
      <w:r w:rsidRPr="001F5C7C">
        <w:rPr>
          <w:rStyle w:val="FootnoteReference"/>
          <w:sz w:val="20"/>
          <w:szCs w:val="20"/>
        </w:rPr>
        <w:footnoteRef/>
      </w:r>
      <w:r w:rsidRPr="001F5C7C">
        <w:rPr>
          <w:rFonts w:eastAsia="Arial"/>
          <w:color w:val="000000"/>
          <w:sz w:val="20"/>
          <w:szCs w:val="20"/>
        </w:rPr>
        <w:t xml:space="preserve"> </w:t>
      </w:r>
      <w:r w:rsidR="00593996" w:rsidRPr="001F5C7C">
        <w:rPr>
          <w:rFonts w:eastAsia="Arial"/>
          <w:color w:val="000000"/>
          <w:sz w:val="20"/>
          <w:szCs w:val="20"/>
        </w:rPr>
        <w:t xml:space="preserve">Teaching and Research Assistant at Université Saint-Louis Bruxelles. </w:t>
      </w:r>
      <w:r w:rsidRPr="001F5C7C">
        <w:rPr>
          <w:rFonts w:eastAsia="Arial"/>
          <w:color w:val="000000"/>
          <w:sz w:val="20"/>
          <w:szCs w:val="20"/>
        </w:rPr>
        <w:t>The views expressed are strictly personal and do not express the views of the Council of the European Union or the European Council.</w:t>
      </w:r>
    </w:p>
  </w:footnote>
  <w:footnote w:id="2">
    <w:p w14:paraId="60E88EC5" w14:textId="5A7D40CE" w:rsidR="001F5C7C" w:rsidRPr="00135FD9" w:rsidRDefault="001F5C7C">
      <w:pPr>
        <w:pStyle w:val="FootnoteText"/>
        <w:rPr>
          <w:lang w:val="en-GB"/>
        </w:rPr>
      </w:pPr>
      <w:r>
        <w:rPr>
          <w:rStyle w:val="FootnoteReference"/>
        </w:rPr>
        <w:footnoteRef/>
      </w:r>
      <w:r w:rsidRPr="00135FD9">
        <w:rPr>
          <w:lang w:val="en-GB"/>
        </w:rPr>
        <w:t xml:space="preserve"> Elena Carpanelli ‘Article 44 – Jurisdiction’.</w:t>
      </w:r>
    </w:p>
  </w:footnote>
  <w:footnote w:id="3">
    <w:p w14:paraId="0000002D" w14:textId="3FD64570"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w:t>
      </w:r>
      <w:proofErr w:type="spellStart"/>
      <w:r w:rsidRPr="001F5C7C">
        <w:rPr>
          <w:rFonts w:eastAsia="Arial"/>
          <w:color w:val="000000"/>
          <w:sz w:val="20"/>
          <w:szCs w:val="20"/>
        </w:rPr>
        <w:t>Co</w:t>
      </w:r>
      <w:r w:rsidR="004F09AA">
        <w:rPr>
          <w:rFonts w:eastAsia="Arial"/>
          <w:color w:val="000000"/>
          <w:sz w:val="20"/>
          <w:szCs w:val="20"/>
        </w:rPr>
        <w:t>E</w:t>
      </w:r>
      <w:proofErr w:type="spellEnd"/>
      <w:r w:rsidR="007626A0">
        <w:rPr>
          <w:rFonts w:eastAsia="Arial"/>
          <w:color w:val="000000"/>
          <w:sz w:val="20"/>
          <w:szCs w:val="20"/>
        </w:rPr>
        <w:t>, ‘</w:t>
      </w:r>
      <w:r w:rsidRPr="001F5C7C">
        <w:rPr>
          <w:rFonts w:eastAsia="Arial"/>
          <w:color w:val="000000"/>
          <w:sz w:val="20"/>
          <w:szCs w:val="20"/>
        </w:rPr>
        <w:t>Explanatory Report to the Council of Europe Convention on preventing and combating violence against women and domestic violence</w:t>
      </w:r>
      <w:r w:rsidR="007626A0">
        <w:rPr>
          <w:rFonts w:eastAsia="Arial"/>
          <w:color w:val="000000"/>
          <w:sz w:val="20"/>
          <w:szCs w:val="20"/>
        </w:rPr>
        <w:t>’</w:t>
      </w:r>
      <w:r w:rsidRPr="001F5C7C">
        <w:rPr>
          <w:rFonts w:eastAsia="Arial"/>
          <w:color w:val="000000"/>
          <w:sz w:val="20"/>
          <w:szCs w:val="20"/>
        </w:rPr>
        <w:t xml:space="preserve"> (11 May 2011) 63.</w:t>
      </w:r>
    </w:p>
  </w:footnote>
  <w:footnote w:id="4">
    <w:p w14:paraId="0000002E" w14:textId="27434687"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Home Office of the United Kingdom, </w:t>
      </w:r>
      <w:r w:rsidR="007626A0">
        <w:rPr>
          <w:rFonts w:eastAsia="Arial"/>
          <w:color w:val="000000"/>
          <w:sz w:val="20"/>
          <w:szCs w:val="20"/>
        </w:rPr>
        <w:t>‘</w:t>
      </w:r>
      <w:r w:rsidRPr="001F5C7C">
        <w:rPr>
          <w:rFonts w:eastAsia="Arial"/>
          <w:color w:val="000000"/>
          <w:sz w:val="20"/>
          <w:szCs w:val="20"/>
        </w:rPr>
        <w:t>Ratification of the Council of Europe Convention on Combating Violence Against Women and Girls and Domestic Violence (Istanbul Convention) - 20</w:t>
      </w:r>
      <w:r w:rsidR="00E43282" w:rsidRPr="001F5C7C">
        <w:rPr>
          <w:rFonts w:eastAsia="Arial"/>
          <w:color w:val="000000"/>
          <w:sz w:val="20"/>
          <w:szCs w:val="20"/>
        </w:rPr>
        <w:t>20</w:t>
      </w:r>
      <w:r w:rsidRPr="001F5C7C">
        <w:rPr>
          <w:rFonts w:eastAsia="Arial"/>
          <w:color w:val="000000"/>
          <w:sz w:val="20"/>
          <w:szCs w:val="20"/>
        </w:rPr>
        <w:t xml:space="preserve"> Report on Progress</w:t>
      </w:r>
      <w:r w:rsidR="004F09AA">
        <w:rPr>
          <w:rFonts w:eastAsia="Arial"/>
          <w:color w:val="000000"/>
          <w:sz w:val="20"/>
          <w:szCs w:val="20"/>
        </w:rPr>
        <w:t xml:space="preserve">’ </w:t>
      </w:r>
      <w:r w:rsidRPr="001F5C7C">
        <w:rPr>
          <w:rFonts w:eastAsia="Arial"/>
          <w:color w:val="000000"/>
          <w:sz w:val="20"/>
          <w:szCs w:val="20"/>
        </w:rPr>
        <w:t>(20</w:t>
      </w:r>
      <w:r w:rsidR="00E43282" w:rsidRPr="001F5C7C">
        <w:rPr>
          <w:rFonts w:eastAsia="Arial"/>
          <w:color w:val="000000"/>
          <w:sz w:val="20"/>
          <w:szCs w:val="20"/>
        </w:rPr>
        <w:t>20</w:t>
      </w:r>
      <w:r w:rsidRPr="001F5C7C">
        <w:rPr>
          <w:rFonts w:eastAsia="Arial"/>
          <w:color w:val="000000"/>
          <w:sz w:val="20"/>
          <w:szCs w:val="20"/>
        </w:rPr>
        <w:t>).</w:t>
      </w:r>
      <w:r w:rsidR="00E43282" w:rsidRPr="001F5C7C">
        <w:rPr>
          <w:rFonts w:eastAsia="Arial"/>
          <w:color w:val="000000"/>
          <w:sz w:val="20"/>
          <w:szCs w:val="20"/>
        </w:rPr>
        <w:t xml:space="preserve"> </w:t>
      </w:r>
    </w:p>
  </w:footnote>
  <w:footnote w:id="5">
    <w:p w14:paraId="0000002F" w14:textId="121929EC"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w:t>
      </w:r>
      <w:proofErr w:type="spellStart"/>
      <w:r w:rsidR="004F09AA">
        <w:rPr>
          <w:rFonts w:eastAsia="Arial"/>
          <w:color w:val="000000"/>
          <w:sz w:val="20"/>
          <w:szCs w:val="20"/>
        </w:rPr>
        <w:t>CoE</w:t>
      </w:r>
      <w:proofErr w:type="spellEnd"/>
      <w:r w:rsidR="004F09AA">
        <w:rPr>
          <w:rFonts w:eastAsia="Arial"/>
          <w:color w:val="000000"/>
          <w:sz w:val="20"/>
          <w:szCs w:val="20"/>
        </w:rPr>
        <w:t xml:space="preserve">, </w:t>
      </w:r>
      <w:r w:rsidRPr="001F5C7C">
        <w:rPr>
          <w:rFonts w:eastAsia="Arial"/>
          <w:color w:val="000000"/>
          <w:sz w:val="20"/>
          <w:szCs w:val="20"/>
        </w:rPr>
        <w:t xml:space="preserve">Explanatory Report </w:t>
      </w:r>
      <w:r w:rsidR="004F09AA">
        <w:rPr>
          <w:rFonts w:eastAsia="Arial"/>
          <w:color w:val="000000"/>
          <w:sz w:val="20"/>
          <w:szCs w:val="20"/>
        </w:rPr>
        <w:t>(n</w:t>
      </w:r>
      <w:r w:rsidRPr="001F5C7C">
        <w:rPr>
          <w:rFonts w:eastAsia="Arial"/>
          <w:color w:val="000000"/>
          <w:sz w:val="20"/>
          <w:szCs w:val="20"/>
        </w:rPr>
        <w:t xml:space="preserve"> </w:t>
      </w:r>
      <w:r w:rsidR="004F09AA">
        <w:rPr>
          <w:rFonts w:eastAsia="Arial"/>
          <w:color w:val="000000"/>
          <w:sz w:val="20"/>
          <w:szCs w:val="20"/>
        </w:rPr>
        <w:t xml:space="preserve">3) </w:t>
      </w:r>
      <w:r w:rsidRPr="001F5C7C">
        <w:rPr>
          <w:rFonts w:eastAsia="Arial"/>
          <w:color w:val="000000"/>
          <w:sz w:val="20"/>
          <w:szCs w:val="20"/>
        </w:rPr>
        <w:t>63.</w:t>
      </w:r>
    </w:p>
  </w:footnote>
  <w:footnote w:id="6">
    <w:p w14:paraId="00000030" w14:textId="703E76B5"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Denmark made, for example, a similar declaration on 19 September 2007 regarding the Council of Europe Convention on Action against Trafficking in Human Beings (adopted 16 May 2005, entered into force 1 February 2008) CETS No 197, on 12 February 2018 regarding the Council of Europe Convention on Laundering, Search, Seizure and Confiscation of the Proceeds from Crime and on the Financing of Terrorism (adopted on 16 May 2005, entered into force of 1 may 2008) CETS No 198, on 18 November 2009 regarding the Council of Europe Convention on the Protection of Children against Sexual Exploitation and Sexual Abuse (adopted on 25 October 2007, entered into force on 1 July 2010) CETS No 201</w:t>
      </w:r>
      <w:r w:rsidR="00862AA7" w:rsidRPr="001F5C7C">
        <w:rPr>
          <w:rFonts w:eastAsia="Arial"/>
          <w:color w:val="000000"/>
          <w:sz w:val="20"/>
          <w:szCs w:val="20"/>
        </w:rPr>
        <w:t xml:space="preserve"> </w:t>
      </w:r>
      <w:r w:rsidRPr="001F5C7C">
        <w:rPr>
          <w:rFonts w:eastAsia="Arial"/>
          <w:color w:val="000000"/>
          <w:sz w:val="20"/>
          <w:szCs w:val="20"/>
        </w:rPr>
        <w:t xml:space="preserve">and on 3 February 2012 regarding the European Convention on the Adoption of Children (Revised) (adopted on 27 November 2008, entered into force on 1 </w:t>
      </w:r>
      <w:r w:rsidR="00862AA7" w:rsidRPr="001F5C7C">
        <w:rPr>
          <w:rFonts w:eastAsia="Arial"/>
          <w:color w:val="000000"/>
          <w:sz w:val="20"/>
          <w:szCs w:val="20"/>
        </w:rPr>
        <w:t>September 2011) CETS No 202</w:t>
      </w:r>
      <w:r w:rsidRPr="001F5C7C">
        <w:rPr>
          <w:rFonts w:eastAsia="Arial"/>
          <w:color w:val="000000"/>
          <w:sz w:val="20"/>
          <w:szCs w:val="20"/>
        </w:rPr>
        <w:t>.</w:t>
      </w:r>
    </w:p>
  </w:footnote>
  <w:footnote w:id="7">
    <w:p w14:paraId="00000031" w14:textId="365F0821"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Convention on the Elimination of All Forms of Discrimination against Women (adopted 18 December 1979, entered into force 3 September 1981) UNTS vol 1249,</w:t>
      </w:r>
      <w:r w:rsidR="004F09AA">
        <w:rPr>
          <w:rFonts w:eastAsia="Arial"/>
          <w:color w:val="000000"/>
          <w:sz w:val="20"/>
          <w:szCs w:val="20"/>
        </w:rPr>
        <w:t xml:space="preserve"> </w:t>
      </w:r>
      <w:r w:rsidRPr="001F5C7C">
        <w:rPr>
          <w:rFonts w:eastAsia="Arial"/>
          <w:color w:val="000000"/>
          <w:sz w:val="20"/>
          <w:szCs w:val="20"/>
        </w:rPr>
        <w:t>13.</w:t>
      </w:r>
    </w:p>
  </w:footnote>
  <w:footnote w:id="8">
    <w:p w14:paraId="00000032" w14:textId="623CEC5F"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Optional Protocol to the Convention on the Elimination of All forms of Discrimination against Women (adopted on 6 October 1999, entered into force on 22 December 2000) UNTS vol 2131, 83.</w:t>
      </w:r>
    </w:p>
  </w:footnote>
  <w:footnote w:id="9">
    <w:p w14:paraId="00000033" w14:textId="757D173F" w:rsidR="002D7C66" w:rsidRPr="001F5C7C" w:rsidRDefault="00BB6175">
      <w:pPr>
        <w:pBdr>
          <w:top w:val="nil"/>
          <w:left w:val="nil"/>
          <w:bottom w:val="nil"/>
          <w:right w:val="nil"/>
          <w:between w:val="nil"/>
        </w:pBdr>
        <w:spacing w:line="240" w:lineRule="auto"/>
        <w:jc w:val="both"/>
        <w:rPr>
          <w:rFonts w:eastAsia="Arial"/>
          <w:color w:val="000000"/>
          <w:sz w:val="20"/>
          <w:szCs w:val="20"/>
          <w:lang w:val="da-DK"/>
        </w:rPr>
      </w:pPr>
      <w:r w:rsidRPr="001F5C7C">
        <w:rPr>
          <w:rStyle w:val="FootnoteReference"/>
          <w:sz w:val="20"/>
          <w:szCs w:val="20"/>
        </w:rPr>
        <w:footnoteRef/>
      </w:r>
      <w:r w:rsidRPr="001F5C7C">
        <w:rPr>
          <w:rFonts w:eastAsia="Arial"/>
          <w:color w:val="000000"/>
          <w:sz w:val="20"/>
          <w:szCs w:val="20"/>
          <w:lang w:val="da-DK"/>
        </w:rPr>
        <w:t xml:space="preserve"> Ministry of Justice of Denmark, </w:t>
      </w:r>
      <w:r w:rsidR="004F09AA">
        <w:rPr>
          <w:rFonts w:eastAsia="Arial"/>
          <w:color w:val="000000"/>
          <w:sz w:val="20"/>
          <w:szCs w:val="20"/>
          <w:lang w:val="da-DK"/>
        </w:rPr>
        <w:t>‘F</w:t>
      </w:r>
      <w:r w:rsidRPr="001F5C7C">
        <w:rPr>
          <w:rFonts w:eastAsia="Arial"/>
          <w:color w:val="000000"/>
          <w:sz w:val="20"/>
          <w:szCs w:val="20"/>
          <w:lang w:val="da-DK"/>
        </w:rPr>
        <w:t>orslag til Lov om ændring af straffeloven (Gennemførelse af Europarådets konvention til forebyggelse og bekæmpelse af vold mod kvinder og vold i hjemmet)</w:t>
      </w:r>
      <w:r w:rsidR="004F09AA">
        <w:rPr>
          <w:rFonts w:eastAsia="Arial"/>
          <w:color w:val="000000"/>
          <w:sz w:val="20"/>
          <w:szCs w:val="20"/>
          <w:lang w:val="da-DK"/>
        </w:rPr>
        <w:t>’ (</w:t>
      </w:r>
      <w:r w:rsidRPr="001F5C7C">
        <w:rPr>
          <w:rFonts w:eastAsia="Arial"/>
          <w:color w:val="000000"/>
          <w:sz w:val="20"/>
          <w:szCs w:val="20"/>
          <w:lang w:val="da-DK"/>
        </w:rPr>
        <w:t>2013</w:t>
      </w:r>
      <w:r w:rsidR="004F09AA">
        <w:rPr>
          <w:rFonts w:eastAsia="Arial"/>
          <w:color w:val="000000"/>
          <w:sz w:val="20"/>
          <w:szCs w:val="20"/>
          <w:lang w:val="da-DK"/>
        </w:rPr>
        <w:t>)</w:t>
      </w:r>
      <w:r w:rsidRPr="001F5C7C">
        <w:rPr>
          <w:rFonts w:eastAsia="Arial"/>
          <w:color w:val="000000"/>
          <w:sz w:val="20"/>
          <w:szCs w:val="20"/>
          <w:lang w:val="da-DK"/>
        </w:rPr>
        <w:t>, point 2.4.6.</w:t>
      </w:r>
    </w:p>
  </w:footnote>
  <w:footnote w:id="10">
    <w:p w14:paraId="00000034" w14:textId="4FDAFFB8" w:rsidR="002D7C66" w:rsidRPr="001F5C7C" w:rsidRDefault="00BB6175" w:rsidP="00CC348E">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w:t>
      </w:r>
      <w:r w:rsidRPr="001F5C7C">
        <w:rPr>
          <w:rFonts w:eastAsia="Arial"/>
          <w:sz w:val="20"/>
          <w:szCs w:val="20"/>
        </w:rPr>
        <w:t xml:space="preserve">Danish Institute for Human Rights, </w:t>
      </w:r>
      <w:r w:rsidR="004F09AA" w:rsidRPr="001F5C7C">
        <w:rPr>
          <w:rFonts w:eastAsia="Arial"/>
          <w:sz w:val="20"/>
          <w:szCs w:val="20"/>
        </w:rPr>
        <w:t>‘</w:t>
      </w:r>
      <w:r w:rsidRPr="001F5C7C">
        <w:rPr>
          <w:rFonts w:eastAsia="Arial"/>
          <w:sz w:val="20"/>
          <w:szCs w:val="20"/>
        </w:rPr>
        <w:t>Parallel Report CEDAW (2020) 9th Examination of Denmark</w:t>
      </w:r>
      <w:r w:rsidR="004F09AA" w:rsidRPr="001F5C7C">
        <w:rPr>
          <w:rFonts w:eastAsia="Arial"/>
          <w:sz w:val="20"/>
          <w:szCs w:val="20"/>
        </w:rPr>
        <w:t>’</w:t>
      </w:r>
      <w:r w:rsidRPr="001F5C7C">
        <w:rPr>
          <w:rFonts w:eastAsia="Arial"/>
          <w:sz w:val="20"/>
          <w:szCs w:val="20"/>
        </w:rPr>
        <w:t xml:space="preserve"> </w:t>
      </w:r>
      <w:r w:rsidR="004F09AA" w:rsidRPr="001F5C7C">
        <w:rPr>
          <w:rFonts w:eastAsia="Arial"/>
          <w:sz w:val="20"/>
          <w:szCs w:val="20"/>
        </w:rPr>
        <w:t>(</w:t>
      </w:r>
      <w:r w:rsidRPr="001F5C7C">
        <w:rPr>
          <w:rFonts w:eastAsia="Arial"/>
          <w:sz w:val="20"/>
          <w:szCs w:val="20"/>
        </w:rPr>
        <w:t>2020</w:t>
      </w:r>
      <w:r w:rsidR="004F09AA" w:rsidRPr="001F5C7C">
        <w:rPr>
          <w:rFonts w:eastAsia="Arial"/>
          <w:sz w:val="20"/>
          <w:szCs w:val="20"/>
        </w:rPr>
        <w:t xml:space="preserve">) </w:t>
      </w:r>
      <w:r w:rsidRPr="001F5C7C">
        <w:rPr>
          <w:rFonts w:eastAsia="Arial"/>
          <w:sz w:val="20"/>
          <w:szCs w:val="20"/>
        </w:rPr>
        <w:t>13-14</w:t>
      </w:r>
      <w:r w:rsidR="004F09AA" w:rsidRPr="001F5C7C">
        <w:rPr>
          <w:rFonts w:eastAsia="Arial"/>
          <w:sz w:val="20"/>
          <w:szCs w:val="20"/>
        </w:rPr>
        <w:t>, available at &lt;</w:t>
      </w:r>
      <w:r w:rsidR="004F09AA" w:rsidRPr="001F5C7C">
        <w:rPr>
          <w:rFonts w:eastAsia="Arial"/>
          <w:sz w:val="20"/>
          <w:szCs w:val="20"/>
          <w:u w:val="single"/>
        </w:rPr>
        <w:t>https://tbinternet.ohchr.org/Treaties/CEDAW/Shared%20Documents/DNK/INT_CEDAW_IFL_DNK_37391_E.pdf</w:t>
      </w:r>
      <w:r w:rsidR="004F09AA" w:rsidRPr="001F5C7C">
        <w:rPr>
          <w:rFonts w:eastAsia="Arial"/>
          <w:sz w:val="20"/>
          <w:szCs w:val="20"/>
        </w:rPr>
        <w:t>&gt; accessed</w:t>
      </w:r>
      <w:r w:rsidRPr="001F5C7C">
        <w:rPr>
          <w:rFonts w:eastAsia="Arial"/>
          <w:sz w:val="20"/>
          <w:szCs w:val="20"/>
        </w:rPr>
        <w:t xml:space="preserve"> </w:t>
      </w:r>
      <w:r w:rsidR="00CC348E" w:rsidRPr="001F5C7C">
        <w:rPr>
          <w:rFonts w:eastAsia="Arial"/>
          <w:sz w:val="20"/>
          <w:szCs w:val="20"/>
        </w:rPr>
        <w:t>6</w:t>
      </w:r>
      <w:r w:rsidRPr="001F5C7C">
        <w:rPr>
          <w:rFonts w:eastAsia="Arial"/>
          <w:sz w:val="20"/>
          <w:szCs w:val="20"/>
        </w:rPr>
        <w:t xml:space="preserve"> </w:t>
      </w:r>
      <w:r w:rsidR="00CC348E" w:rsidRPr="001F5C7C">
        <w:rPr>
          <w:rFonts w:eastAsia="Arial"/>
          <w:sz w:val="20"/>
          <w:szCs w:val="20"/>
        </w:rPr>
        <w:t>February</w:t>
      </w:r>
      <w:r w:rsidRPr="001F5C7C">
        <w:rPr>
          <w:rFonts w:eastAsia="Arial"/>
          <w:sz w:val="20"/>
          <w:szCs w:val="20"/>
        </w:rPr>
        <w:t xml:space="preserve"> 202</w:t>
      </w:r>
      <w:r w:rsidR="00CC348E" w:rsidRPr="001F5C7C">
        <w:rPr>
          <w:rFonts w:eastAsia="Arial"/>
          <w:sz w:val="20"/>
          <w:szCs w:val="20"/>
        </w:rPr>
        <w:t>2</w:t>
      </w:r>
      <w:r w:rsidRPr="001F5C7C">
        <w:rPr>
          <w:rFonts w:eastAsia="Arial"/>
          <w:sz w:val="20"/>
          <w:szCs w:val="20"/>
        </w:rPr>
        <w:t>.</w:t>
      </w:r>
    </w:p>
  </w:footnote>
  <w:footnote w:id="11">
    <w:p w14:paraId="00000035" w14:textId="13BADEE3"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Danish Institute for Human Rights, </w:t>
      </w:r>
      <w:r w:rsidR="004F09AA">
        <w:rPr>
          <w:rFonts w:eastAsia="Arial"/>
          <w:smallCaps/>
          <w:color w:val="000000"/>
          <w:sz w:val="20"/>
          <w:szCs w:val="20"/>
        </w:rPr>
        <w:t>‘</w:t>
      </w:r>
      <w:proofErr w:type="spellStart"/>
      <w:r w:rsidRPr="001F5C7C">
        <w:rPr>
          <w:rFonts w:eastAsia="Arial"/>
          <w:smallCaps/>
          <w:color w:val="000000"/>
          <w:sz w:val="20"/>
          <w:szCs w:val="20"/>
        </w:rPr>
        <w:t>L</w:t>
      </w:r>
      <w:r w:rsidRPr="001F5C7C">
        <w:rPr>
          <w:rFonts w:eastAsia="Arial"/>
          <w:color w:val="000000"/>
          <w:sz w:val="20"/>
          <w:szCs w:val="20"/>
        </w:rPr>
        <w:t>igebehandlung</w:t>
      </w:r>
      <w:proofErr w:type="spellEnd"/>
      <w:r w:rsidRPr="001F5C7C">
        <w:rPr>
          <w:rFonts w:eastAsia="Arial"/>
          <w:color w:val="000000"/>
          <w:sz w:val="20"/>
          <w:szCs w:val="20"/>
        </w:rPr>
        <w:t>-Status</w:t>
      </w:r>
      <w:r w:rsidRPr="001F5C7C">
        <w:rPr>
          <w:rFonts w:eastAsia="Arial"/>
          <w:smallCaps/>
          <w:color w:val="000000"/>
          <w:sz w:val="20"/>
          <w:szCs w:val="20"/>
        </w:rPr>
        <w:t xml:space="preserve"> I </w:t>
      </w:r>
      <w:proofErr w:type="spellStart"/>
      <w:r w:rsidRPr="001F5C7C">
        <w:rPr>
          <w:rFonts w:eastAsia="Arial"/>
          <w:color w:val="000000"/>
          <w:sz w:val="20"/>
          <w:szCs w:val="20"/>
        </w:rPr>
        <w:t>Grønland</w:t>
      </w:r>
      <w:proofErr w:type="spellEnd"/>
      <w:r w:rsidRPr="001F5C7C">
        <w:rPr>
          <w:rFonts w:eastAsia="Arial"/>
          <w:color w:val="000000"/>
          <w:sz w:val="20"/>
          <w:szCs w:val="20"/>
        </w:rPr>
        <w:t xml:space="preserve"> 2019</w:t>
      </w:r>
      <w:r w:rsidR="004F09AA">
        <w:rPr>
          <w:rFonts w:eastAsia="Arial"/>
          <w:color w:val="000000"/>
          <w:sz w:val="20"/>
          <w:szCs w:val="20"/>
        </w:rPr>
        <w:t>’</w:t>
      </w:r>
      <w:r w:rsidRPr="001F5C7C">
        <w:rPr>
          <w:rFonts w:eastAsia="Arial"/>
          <w:color w:val="000000"/>
          <w:sz w:val="20"/>
          <w:szCs w:val="20"/>
        </w:rPr>
        <w:t xml:space="preserve"> </w:t>
      </w:r>
      <w:r w:rsidR="004F09AA">
        <w:rPr>
          <w:rFonts w:eastAsia="Arial"/>
          <w:color w:val="000000"/>
          <w:sz w:val="20"/>
          <w:szCs w:val="20"/>
        </w:rPr>
        <w:t>(</w:t>
      </w:r>
      <w:r w:rsidRPr="001F5C7C">
        <w:rPr>
          <w:rFonts w:eastAsia="Arial"/>
          <w:color w:val="000000"/>
          <w:sz w:val="20"/>
          <w:szCs w:val="20"/>
        </w:rPr>
        <w:t>2019</w:t>
      </w:r>
      <w:r w:rsidR="004F09AA">
        <w:rPr>
          <w:rFonts w:eastAsia="Arial"/>
          <w:color w:val="000000"/>
          <w:sz w:val="20"/>
          <w:szCs w:val="20"/>
        </w:rPr>
        <w:t xml:space="preserve">) </w:t>
      </w:r>
      <w:r w:rsidRPr="001F5C7C">
        <w:rPr>
          <w:rFonts w:eastAsia="Arial"/>
          <w:color w:val="000000"/>
          <w:sz w:val="20"/>
          <w:szCs w:val="20"/>
        </w:rPr>
        <w:t xml:space="preserve">16 and Inuit </w:t>
      </w:r>
      <w:proofErr w:type="spellStart"/>
      <w:r w:rsidRPr="001F5C7C">
        <w:rPr>
          <w:rFonts w:eastAsia="Arial"/>
          <w:color w:val="000000"/>
          <w:sz w:val="20"/>
          <w:szCs w:val="20"/>
        </w:rPr>
        <w:t>Pisinnaatitaaffiinut</w:t>
      </w:r>
      <w:proofErr w:type="spellEnd"/>
      <w:r w:rsidRPr="001F5C7C">
        <w:rPr>
          <w:rFonts w:eastAsia="Arial"/>
          <w:color w:val="000000"/>
          <w:sz w:val="20"/>
          <w:szCs w:val="20"/>
        </w:rPr>
        <w:t xml:space="preserve"> </w:t>
      </w:r>
      <w:proofErr w:type="spellStart"/>
      <w:r w:rsidRPr="001F5C7C">
        <w:rPr>
          <w:rFonts w:eastAsia="Arial"/>
          <w:color w:val="000000"/>
          <w:sz w:val="20"/>
          <w:szCs w:val="20"/>
        </w:rPr>
        <w:t>Instituti</w:t>
      </w:r>
      <w:proofErr w:type="spellEnd"/>
      <w:r w:rsidRPr="001F5C7C">
        <w:rPr>
          <w:rFonts w:eastAsia="Arial"/>
          <w:color w:val="000000"/>
          <w:sz w:val="20"/>
          <w:szCs w:val="20"/>
        </w:rPr>
        <w:t xml:space="preserve">, </w:t>
      </w:r>
      <w:r w:rsidR="004F09AA">
        <w:rPr>
          <w:rFonts w:eastAsia="Arial"/>
          <w:color w:val="000000"/>
          <w:sz w:val="20"/>
          <w:szCs w:val="20"/>
        </w:rPr>
        <w:t>‘</w:t>
      </w:r>
      <w:proofErr w:type="spellStart"/>
      <w:r w:rsidRPr="001F5C7C">
        <w:rPr>
          <w:rFonts w:eastAsia="Arial"/>
          <w:color w:val="000000"/>
          <w:sz w:val="20"/>
          <w:szCs w:val="20"/>
        </w:rPr>
        <w:t>Naligiissitaaneq</w:t>
      </w:r>
      <w:proofErr w:type="spellEnd"/>
      <w:r w:rsidRPr="001F5C7C">
        <w:rPr>
          <w:rFonts w:eastAsia="Arial"/>
          <w:color w:val="000000"/>
          <w:sz w:val="20"/>
          <w:szCs w:val="20"/>
        </w:rPr>
        <w:t xml:space="preserve"> </w:t>
      </w:r>
      <w:r w:rsidRPr="001F5C7C">
        <w:rPr>
          <w:rFonts w:eastAsia="Arial"/>
          <w:smallCaps/>
          <w:color w:val="000000"/>
          <w:sz w:val="20"/>
          <w:szCs w:val="20"/>
        </w:rPr>
        <w:t>I</w:t>
      </w:r>
      <w:r w:rsidRPr="001F5C7C">
        <w:rPr>
          <w:rFonts w:eastAsia="Arial"/>
          <w:color w:val="000000"/>
          <w:sz w:val="20"/>
          <w:szCs w:val="20"/>
        </w:rPr>
        <w:t xml:space="preserve"> Kalaallit </w:t>
      </w:r>
      <w:proofErr w:type="spellStart"/>
      <w:r w:rsidRPr="001F5C7C">
        <w:rPr>
          <w:rFonts w:eastAsia="Arial"/>
          <w:color w:val="000000"/>
          <w:sz w:val="20"/>
          <w:szCs w:val="20"/>
        </w:rPr>
        <w:t>Nunaanni</w:t>
      </w:r>
      <w:proofErr w:type="spellEnd"/>
      <w:r w:rsidRPr="001F5C7C">
        <w:rPr>
          <w:rFonts w:eastAsia="Arial"/>
          <w:color w:val="000000"/>
          <w:sz w:val="20"/>
          <w:szCs w:val="20"/>
        </w:rPr>
        <w:t xml:space="preserve"> </w:t>
      </w:r>
      <w:proofErr w:type="spellStart"/>
      <w:r w:rsidRPr="001F5C7C">
        <w:rPr>
          <w:rFonts w:eastAsia="Arial"/>
          <w:color w:val="000000"/>
          <w:sz w:val="20"/>
          <w:szCs w:val="20"/>
        </w:rPr>
        <w:t>Killiffik</w:t>
      </w:r>
      <w:proofErr w:type="spellEnd"/>
      <w:r w:rsidRPr="001F5C7C">
        <w:rPr>
          <w:rFonts w:eastAsia="Arial"/>
          <w:color w:val="000000"/>
          <w:sz w:val="20"/>
          <w:szCs w:val="20"/>
        </w:rPr>
        <w:t xml:space="preserve"> 2019</w:t>
      </w:r>
      <w:r w:rsidR="004F09AA">
        <w:rPr>
          <w:rFonts w:eastAsia="Arial"/>
          <w:color w:val="000000"/>
          <w:sz w:val="20"/>
          <w:szCs w:val="20"/>
        </w:rPr>
        <w:t>’</w:t>
      </w:r>
      <w:r w:rsidRPr="001F5C7C">
        <w:rPr>
          <w:rFonts w:eastAsia="Arial"/>
          <w:color w:val="000000"/>
          <w:sz w:val="20"/>
          <w:szCs w:val="20"/>
        </w:rPr>
        <w:t xml:space="preserve"> </w:t>
      </w:r>
      <w:r w:rsidR="004F09AA">
        <w:rPr>
          <w:rFonts w:eastAsia="Arial"/>
          <w:color w:val="000000"/>
          <w:sz w:val="20"/>
          <w:szCs w:val="20"/>
        </w:rPr>
        <w:t>(</w:t>
      </w:r>
      <w:r w:rsidRPr="001F5C7C">
        <w:rPr>
          <w:rFonts w:eastAsia="Arial"/>
          <w:color w:val="000000"/>
          <w:sz w:val="20"/>
          <w:szCs w:val="20"/>
        </w:rPr>
        <w:t>2019</w:t>
      </w:r>
      <w:r w:rsidR="004F09AA">
        <w:rPr>
          <w:rFonts w:eastAsia="Arial"/>
          <w:color w:val="000000"/>
          <w:sz w:val="20"/>
          <w:szCs w:val="20"/>
        </w:rPr>
        <w:t xml:space="preserve">) </w:t>
      </w:r>
      <w:r w:rsidRPr="001F5C7C">
        <w:rPr>
          <w:rFonts w:eastAsia="Arial"/>
          <w:color w:val="000000"/>
          <w:sz w:val="20"/>
          <w:szCs w:val="20"/>
        </w:rPr>
        <w:t>23. The Human Rights Council of Greenland is the Danish Institute for Human Rights</w:t>
      </w:r>
      <w:r w:rsidR="004F09AA">
        <w:rPr>
          <w:rFonts w:eastAsia="Arial"/>
          <w:color w:val="000000"/>
          <w:sz w:val="20"/>
          <w:szCs w:val="20"/>
        </w:rPr>
        <w:t>’</w:t>
      </w:r>
      <w:r w:rsidRPr="001F5C7C">
        <w:rPr>
          <w:rFonts w:eastAsia="Arial"/>
          <w:color w:val="000000"/>
          <w:sz w:val="20"/>
          <w:szCs w:val="20"/>
        </w:rPr>
        <w:t xml:space="preserve"> main partner in Greenland. The information and recommendations for Greenland are usually produced in cooperation between these two bodies. It should be noted that the Danish Institute for Human Rights does not have a mandate to cover the Faroe Islands. </w:t>
      </w:r>
    </w:p>
  </w:footnote>
  <w:footnote w:id="12">
    <w:p w14:paraId="4B403C1E" w14:textId="030560DE" w:rsidR="00A86B17" w:rsidRPr="001F5C7C" w:rsidRDefault="00A86B17" w:rsidP="001F5C7C">
      <w:pPr>
        <w:pStyle w:val="Default"/>
        <w:jc w:val="both"/>
        <w:rPr>
          <w:rFonts w:eastAsia="Arial"/>
          <w:sz w:val="20"/>
          <w:szCs w:val="20"/>
        </w:rPr>
      </w:pPr>
      <w:r w:rsidRPr="001F5C7C">
        <w:rPr>
          <w:rStyle w:val="FootnoteReference"/>
          <w:sz w:val="20"/>
          <w:szCs w:val="20"/>
        </w:rPr>
        <w:footnoteRef/>
      </w:r>
      <w:r w:rsidRPr="001F5C7C">
        <w:rPr>
          <w:sz w:val="20"/>
          <w:szCs w:val="20"/>
        </w:rPr>
        <w:t xml:space="preserve"> </w:t>
      </w:r>
      <w:r w:rsidRPr="001F5C7C">
        <w:rPr>
          <w:rFonts w:eastAsia="Arial"/>
          <w:sz w:val="20"/>
          <w:szCs w:val="20"/>
        </w:rPr>
        <w:t xml:space="preserve">Committee on the Elimination of Discrimination against Women, Concluding observations on the ninth periodic report on Denmark of 9 March 2021, </w:t>
      </w:r>
      <w:r w:rsidR="004F09AA">
        <w:rPr>
          <w:rFonts w:eastAsia="Arial"/>
          <w:sz w:val="20"/>
          <w:szCs w:val="20"/>
        </w:rPr>
        <w:t xml:space="preserve">UN Doc. </w:t>
      </w:r>
      <w:r w:rsidR="00BB6175" w:rsidRPr="001F5C7C">
        <w:rPr>
          <w:rFonts w:eastAsia="Arial"/>
          <w:sz w:val="20"/>
          <w:szCs w:val="20"/>
        </w:rPr>
        <w:t xml:space="preserve">CEDAW C/DNK/CO/9, </w:t>
      </w:r>
      <w:r w:rsidRPr="001F5C7C">
        <w:rPr>
          <w:rFonts w:eastAsia="Arial"/>
          <w:sz w:val="20"/>
          <w:szCs w:val="20"/>
        </w:rPr>
        <w:t>9</w:t>
      </w:r>
      <w:r w:rsidR="00BB6175" w:rsidRPr="001F5C7C">
        <w:rPr>
          <w:rFonts w:eastAsia="Arial"/>
          <w:sz w:val="20"/>
          <w:szCs w:val="20"/>
        </w:rPr>
        <w:t>.</w:t>
      </w:r>
    </w:p>
  </w:footnote>
  <w:footnote w:id="13">
    <w:p w14:paraId="00000036" w14:textId="62F4952E"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For more information: Ministry of Foreign Affairs of the Netherlands, </w:t>
      </w:r>
      <w:r w:rsidR="004F09AA">
        <w:rPr>
          <w:rFonts w:eastAsia="Arial"/>
          <w:color w:val="000000"/>
          <w:sz w:val="20"/>
          <w:szCs w:val="20"/>
        </w:rPr>
        <w:t>‘</w:t>
      </w:r>
      <w:r w:rsidRPr="001F5C7C">
        <w:rPr>
          <w:rFonts w:eastAsia="Arial"/>
          <w:color w:val="000000"/>
          <w:sz w:val="20"/>
          <w:szCs w:val="20"/>
        </w:rPr>
        <w:t>Kingdom of the Netherlands: One Kingdom - Four Countries; European and Caribbean</w:t>
      </w:r>
      <w:r w:rsidR="004F09AA">
        <w:rPr>
          <w:rFonts w:eastAsia="Arial"/>
          <w:color w:val="000000"/>
          <w:sz w:val="20"/>
          <w:szCs w:val="20"/>
        </w:rPr>
        <w:t>’</w:t>
      </w:r>
      <w:r w:rsidRPr="001F5C7C">
        <w:rPr>
          <w:rFonts w:eastAsia="Arial"/>
          <w:color w:val="000000"/>
          <w:sz w:val="20"/>
          <w:szCs w:val="20"/>
        </w:rPr>
        <w:t xml:space="preserve"> </w:t>
      </w:r>
      <w:r w:rsidR="004F09AA">
        <w:rPr>
          <w:rFonts w:eastAsia="Arial"/>
          <w:color w:val="000000"/>
          <w:sz w:val="20"/>
          <w:szCs w:val="20"/>
        </w:rPr>
        <w:t>(</w:t>
      </w:r>
      <w:r w:rsidRPr="001F5C7C">
        <w:rPr>
          <w:rFonts w:eastAsia="Arial"/>
          <w:color w:val="000000"/>
          <w:sz w:val="20"/>
          <w:szCs w:val="20"/>
        </w:rPr>
        <w:t>2015</w:t>
      </w:r>
      <w:r w:rsidR="004F09AA">
        <w:rPr>
          <w:rFonts w:eastAsia="Arial"/>
          <w:color w:val="000000"/>
          <w:sz w:val="20"/>
          <w:szCs w:val="20"/>
        </w:rPr>
        <w:t>)</w:t>
      </w:r>
      <w:r w:rsidRPr="001F5C7C">
        <w:rPr>
          <w:rFonts w:eastAsia="Arial"/>
          <w:color w:val="000000"/>
          <w:sz w:val="20"/>
          <w:szCs w:val="20"/>
        </w:rPr>
        <w:t xml:space="preserve">. </w:t>
      </w:r>
    </w:p>
  </w:footnote>
  <w:footnote w:id="14">
    <w:p w14:paraId="00000037" w14:textId="63C95A84"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The Netherlands made, for example, a similar declaration on 24 August 2017 regarding the Council of Europe Convention on Cinematographic Co-production (revised) (concluded on 30 January 2017, entered into force on 1 October 2017) CETS No 220, on 6 February 2020 regarding the Council of Europe Convention on Integrated Safety, Security and Service Approach At Football Matches and Other Sports Events (concluded on 3 July 2016, entered into force on 1 November 2017) CETS No 218, on 1 March 2010 regarding the Council of Europe Convention on the Protection of Children against Sexual Exploitation and Sexual Abuse (concluded on 25 October 2007, entered into force on 1 July 2010), CETS No 201 and on 16 February 2005 regarding the Framework Convention for the Protection of National Minorities (concluded on 1 February 1995, entered into force on 1 February 1998) ETS No 157.</w:t>
      </w:r>
    </w:p>
  </w:footnote>
  <w:footnote w:id="15">
    <w:p w14:paraId="00000038" w14:textId="6853CC5E"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The Netherlands accepted</w:t>
      </w:r>
      <w:r w:rsidR="003076E9" w:rsidRPr="001F5C7C">
        <w:rPr>
          <w:rFonts w:eastAsia="Arial"/>
          <w:color w:val="000000"/>
          <w:sz w:val="20"/>
          <w:szCs w:val="20"/>
        </w:rPr>
        <w:t xml:space="preserve"> in whole or in part</w:t>
      </w:r>
      <w:r w:rsidRPr="001F5C7C">
        <w:rPr>
          <w:rFonts w:eastAsia="Arial"/>
          <w:color w:val="000000"/>
          <w:sz w:val="20"/>
          <w:szCs w:val="20"/>
        </w:rPr>
        <w:t>, for example, the European Convention for the Prevention of Torture and Inhuman or Degrading Treatment or Punishment (adopted on 26 November 1987, entered into force on 1 February 1989), ETS No</w:t>
      </w:r>
      <w:r w:rsidR="006D4786">
        <w:rPr>
          <w:rFonts w:eastAsia="Arial"/>
          <w:color w:val="000000"/>
          <w:sz w:val="20"/>
          <w:szCs w:val="20"/>
        </w:rPr>
        <w:t xml:space="preserve"> </w:t>
      </w:r>
      <w:r w:rsidRPr="001F5C7C">
        <w:rPr>
          <w:rFonts w:eastAsia="Arial"/>
          <w:color w:val="000000"/>
          <w:sz w:val="20"/>
          <w:szCs w:val="20"/>
        </w:rPr>
        <w:t>126 for Curaçao, Sint Maarten, the Caribbean part of the Netherlands and Aruba in a declaration of 12 October 1988, the Council of Europe Convention on Action against Trafficking in Human Beings (adopted on 16 May 2005, entered into force on 1 February 2008), CETS No</w:t>
      </w:r>
      <w:r w:rsidR="00D337A5">
        <w:rPr>
          <w:rFonts w:eastAsia="Arial"/>
          <w:color w:val="000000"/>
          <w:sz w:val="20"/>
          <w:szCs w:val="20"/>
        </w:rPr>
        <w:t xml:space="preserve"> </w:t>
      </w:r>
      <w:r w:rsidRPr="001F5C7C">
        <w:rPr>
          <w:rFonts w:eastAsia="Arial"/>
          <w:color w:val="000000"/>
          <w:sz w:val="20"/>
          <w:szCs w:val="20"/>
        </w:rPr>
        <w:t xml:space="preserve">197 for Aruba </w:t>
      </w:r>
      <w:r w:rsidR="0013781F" w:rsidRPr="001F5C7C">
        <w:rPr>
          <w:rFonts w:eastAsia="Arial"/>
          <w:color w:val="000000"/>
          <w:sz w:val="20"/>
          <w:szCs w:val="20"/>
        </w:rPr>
        <w:t>in a declaration of 19 December</w:t>
      </w:r>
      <w:r w:rsidRPr="001F5C7C">
        <w:rPr>
          <w:rFonts w:eastAsia="Arial"/>
          <w:color w:val="000000"/>
          <w:sz w:val="20"/>
          <w:szCs w:val="20"/>
        </w:rPr>
        <w:t xml:space="preserve"> 2014 and also accepted </w:t>
      </w:r>
      <w:r w:rsidR="0013781F" w:rsidRPr="001F5C7C">
        <w:rPr>
          <w:rFonts w:eastAsia="Arial"/>
          <w:color w:val="000000"/>
          <w:sz w:val="20"/>
          <w:szCs w:val="20"/>
        </w:rPr>
        <w:t xml:space="preserve">part of </w:t>
      </w:r>
      <w:r w:rsidRPr="001F5C7C">
        <w:rPr>
          <w:rFonts w:eastAsia="Arial"/>
          <w:color w:val="000000"/>
          <w:sz w:val="20"/>
          <w:szCs w:val="20"/>
        </w:rPr>
        <w:t>the European Convention on the Adoption of Children (Revised) (adopted on 27 November 2008, entered into force on 1 September 2011) CETS No 202 for</w:t>
      </w:r>
      <w:r w:rsidR="003076E9" w:rsidRPr="001F5C7C">
        <w:rPr>
          <w:rFonts w:eastAsia="Arial"/>
          <w:color w:val="000000"/>
          <w:sz w:val="20"/>
          <w:szCs w:val="20"/>
        </w:rPr>
        <w:t xml:space="preserve"> Sint-Maarten,</w:t>
      </w:r>
      <w:r w:rsidRPr="001F5C7C">
        <w:rPr>
          <w:rFonts w:eastAsia="Arial"/>
          <w:color w:val="000000"/>
          <w:sz w:val="20"/>
          <w:szCs w:val="20"/>
        </w:rPr>
        <w:t xml:space="preserve"> the European part of the Netherlands, the Caribbean part of the Netherlands</w:t>
      </w:r>
      <w:r w:rsidR="0013781F" w:rsidRPr="001F5C7C">
        <w:rPr>
          <w:rFonts w:eastAsia="Arial"/>
          <w:color w:val="000000"/>
          <w:sz w:val="20"/>
          <w:szCs w:val="20"/>
        </w:rPr>
        <w:t>, Sint-Maarten,</w:t>
      </w:r>
      <w:r w:rsidRPr="001F5C7C">
        <w:rPr>
          <w:rFonts w:eastAsia="Arial"/>
          <w:color w:val="000000"/>
          <w:sz w:val="20"/>
          <w:szCs w:val="20"/>
        </w:rPr>
        <w:t xml:space="preserve"> and for Aruba and Curaçao pursuant to a declaration of 29 June 2012.</w:t>
      </w:r>
    </w:p>
  </w:footnote>
  <w:footnote w:id="16">
    <w:p w14:paraId="00000039" w14:textId="7F2A26BA"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Group of Experts on Action Violence against Violence against Women and Domestic Violence (GREVIO), </w:t>
      </w:r>
      <w:r w:rsidR="00D337A5">
        <w:rPr>
          <w:rFonts w:eastAsia="Arial"/>
          <w:color w:val="000000"/>
          <w:sz w:val="20"/>
          <w:szCs w:val="20"/>
        </w:rPr>
        <w:t>‘</w:t>
      </w:r>
      <w:r w:rsidRPr="001F5C7C">
        <w:rPr>
          <w:rFonts w:eastAsia="Arial"/>
          <w:color w:val="000000"/>
          <w:sz w:val="20"/>
          <w:szCs w:val="20"/>
        </w:rPr>
        <w:t>Baseline Evaluation Report Netherlands</w:t>
      </w:r>
      <w:r w:rsidR="00D337A5">
        <w:rPr>
          <w:rFonts w:eastAsia="Arial"/>
          <w:color w:val="000000"/>
          <w:sz w:val="20"/>
          <w:szCs w:val="20"/>
        </w:rPr>
        <w:t>’ (</w:t>
      </w:r>
      <w:r w:rsidRPr="001F5C7C">
        <w:rPr>
          <w:rFonts w:eastAsia="Arial"/>
          <w:color w:val="000000"/>
          <w:sz w:val="20"/>
          <w:szCs w:val="20"/>
        </w:rPr>
        <w:t>2019</w:t>
      </w:r>
      <w:r w:rsidR="00D337A5">
        <w:rPr>
          <w:rFonts w:eastAsia="Arial"/>
          <w:color w:val="000000"/>
          <w:sz w:val="20"/>
          <w:szCs w:val="20"/>
        </w:rPr>
        <w:t>)</w:t>
      </w:r>
      <w:r w:rsidRPr="001F5C7C">
        <w:rPr>
          <w:rFonts w:eastAsia="Arial"/>
          <w:color w:val="000000"/>
          <w:sz w:val="20"/>
          <w:szCs w:val="20"/>
        </w:rPr>
        <w:t xml:space="preserve"> GREVIO/Inf(2019)19 (GREVIO Report on the Netherlands). </w:t>
      </w:r>
    </w:p>
  </w:footnote>
  <w:footnote w:id="17">
    <w:p w14:paraId="0000003A" w14:textId="0F1CB8CA"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w:t>
      </w:r>
      <w:r w:rsidR="00D337A5" w:rsidRPr="001F5C7C">
        <w:rPr>
          <w:rFonts w:eastAsia="Arial"/>
          <w:i/>
          <w:iCs/>
          <w:color w:val="000000"/>
          <w:sz w:val="20"/>
          <w:szCs w:val="20"/>
        </w:rPr>
        <w:t>Id</w:t>
      </w:r>
      <w:r w:rsidR="00D337A5">
        <w:rPr>
          <w:rFonts w:eastAsia="Arial"/>
          <w:color w:val="000000"/>
          <w:sz w:val="20"/>
          <w:szCs w:val="20"/>
        </w:rPr>
        <w:t>,</w:t>
      </w:r>
      <w:r w:rsidRPr="001F5C7C">
        <w:rPr>
          <w:rFonts w:eastAsia="Arial"/>
          <w:color w:val="000000"/>
          <w:sz w:val="20"/>
          <w:szCs w:val="20"/>
        </w:rPr>
        <w:t xml:space="preserve"> 11.</w:t>
      </w:r>
    </w:p>
  </w:footnote>
  <w:footnote w:id="18">
    <w:p w14:paraId="0000003B" w14:textId="015D2300"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Netherlands Institute for Human Rights, </w:t>
      </w:r>
      <w:r w:rsidR="00D337A5">
        <w:rPr>
          <w:rFonts w:eastAsia="Arial"/>
          <w:color w:val="000000"/>
          <w:sz w:val="20"/>
          <w:szCs w:val="20"/>
        </w:rPr>
        <w:t>‘</w:t>
      </w:r>
      <w:r w:rsidRPr="001F5C7C">
        <w:rPr>
          <w:rFonts w:eastAsia="Arial"/>
          <w:color w:val="000000"/>
          <w:sz w:val="20"/>
          <w:szCs w:val="20"/>
        </w:rPr>
        <w:t>Written Contribution to the Group of Experts on Action against Violence against Women</w:t>
      </w:r>
      <w:r w:rsidR="00D337A5">
        <w:rPr>
          <w:rFonts w:eastAsia="Arial"/>
          <w:color w:val="000000"/>
          <w:sz w:val="20"/>
          <w:szCs w:val="20"/>
        </w:rPr>
        <w:t>’</w:t>
      </w:r>
      <w:r w:rsidRPr="001F5C7C">
        <w:rPr>
          <w:rFonts w:eastAsia="Arial"/>
          <w:color w:val="000000"/>
          <w:sz w:val="20"/>
          <w:szCs w:val="20"/>
        </w:rPr>
        <w:t xml:space="preserve"> </w:t>
      </w:r>
      <w:r w:rsidR="00D337A5">
        <w:rPr>
          <w:rFonts w:eastAsia="Arial"/>
          <w:color w:val="000000"/>
          <w:sz w:val="20"/>
          <w:szCs w:val="20"/>
        </w:rPr>
        <w:t>(</w:t>
      </w:r>
      <w:r w:rsidRPr="001F5C7C">
        <w:rPr>
          <w:rFonts w:eastAsia="Arial"/>
          <w:color w:val="000000"/>
          <w:sz w:val="20"/>
          <w:szCs w:val="20"/>
        </w:rPr>
        <w:t>November 2018</w:t>
      </w:r>
      <w:r w:rsidR="00D337A5">
        <w:rPr>
          <w:rFonts w:eastAsia="Arial"/>
          <w:color w:val="000000"/>
          <w:sz w:val="20"/>
          <w:szCs w:val="20"/>
        </w:rPr>
        <w:t>)</w:t>
      </w:r>
      <w:r w:rsidRPr="001F5C7C">
        <w:rPr>
          <w:rFonts w:eastAsia="Arial"/>
          <w:color w:val="000000"/>
          <w:sz w:val="20"/>
          <w:szCs w:val="20"/>
        </w:rPr>
        <w:t xml:space="preserve"> 5.</w:t>
      </w:r>
    </w:p>
  </w:footnote>
  <w:footnote w:id="19">
    <w:p w14:paraId="0000003C" w14:textId="169AA700"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Advisory Council on International Affairs of the Netherlands</w:t>
      </w:r>
      <w:r w:rsidR="00D337A5">
        <w:rPr>
          <w:rFonts w:eastAsia="Arial"/>
          <w:color w:val="000000"/>
          <w:sz w:val="20"/>
          <w:szCs w:val="20"/>
        </w:rPr>
        <w:t>,</w:t>
      </w:r>
      <w:r w:rsidRPr="001F5C7C">
        <w:rPr>
          <w:rFonts w:eastAsia="Arial"/>
          <w:color w:val="000000"/>
          <w:sz w:val="20"/>
          <w:szCs w:val="20"/>
        </w:rPr>
        <w:t xml:space="preserve"> </w:t>
      </w:r>
      <w:r w:rsidR="00D337A5">
        <w:rPr>
          <w:rFonts w:eastAsia="Arial"/>
          <w:color w:val="000000"/>
          <w:sz w:val="20"/>
          <w:szCs w:val="20"/>
        </w:rPr>
        <w:t>‘</w:t>
      </w:r>
      <w:r w:rsidRPr="001F5C7C">
        <w:rPr>
          <w:rFonts w:eastAsia="Arial"/>
          <w:color w:val="000000"/>
          <w:sz w:val="20"/>
          <w:szCs w:val="20"/>
        </w:rPr>
        <w:t>Fundamental Rights in the Kingdom of the Netherlands: Equivalent Protection in all Parts of the Kingdom - Theory and practice of Territorial Limitations on the Application of Human Rights Treaties Upon Ratification</w:t>
      </w:r>
      <w:r w:rsidR="00D337A5">
        <w:rPr>
          <w:rFonts w:eastAsia="Arial"/>
          <w:color w:val="000000"/>
          <w:sz w:val="20"/>
          <w:szCs w:val="20"/>
        </w:rPr>
        <w:t>’(</w:t>
      </w:r>
      <w:r w:rsidRPr="001F5C7C">
        <w:rPr>
          <w:rFonts w:eastAsia="Arial"/>
          <w:color w:val="000000"/>
          <w:sz w:val="20"/>
          <w:szCs w:val="20"/>
        </w:rPr>
        <w:t>2018</w:t>
      </w:r>
      <w:r w:rsidR="00D337A5">
        <w:rPr>
          <w:rFonts w:eastAsia="Arial"/>
          <w:color w:val="000000"/>
          <w:sz w:val="20"/>
          <w:szCs w:val="20"/>
        </w:rPr>
        <w:t xml:space="preserve">) </w:t>
      </w:r>
      <w:r w:rsidRPr="001F5C7C">
        <w:rPr>
          <w:rFonts w:eastAsia="Arial"/>
          <w:color w:val="000000"/>
          <w:sz w:val="20"/>
          <w:szCs w:val="20"/>
        </w:rPr>
        <w:t>34.</w:t>
      </w:r>
    </w:p>
  </w:footnote>
  <w:footnote w:id="20">
    <w:p w14:paraId="0000003D" w14:textId="5E4FE2B1" w:rsidR="002D7C66" w:rsidRPr="001F5C7C" w:rsidRDefault="00BB6175">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GREVIO Report on the Netherlands </w:t>
      </w:r>
      <w:r w:rsidR="00D337A5">
        <w:rPr>
          <w:rFonts w:eastAsia="Arial"/>
          <w:color w:val="000000"/>
          <w:sz w:val="20"/>
          <w:szCs w:val="20"/>
        </w:rPr>
        <w:t xml:space="preserve">(n 15) </w:t>
      </w:r>
      <w:r w:rsidRPr="001F5C7C">
        <w:rPr>
          <w:rFonts w:eastAsia="Arial"/>
          <w:color w:val="000000"/>
          <w:sz w:val="20"/>
          <w:szCs w:val="20"/>
        </w:rPr>
        <w:t>10-</w:t>
      </w:r>
      <w:r w:rsidR="00D337A5">
        <w:rPr>
          <w:rFonts w:eastAsia="Arial"/>
          <w:color w:val="000000"/>
          <w:sz w:val="20"/>
          <w:szCs w:val="20"/>
        </w:rPr>
        <w:t>1</w:t>
      </w:r>
      <w:r w:rsidRPr="001F5C7C">
        <w:rPr>
          <w:rFonts w:eastAsia="Arial"/>
          <w:color w:val="000000"/>
          <w:sz w:val="20"/>
          <w:szCs w:val="20"/>
        </w:rPr>
        <w:t>1.</w:t>
      </w:r>
    </w:p>
  </w:footnote>
  <w:footnote w:id="21">
    <w:p w14:paraId="0000003E" w14:textId="7EB0AEFB" w:rsidR="002D7C66" w:rsidRPr="001F5C7C" w:rsidRDefault="00BB6175" w:rsidP="00B81791">
      <w:pPr>
        <w:pBdr>
          <w:top w:val="nil"/>
          <w:left w:val="nil"/>
          <w:bottom w:val="nil"/>
          <w:right w:val="nil"/>
          <w:between w:val="nil"/>
        </w:pBdr>
        <w:spacing w:line="240" w:lineRule="auto"/>
        <w:jc w:val="both"/>
        <w:rPr>
          <w:rFonts w:eastAsia="Arial"/>
          <w:color w:val="000000"/>
          <w:sz w:val="20"/>
          <w:szCs w:val="20"/>
        </w:rPr>
      </w:pPr>
      <w:r w:rsidRPr="001F5C7C">
        <w:rPr>
          <w:rStyle w:val="FootnoteReference"/>
          <w:sz w:val="20"/>
          <w:szCs w:val="20"/>
        </w:rPr>
        <w:footnoteRef/>
      </w:r>
      <w:r w:rsidRPr="001F5C7C">
        <w:rPr>
          <w:rFonts w:eastAsia="Arial"/>
          <w:color w:val="000000"/>
          <w:sz w:val="20"/>
          <w:szCs w:val="20"/>
        </w:rPr>
        <w:t xml:space="preserve"> Committee of the Parties to the Istanbul Convention, </w:t>
      </w:r>
      <w:r w:rsidR="00B81791">
        <w:rPr>
          <w:rFonts w:eastAsia="Arial"/>
          <w:color w:val="000000"/>
          <w:sz w:val="20"/>
          <w:szCs w:val="20"/>
        </w:rPr>
        <w:t>‘</w:t>
      </w:r>
      <w:r w:rsidRPr="001F5C7C">
        <w:rPr>
          <w:rFonts w:eastAsia="Arial"/>
          <w:color w:val="000000"/>
          <w:sz w:val="20"/>
          <w:szCs w:val="20"/>
        </w:rPr>
        <w:t>Recommendation on the implementation of the Council of Europe on Preventing and Combating Violence against Women and Domestic Violence by Netherlands</w:t>
      </w:r>
      <w:r w:rsidR="00B81791">
        <w:rPr>
          <w:rFonts w:eastAsia="Arial"/>
          <w:color w:val="000000"/>
          <w:sz w:val="20"/>
          <w:szCs w:val="20"/>
        </w:rPr>
        <w:t>’ (</w:t>
      </w:r>
      <w:r w:rsidRPr="001F5C7C">
        <w:rPr>
          <w:rFonts w:eastAsia="Arial"/>
          <w:color w:val="000000"/>
          <w:sz w:val="20"/>
          <w:szCs w:val="20"/>
        </w:rPr>
        <w:t>2020</w:t>
      </w:r>
      <w:r w:rsidR="00B81791">
        <w:rPr>
          <w:rFonts w:eastAsia="Arial"/>
          <w:color w:val="000000"/>
          <w:sz w:val="20"/>
          <w:szCs w:val="20"/>
        </w:rPr>
        <w:t>)</w:t>
      </w:r>
      <w:r w:rsidRPr="001F5C7C">
        <w:rPr>
          <w:rFonts w:eastAsia="Arial"/>
          <w:color w:val="000000"/>
          <w:sz w:val="20"/>
          <w:szCs w:val="20"/>
        </w:rPr>
        <w:t xml:space="preserve"> IC-CP/Inf(2020)4, 3.</w:t>
      </w:r>
    </w:p>
  </w:footnote>
  <w:footnote w:id="22">
    <w:p w14:paraId="789C4B84" w14:textId="5B35DC87" w:rsidR="004954D9" w:rsidRPr="00135FD9" w:rsidRDefault="004954D9" w:rsidP="00F26005">
      <w:pPr>
        <w:pStyle w:val="FootnoteText"/>
        <w:rPr>
          <w:lang w:val="en-GB"/>
        </w:rPr>
      </w:pPr>
      <w:r w:rsidRPr="001F5C7C">
        <w:rPr>
          <w:rStyle w:val="FootnoteReference"/>
          <w:rFonts w:ascii="Times New Roman" w:hAnsi="Times New Roman"/>
          <w:sz w:val="20"/>
        </w:rPr>
        <w:footnoteRef/>
      </w:r>
      <w:r w:rsidR="007D01D1" w:rsidRPr="00135FD9">
        <w:rPr>
          <w:lang w:val="en-GB"/>
        </w:rPr>
        <w:t xml:space="preserve"> </w:t>
      </w:r>
      <w:r w:rsidRPr="00135FD9">
        <w:rPr>
          <w:lang w:val="en-GB"/>
        </w:rPr>
        <w:t xml:space="preserve">Letter of Minister Paul Blokhuis of 21 December 2020, Response by the </w:t>
      </w:r>
      <w:r w:rsidR="00467FFE" w:rsidRPr="00135FD9">
        <w:rPr>
          <w:lang w:val="en-GB"/>
        </w:rPr>
        <w:t>Netherlands to the GREVIO</w:t>
      </w:r>
      <w:r w:rsidRPr="00135FD9">
        <w:rPr>
          <w:lang w:val="en-GB"/>
        </w:rPr>
        <w:t xml:space="preserve"> Report, </w:t>
      </w:r>
      <w:r w:rsidR="00EC6FC1" w:rsidRPr="00135FD9">
        <w:rPr>
          <w:lang w:val="en-GB"/>
        </w:rPr>
        <w:t>2.</w:t>
      </w:r>
    </w:p>
  </w:footnote>
  <w:footnote w:id="23">
    <w:p w14:paraId="1A38372B" w14:textId="3C59FEEF" w:rsidR="00CC348E" w:rsidRPr="00135FD9" w:rsidRDefault="00CC348E" w:rsidP="00F26005">
      <w:pPr>
        <w:pStyle w:val="FootnoteText"/>
        <w:rPr>
          <w:lang w:val="en-GB"/>
        </w:rPr>
      </w:pPr>
      <w:r w:rsidRPr="001F5C7C">
        <w:rPr>
          <w:rStyle w:val="FootnoteReference"/>
          <w:rFonts w:ascii="Times New Roman" w:hAnsi="Times New Roman"/>
          <w:sz w:val="20"/>
        </w:rPr>
        <w:footnoteRef/>
      </w:r>
      <w:r w:rsidRPr="00135FD9">
        <w:rPr>
          <w:lang w:val="en-GB"/>
        </w:rPr>
        <w:t xml:space="preserve"> Appendix to the letter of Minister Paul Blokhuis of 21 December 2020, Response by the </w:t>
      </w:r>
      <w:r w:rsidR="00467FFE" w:rsidRPr="00135FD9">
        <w:rPr>
          <w:lang w:val="en-GB"/>
        </w:rPr>
        <w:t>Netherlands to the GREVIO</w:t>
      </w:r>
      <w:r w:rsidRPr="00135FD9">
        <w:rPr>
          <w:lang w:val="en-GB"/>
        </w:rPr>
        <w:t xml:space="preserve"> Report,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63911"/>
    <w:multiLevelType w:val="hybridMultilevel"/>
    <w:tmpl w:val="002C1006"/>
    <w:lvl w:ilvl="0" w:tplc="5FCCA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A84985"/>
    <w:multiLevelType w:val="hybridMultilevel"/>
    <w:tmpl w:val="BA58517E"/>
    <w:lvl w:ilvl="0" w:tplc="5FCCA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7C728F"/>
    <w:multiLevelType w:val="hybridMultilevel"/>
    <w:tmpl w:val="62526348"/>
    <w:lvl w:ilvl="0" w:tplc="5FCCA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D078AF"/>
    <w:multiLevelType w:val="hybridMultilevel"/>
    <w:tmpl w:val="62FE4774"/>
    <w:lvl w:ilvl="0" w:tplc="5FCCA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2587550">
    <w:abstractNumId w:val="1"/>
  </w:num>
  <w:num w:numId="2" w16cid:durableId="285699498">
    <w:abstractNumId w:val="2"/>
  </w:num>
  <w:num w:numId="3" w16cid:durableId="277220010">
    <w:abstractNumId w:val="3"/>
  </w:num>
  <w:num w:numId="4" w16cid:durableId="1303997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66"/>
    <w:rsid w:val="00027303"/>
    <w:rsid w:val="00072FFD"/>
    <w:rsid w:val="000E570C"/>
    <w:rsid w:val="00106542"/>
    <w:rsid w:val="00135FD9"/>
    <w:rsid w:val="0013781F"/>
    <w:rsid w:val="00154983"/>
    <w:rsid w:val="001F5C7C"/>
    <w:rsid w:val="00214E33"/>
    <w:rsid w:val="00236C5E"/>
    <w:rsid w:val="002D7C66"/>
    <w:rsid w:val="003076E9"/>
    <w:rsid w:val="00316DDF"/>
    <w:rsid w:val="003700CB"/>
    <w:rsid w:val="00390D02"/>
    <w:rsid w:val="00391858"/>
    <w:rsid w:val="003B5C73"/>
    <w:rsid w:val="00467FFE"/>
    <w:rsid w:val="004954D9"/>
    <w:rsid w:val="004C7D25"/>
    <w:rsid w:val="004D0F1E"/>
    <w:rsid w:val="004F09AA"/>
    <w:rsid w:val="00593996"/>
    <w:rsid w:val="006D4786"/>
    <w:rsid w:val="007626A0"/>
    <w:rsid w:val="007D01D1"/>
    <w:rsid w:val="00862AA7"/>
    <w:rsid w:val="0090479C"/>
    <w:rsid w:val="00A01E18"/>
    <w:rsid w:val="00A73DFF"/>
    <w:rsid w:val="00A86B17"/>
    <w:rsid w:val="00B47676"/>
    <w:rsid w:val="00B56D87"/>
    <w:rsid w:val="00B81791"/>
    <w:rsid w:val="00BB6175"/>
    <w:rsid w:val="00C617D2"/>
    <w:rsid w:val="00CC348E"/>
    <w:rsid w:val="00D337A5"/>
    <w:rsid w:val="00D34247"/>
    <w:rsid w:val="00E04BC3"/>
    <w:rsid w:val="00E43282"/>
    <w:rsid w:val="00EC6FC1"/>
    <w:rsid w:val="00F26005"/>
    <w:rsid w:val="00F273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968DD"/>
  <w15:docId w15:val="{E41170BC-A493-4A75-B46B-81A83DFB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FootnoteReference">
    <w:name w:val="footnote reference"/>
    <w:aliases w:val="Footnotes refss,Footnote Refernece,callout,Footnote Reference Char Car Char Char Car Char Car Char Car Char,callout Char,Footnotes refss Char,Footnote Reference Char Car Char Char Car Char Car Char Car Char Char"/>
    <w:link w:val="calloutCharCharChar"/>
    <w:uiPriority w:val="99"/>
    <w:unhideWhenUsed/>
    <w:rsid w:val="005D78AB"/>
    <w:rPr>
      <w:vertAlign w:val="superscript"/>
    </w:rPr>
  </w:style>
  <w:style w:type="paragraph" w:customStyle="1" w:styleId="calloutCharCharChar">
    <w:name w:val="callout Char Char Char"/>
    <w:aliases w:val="Footnotes refss Char Char Char,Footnote Reference Char Car Char Char Car Char Car Char Car Char Char Char Char"/>
    <w:basedOn w:val="Normal"/>
    <w:link w:val="FootnoteReference"/>
    <w:uiPriority w:val="99"/>
    <w:rsid w:val="005D78AB"/>
    <w:pPr>
      <w:spacing w:after="160" w:line="240" w:lineRule="exact"/>
    </w:pPr>
    <w:rPr>
      <w:rFonts w:asciiTheme="minorHAnsi" w:hAnsiTheme="minorHAnsi"/>
      <w:sz w:val="22"/>
      <w:vertAlign w:val="superscript"/>
    </w:rPr>
  </w:style>
  <w:style w:type="table" w:styleId="TableGrid">
    <w:name w:val="Table Grid"/>
    <w:basedOn w:val="TableNormal"/>
    <w:uiPriority w:val="59"/>
    <w:rsid w:val="005D78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1,Footnote Text Char1 Char Char Char,Footnote Text Char Char Char Char Char,Footnote Text Char Char1 Char,Footnote Text Char1 Char Char1,Footnote Text Char Char Char Char1,Footnote Char,Char Car Char,n Char"/>
    <w:basedOn w:val="DefaultParagraphFont"/>
    <w:link w:val="FootnoteText"/>
    <w:uiPriority w:val="99"/>
    <w:locked/>
    <w:rsid w:val="00F26005"/>
    <w:rPr>
      <w:rFonts w:ascii="Arial" w:hAnsi="Arial"/>
      <w:sz w:val="16"/>
      <w:szCs w:val="20"/>
      <w:lang w:val="fr-FR" w:eastAsia="fr-FR"/>
    </w:rPr>
  </w:style>
  <w:style w:type="paragraph" w:styleId="FootnoteText">
    <w:name w:val="footnote text"/>
    <w:aliases w:val="Footnote Text Char Char,Footnote Text Char1 Char Char,Footnote Text Char Char Char Char,Footnote Text Char Char1,Footnote Text Char1 Char,Footnote Text Char Char Char,Footnote,Footnote Text Char2 Char,Char Car,n"/>
    <w:basedOn w:val="Normal"/>
    <w:link w:val="FootnoteTextChar"/>
    <w:autoRedefine/>
    <w:uiPriority w:val="99"/>
    <w:unhideWhenUsed/>
    <w:rsid w:val="00F26005"/>
    <w:pPr>
      <w:spacing w:line="240" w:lineRule="auto"/>
      <w:jc w:val="both"/>
    </w:pPr>
    <w:rPr>
      <w:rFonts w:ascii="Arial" w:hAnsi="Arial"/>
      <w:sz w:val="16"/>
      <w:szCs w:val="20"/>
      <w:lang w:val="fr-FR" w:eastAsia="fr-FR"/>
    </w:rPr>
  </w:style>
  <w:style w:type="character" w:customStyle="1" w:styleId="FootnoteTextChar1">
    <w:name w:val="Footnote Text Char1"/>
    <w:basedOn w:val="DefaultParagraphFont"/>
    <w:uiPriority w:val="99"/>
    <w:semiHidden/>
    <w:rsid w:val="003B7A37"/>
    <w:rPr>
      <w:rFonts w:ascii="Times New Roman" w:hAnsi="Times New Roman"/>
      <w:sz w:val="20"/>
      <w:szCs w:val="20"/>
    </w:rPr>
  </w:style>
  <w:style w:type="paragraph" w:styleId="Header">
    <w:name w:val="header"/>
    <w:basedOn w:val="Normal"/>
    <w:link w:val="HeaderChar"/>
    <w:uiPriority w:val="99"/>
    <w:unhideWhenUsed/>
    <w:rsid w:val="00854A52"/>
    <w:pPr>
      <w:tabs>
        <w:tab w:val="center" w:pos="4536"/>
        <w:tab w:val="right" w:pos="9072"/>
      </w:tabs>
      <w:spacing w:line="240" w:lineRule="auto"/>
    </w:pPr>
  </w:style>
  <w:style w:type="character" w:customStyle="1" w:styleId="HeaderChar">
    <w:name w:val="Header Char"/>
    <w:basedOn w:val="DefaultParagraphFont"/>
    <w:link w:val="Header"/>
    <w:uiPriority w:val="99"/>
    <w:rsid w:val="00854A52"/>
    <w:rPr>
      <w:rFonts w:ascii="Times New Roman" w:hAnsi="Times New Roman"/>
      <w:sz w:val="24"/>
    </w:rPr>
  </w:style>
  <w:style w:type="paragraph" w:styleId="Footer">
    <w:name w:val="footer"/>
    <w:basedOn w:val="Normal"/>
    <w:link w:val="FooterChar"/>
    <w:uiPriority w:val="99"/>
    <w:unhideWhenUsed/>
    <w:rsid w:val="00854A52"/>
    <w:pPr>
      <w:tabs>
        <w:tab w:val="center" w:pos="4536"/>
        <w:tab w:val="right" w:pos="9072"/>
      </w:tabs>
      <w:spacing w:line="240" w:lineRule="auto"/>
    </w:pPr>
  </w:style>
  <w:style w:type="character" w:customStyle="1" w:styleId="FooterChar">
    <w:name w:val="Footer Char"/>
    <w:basedOn w:val="DefaultParagraphFont"/>
    <w:link w:val="Footer"/>
    <w:uiPriority w:val="99"/>
    <w:rsid w:val="00854A52"/>
    <w:rPr>
      <w:rFonts w:ascii="Times New Roman" w:hAnsi="Times New Roman"/>
      <w:sz w:val="24"/>
    </w:rPr>
  </w:style>
  <w:style w:type="character" w:styleId="Hyperlink">
    <w:name w:val="Hyperlink"/>
    <w:basedOn w:val="DefaultParagraphFont"/>
    <w:uiPriority w:val="99"/>
    <w:unhideWhenUsed/>
    <w:rsid w:val="00070FA0"/>
    <w:rPr>
      <w:color w:val="0000FF"/>
      <w:u w:val="single"/>
    </w:rPr>
  </w:style>
  <w:style w:type="paragraph" w:styleId="ListParagraph">
    <w:name w:val="List Paragraph"/>
    <w:basedOn w:val="Normal"/>
    <w:uiPriority w:val="34"/>
    <w:qFormat/>
    <w:rsid w:val="00144E55"/>
    <w:pPr>
      <w:ind w:left="720"/>
      <w:contextualSpacing/>
    </w:pPr>
  </w:style>
  <w:style w:type="character" w:styleId="CommentReference">
    <w:name w:val="annotation reference"/>
    <w:basedOn w:val="DefaultParagraphFont"/>
    <w:uiPriority w:val="99"/>
    <w:semiHidden/>
    <w:unhideWhenUsed/>
    <w:rsid w:val="00CE77B5"/>
    <w:rPr>
      <w:sz w:val="16"/>
      <w:szCs w:val="16"/>
    </w:rPr>
  </w:style>
  <w:style w:type="paragraph" w:styleId="CommentText">
    <w:name w:val="annotation text"/>
    <w:basedOn w:val="Normal"/>
    <w:link w:val="CommentTextChar"/>
    <w:uiPriority w:val="99"/>
    <w:unhideWhenUsed/>
    <w:rsid w:val="00CE77B5"/>
    <w:pPr>
      <w:spacing w:line="240" w:lineRule="auto"/>
    </w:pPr>
    <w:rPr>
      <w:sz w:val="20"/>
      <w:szCs w:val="20"/>
    </w:rPr>
  </w:style>
  <w:style w:type="character" w:customStyle="1" w:styleId="CommentTextChar">
    <w:name w:val="Comment Text Char"/>
    <w:basedOn w:val="DefaultParagraphFont"/>
    <w:link w:val="CommentText"/>
    <w:uiPriority w:val="99"/>
    <w:rsid w:val="00CE77B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E77B5"/>
    <w:rPr>
      <w:b/>
      <w:bCs/>
    </w:rPr>
  </w:style>
  <w:style w:type="character" w:customStyle="1" w:styleId="CommentSubjectChar">
    <w:name w:val="Comment Subject Char"/>
    <w:basedOn w:val="CommentTextChar"/>
    <w:link w:val="CommentSubject"/>
    <w:uiPriority w:val="99"/>
    <w:semiHidden/>
    <w:rsid w:val="00CE77B5"/>
    <w:rPr>
      <w:rFonts w:ascii="Times New Roman" w:hAnsi="Times New Roman"/>
      <w:b/>
      <w:bCs/>
      <w:sz w:val="20"/>
      <w:szCs w:val="20"/>
    </w:rPr>
  </w:style>
  <w:style w:type="paragraph" w:styleId="BalloonText">
    <w:name w:val="Balloon Text"/>
    <w:basedOn w:val="Normal"/>
    <w:link w:val="BalloonTextChar"/>
    <w:uiPriority w:val="99"/>
    <w:semiHidden/>
    <w:unhideWhenUsed/>
    <w:rsid w:val="00CE77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7B5"/>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customStyle="1" w:styleId="Default">
    <w:name w:val="Default"/>
    <w:rsid w:val="00BB6175"/>
    <w:pPr>
      <w:autoSpaceDE w:val="0"/>
      <w:autoSpaceDN w:val="0"/>
      <w:adjustRightInd w:val="0"/>
      <w:spacing w:line="240" w:lineRule="auto"/>
    </w:pPr>
    <w:rPr>
      <w:color w:val="000000"/>
    </w:rPr>
  </w:style>
  <w:style w:type="paragraph" w:styleId="Revision">
    <w:name w:val="Revision"/>
    <w:hidden/>
    <w:uiPriority w:val="99"/>
    <w:semiHidden/>
    <w:rsid w:val="00593996"/>
    <w:pPr>
      <w:spacing w:line="240" w:lineRule="auto"/>
    </w:pPr>
  </w:style>
  <w:style w:type="character" w:styleId="UnresolvedMention">
    <w:name w:val="Unresolved Mention"/>
    <w:basedOn w:val="DefaultParagraphFont"/>
    <w:uiPriority w:val="99"/>
    <w:semiHidden/>
    <w:unhideWhenUsed/>
    <w:rsid w:val="004F0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016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7e4lHz5UH+hMVF2BuZIMG4pSG2A==">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</go:docsCustomData>
</go:gDocsCustomXmlDataStorage>
</file>

<file path=customXml/itemProps1.xml><?xml version="1.0" encoding="utf-8"?>
<ds:datastoreItem xmlns:ds="http://schemas.openxmlformats.org/officeDocument/2006/customXml" ds:itemID="{04C00BAE-AB11-4E84-B76C-4B25386DC21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2138</Words>
  <Characters>11763</Characters>
  <Application>Microsoft Office Word</Application>
  <DocSecurity>0</DocSecurity>
  <Lines>98</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Secretariat of European Council</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DURSEL Eugenie</dc:creator>
  <cp:lastModifiedBy>D'URSEL Eugénie</cp:lastModifiedBy>
  <cp:revision>2</cp:revision>
  <cp:lastPrinted>2022-02-11T08:08:00Z</cp:lastPrinted>
  <dcterms:created xsi:type="dcterms:W3CDTF">2024-07-15T08:56:00Z</dcterms:created>
  <dcterms:modified xsi:type="dcterms:W3CDTF">2024-07-15T08:56:00Z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2024-07-15T08:55:37Z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45a7effb-cdfc-4c24-baa2-f5d827eeb130</vt:lpwstr>
  </property>
  <property fmtid="{D5CDD505-2E9C-101B-9397-08002B2CF9AE}" pid="8" name="MSIP_Label_b1df41d6-74a9-4a97-809c-213cd32520cc_ContentBits">
    <vt:lpwstr>0</vt:lpwstr>
  </property>
</Properties>
</file>