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D8AB6" w14:textId="039AB7CC" w:rsidR="00BD703D" w:rsidRDefault="007E1DAF" w:rsidP="00446752">
      <w:pPr>
        <w:pStyle w:val="Title"/>
      </w:pPr>
      <w:r w:rsidRPr="00A52A16">
        <w:t xml:space="preserve">As if grammar, discourse and prosody don’t interact: A comparative study of </w:t>
      </w:r>
      <w:r w:rsidR="00C43DF8" w:rsidRPr="00A52A16">
        <w:t>hypothetical manner clauses in English and Dutch</w:t>
      </w:r>
    </w:p>
    <w:p w14:paraId="1DFACD7C" w14:textId="743D055A" w:rsidR="004029BC" w:rsidRDefault="004029BC" w:rsidP="004029BC">
      <w:pPr>
        <w:rPr>
          <w:i/>
          <w:iCs/>
          <w:sz w:val="28"/>
          <w:szCs w:val="24"/>
          <w:lang w:val="nl-BE"/>
        </w:rPr>
      </w:pPr>
      <w:r w:rsidRPr="004029BC">
        <w:rPr>
          <w:i/>
          <w:iCs/>
          <w:sz w:val="28"/>
          <w:szCs w:val="24"/>
          <w:lang w:val="nl-BE"/>
        </w:rPr>
        <w:t>Wout Van Praet</w:t>
      </w:r>
      <w:r w:rsidRPr="004029BC">
        <w:rPr>
          <w:sz w:val="28"/>
          <w:szCs w:val="24"/>
          <w:vertAlign w:val="superscript"/>
          <w:lang w:val="nl-BE"/>
        </w:rPr>
        <w:t>1</w:t>
      </w:r>
      <w:r w:rsidRPr="004029BC">
        <w:rPr>
          <w:i/>
          <w:iCs/>
          <w:sz w:val="28"/>
          <w:szCs w:val="24"/>
          <w:lang w:val="nl-BE"/>
        </w:rPr>
        <w:t>, Liesbeth Degand</w:t>
      </w:r>
      <w:r w:rsidRPr="004029BC">
        <w:rPr>
          <w:sz w:val="28"/>
          <w:szCs w:val="24"/>
          <w:vertAlign w:val="superscript"/>
          <w:lang w:val="nl-BE"/>
        </w:rPr>
        <w:t>1</w:t>
      </w:r>
      <w:r w:rsidRPr="004029BC">
        <w:rPr>
          <w:i/>
          <w:iCs/>
          <w:sz w:val="28"/>
          <w:szCs w:val="24"/>
          <w:lang w:val="nl-BE"/>
        </w:rPr>
        <w:t>, &amp; An Van linden</w:t>
      </w:r>
      <w:r>
        <w:rPr>
          <w:sz w:val="28"/>
          <w:szCs w:val="24"/>
          <w:vertAlign w:val="superscript"/>
          <w:lang w:val="nl-BE"/>
        </w:rPr>
        <w:t>2</w:t>
      </w:r>
    </w:p>
    <w:p w14:paraId="1EB3B53E" w14:textId="7255B2EC" w:rsidR="004029BC" w:rsidRPr="00677900" w:rsidRDefault="004029BC" w:rsidP="004029BC">
      <w:pPr>
        <w:rPr>
          <w:lang w:val="en-US"/>
        </w:rPr>
      </w:pPr>
      <w:r w:rsidRPr="00677900">
        <w:rPr>
          <w:lang w:val="en-US"/>
        </w:rPr>
        <w:t>UCLouvain</w:t>
      </w:r>
      <w:r w:rsidRPr="00677900">
        <w:rPr>
          <w:vertAlign w:val="superscript"/>
          <w:lang w:val="en-US"/>
        </w:rPr>
        <w:t>1</w:t>
      </w:r>
      <w:r w:rsidRPr="00677900">
        <w:rPr>
          <w:lang w:val="en-US"/>
        </w:rPr>
        <w:t xml:space="preserve"> &amp; ULiège</w:t>
      </w:r>
      <w:r w:rsidRPr="00677900">
        <w:rPr>
          <w:vertAlign w:val="superscript"/>
          <w:lang w:val="en-US"/>
        </w:rPr>
        <w:t>2</w:t>
      </w:r>
    </w:p>
    <w:p w14:paraId="4EFF3212" w14:textId="56996BEB" w:rsidR="007E1DAF" w:rsidRPr="00677900" w:rsidRDefault="007E1DAF" w:rsidP="00446752">
      <w:pPr>
        <w:rPr>
          <w:lang w:val="en-US"/>
        </w:rPr>
      </w:pPr>
    </w:p>
    <w:p w14:paraId="56CDE8B7" w14:textId="5CDB6FFB" w:rsidR="00B13942" w:rsidRDefault="00B13942" w:rsidP="009A247E">
      <w:pPr>
        <w:ind w:left="1134" w:right="1134"/>
      </w:pPr>
      <w:r w:rsidRPr="009A247E">
        <w:rPr>
          <w:i/>
        </w:rPr>
        <w:t>Abstract</w:t>
      </w:r>
    </w:p>
    <w:p w14:paraId="6963DCFA" w14:textId="5695BB86" w:rsidR="00B13942" w:rsidRDefault="00503485" w:rsidP="009A247E">
      <w:pPr>
        <w:ind w:left="1134" w:right="1134"/>
        <w:jc w:val="both"/>
      </w:pPr>
      <w:r w:rsidRPr="00503485">
        <w:t xml:space="preserve">This study examines </w:t>
      </w:r>
      <w:r w:rsidR="00023284">
        <w:t xml:space="preserve">hypothetical manner </w:t>
      </w:r>
      <w:r w:rsidR="00485834">
        <w:t xml:space="preserve">(HM) </w:t>
      </w:r>
      <w:r w:rsidRPr="00503485">
        <w:t xml:space="preserve">clauses in spoken English </w:t>
      </w:r>
      <w:r w:rsidR="00023284">
        <w:t xml:space="preserve">and </w:t>
      </w:r>
      <w:r w:rsidRPr="00503485">
        <w:t xml:space="preserve">Dutch. In both languages, </w:t>
      </w:r>
      <w:r w:rsidR="00796BFD">
        <w:t>HM</w:t>
      </w:r>
      <w:r w:rsidR="00C87B57">
        <w:rPr>
          <w:i/>
        </w:rPr>
        <w:t xml:space="preserve"> </w:t>
      </w:r>
      <w:r w:rsidRPr="00503485">
        <w:t xml:space="preserve">clauses can </w:t>
      </w:r>
      <w:r>
        <w:t>assume</w:t>
      </w:r>
      <w:r w:rsidRPr="00503485">
        <w:t xml:space="preserve"> different levels of grammatical and discursive (in)dependence</w:t>
      </w:r>
      <w:r w:rsidR="00F9414A">
        <w:t xml:space="preserve">, </w:t>
      </w:r>
      <w:r w:rsidR="00680435">
        <w:t>and</w:t>
      </w:r>
      <w:r w:rsidR="00F9414A">
        <w:t xml:space="preserve"> different semantic-pragmatic functions</w:t>
      </w:r>
      <w:r w:rsidRPr="00503485">
        <w:t xml:space="preserve">. </w:t>
      </w:r>
      <w:r w:rsidR="00023284">
        <w:t>This study</w:t>
      </w:r>
      <w:r w:rsidRPr="00503485">
        <w:t xml:space="preserve"> </w:t>
      </w:r>
      <w:r w:rsidR="00796BFD">
        <w:t>examines</w:t>
      </w:r>
      <w:r w:rsidR="00023284">
        <w:t xml:space="preserve"> </w:t>
      </w:r>
      <w:r w:rsidR="000C4562">
        <w:t>whether</w:t>
      </w:r>
      <w:r w:rsidR="00796BFD">
        <w:t xml:space="preserve"> the grammatical-discursive</w:t>
      </w:r>
      <w:r w:rsidR="00C41492">
        <w:t xml:space="preserve"> configurations</w:t>
      </w:r>
      <w:r w:rsidR="00796BFD">
        <w:t xml:space="preserve"> that English and Dutch allow for </w:t>
      </w:r>
      <w:r w:rsidR="00C41492">
        <w:t>are associated with different prosodic profiles.</w:t>
      </w:r>
      <w:r>
        <w:t xml:space="preserve"> To this end, the study </w:t>
      </w:r>
      <w:r w:rsidR="00111720">
        <w:t>investigates not just prosodic integration of the clause in the same intonation unit as the main/previous clause, but also</w:t>
      </w:r>
      <w:r>
        <w:t xml:space="preserve"> </w:t>
      </w:r>
      <w:r w:rsidR="00111720">
        <w:t xml:space="preserve">potential pitch resets (or downsteps) at the start of the clause, average amount of pausing before the clause, </w:t>
      </w:r>
      <w:r w:rsidR="00C87B57">
        <w:t>and</w:t>
      </w:r>
      <w:r w:rsidR="00111720">
        <w:t xml:space="preserve"> the pitch contour with which the clause is uttered.</w:t>
      </w:r>
      <w:r w:rsidR="00266BFD">
        <w:t xml:space="preserve"> The study </w:t>
      </w:r>
      <w:r w:rsidR="00C07A11">
        <w:t xml:space="preserve">finds </w:t>
      </w:r>
      <w:r w:rsidR="00266BFD">
        <w:t xml:space="preserve">that, while syntactic </w:t>
      </w:r>
      <w:r w:rsidR="00C41492">
        <w:t xml:space="preserve">status </w:t>
      </w:r>
      <w:r w:rsidR="00266BFD">
        <w:t xml:space="preserve">and </w:t>
      </w:r>
      <w:r w:rsidR="001375F0">
        <w:t xml:space="preserve">semantic-pragmatic </w:t>
      </w:r>
      <w:r w:rsidR="00C41492">
        <w:t>function</w:t>
      </w:r>
      <w:r w:rsidR="00266BFD">
        <w:t xml:space="preserve"> interact, syntactic </w:t>
      </w:r>
      <w:r w:rsidR="00C41492">
        <w:t>status</w:t>
      </w:r>
      <w:r w:rsidR="00266BFD">
        <w:t xml:space="preserve"> is generally the better predictor of the prosodic realisation of the clause. </w:t>
      </w:r>
      <w:r w:rsidR="00C41492">
        <w:t xml:space="preserve">Among syntactically independent clauses, few differences </w:t>
      </w:r>
      <w:r w:rsidR="00BA2792">
        <w:t xml:space="preserve">are </w:t>
      </w:r>
      <w:r w:rsidR="00C41492">
        <w:t>found between discursively independent clauses (‘stand-alone insubordinates’) and discursively dependent ones (‘dependency shifts’)</w:t>
      </w:r>
      <w:r w:rsidR="00C87B57">
        <w:t xml:space="preserve">. </w:t>
      </w:r>
      <w:r w:rsidR="00303DC5">
        <w:t>We argue, therefore, that these two clause types are similar from a communicative viewpoint, both marking ‘fresh starts’ in the discourse.</w:t>
      </w:r>
      <w:r w:rsidR="00C87B57">
        <w:t xml:space="preserve"> Finally, </w:t>
      </w:r>
      <w:r w:rsidR="00303DC5">
        <w:t>t</w:t>
      </w:r>
      <w:r w:rsidR="00796BFD">
        <w:t xml:space="preserve">he many observed similarities between English and Dutch indicate that meaningful generalisations can be made about the interactions between </w:t>
      </w:r>
      <w:r w:rsidR="00E70F72">
        <w:t>grammatical, discursive and prosodic profiles</w:t>
      </w:r>
      <w:r w:rsidR="00796BFD">
        <w:t>, at least for the two languages under investigation.</w:t>
      </w:r>
    </w:p>
    <w:p w14:paraId="1C32A1FC" w14:textId="77777777" w:rsidR="0058368D" w:rsidRDefault="0058368D" w:rsidP="009A247E">
      <w:pPr>
        <w:ind w:left="1134" w:right="1134"/>
        <w:jc w:val="both"/>
        <w:rPr>
          <w:i/>
        </w:rPr>
      </w:pPr>
    </w:p>
    <w:p w14:paraId="06D07C96" w14:textId="297F2DC8" w:rsidR="0058368D" w:rsidRPr="0058368D" w:rsidRDefault="0058368D" w:rsidP="009A247E">
      <w:pPr>
        <w:ind w:left="1134" w:right="1134"/>
        <w:jc w:val="both"/>
      </w:pPr>
      <w:r>
        <w:rPr>
          <w:i/>
        </w:rPr>
        <w:t>Keywords</w:t>
      </w:r>
      <w:r>
        <w:t>: clause-combining; hypothetical manner</w:t>
      </w:r>
      <w:r w:rsidR="008842B8">
        <w:t xml:space="preserve"> clauses</w:t>
      </w:r>
      <w:r>
        <w:t>; subordination, insubordination; prosody</w:t>
      </w:r>
    </w:p>
    <w:p w14:paraId="60F2C10D" w14:textId="594E12E4" w:rsidR="00811491" w:rsidRDefault="00811491">
      <w:pPr>
        <w:spacing w:after="160" w:line="259" w:lineRule="auto"/>
      </w:pPr>
      <w:r>
        <w:br w:type="page"/>
      </w:r>
    </w:p>
    <w:p w14:paraId="2F30C118" w14:textId="2B7AB549" w:rsidR="00446752" w:rsidRPr="00A52A16" w:rsidRDefault="00446752" w:rsidP="0005043B">
      <w:pPr>
        <w:pStyle w:val="Heading1"/>
      </w:pPr>
      <w:bookmarkStart w:id="0" w:name="_Ref148990095"/>
      <w:r w:rsidRPr="00A52A16">
        <w:lastRenderedPageBreak/>
        <w:t>Introduction</w:t>
      </w:r>
      <w:bookmarkEnd w:id="0"/>
    </w:p>
    <w:p w14:paraId="7C6C866A" w14:textId="77777777" w:rsidR="00446752" w:rsidRPr="00A52A16" w:rsidRDefault="00446752" w:rsidP="00446752"/>
    <w:p w14:paraId="6A6D8266" w14:textId="601D1245" w:rsidR="002936E5" w:rsidRPr="00A52A16" w:rsidRDefault="00DC1571" w:rsidP="00DC1571">
      <w:pPr>
        <w:jc w:val="both"/>
      </w:pPr>
      <w:r w:rsidRPr="00A52A16">
        <w:t>This paper studies hypothetical manner clauses in English and Dutch, examining their prosodic realisation and how this relates to their grammatical status</w:t>
      </w:r>
      <w:r w:rsidR="00AA0FA2" w:rsidRPr="00A52A16">
        <w:t>, on the one hand, and their discursive function, on the other hand.</w:t>
      </w:r>
      <w:r w:rsidR="002E1C5B" w:rsidRPr="00A52A16">
        <w:t xml:space="preserve"> The focus will be specifically on clauses introduced by </w:t>
      </w:r>
      <w:r w:rsidR="002E1C5B" w:rsidRPr="00A52A16">
        <w:rPr>
          <w:i/>
        </w:rPr>
        <w:t>as if</w:t>
      </w:r>
      <w:r w:rsidR="002E1C5B" w:rsidRPr="00A52A16">
        <w:t xml:space="preserve"> in English</w:t>
      </w:r>
      <w:r w:rsidR="00476BFF" w:rsidRPr="00A52A16">
        <w:t>, e.g.</w:t>
      </w:r>
      <w:r w:rsidR="00042D69" w:rsidRPr="00A52A16">
        <w:t xml:space="preserve">, </w:t>
      </w:r>
      <w:r w:rsidR="00042D69" w:rsidRPr="00A52A16">
        <w:fldChar w:fldCharType="begin"/>
      </w:r>
      <w:r w:rsidR="00042D69" w:rsidRPr="00A52A16">
        <w:instrText xml:space="preserve"> REF _Ref131084902 \r \h </w:instrText>
      </w:r>
      <w:r w:rsidR="00042D69" w:rsidRPr="00A52A16">
        <w:fldChar w:fldCharType="separate"/>
      </w:r>
      <w:r w:rsidR="008912AA">
        <w:t>(1)</w:t>
      </w:r>
      <w:r w:rsidR="00042D69" w:rsidRPr="00A52A16">
        <w:fldChar w:fldCharType="end"/>
      </w:r>
      <w:r w:rsidR="00042D69" w:rsidRPr="00A52A16">
        <w:t>,</w:t>
      </w:r>
      <w:r w:rsidR="002E1C5B" w:rsidRPr="00A52A16">
        <w:t xml:space="preserve"> and its counterpart </w:t>
      </w:r>
      <w:r w:rsidR="002E1C5B" w:rsidRPr="00A52A16">
        <w:rPr>
          <w:i/>
        </w:rPr>
        <w:t>alsof</w:t>
      </w:r>
      <w:r w:rsidR="002E1C5B" w:rsidRPr="00A52A16">
        <w:t xml:space="preserve"> in Dutch</w:t>
      </w:r>
      <w:r w:rsidR="00476BFF" w:rsidRPr="00A52A16">
        <w:t xml:space="preserve">, </w:t>
      </w:r>
      <w:r w:rsidR="00042D69" w:rsidRPr="00A52A16">
        <w:t xml:space="preserve">e.g., </w:t>
      </w:r>
      <w:r w:rsidR="00042D69" w:rsidRPr="00A52A16">
        <w:fldChar w:fldCharType="begin"/>
      </w:r>
      <w:r w:rsidR="00042D69" w:rsidRPr="00A52A16">
        <w:instrText xml:space="preserve"> REF _Ref131084913 \r \h </w:instrText>
      </w:r>
      <w:r w:rsidR="00042D69" w:rsidRPr="00A52A16">
        <w:fldChar w:fldCharType="separate"/>
      </w:r>
      <w:r w:rsidR="008912AA">
        <w:t>(2)</w:t>
      </w:r>
      <w:r w:rsidR="00042D69" w:rsidRPr="00A52A16">
        <w:fldChar w:fldCharType="end"/>
      </w:r>
      <w:r w:rsidR="00042D69" w:rsidRPr="00A52A16">
        <w:t>.</w:t>
      </w:r>
    </w:p>
    <w:p w14:paraId="0630607E" w14:textId="77777777" w:rsidR="002936E5" w:rsidRPr="00A52A16" w:rsidRDefault="002936E5" w:rsidP="00446752"/>
    <w:p w14:paraId="08F288A9" w14:textId="0FAD16EC" w:rsidR="00476BFF" w:rsidRPr="00A52A16" w:rsidRDefault="00476BFF" w:rsidP="00020110">
      <w:pPr>
        <w:pStyle w:val="ListParagraph"/>
      </w:pPr>
      <w:bookmarkStart w:id="1" w:name="_Ref131084902"/>
      <w:r w:rsidRPr="00A52A16">
        <w:t xml:space="preserve">They look at me </w:t>
      </w:r>
      <w:r w:rsidRPr="008F229D">
        <w:rPr>
          <w:u w:val="single"/>
        </w:rPr>
        <w:t>as if I’m stupid</w:t>
      </w:r>
      <w:r w:rsidRPr="00A52A16">
        <w:t>. (British National Corpus, henceforth BNC)</w:t>
      </w:r>
      <w:bookmarkEnd w:id="1"/>
    </w:p>
    <w:p w14:paraId="0E41E047" w14:textId="7FDC90A8" w:rsidR="00BE124B" w:rsidRDefault="000B5B83" w:rsidP="000B5B83">
      <w:pPr>
        <w:pStyle w:val="ListParagraph"/>
        <w:rPr>
          <w:lang w:val="nl-BE"/>
        </w:rPr>
      </w:pPr>
      <w:bookmarkStart w:id="2" w:name="_Ref131084913"/>
      <w:r w:rsidRPr="00F37A7E">
        <w:rPr>
          <w:lang w:val="nl-BE"/>
        </w:rPr>
        <w:t>Lilan</w:t>
      </w:r>
      <w:r w:rsidR="00BE124B">
        <w:rPr>
          <w:lang w:val="nl-BE"/>
        </w:rPr>
        <w:tab/>
      </w:r>
      <w:r w:rsidR="00BE124B">
        <w:rPr>
          <w:lang w:val="nl-BE"/>
        </w:rPr>
        <w:tab/>
      </w:r>
      <w:r w:rsidRPr="00F37A7E">
        <w:rPr>
          <w:lang w:val="nl-BE"/>
        </w:rPr>
        <w:t>zwaaide</w:t>
      </w:r>
      <w:r w:rsidR="00BE124B">
        <w:rPr>
          <w:lang w:val="nl-BE"/>
        </w:rPr>
        <w:tab/>
      </w:r>
      <w:r w:rsidRPr="00F37A7E">
        <w:rPr>
          <w:lang w:val="nl-BE"/>
        </w:rPr>
        <w:t>met</w:t>
      </w:r>
      <w:r w:rsidR="00BE124B">
        <w:rPr>
          <w:lang w:val="nl-BE"/>
        </w:rPr>
        <w:tab/>
      </w:r>
      <w:r w:rsidRPr="00F37A7E">
        <w:rPr>
          <w:lang w:val="nl-BE"/>
        </w:rPr>
        <w:t>Jeans</w:t>
      </w:r>
      <w:r w:rsidR="00BE124B">
        <w:rPr>
          <w:lang w:val="nl-BE"/>
        </w:rPr>
        <w:tab/>
      </w:r>
      <w:r w:rsidR="00BE124B">
        <w:rPr>
          <w:lang w:val="nl-BE"/>
        </w:rPr>
        <w:tab/>
      </w:r>
      <w:r w:rsidRPr="00F37A7E">
        <w:rPr>
          <w:lang w:val="nl-BE"/>
        </w:rPr>
        <w:t>ansichtkaart</w:t>
      </w:r>
      <w:r w:rsidR="00BE124B">
        <w:rPr>
          <w:lang w:val="nl-BE"/>
        </w:rPr>
        <w:tab/>
      </w:r>
      <w:r w:rsidRPr="00F37A7E">
        <w:rPr>
          <w:u w:val="single"/>
          <w:lang w:val="nl-BE"/>
        </w:rPr>
        <w:t>alsof</w:t>
      </w:r>
      <w:r w:rsidR="00BE124B">
        <w:rPr>
          <w:u w:val="single"/>
          <w:lang w:val="nl-BE"/>
        </w:rPr>
        <w:tab/>
      </w:r>
      <w:r w:rsidRPr="00F37A7E">
        <w:rPr>
          <w:u w:val="single"/>
          <w:lang w:val="nl-BE"/>
        </w:rPr>
        <w:t>het</w:t>
      </w:r>
      <w:r w:rsidR="00BE124B">
        <w:rPr>
          <w:u w:val="single"/>
          <w:lang w:val="nl-BE"/>
        </w:rPr>
        <w:tab/>
      </w:r>
      <w:r w:rsidRPr="00F37A7E">
        <w:rPr>
          <w:u w:val="single"/>
          <w:lang w:val="nl-BE"/>
        </w:rPr>
        <w:t>een</w:t>
      </w:r>
      <w:r w:rsidR="00BE124B">
        <w:rPr>
          <w:u w:val="single"/>
          <w:lang w:val="nl-BE"/>
        </w:rPr>
        <w:tab/>
      </w:r>
      <w:r w:rsidRPr="00F37A7E">
        <w:rPr>
          <w:u w:val="single"/>
          <w:lang w:val="nl-BE"/>
        </w:rPr>
        <w:t>waaier</w:t>
      </w:r>
      <w:r w:rsidR="00BE124B">
        <w:rPr>
          <w:u w:val="single"/>
          <w:lang w:val="nl-BE"/>
        </w:rPr>
        <w:tab/>
      </w:r>
      <w:r w:rsidRPr="00F37A7E">
        <w:rPr>
          <w:u w:val="single"/>
          <w:lang w:val="nl-BE"/>
        </w:rPr>
        <w:t>was</w:t>
      </w:r>
      <w:r w:rsidRPr="00987840">
        <w:rPr>
          <w:lang w:val="nl-BE"/>
        </w:rPr>
        <w:t>.</w:t>
      </w:r>
    </w:p>
    <w:p w14:paraId="2ADEB4CE" w14:textId="77777777" w:rsidR="00BE124B" w:rsidRDefault="00BE124B" w:rsidP="00BE124B">
      <w:pPr>
        <w:pStyle w:val="ListParagraph"/>
        <w:numPr>
          <w:ilvl w:val="0"/>
          <w:numId w:val="0"/>
        </w:numPr>
        <w:ind w:left="567"/>
        <w:rPr>
          <w:u w:val="single"/>
          <w:lang w:val="en-US"/>
        </w:rPr>
      </w:pPr>
      <w:r w:rsidRPr="00DB2415">
        <w:rPr>
          <w:lang w:val="en-US"/>
        </w:rPr>
        <w:t>Lilan</w:t>
      </w:r>
      <w:r w:rsidRPr="00DB2415">
        <w:rPr>
          <w:lang w:val="en-US"/>
        </w:rPr>
        <w:tab/>
      </w:r>
      <w:r w:rsidRPr="00DB2415">
        <w:rPr>
          <w:lang w:val="en-US"/>
        </w:rPr>
        <w:tab/>
        <w:t>waved</w:t>
      </w:r>
      <w:r w:rsidRPr="00DB2415">
        <w:rPr>
          <w:lang w:val="en-US"/>
        </w:rPr>
        <w:tab/>
        <w:t>with</w:t>
      </w:r>
      <w:r w:rsidRPr="00DB2415">
        <w:rPr>
          <w:lang w:val="en-US"/>
        </w:rPr>
        <w:tab/>
      </w:r>
      <w:r>
        <w:rPr>
          <w:lang w:val="en-US"/>
        </w:rPr>
        <w:t>Jean’s</w:t>
      </w:r>
      <w:r>
        <w:rPr>
          <w:lang w:val="en-US"/>
        </w:rPr>
        <w:tab/>
        <w:t>postcard</w:t>
      </w:r>
      <w:r>
        <w:rPr>
          <w:lang w:val="en-US"/>
        </w:rPr>
        <w:tab/>
      </w:r>
      <w:r>
        <w:rPr>
          <w:lang w:val="en-US"/>
        </w:rPr>
        <w:tab/>
      </w:r>
      <w:r>
        <w:rPr>
          <w:lang w:val="en-US"/>
        </w:rPr>
        <w:tab/>
      </w:r>
      <w:r w:rsidRPr="00DB2415">
        <w:rPr>
          <w:u w:val="single"/>
          <w:lang w:val="en-US"/>
        </w:rPr>
        <w:t>as.if</w:t>
      </w:r>
      <w:r w:rsidRPr="00DB2415">
        <w:rPr>
          <w:u w:val="single"/>
          <w:lang w:val="en-US"/>
        </w:rPr>
        <w:tab/>
        <w:t>it</w:t>
      </w:r>
      <w:r w:rsidRPr="00DB2415">
        <w:rPr>
          <w:u w:val="single"/>
          <w:lang w:val="en-US"/>
        </w:rPr>
        <w:tab/>
      </w:r>
      <w:r w:rsidRPr="00DB2415">
        <w:rPr>
          <w:u w:val="single"/>
          <w:lang w:val="en-US"/>
        </w:rPr>
        <w:tab/>
        <w:t>a</w:t>
      </w:r>
      <w:r w:rsidRPr="00DB2415">
        <w:rPr>
          <w:u w:val="single"/>
          <w:lang w:val="en-US"/>
        </w:rPr>
        <w:tab/>
      </w:r>
      <w:r w:rsidRPr="00DB2415">
        <w:rPr>
          <w:u w:val="single"/>
          <w:lang w:val="en-US"/>
        </w:rPr>
        <w:tab/>
        <w:t>fan</w:t>
      </w:r>
      <w:r w:rsidRPr="00DB2415">
        <w:rPr>
          <w:u w:val="single"/>
          <w:lang w:val="en-US"/>
        </w:rPr>
        <w:tab/>
      </w:r>
      <w:r w:rsidRPr="00DB2415">
        <w:rPr>
          <w:u w:val="single"/>
          <w:lang w:val="en-US"/>
        </w:rPr>
        <w:tab/>
        <w:t>was</w:t>
      </w:r>
    </w:p>
    <w:p w14:paraId="1E02F9DB" w14:textId="6F4450DA" w:rsidR="000B5B83" w:rsidRPr="00BE124B" w:rsidRDefault="00BE124B" w:rsidP="00DB2415">
      <w:pPr>
        <w:pStyle w:val="ListParagraph"/>
        <w:numPr>
          <w:ilvl w:val="0"/>
          <w:numId w:val="0"/>
        </w:numPr>
        <w:ind w:left="567"/>
        <w:jc w:val="left"/>
        <w:rPr>
          <w:lang w:val="nl-BE"/>
        </w:rPr>
      </w:pPr>
      <w:r w:rsidRPr="00DB2415">
        <w:rPr>
          <w:lang w:val="nl-BE"/>
        </w:rPr>
        <w:t xml:space="preserve">(Corpus Gesproken </w:t>
      </w:r>
      <w:r w:rsidR="000B5B83" w:rsidRPr="00BE124B">
        <w:rPr>
          <w:lang w:val="nl-BE"/>
        </w:rPr>
        <w:t>Nederlands, henceforth CGN)</w:t>
      </w:r>
      <w:bookmarkEnd w:id="2"/>
    </w:p>
    <w:p w14:paraId="733801AD" w14:textId="77777777" w:rsidR="000B5B83" w:rsidRPr="00A52A16" w:rsidRDefault="000B5B83" w:rsidP="000B5B83">
      <w:pPr>
        <w:pStyle w:val="ListParagraph"/>
        <w:numPr>
          <w:ilvl w:val="0"/>
          <w:numId w:val="0"/>
        </w:numPr>
        <w:ind w:left="567"/>
      </w:pPr>
      <w:r w:rsidRPr="00A52A16">
        <w:t>‘</w:t>
      </w:r>
      <w:r>
        <w:t xml:space="preserve">Lilan waved Jean’s postcard </w:t>
      </w:r>
      <w:r>
        <w:rPr>
          <w:u w:val="single"/>
        </w:rPr>
        <w:t>as if it was a fan</w:t>
      </w:r>
      <w:r w:rsidRPr="00A52A16">
        <w:t>.’</w:t>
      </w:r>
    </w:p>
    <w:p w14:paraId="6878AA5D" w14:textId="77777777" w:rsidR="00476BFF" w:rsidRPr="00CA5EBF" w:rsidRDefault="00476BFF" w:rsidP="00020110">
      <w:pPr>
        <w:jc w:val="both"/>
      </w:pPr>
    </w:p>
    <w:p w14:paraId="0DA41764" w14:textId="735F2A05" w:rsidR="00520029" w:rsidRDefault="00520029" w:rsidP="00DB2415">
      <w:pPr>
        <w:jc w:val="both"/>
      </w:pPr>
      <w:r w:rsidRPr="00520029">
        <w:t>Dutch and English are closely related yet distinct languages that lack a systematic comparison of hypothetical manner clauses. By analy</w:t>
      </w:r>
      <w:r w:rsidR="00250FCB">
        <w:t>s</w:t>
      </w:r>
      <w:r w:rsidRPr="00520029">
        <w:t>ing both languages, we aim to demonstrate a systematic relationship between clause</w:t>
      </w:r>
      <w:r>
        <w:t>-</w:t>
      </w:r>
      <w:r w:rsidRPr="00520029">
        <w:t>combining and the interplay of prosodic</w:t>
      </w:r>
      <w:r>
        <w:t>, grammatical</w:t>
      </w:r>
      <w:r w:rsidRPr="00520029">
        <w:t xml:space="preserve"> </w:t>
      </w:r>
      <w:r>
        <w:t xml:space="preserve">and discursive </w:t>
      </w:r>
      <w:r w:rsidRPr="00520029">
        <w:t>features. This analysis will offer deeper insights into</w:t>
      </w:r>
      <w:r>
        <w:t xml:space="preserve"> clause dependency, including</w:t>
      </w:r>
      <w:r w:rsidRPr="00520029">
        <w:t xml:space="preserve"> insubordination, enhancing our understanding of its underlying mechanisms.</w:t>
      </w:r>
    </w:p>
    <w:p w14:paraId="782CAC84" w14:textId="0A645C50" w:rsidR="00797144" w:rsidRPr="00A52A16" w:rsidRDefault="00020110" w:rsidP="00DB2415">
      <w:pPr>
        <w:ind w:firstLine="567"/>
        <w:jc w:val="both"/>
      </w:pPr>
      <w:r w:rsidRPr="00A52A16">
        <w:t>In both English and Dutch</w:t>
      </w:r>
      <w:r w:rsidR="00797144" w:rsidRPr="00A52A16">
        <w:t>, hypothetical manner clauses</w:t>
      </w:r>
      <w:r w:rsidR="002C58F2">
        <w:t xml:space="preserve"> (henceforth, HM clauses)</w:t>
      </w:r>
      <w:r w:rsidR="00797144" w:rsidRPr="00A52A16">
        <w:t xml:space="preserve"> can appear in different dependency configurations. For instance, while the </w:t>
      </w:r>
      <w:r w:rsidR="00BE59A1">
        <w:t>HM</w:t>
      </w:r>
      <w:r w:rsidR="00797144" w:rsidRPr="00A52A16">
        <w:t xml:space="preserve"> clauses in </w:t>
      </w:r>
      <w:r w:rsidR="00797144" w:rsidRPr="00A52A16">
        <w:fldChar w:fldCharType="begin"/>
      </w:r>
      <w:r w:rsidR="00797144" w:rsidRPr="00A52A16">
        <w:instrText xml:space="preserve"> REF _Ref131084902 \r \h </w:instrText>
      </w:r>
      <w:r w:rsidR="00797144" w:rsidRPr="00A52A16">
        <w:fldChar w:fldCharType="separate"/>
      </w:r>
      <w:r w:rsidR="008912AA">
        <w:t>(1)</w:t>
      </w:r>
      <w:r w:rsidR="00797144" w:rsidRPr="00A52A16">
        <w:fldChar w:fldCharType="end"/>
      </w:r>
      <w:r w:rsidR="00797144" w:rsidRPr="00A52A16">
        <w:t xml:space="preserve"> and </w:t>
      </w:r>
      <w:r w:rsidR="00797144" w:rsidRPr="00A52A16">
        <w:fldChar w:fldCharType="begin"/>
      </w:r>
      <w:r w:rsidR="00797144" w:rsidRPr="00A52A16">
        <w:instrText xml:space="preserve"> REF _Ref131084913 \r \h </w:instrText>
      </w:r>
      <w:r w:rsidR="00797144" w:rsidRPr="00A52A16">
        <w:fldChar w:fldCharType="separate"/>
      </w:r>
      <w:r w:rsidR="008912AA">
        <w:t>(2)</w:t>
      </w:r>
      <w:r w:rsidR="00797144" w:rsidRPr="00A52A16">
        <w:fldChar w:fldCharType="end"/>
      </w:r>
      <w:r w:rsidR="00797144" w:rsidRPr="00A52A16">
        <w:t xml:space="preserve"> are subordinate and</w:t>
      </w:r>
      <w:r w:rsidR="000C4562">
        <w:t xml:space="preserve"> therefore</w:t>
      </w:r>
      <w:r w:rsidR="00797144" w:rsidRPr="00A52A16">
        <w:t xml:space="preserve"> dependent on a main clause, the </w:t>
      </w:r>
      <w:r w:rsidR="000A1C1E" w:rsidRPr="00A52A16">
        <w:t>examples in</w:t>
      </w:r>
      <w:r w:rsidR="00F722BD">
        <w:t xml:space="preserve"> </w:t>
      </w:r>
      <w:r w:rsidR="00F722BD">
        <w:fldChar w:fldCharType="begin"/>
      </w:r>
      <w:r w:rsidR="00F722BD">
        <w:instrText xml:space="preserve"> REF _Ref133404646 \r \h </w:instrText>
      </w:r>
      <w:r w:rsidR="00F722BD">
        <w:fldChar w:fldCharType="separate"/>
      </w:r>
      <w:r w:rsidR="008912AA">
        <w:t>(3)</w:t>
      </w:r>
      <w:r w:rsidR="00F722BD">
        <w:fldChar w:fldCharType="end"/>
      </w:r>
      <w:r w:rsidR="00F722BD">
        <w:t xml:space="preserve"> </w:t>
      </w:r>
      <w:r w:rsidR="000A1C1E" w:rsidRPr="00A52A16">
        <w:t xml:space="preserve">and </w:t>
      </w:r>
      <w:r w:rsidR="000A1C1E" w:rsidRPr="00A52A16">
        <w:fldChar w:fldCharType="begin"/>
      </w:r>
      <w:r w:rsidR="000A1C1E" w:rsidRPr="00A52A16">
        <w:instrText xml:space="preserve"> REF _Ref131085895 \r \h </w:instrText>
      </w:r>
      <w:r w:rsidR="000A1C1E" w:rsidRPr="00A52A16">
        <w:fldChar w:fldCharType="separate"/>
      </w:r>
      <w:r w:rsidR="008912AA">
        <w:t>(4)</w:t>
      </w:r>
      <w:r w:rsidR="000A1C1E" w:rsidRPr="00A52A16">
        <w:fldChar w:fldCharType="end"/>
      </w:r>
      <w:r w:rsidR="000A1C1E" w:rsidRPr="00A52A16">
        <w:t xml:space="preserve"> </w:t>
      </w:r>
      <w:r w:rsidR="000C4562">
        <w:t>show</w:t>
      </w:r>
      <w:r w:rsidR="002814A6">
        <w:t xml:space="preserve"> insubordination</w:t>
      </w:r>
      <w:r w:rsidR="000A1C1E" w:rsidRPr="00A52A16">
        <w:t>, i.e., “the conventionalized main clause use of what, on prima facie grounds, appear to be formally subordinate clauses” (Evans 2007: 369).</w:t>
      </w:r>
    </w:p>
    <w:p w14:paraId="64E33205" w14:textId="77777777" w:rsidR="004C07E0" w:rsidRPr="00A52A16" w:rsidRDefault="004C07E0" w:rsidP="00020110">
      <w:pPr>
        <w:jc w:val="both"/>
      </w:pPr>
    </w:p>
    <w:p w14:paraId="7B02E392" w14:textId="2CCFED3F" w:rsidR="00797144" w:rsidRPr="00A52A16" w:rsidRDefault="007A6854" w:rsidP="007A6854">
      <w:pPr>
        <w:pStyle w:val="ListParagraph"/>
      </w:pPr>
      <w:bookmarkStart w:id="3" w:name="_Ref133404646"/>
      <w:r w:rsidRPr="0096177B">
        <w:rPr>
          <w:u w:val="single"/>
        </w:rPr>
        <w:t>As if we haven’t got enough on our plate!</w:t>
      </w:r>
      <w:r w:rsidR="00797144" w:rsidRPr="00A52A16">
        <w:t xml:space="preserve"> (BNC)</w:t>
      </w:r>
      <w:bookmarkEnd w:id="3"/>
    </w:p>
    <w:p w14:paraId="38E15E9C" w14:textId="3B33CBAA" w:rsidR="00797144" w:rsidRDefault="00797144" w:rsidP="00797144">
      <w:pPr>
        <w:pStyle w:val="ListParagraph"/>
        <w:rPr>
          <w:lang w:val="nl-BE"/>
        </w:rPr>
      </w:pPr>
      <w:bookmarkStart w:id="4" w:name="_Ref131085895"/>
      <w:r w:rsidRPr="0096177B">
        <w:rPr>
          <w:u w:val="single"/>
          <w:lang w:val="nl-BE"/>
        </w:rPr>
        <w:t>Alsof</w:t>
      </w:r>
      <w:r w:rsidR="00BE124B" w:rsidRPr="0096177B">
        <w:rPr>
          <w:u w:val="single"/>
          <w:lang w:val="nl-BE"/>
        </w:rPr>
        <w:tab/>
      </w:r>
      <w:r w:rsidR="00BE124B" w:rsidRPr="0096177B">
        <w:rPr>
          <w:u w:val="single"/>
          <w:lang w:val="nl-BE"/>
        </w:rPr>
        <w:tab/>
      </w:r>
      <w:r w:rsidRPr="0096177B">
        <w:rPr>
          <w:u w:val="single"/>
          <w:lang w:val="nl-BE"/>
        </w:rPr>
        <w:t>meisjes</w:t>
      </w:r>
      <w:r w:rsidR="00BE124B" w:rsidRPr="0096177B">
        <w:rPr>
          <w:u w:val="single"/>
          <w:lang w:val="nl-BE"/>
        </w:rPr>
        <w:tab/>
      </w:r>
      <w:r w:rsidRPr="0096177B">
        <w:rPr>
          <w:u w:val="single"/>
          <w:lang w:val="nl-BE"/>
        </w:rPr>
        <w:t>geen</w:t>
      </w:r>
      <w:r w:rsidR="00BE124B" w:rsidRPr="0096177B">
        <w:rPr>
          <w:u w:val="single"/>
          <w:lang w:val="nl-BE"/>
        </w:rPr>
        <w:tab/>
      </w:r>
      <w:r w:rsidRPr="0096177B">
        <w:rPr>
          <w:u w:val="single"/>
          <w:lang w:val="nl-BE"/>
        </w:rPr>
        <w:t>band</w:t>
      </w:r>
      <w:r w:rsidR="00BE124B" w:rsidRPr="0096177B">
        <w:rPr>
          <w:u w:val="single"/>
          <w:lang w:val="nl-BE"/>
        </w:rPr>
        <w:tab/>
      </w:r>
      <w:r w:rsidRPr="0096177B">
        <w:rPr>
          <w:u w:val="single"/>
          <w:lang w:val="nl-BE"/>
        </w:rPr>
        <w:t>kunnen</w:t>
      </w:r>
      <w:r w:rsidR="00BE124B" w:rsidRPr="0096177B">
        <w:rPr>
          <w:u w:val="single"/>
          <w:lang w:val="nl-BE"/>
        </w:rPr>
        <w:tab/>
      </w:r>
      <w:r w:rsidRPr="0096177B">
        <w:rPr>
          <w:u w:val="single"/>
          <w:lang w:val="nl-BE"/>
        </w:rPr>
        <w:t>plakken.</w:t>
      </w:r>
      <w:r w:rsidRPr="00987840">
        <w:rPr>
          <w:lang w:val="nl-BE"/>
        </w:rPr>
        <w:t xml:space="preserve"> </w:t>
      </w:r>
      <w:r w:rsidRPr="00727DB0">
        <w:rPr>
          <w:lang w:val="nl-BE"/>
        </w:rPr>
        <w:t>(CGN)</w:t>
      </w:r>
      <w:bookmarkEnd w:id="4"/>
    </w:p>
    <w:p w14:paraId="3CB5D1B3" w14:textId="273D910A" w:rsidR="00BE124B" w:rsidRPr="0096177B" w:rsidRDefault="00BE124B" w:rsidP="00DB2415">
      <w:pPr>
        <w:pStyle w:val="ListParagraph"/>
        <w:numPr>
          <w:ilvl w:val="0"/>
          <w:numId w:val="0"/>
        </w:numPr>
        <w:ind w:left="567"/>
        <w:rPr>
          <w:u w:val="single"/>
          <w:lang w:val="en-US"/>
        </w:rPr>
      </w:pPr>
      <w:proofErr w:type="gramStart"/>
      <w:r w:rsidRPr="0096177B">
        <w:rPr>
          <w:u w:val="single"/>
          <w:lang w:val="en-US"/>
        </w:rPr>
        <w:t>As.if</w:t>
      </w:r>
      <w:proofErr w:type="gramEnd"/>
      <w:r w:rsidRPr="0096177B">
        <w:rPr>
          <w:u w:val="single"/>
          <w:lang w:val="en-US"/>
        </w:rPr>
        <w:tab/>
      </w:r>
      <w:r w:rsidRPr="0096177B">
        <w:rPr>
          <w:u w:val="single"/>
          <w:lang w:val="en-US"/>
        </w:rPr>
        <w:tab/>
        <w:t>girls</w:t>
      </w:r>
      <w:r w:rsidRPr="0096177B">
        <w:rPr>
          <w:u w:val="single"/>
          <w:lang w:val="en-US"/>
        </w:rPr>
        <w:tab/>
      </w:r>
      <w:r w:rsidRPr="0096177B">
        <w:rPr>
          <w:u w:val="single"/>
          <w:lang w:val="en-US"/>
        </w:rPr>
        <w:tab/>
        <w:t>no</w:t>
      </w:r>
      <w:r w:rsidRPr="0096177B">
        <w:rPr>
          <w:u w:val="single"/>
          <w:lang w:val="en-US"/>
        </w:rPr>
        <w:tab/>
      </w:r>
      <w:r w:rsidRPr="0096177B">
        <w:rPr>
          <w:u w:val="single"/>
          <w:lang w:val="en-US"/>
        </w:rPr>
        <w:tab/>
        <w:t>tyre</w:t>
      </w:r>
      <w:r w:rsidRPr="0096177B">
        <w:rPr>
          <w:u w:val="single"/>
          <w:lang w:val="en-US"/>
        </w:rPr>
        <w:tab/>
        <w:t>can</w:t>
      </w:r>
      <w:r w:rsidRPr="0096177B">
        <w:rPr>
          <w:u w:val="single"/>
          <w:lang w:val="en-US"/>
        </w:rPr>
        <w:tab/>
      </w:r>
      <w:r w:rsidRPr="0096177B">
        <w:rPr>
          <w:u w:val="single"/>
          <w:lang w:val="en-US"/>
        </w:rPr>
        <w:tab/>
        <w:t>paste</w:t>
      </w:r>
    </w:p>
    <w:p w14:paraId="38F76934" w14:textId="77777777" w:rsidR="00797144" w:rsidRPr="00A52A16" w:rsidRDefault="00797144" w:rsidP="00797144">
      <w:pPr>
        <w:pStyle w:val="ListParagraph"/>
        <w:numPr>
          <w:ilvl w:val="0"/>
          <w:numId w:val="0"/>
        </w:numPr>
        <w:ind w:left="567"/>
      </w:pPr>
      <w:r w:rsidRPr="00A52A16">
        <w:t>‘</w:t>
      </w:r>
      <w:r w:rsidRPr="0096177B">
        <w:rPr>
          <w:u w:val="single"/>
        </w:rPr>
        <w:t>As if girls can’t fix a tyre.</w:t>
      </w:r>
      <w:r w:rsidRPr="00A52A16">
        <w:t>’</w:t>
      </w:r>
    </w:p>
    <w:p w14:paraId="068BC444" w14:textId="77777777" w:rsidR="00020110" w:rsidRPr="00A52A16" w:rsidRDefault="00020110" w:rsidP="00446752"/>
    <w:p w14:paraId="3AF5060C" w14:textId="68499CB0" w:rsidR="00004CF3" w:rsidRDefault="003C7121" w:rsidP="007A6854">
      <w:pPr>
        <w:jc w:val="both"/>
      </w:pPr>
      <w:r>
        <w:t xml:space="preserve">Insubordinate clauses differ from subordinate ones at three levels </w:t>
      </w:r>
      <w:r w:rsidR="004F3DD7">
        <w:t xml:space="preserve">of linguistic organisation. </w:t>
      </w:r>
      <w:r w:rsidR="00EE1B65" w:rsidRPr="00A52A16">
        <w:t xml:space="preserve">At the grammatical level, insubordinate clauses do not serve a grammatical role vis-à-vis a main clause structure, which subordinate </w:t>
      </w:r>
      <w:r w:rsidR="00DB2C53" w:rsidRPr="00A52A16">
        <w:t xml:space="preserve">clauses </w:t>
      </w:r>
      <w:r w:rsidR="00EE1B65" w:rsidRPr="00A52A16">
        <w:t>do</w:t>
      </w:r>
      <w:r w:rsidR="00DB2C53" w:rsidRPr="00A52A16">
        <w:t xml:space="preserve">. For instance, in </w:t>
      </w:r>
      <w:r w:rsidR="00DB2C53" w:rsidRPr="00A52A16">
        <w:fldChar w:fldCharType="begin"/>
      </w:r>
      <w:r w:rsidR="00DB2C53" w:rsidRPr="00A52A16">
        <w:instrText xml:space="preserve"> REF _Ref131084902 \r \h </w:instrText>
      </w:r>
      <w:r w:rsidR="00DB2C53" w:rsidRPr="00A52A16">
        <w:fldChar w:fldCharType="separate"/>
      </w:r>
      <w:r w:rsidR="008912AA">
        <w:t>(1)</w:t>
      </w:r>
      <w:r w:rsidR="00DB2C53" w:rsidRPr="00A52A16">
        <w:fldChar w:fldCharType="end"/>
      </w:r>
      <w:r w:rsidR="00DB2C53" w:rsidRPr="00A52A16">
        <w:t xml:space="preserve"> and </w:t>
      </w:r>
      <w:r w:rsidR="00DB2C53" w:rsidRPr="00A52A16">
        <w:fldChar w:fldCharType="begin"/>
      </w:r>
      <w:r w:rsidR="00DB2C53" w:rsidRPr="00A52A16">
        <w:instrText xml:space="preserve"> REF _Ref131084913 \r \h </w:instrText>
      </w:r>
      <w:r w:rsidR="00DB2C53" w:rsidRPr="00A52A16">
        <w:fldChar w:fldCharType="separate"/>
      </w:r>
      <w:r w:rsidR="008912AA">
        <w:t>(2)</w:t>
      </w:r>
      <w:r w:rsidR="00DB2C53" w:rsidRPr="00A52A16">
        <w:fldChar w:fldCharType="end"/>
      </w:r>
      <w:r w:rsidR="00DB2C53" w:rsidRPr="00A52A16">
        <w:t>, the</w:t>
      </w:r>
      <w:r w:rsidR="00BE59A1">
        <w:t xml:space="preserve"> HM </w:t>
      </w:r>
      <w:r w:rsidR="00DB2C53" w:rsidRPr="00A52A16">
        <w:t xml:space="preserve">clauses function as </w:t>
      </w:r>
      <w:r w:rsidR="00F913F0">
        <w:t>optional adjunct</w:t>
      </w:r>
      <w:r w:rsidR="00DB2C53" w:rsidRPr="00A52A16">
        <w:t>s expressing a circumstance of manner.</w:t>
      </w:r>
      <w:r w:rsidR="000153A3" w:rsidRPr="00A52A16">
        <w:t xml:space="preserve"> At the pragmatic level, insubordinate clauses have their own illocutionary force, which subordinate clauses lack. </w:t>
      </w:r>
      <w:r w:rsidR="000153A3" w:rsidRPr="00A52A16">
        <w:lastRenderedPageBreak/>
        <w:t xml:space="preserve">Finally, at the discursive level, insubordinate clauses can be understood in isolation, while the subordinate clauses in </w:t>
      </w:r>
      <w:r w:rsidR="000153A3" w:rsidRPr="00A52A16">
        <w:fldChar w:fldCharType="begin"/>
      </w:r>
      <w:r w:rsidR="000153A3" w:rsidRPr="00A52A16">
        <w:instrText xml:space="preserve"> REF _Ref131084902 \r \h </w:instrText>
      </w:r>
      <w:r w:rsidR="000153A3" w:rsidRPr="00A52A16">
        <w:fldChar w:fldCharType="separate"/>
      </w:r>
      <w:r w:rsidR="008912AA">
        <w:t>(1)</w:t>
      </w:r>
      <w:r w:rsidR="000153A3" w:rsidRPr="00A52A16">
        <w:fldChar w:fldCharType="end"/>
      </w:r>
      <w:r w:rsidR="000153A3" w:rsidRPr="00A52A16">
        <w:t xml:space="preserve"> and </w:t>
      </w:r>
      <w:r w:rsidR="000153A3" w:rsidRPr="00A52A16">
        <w:fldChar w:fldCharType="begin"/>
      </w:r>
      <w:r w:rsidR="000153A3" w:rsidRPr="00A52A16">
        <w:instrText xml:space="preserve"> REF _Ref131084913 \r \h </w:instrText>
      </w:r>
      <w:r w:rsidR="000153A3" w:rsidRPr="00A52A16">
        <w:fldChar w:fldCharType="separate"/>
      </w:r>
      <w:r w:rsidR="008912AA">
        <w:t>(2)</w:t>
      </w:r>
      <w:r w:rsidR="000153A3" w:rsidRPr="00A52A16">
        <w:fldChar w:fldCharType="end"/>
      </w:r>
      <w:r w:rsidR="000153A3" w:rsidRPr="00A52A16">
        <w:t xml:space="preserve"> only make sense in relation to their main clauses</w:t>
      </w:r>
      <w:r w:rsidR="00C84BDF" w:rsidRPr="00A52A16">
        <w:t>.</w:t>
      </w:r>
    </w:p>
    <w:p w14:paraId="43C7556A" w14:textId="73BEDCA4" w:rsidR="004F3DD7" w:rsidRDefault="004F3DD7" w:rsidP="004F3DD7">
      <w:pPr>
        <w:ind w:firstLine="567"/>
        <w:jc w:val="both"/>
      </w:pPr>
      <w:r>
        <w:tab/>
        <w:t xml:space="preserve">The delimitation of the categories of subordination and insubordination, however, has come under debate, and it is increasingly accepted that dependency is not a binary but a cline on which multiple levels of dependency can be distinguished </w:t>
      </w:r>
      <w:r w:rsidRPr="00A52A16">
        <w:t>(e.g.,</w:t>
      </w:r>
      <w:r w:rsidR="0068387F">
        <w:t xml:space="preserve"> </w:t>
      </w:r>
      <w:r w:rsidRPr="00AB59AB">
        <w:t xml:space="preserve">Foley </w:t>
      </w:r>
      <w:r w:rsidR="007948AE">
        <w:t>and</w:t>
      </w:r>
      <w:r w:rsidRPr="00AB59AB">
        <w:t xml:space="preserve"> Van Valin 1984: 264; Hopper </w:t>
      </w:r>
      <w:r w:rsidR="007948AE">
        <w:t>and</w:t>
      </w:r>
      <w:r w:rsidRPr="00AB59AB">
        <w:t xml:space="preserve"> Traugott 1993: 176; Smessaert et al. 2005; Verstraete 2007)</w:t>
      </w:r>
      <w:r w:rsidRPr="00A52A16">
        <w:t>.</w:t>
      </w:r>
      <w:r w:rsidR="000B5B83">
        <w:rPr>
          <w:rStyle w:val="FootnoteReference"/>
        </w:rPr>
        <w:footnoteReference w:id="1"/>
      </w:r>
      <w:r w:rsidR="00537DAC">
        <w:t xml:space="preserve"> </w:t>
      </w:r>
      <w:r w:rsidR="00B35F19">
        <w:t xml:space="preserve">Foley </w:t>
      </w:r>
      <w:r w:rsidR="007948AE">
        <w:t>and</w:t>
      </w:r>
      <w:r w:rsidR="00B35F19">
        <w:t xml:space="preserve"> Van Valin (1984: 264), </w:t>
      </w:r>
      <w:r w:rsidR="0068387F">
        <w:t>for instance,</w:t>
      </w:r>
      <w:r w:rsidR="00B35F19">
        <w:t xml:space="preserve"> propose a hierarchy of clause-combining, </w:t>
      </w:r>
      <w:r w:rsidR="0068387F">
        <w:t>according to</w:t>
      </w:r>
      <w:r w:rsidR="00B35F19">
        <w:t xml:space="preserve"> which subordinate clauses can be integrated with a </w:t>
      </w:r>
      <w:r w:rsidR="0068387F">
        <w:t>matrix</w:t>
      </w:r>
      <w:r w:rsidR="00B35F19">
        <w:t xml:space="preserve"> at three functional levels: the nucleus (verb level), core (within the clause), and periphery (outside the simple clause). </w:t>
      </w:r>
      <w:r w:rsidR="00B35F19" w:rsidRPr="007548C3">
        <w:rPr>
          <w:szCs w:val="24"/>
        </w:rPr>
        <w:t xml:space="preserve">Hopper </w:t>
      </w:r>
      <w:r w:rsidR="007948AE">
        <w:rPr>
          <w:szCs w:val="24"/>
        </w:rPr>
        <w:t xml:space="preserve">and </w:t>
      </w:r>
      <w:r w:rsidR="00B35F19" w:rsidRPr="007548C3">
        <w:rPr>
          <w:szCs w:val="24"/>
        </w:rPr>
        <w:t xml:space="preserve">Traugott </w:t>
      </w:r>
      <w:r w:rsidR="00B35F19">
        <w:rPr>
          <w:szCs w:val="24"/>
        </w:rPr>
        <w:t>(</w:t>
      </w:r>
      <w:r w:rsidR="00B35F19" w:rsidRPr="007548C3">
        <w:rPr>
          <w:szCs w:val="24"/>
        </w:rPr>
        <w:t>1993: 176–177)</w:t>
      </w:r>
      <w:r w:rsidR="00B35F19">
        <w:t xml:space="preserve"> </w:t>
      </w:r>
      <w:r w:rsidR="00A93819">
        <w:t>suggest that</w:t>
      </w:r>
      <w:r w:rsidR="0068387F">
        <w:t xml:space="preserve"> t</w:t>
      </w:r>
      <w:r w:rsidR="0012134A">
        <w:t>he system of</w:t>
      </w:r>
      <w:r w:rsidR="00B35F19">
        <w:t xml:space="preserve"> clause-combining </w:t>
      </w:r>
      <w:r w:rsidR="00A93819">
        <w:t>forms</w:t>
      </w:r>
      <w:r w:rsidR="00B35F19">
        <w:t xml:space="preserve"> a continuum</w:t>
      </w:r>
      <w:r w:rsidR="00A93819">
        <w:t xml:space="preserve">, </w:t>
      </w:r>
      <w:r w:rsidR="00B35F19">
        <w:t xml:space="preserve">from </w:t>
      </w:r>
      <w:r w:rsidR="0068387F">
        <w:t>‘</w:t>
      </w:r>
      <w:r w:rsidR="00B35F19">
        <w:t>subordination</w:t>
      </w:r>
      <w:r w:rsidR="0068387F">
        <w:t>’</w:t>
      </w:r>
      <w:r w:rsidR="00B35F19">
        <w:t xml:space="preserve"> (embedding)</w:t>
      </w:r>
      <w:r w:rsidR="0068387F">
        <w:t xml:space="preserve"> over ‘hypotaxis’</w:t>
      </w:r>
      <w:r w:rsidR="00B35F19">
        <w:t xml:space="preserve"> to </w:t>
      </w:r>
      <w:r w:rsidR="0068387F">
        <w:t>‘</w:t>
      </w:r>
      <w:r w:rsidR="00B35F19">
        <w:t>parataxis</w:t>
      </w:r>
      <w:r w:rsidR="0068387F">
        <w:t>’</w:t>
      </w:r>
      <w:r w:rsidR="00B35F19">
        <w:t xml:space="preserve"> (coordination)</w:t>
      </w:r>
      <w:r w:rsidR="00A93819">
        <w:t>. The intermediate category, hypotaxis (i.e., adverbial subordination), itself also displays “</w:t>
      </w:r>
      <w:r w:rsidR="00B35F19">
        <w:t>a continuum from looser-to-tighter integration” (</w:t>
      </w:r>
      <w:r w:rsidR="00777CEE">
        <w:t xml:space="preserve">Hopper </w:t>
      </w:r>
      <w:r w:rsidR="007948AE">
        <w:t>and</w:t>
      </w:r>
      <w:r w:rsidR="00777CEE">
        <w:t xml:space="preserve"> Traugott</w:t>
      </w:r>
      <w:r w:rsidR="00F613F0">
        <w:t xml:space="preserve"> 1993</w:t>
      </w:r>
      <w:r w:rsidR="00B35F19">
        <w:t>: 177)</w:t>
      </w:r>
      <w:r w:rsidR="00A93819">
        <w:t>, so that dependency can effectively be seen as a matter of degree</w:t>
      </w:r>
      <w:r w:rsidR="00B35F19">
        <w:t>.</w:t>
      </w:r>
      <w:r w:rsidR="00E9053E">
        <w:t xml:space="preserve"> The same idea of dependency, or clause integration, as a gradable concept is also found in </w:t>
      </w:r>
      <w:r w:rsidR="0068387F" w:rsidRPr="00CD096B">
        <w:t xml:space="preserve">Smessaert et al. </w:t>
      </w:r>
      <w:r w:rsidR="0068387F">
        <w:t>(</w:t>
      </w:r>
      <w:r w:rsidR="0068387F" w:rsidRPr="00CD096B">
        <w:t>2005)</w:t>
      </w:r>
      <w:r w:rsidR="0068387F">
        <w:t xml:space="preserve">, </w:t>
      </w:r>
      <w:r w:rsidR="00E9053E">
        <w:t xml:space="preserve">who also argue </w:t>
      </w:r>
      <w:r w:rsidR="0068387F">
        <w:t xml:space="preserve">for a “continuum ranging from close proximity to and </w:t>
      </w:r>
      <w:r w:rsidR="0068387F" w:rsidRPr="00520029">
        <w:t>dependency</w:t>
      </w:r>
      <w:r w:rsidR="0068387F">
        <w:t xml:space="preserve"> on the verbal predicator […] to complete absence of such connectedness” (</w:t>
      </w:r>
      <w:r w:rsidR="00777CEE">
        <w:t>Smessaert et al.</w:t>
      </w:r>
      <w:r w:rsidR="00F613F0">
        <w:t xml:space="preserve"> 2005</w:t>
      </w:r>
      <w:r w:rsidR="0068387F">
        <w:t>: 508).</w:t>
      </w:r>
    </w:p>
    <w:p w14:paraId="15C211E0" w14:textId="69986C4C" w:rsidR="008F7659" w:rsidRDefault="00657BE6" w:rsidP="008F7659">
      <w:pPr>
        <w:ind w:firstLine="567"/>
        <w:jc w:val="both"/>
      </w:pPr>
      <w:r>
        <w:t xml:space="preserve">Though HM clauses have not been studied in </w:t>
      </w:r>
      <w:proofErr w:type="gramStart"/>
      <w:r>
        <w:t>great detail</w:t>
      </w:r>
      <w:proofErr w:type="gramEnd"/>
      <w:r w:rsidR="00323F9F">
        <w:t xml:space="preserve">, </w:t>
      </w:r>
      <w:r>
        <w:t>existing descriptio</w:t>
      </w:r>
      <w:r w:rsidR="00DA46F6">
        <w:t xml:space="preserve">ns of their different uses do indeed </w:t>
      </w:r>
      <w:r w:rsidR="008B503C">
        <w:t>show</w:t>
      </w:r>
      <w:r w:rsidR="00DA46F6">
        <w:t xml:space="preserve"> that </w:t>
      </w:r>
      <w:r w:rsidR="008B503C">
        <w:t>a classification of HM clauses</w:t>
      </w:r>
      <w:r w:rsidR="00C24119">
        <w:t xml:space="preserve"> requires</w:t>
      </w:r>
      <w:r w:rsidR="00DA46F6">
        <w:t xml:space="preserve"> more nuance than a simple subordination/coordination dichotomy allows for</w:t>
      </w:r>
      <w:r w:rsidR="008F7659">
        <w:t xml:space="preserve">. For English, </w:t>
      </w:r>
      <w:r w:rsidR="008F7659">
        <w:rPr>
          <w:i/>
        </w:rPr>
        <w:t>as if</w:t>
      </w:r>
      <w:r w:rsidR="008F7659">
        <w:t xml:space="preserve">-clauses have been described by a handful of authors (e.g., </w:t>
      </w:r>
      <w:r w:rsidR="008F7659" w:rsidRPr="00045D72">
        <w:rPr>
          <w:szCs w:val="24"/>
        </w:rPr>
        <w:t xml:space="preserve">López-Couso </w:t>
      </w:r>
      <w:r w:rsidR="007948AE">
        <w:rPr>
          <w:szCs w:val="24"/>
        </w:rPr>
        <w:t>and</w:t>
      </w:r>
      <w:r w:rsidR="008F7659" w:rsidRPr="00045D72">
        <w:rPr>
          <w:szCs w:val="24"/>
        </w:rPr>
        <w:t xml:space="preserve"> Méndez-Naya 2012a</w:t>
      </w:r>
      <w:r w:rsidR="008F7659">
        <w:rPr>
          <w:szCs w:val="24"/>
        </w:rPr>
        <w:t>,</w:t>
      </w:r>
      <w:r w:rsidR="00CC4FEC">
        <w:rPr>
          <w:szCs w:val="24"/>
        </w:rPr>
        <w:t xml:space="preserve"> 2012</w:t>
      </w:r>
      <w:r w:rsidR="008F7659" w:rsidRPr="00045D72">
        <w:rPr>
          <w:szCs w:val="24"/>
        </w:rPr>
        <w:t xml:space="preserve">b; Brinton 2014; Bledin </w:t>
      </w:r>
      <w:r w:rsidR="007948AE">
        <w:rPr>
          <w:szCs w:val="24"/>
        </w:rPr>
        <w:t>and</w:t>
      </w:r>
      <w:r w:rsidR="008F7659" w:rsidRPr="00045D72">
        <w:rPr>
          <w:szCs w:val="24"/>
        </w:rPr>
        <w:t xml:space="preserve"> Srinivas </w:t>
      </w:r>
      <w:r w:rsidR="004562B5">
        <w:rPr>
          <w:szCs w:val="24"/>
        </w:rPr>
        <w:t>2020</w:t>
      </w:r>
      <w:r w:rsidR="008F7659">
        <w:rPr>
          <w:szCs w:val="24"/>
        </w:rPr>
        <w:t xml:space="preserve">, </w:t>
      </w:r>
      <w:r w:rsidR="008F7659" w:rsidRPr="00045D72">
        <w:rPr>
          <w:szCs w:val="24"/>
        </w:rPr>
        <w:t>2023)</w:t>
      </w:r>
      <w:r w:rsidR="0037779E">
        <w:t xml:space="preserve">. </w:t>
      </w:r>
      <w:r w:rsidR="008F7659">
        <w:t>In these studies, adverbial HM clauses are taken as the basic use, both synchronically and diachronically</w:t>
      </w:r>
      <w:r w:rsidR="0037779E">
        <w:t>,</w:t>
      </w:r>
      <w:r w:rsidR="008F7659">
        <w:t xml:space="preserve"> e.g.</w:t>
      </w:r>
      <w:r w:rsidR="004462F3">
        <w:t>,</w:t>
      </w:r>
      <w:r w:rsidR="008F7659">
        <w:t xml:space="preserve"> </w:t>
      </w:r>
      <w:r w:rsidR="007B5862">
        <w:fldChar w:fldCharType="begin"/>
      </w:r>
      <w:r w:rsidR="007B5862">
        <w:instrText xml:space="preserve"> REF _Ref148974312 \r \h </w:instrText>
      </w:r>
      <w:r w:rsidR="007B5862">
        <w:fldChar w:fldCharType="separate"/>
      </w:r>
      <w:r w:rsidR="008912AA">
        <w:t>(5)</w:t>
      </w:r>
      <w:r w:rsidR="007B5862">
        <w:fldChar w:fldCharType="end"/>
      </w:r>
      <w:r w:rsidR="008F7659">
        <w:t>.</w:t>
      </w:r>
      <w:r w:rsidR="0037779E">
        <w:t xml:space="preserve"> </w:t>
      </w:r>
      <w:r w:rsidR="00685A01">
        <w:t xml:space="preserve">This use falls under what Hopper </w:t>
      </w:r>
      <w:r w:rsidR="007948AE">
        <w:t>and</w:t>
      </w:r>
      <w:r w:rsidR="00685A01">
        <w:t xml:space="preserve"> Traugott (1993) refer to as ‘hypotaxis’, so the dependency of the HM clause on the matrix is ‘intermediate’</w:t>
      </w:r>
      <w:r w:rsidR="00FF3E10">
        <w:t>.</w:t>
      </w:r>
    </w:p>
    <w:p w14:paraId="51346F27" w14:textId="77777777" w:rsidR="008F7659" w:rsidRDefault="008F7659" w:rsidP="008F7659">
      <w:pPr>
        <w:jc w:val="both"/>
      </w:pPr>
    </w:p>
    <w:p w14:paraId="63990E85" w14:textId="2E6F5646" w:rsidR="008F7659" w:rsidRDefault="008F7659" w:rsidP="008F7659">
      <w:pPr>
        <w:pStyle w:val="ListParagraph"/>
      </w:pPr>
      <w:bookmarkStart w:id="5" w:name="_Ref148974312"/>
      <w:r>
        <w:t xml:space="preserve">He carries on </w:t>
      </w:r>
      <w:r w:rsidRPr="008F229D">
        <w:rPr>
          <w:u w:val="single"/>
        </w:rPr>
        <w:t>as if he loves the job</w:t>
      </w:r>
      <w:r>
        <w:t>. (BNC)</w:t>
      </w:r>
      <w:bookmarkEnd w:id="5"/>
    </w:p>
    <w:p w14:paraId="01CEFEFA" w14:textId="4E4581E4" w:rsidR="008F7659" w:rsidRDefault="008F7659" w:rsidP="008F7659">
      <w:pPr>
        <w:jc w:val="both"/>
      </w:pPr>
    </w:p>
    <w:p w14:paraId="7D187D8E" w14:textId="14F20DF2" w:rsidR="008F7659" w:rsidRDefault="00B02317" w:rsidP="00BC5037">
      <w:pPr>
        <w:ind w:firstLine="567"/>
        <w:jc w:val="both"/>
      </w:pPr>
      <w:r>
        <w:rPr>
          <w:szCs w:val="24"/>
        </w:rPr>
        <w:t xml:space="preserve">More strongly dependent </w:t>
      </w:r>
      <w:r w:rsidR="004462F3">
        <w:rPr>
          <w:szCs w:val="24"/>
        </w:rPr>
        <w:t>are</w:t>
      </w:r>
      <w:r>
        <w:rPr>
          <w:szCs w:val="24"/>
        </w:rPr>
        <w:t xml:space="preserve"> complementation</w:t>
      </w:r>
      <w:r w:rsidR="004462F3">
        <w:rPr>
          <w:szCs w:val="24"/>
        </w:rPr>
        <w:t>al</w:t>
      </w:r>
      <w:r>
        <w:rPr>
          <w:szCs w:val="24"/>
        </w:rPr>
        <w:t xml:space="preserve"> HM clauses</w:t>
      </w:r>
      <w:r w:rsidR="008F7659">
        <w:t>, e.g.,</w:t>
      </w:r>
      <w:r w:rsidR="002724B3">
        <w:t xml:space="preserve"> </w:t>
      </w:r>
      <w:r w:rsidR="002724B3">
        <w:fldChar w:fldCharType="begin"/>
      </w:r>
      <w:r w:rsidR="002724B3">
        <w:instrText xml:space="preserve"> REF _Ref148974348 \r \h </w:instrText>
      </w:r>
      <w:r w:rsidR="002724B3">
        <w:fldChar w:fldCharType="separate"/>
      </w:r>
      <w:r w:rsidR="008912AA">
        <w:t>(6)</w:t>
      </w:r>
      <w:r w:rsidR="002724B3">
        <w:fldChar w:fldCharType="end"/>
      </w:r>
      <w:r w:rsidR="008F7659">
        <w:t>.</w:t>
      </w:r>
      <w:r>
        <w:t xml:space="preserve"> As recognition criteria of the</w:t>
      </w:r>
      <w:r w:rsidR="004462F3">
        <w:t>ir</w:t>
      </w:r>
      <w:r>
        <w:t xml:space="preserve"> complement status </w:t>
      </w:r>
      <w:r w:rsidRPr="00045D72">
        <w:rPr>
          <w:szCs w:val="24"/>
        </w:rPr>
        <w:t xml:space="preserve">López-Couso </w:t>
      </w:r>
      <w:r w:rsidR="007948AE">
        <w:rPr>
          <w:szCs w:val="24"/>
        </w:rPr>
        <w:t>and</w:t>
      </w:r>
      <w:r w:rsidRPr="00045D72">
        <w:rPr>
          <w:szCs w:val="24"/>
        </w:rPr>
        <w:t xml:space="preserve"> Méndez-Naya </w:t>
      </w:r>
      <w:r>
        <w:rPr>
          <w:szCs w:val="24"/>
        </w:rPr>
        <w:t>(</w:t>
      </w:r>
      <w:r w:rsidRPr="00045D72">
        <w:rPr>
          <w:szCs w:val="24"/>
        </w:rPr>
        <w:t>2012b: 316)</w:t>
      </w:r>
      <w:r>
        <w:t xml:space="preserve"> point to the</w:t>
      </w:r>
      <w:r w:rsidR="004462F3">
        <w:t>ir</w:t>
      </w:r>
      <w:r>
        <w:t xml:space="preserve"> </w:t>
      </w:r>
      <w:r>
        <w:lastRenderedPageBreak/>
        <w:t xml:space="preserve">obligatoriness (e.g., </w:t>
      </w:r>
      <w:r w:rsidRPr="00B02317">
        <w:rPr>
          <w:vertAlign w:val="superscript"/>
        </w:rPr>
        <w:t>???</w:t>
      </w:r>
      <w:r>
        <w:rPr>
          <w:i/>
        </w:rPr>
        <w:t>I fucking looked</w:t>
      </w:r>
      <w:r>
        <w:t xml:space="preserve">) and the failure to move </w:t>
      </w:r>
      <w:r w:rsidR="004462F3">
        <w:t xml:space="preserve">them </w:t>
      </w:r>
      <w:r>
        <w:t xml:space="preserve">to front position (e.g., </w:t>
      </w:r>
      <w:r w:rsidRPr="00C946E9">
        <w:rPr>
          <w:vertAlign w:val="superscript"/>
        </w:rPr>
        <w:t>??</w:t>
      </w:r>
      <w:r>
        <w:rPr>
          <w:vertAlign w:val="superscript"/>
        </w:rPr>
        <w:t>?</w:t>
      </w:r>
      <w:r>
        <w:rPr>
          <w:i/>
        </w:rPr>
        <w:t>As if I was dead, I fucking looked</w:t>
      </w:r>
      <w:r>
        <w:t>).</w:t>
      </w:r>
    </w:p>
    <w:p w14:paraId="2F95AE65" w14:textId="77777777" w:rsidR="008F7659" w:rsidRDefault="008F7659" w:rsidP="008F7659">
      <w:pPr>
        <w:jc w:val="both"/>
      </w:pPr>
    </w:p>
    <w:p w14:paraId="1C502233" w14:textId="3CB2DEF8" w:rsidR="008F7659" w:rsidRDefault="008F7659" w:rsidP="008F7659">
      <w:pPr>
        <w:pStyle w:val="ListParagraph"/>
      </w:pPr>
      <w:bookmarkStart w:id="6" w:name="_Ref148974348"/>
      <w:r>
        <w:t xml:space="preserve">I fucking looked </w:t>
      </w:r>
      <w:r w:rsidRPr="008F229D">
        <w:rPr>
          <w:u w:val="single"/>
        </w:rPr>
        <w:t>as if I was dead</w:t>
      </w:r>
      <w:r>
        <w:t>. (BNC)</w:t>
      </w:r>
      <w:bookmarkEnd w:id="6"/>
    </w:p>
    <w:p w14:paraId="493CB945" w14:textId="77777777" w:rsidR="008F7659" w:rsidRDefault="008F7659" w:rsidP="008F7659"/>
    <w:p w14:paraId="399C757E" w14:textId="17BE9C5E" w:rsidR="008F7659" w:rsidRDefault="00B02317" w:rsidP="00105EA1">
      <w:pPr>
        <w:jc w:val="both"/>
      </w:pPr>
      <w:r>
        <w:t>For Dutch, t</w:t>
      </w:r>
      <w:r w:rsidR="008F7659">
        <w:t xml:space="preserve">he same recognition criteria have been proposed to distinguish between </w:t>
      </w:r>
      <w:r w:rsidR="008F7659">
        <w:rPr>
          <w:i/>
        </w:rPr>
        <w:t>alsof</w:t>
      </w:r>
      <w:r w:rsidR="008F7659">
        <w:t xml:space="preserve">-clauses that “depend on the verb in the matrix” vs. those that do not </w:t>
      </w:r>
      <w:r w:rsidR="008F7659" w:rsidRPr="00D97DC8">
        <w:t>(</w:t>
      </w:r>
      <w:r w:rsidR="00777CEE">
        <w:t>Haeseryn et al. 1997: 1263</w:t>
      </w:r>
      <w:r w:rsidR="008F7659" w:rsidRPr="00D97DC8">
        <w:t>,</w:t>
      </w:r>
      <w:r w:rsidR="008F7659">
        <w:t xml:space="preserve"> translated from Dutch).</w:t>
      </w:r>
      <w:r w:rsidR="00B51060">
        <w:t xml:space="preserve"> </w:t>
      </w:r>
      <w:r w:rsidR="004462F3">
        <w:t xml:space="preserve">Haeseryn et al. (1997) </w:t>
      </w:r>
      <w:r w:rsidR="00105EA1">
        <w:t>specif</w:t>
      </w:r>
      <w:r w:rsidR="004462F3">
        <w:t>y</w:t>
      </w:r>
      <w:r w:rsidR="00105EA1">
        <w:t xml:space="preserve"> that the relevant distinction is not </w:t>
      </w:r>
      <w:r w:rsidR="000C4562">
        <w:t xml:space="preserve">strictly </w:t>
      </w:r>
      <w:r w:rsidR="00105EA1">
        <w:t xml:space="preserve">between complements and adverbials, but rather between arguments of the verb and adjuncts. Indeed, they observe that the use of HM clauses as </w:t>
      </w:r>
      <w:r w:rsidR="00F913F0">
        <w:t>(obligatory) argument</w:t>
      </w:r>
      <w:r w:rsidR="00105EA1">
        <w:t xml:space="preserve">s is more </w:t>
      </w:r>
      <w:proofErr w:type="gramStart"/>
      <w:r w:rsidR="00105EA1">
        <w:t xml:space="preserve">similar </w:t>
      </w:r>
      <w:r w:rsidR="005C6097">
        <w:t>to</w:t>
      </w:r>
      <w:proofErr w:type="gramEnd"/>
      <w:r w:rsidR="005C6097">
        <w:t xml:space="preserve"> </w:t>
      </w:r>
      <w:r w:rsidR="00105EA1">
        <w:t xml:space="preserve">the complement use than to the </w:t>
      </w:r>
      <w:r w:rsidR="00F913F0">
        <w:t>optional adjunct</w:t>
      </w:r>
      <w:r w:rsidR="00105EA1">
        <w:t xml:space="preserve"> use, in terms of both obligatoriness and preposability (or fronting), e.g., </w:t>
      </w:r>
      <w:r w:rsidR="00105EA1">
        <w:fldChar w:fldCharType="begin"/>
      </w:r>
      <w:r w:rsidR="00105EA1">
        <w:instrText xml:space="preserve"> REF _Ref148708160 \r \h </w:instrText>
      </w:r>
      <w:r w:rsidR="00105EA1">
        <w:fldChar w:fldCharType="separate"/>
      </w:r>
      <w:r w:rsidR="008912AA">
        <w:t>(7)</w:t>
      </w:r>
      <w:r w:rsidR="00105EA1">
        <w:fldChar w:fldCharType="end"/>
      </w:r>
      <w:r w:rsidR="00105EA1">
        <w:t>.</w:t>
      </w:r>
    </w:p>
    <w:p w14:paraId="42542C0E" w14:textId="77777777" w:rsidR="008F7659" w:rsidRDefault="008F7659" w:rsidP="008F7659">
      <w:pPr>
        <w:jc w:val="both"/>
      </w:pPr>
    </w:p>
    <w:p w14:paraId="322AE14A" w14:textId="2EF12D06" w:rsidR="008F7659" w:rsidRPr="008F229D" w:rsidRDefault="008F7659" w:rsidP="00BE124B">
      <w:pPr>
        <w:pStyle w:val="ListParagraph"/>
        <w:rPr>
          <w:lang w:val="nl-BE"/>
        </w:rPr>
      </w:pPr>
      <w:bookmarkStart w:id="7" w:name="_Ref148708160"/>
      <w:r w:rsidRPr="00C70C37">
        <w:rPr>
          <w:lang w:val="nl-BE"/>
        </w:rPr>
        <w:t>Je</w:t>
      </w:r>
      <w:r w:rsidR="00BE124B">
        <w:rPr>
          <w:lang w:val="nl-BE"/>
        </w:rPr>
        <w:tab/>
      </w:r>
      <w:r w:rsidR="00BE124B">
        <w:rPr>
          <w:lang w:val="nl-BE"/>
        </w:rPr>
        <w:tab/>
      </w:r>
      <w:r w:rsidRPr="00C70C37">
        <w:rPr>
          <w:lang w:val="nl-BE"/>
        </w:rPr>
        <w:t>moet</w:t>
      </w:r>
      <w:r w:rsidR="00BE124B">
        <w:rPr>
          <w:lang w:val="nl-BE"/>
        </w:rPr>
        <w:tab/>
      </w:r>
      <w:r w:rsidRPr="00C70C37">
        <w:rPr>
          <w:lang w:val="nl-BE"/>
        </w:rPr>
        <w:t>nu</w:t>
      </w:r>
      <w:r w:rsidR="008F229D">
        <w:rPr>
          <w:lang w:val="nl-BE"/>
        </w:rPr>
        <w:t xml:space="preserve"> </w:t>
      </w:r>
      <w:r w:rsidR="00BE124B">
        <w:rPr>
          <w:lang w:val="nl-BE"/>
        </w:rPr>
        <w:tab/>
      </w:r>
      <w:r w:rsidRPr="00C70C37">
        <w:rPr>
          <w:lang w:val="nl-BE"/>
        </w:rPr>
        <w:t>niet</w:t>
      </w:r>
      <w:r w:rsidR="008F229D">
        <w:rPr>
          <w:lang w:val="nl-BE"/>
        </w:rPr>
        <w:t xml:space="preserve"> </w:t>
      </w:r>
      <w:r w:rsidR="00BE124B">
        <w:rPr>
          <w:lang w:val="nl-BE"/>
        </w:rPr>
        <w:tab/>
      </w:r>
      <w:r w:rsidRPr="00C70C37">
        <w:rPr>
          <w:lang w:val="nl-BE"/>
        </w:rPr>
        <w:t>doen</w:t>
      </w:r>
      <w:r w:rsidR="008F229D">
        <w:rPr>
          <w:lang w:val="nl-BE"/>
        </w:rPr>
        <w:t xml:space="preserve"> </w:t>
      </w:r>
      <w:r w:rsidR="00BE124B">
        <w:rPr>
          <w:lang w:val="nl-BE"/>
        </w:rPr>
        <w:tab/>
      </w:r>
      <w:r w:rsidRPr="008F229D">
        <w:rPr>
          <w:u w:val="single"/>
          <w:lang w:val="nl-BE"/>
        </w:rPr>
        <w:t>alsof</w:t>
      </w:r>
      <w:r w:rsidR="00BE124B">
        <w:rPr>
          <w:u w:val="single"/>
          <w:lang w:val="nl-BE"/>
        </w:rPr>
        <w:tab/>
      </w:r>
      <w:r w:rsidRPr="008F229D">
        <w:rPr>
          <w:u w:val="single"/>
          <w:lang w:val="nl-BE"/>
        </w:rPr>
        <w:t>je</w:t>
      </w:r>
      <w:r w:rsidR="008F229D">
        <w:rPr>
          <w:u w:val="single"/>
          <w:lang w:val="nl-BE"/>
        </w:rPr>
        <w:t xml:space="preserve"> </w:t>
      </w:r>
      <w:r w:rsidR="00BE124B">
        <w:rPr>
          <w:u w:val="single"/>
          <w:lang w:val="nl-BE"/>
        </w:rPr>
        <w:tab/>
      </w:r>
      <w:r w:rsidR="00BE124B">
        <w:rPr>
          <w:u w:val="single"/>
          <w:lang w:val="nl-BE"/>
        </w:rPr>
        <w:tab/>
      </w:r>
      <w:r w:rsidRPr="008F229D">
        <w:rPr>
          <w:u w:val="single"/>
          <w:lang w:val="nl-BE"/>
        </w:rPr>
        <w:t>niets</w:t>
      </w:r>
      <w:r w:rsidR="008F229D">
        <w:rPr>
          <w:u w:val="single"/>
          <w:lang w:val="nl-BE"/>
        </w:rPr>
        <w:t xml:space="preserve"> </w:t>
      </w:r>
      <w:r w:rsidR="00BE124B">
        <w:rPr>
          <w:u w:val="single"/>
          <w:lang w:val="nl-BE"/>
        </w:rPr>
        <w:tab/>
      </w:r>
      <w:r w:rsidR="00BE124B">
        <w:rPr>
          <w:u w:val="single"/>
          <w:lang w:val="nl-BE"/>
        </w:rPr>
        <w:tab/>
      </w:r>
      <w:r w:rsidRPr="008F229D">
        <w:rPr>
          <w:u w:val="single"/>
          <w:lang w:val="nl-BE"/>
        </w:rPr>
        <w:t>gehoord</w:t>
      </w:r>
      <w:r w:rsidR="00BE124B">
        <w:rPr>
          <w:u w:val="single"/>
          <w:lang w:val="nl-BE"/>
        </w:rPr>
        <w:tab/>
      </w:r>
      <w:r w:rsidRPr="008F229D">
        <w:rPr>
          <w:u w:val="single"/>
          <w:lang w:val="nl-BE"/>
        </w:rPr>
        <w:t>hebt</w:t>
      </w:r>
      <w:r w:rsidRPr="00C70C37">
        <w:rPr>
          <w:lang w:val="nl-BE"/>
        </w:rPr>
        <w:t>.</w:t>
      </w:r>
      <w:r w:rsidR="008F229D">
        <w:rPr>
          <w:lang w:val="nl-BE"/>
        </w:rPr>
        <w:t xml:space="preserve"> </w:t>
      </w:r>
      <w:bookmarkEnd w:id="7"/>
    </w:p>
    <w:p w14:paraId="5E1C9CAB" w14:textId="77777777" w:rsidR="00BE124B" w:rsidRDefault="00BE124B" w:rsidP="00BE124B">
      <w:pPr>
        <w:pStyle w:val="ListParagraph"/>
        <w:numPr>
          <w:ilvl w:val="0"/>
          <w:numId w:val="0"/>
        </w:numPr>
        <w:ind w:left="567"/>
      </w:pPr>
      <w:r>
        <w:t>You</w:t>
      </w:r>
      <w:r>
        <w:tab/>
        <w:t>must</w:t>
      </w:r>
      <w:r>
        <w:tab/>
        <w:t>now</w:t>
      </w:r>
      <w:r>
        <w:tab/>
        <w:t>not</w:t>
      </w:r>
      <w:r>
        <w:tab/>
        <w:t>do</w:t>
      </w:r>
      <w:r>
        <w:tab/>
      </w:r>
      <w:r>
        <w:tab/>
      </w:r>
      <w:r w:rsidRPr="0096177B">
        <w:rPr>
          <w:u w:val="single"/>
        </w:rPr>
        <w:t>as.if</w:t>
      </w:r>
      <w:r w:rsidRPr="0096177B">
        <w:rPr>
          <w:u w:val="single"/>
        </w:rPr>
        <w:tab/>
        <w:t>you</w:t>
      </w:r>
      <w:r w:rsidRPr="0096177B">
        <w:rPr>
          <w:u w:val="single"/>
        </w:rPr>
        <w:tab/>
        <w:t>nothing</w:t>
      </w:r>
      <w:r w:rsidRPr="0096177B">
        <w:rPr>
          <w:u w:val="single"/>
        </w:rPr>
        <w:tab/>
        <w:t>heard</w:t>
      </w:r>
      <w:r w:rsidRPr="0096177B">
        <w:rPr>
          <w:u w:val="single"/>
        </w:rPr>
        <w:tab/>
      </w:r>
      <w:r w:rsidRPr="0096177B">
        <w:rPr>
          <w:u w:val="single"/>
        </w:rPr>
        <w:tab/>
        <w:t>have</w:t>
      </w:r>
    </w:p>
    <w:p w14:paraId="496DD3A2" w14:textId="68A6B28C" w:rsidR="00BE124B" w:rsidRDefault="00BE124B" w:rsidP="00DB2415">
      <w:pPr>
        <w:pStyle w:val="ListParagraph"/>
        <w:numPr>
          <w:ilvl w:val="0"/>
          <w:numId w:val="0"/>
        </w:numPr>
        <w:ind w:left="567"/>
        <w:jc w:val="left"/>
      </w:pPr>
      <w:r w:rsidRPr="00DB2415">
        <w:rPr>
          <w:lang w:val="en-US"/>
        </w:rPr>
        <w:t>(Haeseryn et al. 1997: 1263)</w:t>
      </w:r>
    </w:p>
    <w:p w14:paraId="69B2D5DA" w14:textId="25EDD198" w:rsidR="008F7659" w:rsidRDefault="008F7659" w:rsidP="008F7659">
      <w:pPr>
        <w:pStyle w:val="ListParagraph"/>
        <w:numPr>
          <w:ilvl w:val="0"/>
          <w:numId w:val="0"/>
        </w:numPr>
        <w:ind w:left="567"/>
      </w:pPr>
      <w:r>
        <w:t>‘</w:t>
      </w:r>
      <w:r w:rsidR="00460738">
        <w:t>Do</w:t>
      </w:r>
      <w:r>
        <w:t xml:space="preserve">n’t act </w:t>
      </w:r>
      <w:r w:rsidR="0096177B" w:rsidRPr="0096177B">
        <w:rPr>
          <w:u w:val="single"/>
        </w:rPr>
        <w:t xml:space="preserve">as </w:t>
      </w:r>
      <w:r w:rsidRPr="0096177B">
        <w:rPr>
          <w:u w:val="single"/>
        </w:rPr>
        <w:t>if you haven’t heard anything</w:t>
      </w:r>
      <w:r>
        <w:t>.’</w:t>
      </w:r>
    </w:p>
    <w:p w14:paraId="0CC30954" w14:textId="5C958C64" w:rsidR="008F7659" w:rsidRPr="00460738" w:rsidRDefault="008F7659" w:rsidP="00105EA1">
      <w:pPr>
        <w:jc w:val="both"/>
      </w:pPr>
    </w:p>
    <w:p w14:paraId="5CE7BE63" w14:textId="5181CBBB" w:rsidR="00105EA1" w:rsidRDefault="004462F3" w:rsidP="00105EA1">
      <w:pPr>
        <w:jc w:val="both"/>
      </w:pPr>
      <w:r>
        <w:t>T</w:t>
      </w:r>
      <w:r w:rsidR="00460738">
        <w:t xml:space="preserve">he fact that </w:t>
      </w:r>
      <w:r w:rsidR="00F913F0">
        <w:t>(obligatory) argument</w:t>
      </w:r>
      <w:r w:rsidR="00460738">
        <w:t xml:space="preserve"> clauses co-occur with a limited set of verbs both </w:t>
      </w:r>
      <w:r w:rsidR="002724B3">
        <w:t xml:space="preserve">in </w:t>
      </w:r>
      <w:r w:rsidR="00460738">
        <w:t xml:space="preserve">English (e.g., </w:t>
      </w:r>
      <w:r w:rsidR="00460738">
        <w:rPr>
          <w:i/>
        </w:rPr>
        <w:t>act as if</w:t>
      </w:r>
      <w:r w:rsidR="00460738">
        <w:t xml:space="preserve">, </w:t>
      </w:r>
      <w:r w:rsidR="00DF0173">
        <w:rPr>
          <w:i/>
        </w:rPr>
        <w:t>behave as if</w:t>
      </w:r>
      <w:r w:rsidR="00DF0173">
        <w:t>) and</w:t>
      </w:r>
      <w:r w:rsidR="002724B3">
        <w:t xml:space="preserve"> in</w:t>
      </w:r>
      <w:r w:rsidR="00DF0173">
        <w:t xml:space="preserve"> Dutch (e.g., </w:t>
      </w:r>
      <w:r w:rsidR="00DF0173">
        <w:rPr>
          <w:i/>
        </w:rPr>
        <w:t xml:space="preserve">doen alsof </w:t>
      </w:r>
      <w:r w:rsidR="00DF0173">
        <w:t xml:space="preserve">‘do as if’, </w:t>
      </w:r>
      <w:r w:rsidR="00DF0173">
        <w:rPr>
          <w:i/>
        </w:rPr>
        <w:t>zich gedragen alsof</w:t>
      </w:r>
      <w:r w:rsidR="00DF0173">
        <w:t xml:space="preserve"> ‘behave as if’) is evidence that these clauses are integrated at the level of the verb (cf. Foley </w:t>
      </w:r>
      <w:r w:rsidR="007948AE">
        <w:t>and</w:t>
      </w:r>
      <w:r w:rsidR="00DF0173">
        <w:t xml:space="preserve"> Van Valin’s [1984] ‘nucleus’) rather than at the clause-level.</w:t>
      </w:r>
    </w:p>
    <w:p w14:paraId="6F3B8ABD" w14:textId="1F45F297" w:rsidR="00343767" w:rsidRDefault="001765EB" w:rsidP="00092C48">
      <w:pPr>
        <w:ind w:firstLine="567"/>
        <w:jc w:val="both"/>
      </w:pPr>
      <w:r>
        <w:tab/>
        <w:t xml:space="preserve">At the other end of the cline, </w:t>
      </w:r>
      <w:r w:rsidR="00092C48">
        <w:t>independent</w:t>
      </w:r>
      <w:r w:rsidR="00323F9F">
        <w:t xml:space="preserve"> uses of HM clauses have been recognised as well</w:t>
      </w:r>
      <w:r w:rsidR="00092C48">
        <w:t xml:space="preserve"> </w:t>
      </w:r>
      <w:r w:rsidR="002724B3" w:rsidRPr="002724B3">
        <w:rPr>
          <w:szCs w:val="24"/>
        </w:rPr>
        <w:t>(</w:t>
      </w:r>
      <w:r w:rsidR="002724B3">
        <w:rPr>
          <w:szCs w:val="24"/>
        </w:rPr>
        <w:t xml:space="preserve">e.g., </w:t>
      </w:r>
      <w:r w:rsidR="002724B3" w:rsidRPr="002724B3">
        <w:rPr>
          <w:szCs w:val="24"/>
        </w:rPr>
        <w:t xml:space="preserve">López-Couso </w:t>
      </w:r>
      <w:r w:rsidR="007948AE">
        <w:rPr>
          <w:szCs w:val="24"/>
        </w:rPr>
        <w:t>and</w:t>
      </w:r>
      <w:r w:rsidR="002724B3" w:rsidRPr="002724B3">
        <w:rPr>
          <w:szCs w:val="24"/>
        </w:rPr>
        <w:t xml:space="preserve"> Méndez-Naya 2012</w:t>
      </w:r>
      <w:r w:rsidR="002724B3">
        <w:rPr>
          <w:szCs w:val="24"/>
        </w:rPr>
        <w:t>a</w:t>
      </w:r>
      <w:r w:rsidR="002724B3" w:rsidRPr="002724B3">
        <w:rPr>
          <w:szCs w:val="24"/>
        </w:rPr>
        <w:t xml:space="preserve">; Brinton 2014; Bledin </w:t>
      </w:r>
      <w:r w:rsidR="007948AE">
        <w:rPr>
          <w:szCs w:val="24"/>
        </w:rPr>
        <w:t>and</w:t>
      </w:r>
      <w:r w:rsidR="002724B3" w:rsidRPr="002724B3">
        <w:rPr>
          <w:szCs w:val="24"/>
        </w:rPr>
        <w:t xml:space="preserve"> Srinivas </w:t>
      </w:r>
      <w:r w:rsidR="004562B5">
        <w:rPr>
          <w:szCs w:val="24"/>
        </w:rPr>
        <w:t>2020</w:t>
      </w:r>
      <w:r w:rsidR="002724B3" w:rsidRPr="002724B3">
        <w:rPr>
          <w:szCs w:val="24"/>
        </w:rPr>
        <w:t xml:space="preserve">; Looij </w:t>
      </w:r>
      <w:r w:rsidR="007948AE">
        <w:rPr>
          <w:szCs w:val="24"/>
        </w:rPr>
        <w:t>and</w:t>
      </w:r>
      <w:r w:rsidR="002724B3" w:rsidRPr="002724B3">
        <w:rPr>
          <w:szCs w:val="24"/>
        </w:rPr>
        <w:t xml:space="preserve"> Minnaert 2019)</w:t>
      </w:r>
      <w:r w:rsidR="00323F9F">
        <w:t>, though coverage of them remains limited, especially for Dutch.</w:t>
      </w:r>
      <w:r w:rsidR="00092C48">
        <w:t xml:space="preserve"> Among the independent uses, the insubordinate clause type illustrated in </w:t>
      </w:r>
      <w:r w:rsidR="00092C48">
        <w:fldChar w:fldCharType="begin"/>
      </w:r>
      <w:r w:rsidR="00092C48">
        <w:instrText xml:space="preserve"> REF _Ref133404646 \r \h </w:instrText>
      </w:r>
      <w:r w:rsidR="00092C48">
        <w:fldChar w:fldCharType="separate"/>
      </w:r>
      <w:r w:rsidR="008912AA">
        <w:t>(3)</w:t>
      </w:r>
      <w:r w:rsidR="00092C48">
        <w:fldChar w:fldCharType="end"/>
      </w:r>
      <w:r w:rsidR="00092C48">
        <w:t xml:space="preserve"> and </w:t>
      </w:r>
      <w:r w:rsidR="00092C48">
        <w:fldChar w:fldCharType="begin"/>
      </w:r>
      <w:r w:rsidR="00092C48">
        <w:instrText xml:space="preserve"> REF _Ref131085895 \r \h </w:instrText>
      </w:r>
      <w:r w:rsidR="00092C48">
        <w:fldChar w:fldCharType="separate"/>
      </w:r>
      <w:r w:rsidR="008912AA">
        <w:t>(4)</w:t>
      </w:r>
      <w:r w:rsidR="00092C48">
        <w:fldChar w:fldCharType="end"/>
      </w:r>
      <w:r w:rsidR="00092C48">
        <w:t xml:space="preserve"> above has received most attention. For English, </w:t>
      </w:r>
      <w:r w:rsidR="00092C48" w:rsidRPr="000A5D2D">
        <w:rPr>
          <w:szCs w:val="24"/>
        </w:rPr>
        <w:t xml:space="preserve">López-Couso </w:t>
      </w:r>
      <w:r w:rsidR="007948AE">
        <w:rPr>
          <w:szCs w:val="24"/>
        </w:rPr>
        <w:t>and</w:t>
      </w:r>
      <w:r w:rsidR="00092C48" w:rsidRPr="000A5D2D">
        <w:rPr>
          <w:szCs w:val="24"/>
        </w:rPr>
        <w:t xml:space="preserve"> Méndez-Naya </w:t>
      </w:r>
      <w:r w:rsidR="00092C48">
        <w:rPr>
          <w:szCs w:val="24"/>
        </w:rPr>
        <w:t>(</w:t>
      </w:r>
      <w:r w:rsidR="00092C48" w:rsidRPr="000A5D2D">
        <w:rPr>
          <w:szCs w:val="24"/>
        </w:rPr>
        <w:t>2012a)</w:t>
      </w:r>
      <w:r w:rsidR="00092C48">
        <w:t xml:space="preserve"> suggest that </w:t>
      </w:r>
      <w:r w:rsidR="002724B3">
        <w:t>these</w:t>
      </w:r>
      <w:r w:rsidR="00092C48">
        <w:t xml:space="preserve"> clauses have “the illocutionary force of an exclamation” </w:t>
      </w:r>
      <w:r w:rsidR="00092C48" w:rsidRPr="00D97DC8">
        <w:t>(</w:t>
      </w:r>
      <w:r w:rsidR="003E5C20" w:rsidRPr="000A5D2D">
        <w:rPr>
          <w:szCs w:val="24"/>
        </w:rPr>
        <w:t xml:space="preserve">López-Couso </w:t>
      </w:r>
      <w:r w:rsidR="007948AE">
        <w:rPr>
          <w:szCs w:val="24"/>
        </w:rPr>
        <w:t>and</w:t>
      </w:r>
      <w:r w:rsidR="003E5C20" w:rsidRPr="000A5D2D">
        <w:rPr>
          <w:szCs w:val="24"/>
        </w:rPr>
        <w:t xml:space="preserve"> Méndez-Naya </w:t>
      </w:r>
      <w:r w:rsidR="003E5C20">
        <w:rPr>
          <w:szCs w:val="24"/>
        </w:rPr>
        <w:t>2012a</w:t>
      </w:r>
      <w:r w:rsidR="002724B3" w:rsidRPr="00D97DC8">
        <w:t>:</w:t>
      </w:r>
      <w:r w:rsidR="002724B3">
        <w:t xml:space="preserve"> 181</w:t>
      </w:r>
      <w:r w:rsidR="00092C48">
        <w:t xml:space="preserve">), which fits in a long tradition to treat these clauses as exclamatives (e.g., </w:t>
      </w:r>
      <w:r w:rsidR="00092C48" w:rsidRPr="00187CB4">
        <w:rPr>
          <w:szCs w:val="24"/>
        </w:rPr>
        <w:t xml:space="preserve">Fowler 1965: 37; Dancygier </w:t>
      </w:r>
      <w:r w:rsidR="007948AE">
        <w:rPr>
          <w:szCs w:val="24"/>
        </w:rPr>
        <w:t>and</w:t>
      </w:r>
      <w:r w:rsidR="00092C48" w:rsidRPr="00187CB4">
        <w:rPr>
          <w:szCs w:val="24"/>
        </w:rPr>
        <w:t xml:space="preserve"> Sweetser 2005: 217–219, 229; Brinton 2014; Bledin </w:t>
      </w:r>
      <w:r w:rsidR="007948AE">
        <w:rPr>
          <w:szCs w:val="24"/>
        </w:rPr>
        <w:t>and</w:t>
      </w:r>
      <w:r w:rsidR="00092C48" w:rsidRPr="00187CB4">
        <w:rPr>
          <w:szCs w:val="24"/>
        </w:rPr>
        <w:t xml:space="preserve"> Srinivas </w:t>
      </w:r>
      <w:r w:rsidR="004562B5">
        <w:rPr>
          <w:szCs w:val="24"/>
        </w:rPr>
        <w:t>2020</w:t>
      </w:r>
      <w:r w:rsidR="00092C48" w:rsidRPr="00187CB4">
        <w:rPr>
          <w:szCs w:val="24"/>
        </w:rPr>
        <w:t>)</w:t>
      </w:r>
      <w:r w:rsidR="00092C48">
        <w:t xml:space="preserve">. </w:t>
      </w:r>
      <w:r w:rsidR="00092C48" w:rsidRPr="0011051D">
        <w:t xml:space="preserve">Brinton </w:t>
      </w:r>
      <w:r w:rsidR="00092C48">
        <w:t>(</w:t>
      </w:r>
      <w:r w:rsidR="00092C48" w:rsidRPr="0011051D">
        <w:t>2014: 101)</w:t>
      </w:r>
      <w:r w:rsidR="00092C48">
        <w:t xml:space="preserve"> describes “monoclausal” HM clauses as expressing ‘denial of an assumption’, triggering polarity reversal: either “an affirmative assumption is being denied and a negative asserted” or “a negative assumption is being denied and a positive asserted” (</w:t>
      </w:r>
      <w:r w:rsidR="003E5C20">
        <w:t>Brinton 2014: 101</w:t>
      </w:r>
      <w:r w:rsidR="00092C48">
        <w:t xml:space="preserve">). She further adds that these clauses also have an ‘exclamative-evaluative’ function, </w:t>
      </w:r>
      <w:r w:rsidR="00092C48">
        <w:lastRenderedPageBreak/>
        <w:t xml:space="preserve">whereby “the speaker, through the emotive quality of the construction, solicits the hearer’s agreement to the clause asserted” </w:t>
      </w:r>
      <w:r w:rsidR="00092C48" w:rsidRPr="00D97DC8">
        <w:t>(</w:t>
      </w:r>
      <w:r w:rsidR="003E5C20">
        <w:t>Brinton 2014: 101</w:t>
      </w:r>
      <w:r w:rsidR="00092C48" w:rsidRPr="00D97DC8">
        <w:t>).</w:t>
      </w:r>
      <w:r w:rsidR="00092C48">
        <w:t xml:space="preserve"> </w:t>
      </w:r>
      <w:r w:rsidR="00343767">
        <w:t xml:space="preserve">Similar meanings have been attributed to the insubordinate </w:t>
      </w:r>
      <w:r w:rsidR="00343767">
        <w:rPr>
          <w:i/>
        </w:rPr>
        <w:t>alsof</w:t>
      </w:r>
      <w:r w:rsidR="00343767">
        <w:t>-construction in Dutch</w:t>
      </w:r>
      <w:r w:rsidR="00A9449F">
        <w:t xml:space="preserve">, e.g., </w:t>
      </w:r>
      <w:r w:rsidR="00A9449F">
        <w:fldChar w:fldCharType="begin"/>
      </w:r>
      <w:r w:rsidR="00A9449F">
        <w:instrText xml:space="preserve"> REF _Ref148944342 \r \h </w:instrText>
      </w:r>
      <w:r w:rsidR="00A9449F">
        <w:fldChar w:fldCharType="separate"/>
      </w:r>
      <w:r w:rsidR="008912AA">
        <w:t>(8)</w:t>
      </w:r>
      <w:r w:rsidR="00A9449F">
        <w:fldChar w:fldCharType="end"/>
      </w:r>
      <w:r w:rsidR="00A9449F">
        <w:t>.</w:t>
      </w:r>
    </w:p>
    <w:p w14:paraId="1E9FFCDC" w14:textId="77777777" w:rsidR="002724B3" w:rsidRDefault="002724B3" w:rsidP="00092C48">
      <w:pPr>
        <w:ind w:firstLine="567"/>
        <w:jc w:val="both"/>
      </w:pPr>
    </w:p>
    <w:p w14:paraId="2010D7B3" w14:textId="6949F574" w:rsidR="00343767" w:rsidRPr="00DB2415" w:rsidRDefault="00343767" w:rsidP="00DB2415">
      <w:pPr>
        <w:pStyle w:val="ListParagraph"/>
        <w:jc w:val="left"/>
        <w:rPr>
          <w:b/>
        </w:rPr>
      </w:pPr>
      <w:bookmarkStart w:id="8" w:name="_Ref148944342"/>
      <w:r w:rsidRPr="00DB2415">
        <w:t>Kun</w:t>
      </w:r>
      <w:r w:rsidR="00BE124B" w:rsidRPr="00DB2415">
        <w:tab/>
      </w:r>
      <w:r w:rsidRPr="00DB2415">
        <w:t>je</w:t>
      </w:r>
      <w:r w:rsidR="00BE124B" w:rsidRPr="00DB2415">
        <w:tab/>
      </w:r>
      <w:r w:rsidR="00BE124B" w:rsidRPr="00DB2415">
        <w:tab/>
      </w:r>
      <w:r w:rsidRPr="00DB2415">
        <w:t>nagaan</w:t>
      </w:r>
      <w:r w:rsidR="00BE124B" w:rsidRPr="00DB2415">
        <w:tab/>
      </w:r>
      <w:r w:rsidR="00EA1A22" w:rsidRPr="00DB2415">
        <w:t>hoezeer</w:t>
      </w:r>
      <w:r w:rsidRPr="00DB2415">
        <w:t xml:space="preserve"> </w:t>
      </w:r>
      <w:r w:rsidR="00BE124B" w:rsidRPr="00DB2415">
        <w:tab/>
      </w:r>
      <w:r w:rsidR="00BE124B" w:rsidRPr="00DB2415">
        <w:tab/>
      </w:r>
      <w:r w:rsidRPr="00DB2415">
        <w:t>types</w:t>
      </w:r>
      <w:r w:rsidR="00BE124B" w:rsidRPr="00DB2415">
        <w:tab/>
      </w:r>
      <w:r w:rsidR="00BE124B" w:rsidRPr="00DB2415">
        <w:tab/>
      </w:r>
      <w:r w:rsidRPr="00DB2415">
        <w:t xml:space="preserve">als </w:t>
      </w:r>
      <w:r w:rsidR="00BE124B" w:rsidRPr="00DB2415">
        <w:tab/>
      </w:r>
      <w:r w:rsidRPr="00DB2415">
        <w:t xml:space="preserve">Beatrice </w:t>
      </w:r>
      <w:r w:rsidR="00BE124B" w:rsidRPr="00DB2415">
        <w:tab/>
      </w:r>
      <w:r w:rsidRPr="00DB2415">
        <w:t>op</w:t>
      </w:r>
      <w:r w:rsidR="00BE124B" w:rsidRPr="00DB2415">
        <w:tab/>
      </w:r>
      <w:r w:rsidR="00BE124B" w:rsidRPr="00DB2415">
        <w:tab/>
      </w:r>
      <w:r w:rsidRPr="00DB2415">
        <w:t>types</w:t>
      </w:r>
      <w:r w:rsidR="00BE124B" w:rsidRPr="00DB2415">
        <w:tab/>
      </w:r>
      <w:r w:rsidR="00BE124B" w:rsidRPr="00DB2415">
        <w:tab/>
      </w:r>
      <w:r w:rsidRPr="00DB2415">
        <w:t>als</w:t>
      </w:r>
      <w:r w:rsidR="00BE124B" w:rsidRPr="00DB2415">
        <w:tab/>
      </w:r>
      <w:r w:rsidR="00BE124B" w:rsidRPr="00DB2415">
        <w:tab/>
      </w:r>
      <w:r w:rsidRPr="00DB2415">
        <w:t>mij</w:t>
      </w:r>
      <w:r w:rsidR="00BE124B" w:rsidRPr="00DB2415">
        <w:br/>
      </w:r>
      <w:r w:rsidR="00BE124B" w:rsidRPr="00DB2415">
        <w:rPr>
          <w:lang w:val="en-US"/>
        </w:rPr>
        <w:t>Can</w:t>
      </w:r>
      <w:r w:rsidR="00BE124B" w:rsidRPr="00DB2415">
        <w:rPr>
          <w:lang w:val="en-US"/>
        </w:rPr>
        <w:tab/>
        <w:t>you</w:t>
      </w:r>
      <w:r w:rsidR="00BE124B" w:rsidRPr="00DB2415">
        <w:rPr>
          <w:lang w:val="en-US"/>
        </w:rPr>
        <w:tab/>
      </w:r>
      <w:r w:rsidR="00BE124B" w:rsidRPr="00BE124B">
        <w:rPr>
          <w:lang w:val="en-US"/>
        </w:rPr>
        <w:t>reckon</w:t>
      </w:r>
      <w:r w:rsidR="00BE124B" w:rsidRPr="00DB2415">
        <w:rPr>
          <w:lang w:val="en-US"/>
        </w:rPr>
        <w:tab/>
        <w:t>how.</w:t>
      </w:r>
      <w:proofErr w:type="gramStart"/>
      <w:r w:rsidR="00BE124B" w:rsidRPr="00DB2415">
        <w:rPr>
          <w:lang w:val="en-US"/>
        </w:rPr>
        <w:t>m</w:t>
      </w:r>
      <w:r w:rsidR="00BE124B" w:rsidRPr="00BE124B">
        <w:rPr>
          <w:lang w:val="en-US"/>
        </w:rPr>
        <w:t>uch</w:t>
      </w:r>
      <w:proofErr w:type="gramEnd"/>
      <w:r w:rsidR="00BE124B" w:rsidRPr="00BE124B">
        <w:rPr>
          <w:lang w:val="en-US"/>
        </w:rPr>
        <w:tab/>
        <w:t>types</w:t>
      </w:r>
      <w:r w:rsidR="00BE124B" w:rsidRPr="00BE124B">
        <w:rPr>
          <w:lang w:val="en-US"/>
        </w:rPr>
        <w:tab/>
      </w:r>
      <w:r w:rsidR="00BE124B" w:rsidRPr="00BE124B">
        <w:rPr>
          <w:lang w:val="en-US"/>
        </w:rPr>
        <w:tab/>
        <w:t>like</w:t>
      </w:r>
      <w:r w:rsidR="00BE124B" w:rsidRPr="00BE124B">
        <w:rPr>
          <w:lang w:val="en-US"/>
        </w:rPr>
        <w:tab/>
        <w:t>Beatrice</w:t>
      </w:r>
      <w:r w:rsidR="00BE124B" w:rsidRPr="00BE124B">
        <w:rPr>
          <w:lang w:val="en-US"/>
        </w:rPr>
        <w:tab/>
      </w:r>
      <w:r w:rsidR="00BE124B" w:rsidRPr="00BE124B">
        <w:rPr>
          <w:lang w:val="en-US"/>
        </w:rPr>
        <w:tab/>
        <w:t>on</w:t>
      </w:r>
      <w:r w:rsidR="00BE124B" w:rsidRPr="00BE124B">
        <w:rPr>
          <w:lang w:val="en-US"/>
        </w:rPr>
        <w:tab/>
      </w:r>
      <w:r w:rsidR="00BE124B" w:rsidRPr="00BE124B">
        <w:rPr>
          <w:lang w:val="en-US"/>
        </w:rPr>
        <w:tab/>
        <w:t>types</w:t>
      </w:r>
      <w:r w:rsidR="00BE124B" w:rsidRPr="00BE124B">
        <w:rPr>
          <w:lang w:val="en-US"/>
        </w:rPr>
        <w:tab/>
      </w:r>
      <w:r w:rsidR="00BE124B" w:rsidRPr="00BE124B">
        <w:rPr>
          <w:lang w:val="en-US"/>
        </w:rPr>
        <w:tab/>
        <w:t>like</w:t>
      </w:r>
      <w:r w:rsidR="00BE124B" w:rsidRPr="00BE124B">
        <w:rPr>
          <w:lang w:val="en-US"/>
        </w:rPr>
        <w:tab/>
        <w:t>me</w:t>
      </w:r>
      <w:r w:rsidR="00BE124B" w:rsidRPr="00BE124B">
        <w:rPr>
          <w:lang w:val="en-US"/>
        </w:rPr>
        <w:tab/>
      </w:r>
      <w:r w:rsidR="00BE124B">
        <w:rPr>
          <w:lang w:val="en-US"/>
        </w:rPr>
        <w:br/>
      </w:r>
      <w:r w:rsidR="00BE124B" w:rsidRPr="00BE124B">
        <w:rPr>
          <w:lang w:val="en-US"/>
        </w:rPr>
        <w:t>neerkijken</w:t>
      </w:r>
      <w:r w:rsidR="00BE124B">
        <w:rPr>
          <w:lang w:val="en-US"/>
        </w:rPr>
        <w:t>.</w:t>
      </w:r>
      <w:r w:rsidR="00BE124B">
        <w:rPr>
          <w:lang w:val="en-US"/>
        </w:rPr>
        <w:tab/>
      </w:r>
      <w:r w:rsidR="00BE124B">
        <w:rPr>
          <w:lang w:val="en-US"/>
        </w:rPr>
        <w:tab/>
      </w:r>
      <w:r w:rsidR="00BE124B" w:rsidRPr="00DB2415">
        <w:rPr>
          <w:u w:val="single"/>
          <w:lang w:val="nl-BE"/>
        </w:rPr>
        <w:t>Alsof</w:t>
      </w:r>
      <w:r w:rsidR="00BE124B" w:rsidRPr="00DB2415">
        <w:rPr>
          <w:u w:val="single"/>
          <w:lang w:val="nl-BE"/>
        </w:rPr>
        <w:tab/>
      </w:r>
      <w:r w:rsidR="00BE124B" w:rsidRPr="00DB2415">
        <w:rPr>
          <w:u w:val="single"/>
          <w:lang w:val="nl-BE"/>
        </w:rPr>
        <w:tab/>
        <w:t>ik</w:t>
      </w:r>
      <w:r w:rsidR="00BE124B" w:rsidRPr="00DB2415">
        <w:rPr>
          <w:u w:val="single"/>
          <w:lang w:val="nl-BE"/>
        </w:rPr>
        <w:tab/>
      </w:r>
      <w:r w:rsidR="00BE124B" w:rsidRPr="00DB2415">
        <w:rPr>
          <w:u w:val="single"/>
          <w:lang w:val="nl-BE"/>
        </w:rPr>
        <w:tab/>
        <w:t>een</w:t>
      </w:r>
      <w:r w:rsidR="00BE124B" w:rsidRPr="00DB2415">
        <w:rPr>
          <w:u w:val="single"/>
          <w:lang w:val="nl-BE"/>
        </w:rPr>
        <w:tab/>
        <w:t>nazi</w:t>
      </w:r>
      <w:r w:rsidR="00BE124B" w:rsidRPr="00DB2415">
        <w:rPr>
          <w:u w:val="single"/>
          <w:lang w:val="nl-BE"/>
        </w:rPr>
        <w:tab/>
        <w:t xml:space="preserve">ben. </w:t>
      </w:r>
      <w:r w:rsidR="00BE124B" w:rsidRPr="00DB2415">
        <w:rPr>
          <w:lang w:val="nl-BE"/>
        </w:rPr>
        <w:t>(Looij and Minnaert 2019: 363)</w:t>
      </w:r>
      <w:r w:rsidR="00BE124B" w:rsidRPr="00DB2415">
        <w:rPr>
          <w:lang w:val="nl-BE"/>
        </w:rPr>
        <w:br/>
        <w:t>down.look.</w:t>
      </w:r>
      <w:r w:rsidR="00BE124B" w:rsidRPr="00DB2415">
        <w:rPr>
          <w:lang w:val="nl-BE"/>
        </w:rPr>
        <w:tab/>
      </w:r>
      <w:r w:rsidR="00BE124B" w:rsidRPr="00DB2415">
        <w:rPr>
          <w:lang w:val="nl-BE"/>
        </w:rPr>
        <w:tab/>
      </w:r>
      <w:proofErr w:type="gramStart"/>
      <w:r w:rsidR="00BE124B" w:rsidRPr="00DB2415">
        <w:rPr>
          <w:u w:val="single"/>
          <w:lang w:val="en-US"/>
        </w:rPr>
        <w:t>As.if</w:t>
      </w:r>
      <w:proofErr w:type="gramEnd"/>
      <w:r w:rsidR="00BE124B" w:rsidRPr="00DB2415">
        <w:rPr>
          <w:u w:val="single"/>
          <w:lang w:val="en-US"/>
        </w:rPr>
        <w:tab/>
      </w:r>
      <w:r w:rsidR="00BE124B" w:rsidRPr="00DB2415">
        <w:rPr>
          <w:u w:val="single"/>
          <w:lang w:val="en-US"/>
        </w:rPr>
        <w:tab/>
        <w:t>I</w:t>
      </w:r>
      <w:r w:rsidR="00BE124B" w:rsidRPr="00DB2415">
        <w:rPr>
          <w:u w:val="single"/>
          <w:lang w:val="en-US"/>
        </w:rPr>
        <w:tab/>
      </w:r>
      <w:r w:rsidR="00BE124B" w:rsidRPr="00DB2415">
        <w:rPr>
          <w:u w:val="single"/>
          <w:lang w:val="en-US"/>
        </w:rPr>
        <w:tab/>
        <w:t>a</w:t>
      </w:r>
      <w:r w:rsidR="00BE124B" w:rsidRPr="00DB2415">
        <w:rPr>
          <w:u w:val="single"/>
          <w:lang w:val="en-US"/>
        </w:rPr>
        <w:tab/>
      </w:r>
      <w:r w:rsidR="00BE124B" w:rsidRPr="00DB2415">
        <w:rPr>
          <w:u w:val="single"/>
          <w:lang w:val="en-US"/>
        </w:rPr>
        <w:tab/>
        <w:t>nazi</w:t>
      </w:r>
      <w:r w:rsidR="00BE124B" w:rsidRPr="00DB2415">
        <w:rPr>
          <w:u w:val="single"/>
          <w:lang w:val="en-US"/>
        </w:rPr>
        <w:tab/>
        <w:t>am.</w:t>
      </w:r>
      <w:bookmarkEnd w:id="8"/>
    </w:p>
    <w:p w14:paraId="412FA600" w14:textId="22037C59" w:rsidR="00343767" w:rsidRPr="00D41A97" w:rsidRDefault="00343767" w:rsidP="00343767">
      <w:pPr>
        <w:pStyle w:val="ListParagraph"/>
        <w:numPr>
          <w:ilvl w:val="0"/>
          <w:numId w:val="0"/>
        </w:numPr>
        <w:ind w:left="567"/>
      </w:pPr>
      <w:r w:rsidRPr="00D41A97">
        <w:t>‘Do you reckon how m</w:t>
      </w:r>
      <w:r>
        <w:t xml:space="preserve">uch types like Beatrice look down on types like me. </w:t>
      </w:r>
      <w:r w:rsidRPr="00DB2415">
        <w:rPr>
          <w:u w:val="single"/>
        </w:rPr>
        <w:t>As if I’m [a] nazi</w:t>
      </w:r>
      <w:r>
        <w:t>.</w:t>
      </w:r>
      <w:r w:rsidR="008F229D">
        <w:t>’</w:t>
      </w:r>
    </w:p>
    <w:p w14:paraId="6F4C4EF6" w14:textId="77777777" w:rsidR="00EA1A22" w:rsidRDefault="00EA1A22" w:rsidP="00EA1A22">
      <w:pPr>
        <w:jc w:val="both"/>
      </w:pPr>
    </w:p>
    <w:p w14:paraId="33E6F520" w14:textId="7C65BAC1" w:rsidR="004E062D" w:rsidRDefault="00EA1A22" w:rsidP="00EA1A22">
      <w:pPr>
        <w:jc w:val="both"/>
      </w:pPr>
      <w:r w:rsidRPr="007C6831">
        <w:t xml:space="preserve">Looij </w:t>
      </w:r>
      <w:r w:rsidR="007948AE">
        <w:t>and</w:t>
      </w:r>
      <w:r w:rsidRPr="007C6831">
        <w:t xml:space="preserve"> Minnaert </w:t>
      </w:r>
      <w:r>
        <w:t>(</w:t>
      </w:r>
      <w:r w:rsidRPr="007C6831">
        <w:t>2019)</w:t>
      </w:r>
      <w:r>
        <w:t xml:space="preserve"> describe the meaning of such clauses as ‘negating/emotive’. </w:t>
      </w:r>
      <w:r w:rsidR="00EF3765">
        <w:t xml:space="preserve">Their </w:t>
      </w:r>
      <w:r>
        <w:t>function is, they claim, (inter)subjective and argumentative: the speaker “tries to convince others that it is (for instance) frustrating or funny that people could think that ‘X’ is really the case”</w:t>
      </w:r>
      <w:r w:rsidR="004E062D">
        <w:t xml:space="preserve"> </w:t>
      </w:r>
      <w:r w:rsidR="004E062D" w:rsidRPr="00D97DC8">
        <w:t>(</w:t>
      </w:r>
      <w:r w:rsidR="003E5C20" w:rsidRPr="007C6831">
        <w:t xml:space="preserve">Looij </w:t>
      </w:r>
      <w:r w:rsidR="007948AE">
        <w:t>and</w:t>
      </w:r>
      <w:r w:rsidR="003E5C20" w:rsidRPr="007C6831">
        <w:t xml:space="preserve"> Minnaert </w:t>
      </w:r>
      <w:r w:rsidR="003E5C20">
        <w:t>2019</w:t>
      </w:r>
      <w:r w:rsidR="004E062D" w:rsidRPr="00D97DC8">
        <w:t>:</w:t>
      </w:r>
      <w:r w:rsidR="004E062D">
        <w:t xml:space="preserve"> 366, translated from Dutch)</w:t>
      </w:r>
      <w:r>
        <w:t>.</w:t>
      </w:r>
      <w:r w:rsidR="004E062D">
        <w:t xml:space="preserve"> Hence, like Brinton (2014) for English, Looij </w:t>
      </w:r>
      <w:r w:rsidR="007948AE">
        <w:t>and</w:t>
      </w:r>
      <w:r w:rsidR="004E062D">
        <w:t xml:space="preserve"> Minnaert (2019) recognise for Dutch that the insubordinate HM construction does not just deny that ‘X’ is the case but it “always gives an evaluation of the fact that people could think that ‘X’ is the case” (</w:t>
      </w:r>
      <w:r w:rsidR="003E5C20" w:rsidRPr="007C6831">
        <w:t xml:space="preserve">Looij </w:t>
      </w:r>
      <w:r w:rsidR="007948AE">
        <w:t>and</w:t>
      </w:r>
      <w:r w:rsidR="003E5C20" w:rsidRPr="007C6831">
        <w:t xml:space="preserve"> Minnaert </w:t>
      </w:r>
      <w:r w:rsidR="003E5C20">
        <w:t>2019</w:t>
      </w:r>
      <w:r w:rsidR="004E062D">
        <w:t>: 362, translated from Dutch).</w:t>
      </w:r>
    </w:p>
    <w:p w14:paraId="6FE1005A" w14:textId="3808009C" w:rsidR="00231A48" w:rsidRPr="00454B21" w:rsidRDefault="00231A48" w:rsidP="00BC5037">
      <w:pPr>
        <w:jc w:val="both"/>
      </w:pPr>
      <w:r>
        <w:tab/>
      </w:r>
      <w:r>
        <w:tab/>
      </w:r>
      <w:r w:rsidR="00E47BCC">
        <w:t xml:space="preserve">Finally, </w:t>
      </w:r>
      <w:r w:rsidR="00E47BCC" w:rsidRPr="00E47BCC">
        <w:t xml:space="preserve">Looij </w:t>
      </w:r>
      <w:r w:rsidR="007948AE">
        <w:t>and</w:t>
      </w:r>
      <w:r w:rsidR="00E47BCC" w:rsidRPr="00E47BCC">
        <w:t xml:space="preserve"> Minnaert </w:t>
      </w:r>
      <w:r w:rsidR="00CE1F95">
        <w:t>(</w:t>
      </w:r>
      <w:r w:rsidR="00E47BCC" w:rsidRPr="00E47BCC">
        <w:t>2019)</w:t>
      </w:r>
      <w:r w:rsidR="00CE1F95">
        <w:t xml:space="preserve"> also recognise a second kind of </w:t>
      </w:r>
      <w:r w:rsidR="00E058BA">
        <w:t xml:space="preserve">syntactically independent </w:t>
      </w:r>
      <w:r w:rsidR="00E058BA">
        <w:rPr>
          <w:i/>
        </w:rPr>
        <w:t>alsof</w:t>
      </w:r>
      <w:r w:rsidR="00E058BA">
        <w:t xml:space="preserve">-clause, which they label as ‘comparative’, e.g., </w:t>
      </w:r>
      <w:r w:rsidR="00E058BA">
        <w:fldChar w:fldCharType="begin"/>
      </w:r>
      <w:r w:rsidR="00E058BA">
        <w:instrText xml:space="preserve"> REF _Ref148960457 \r \h </w:instrText>
      </w:r>
      <w:r w:rsidR="00E058BA">
        <w:fldChar w:fldCharType="separate"/>
      </w:r>
      <w:r w:rsidR="008912AA">
        <w:t>(9)</w:t>
      </w:r>
      <w:r w:rsidR="00E058BA">
        <w:fldChar w:fldCharType="end"/>
      </w:r>
      <w:r w:rsidR="00E058BA">
        <w:t>.</w:t>
      </w:r>
      <w:r w:rsidR="002724B3">
        <w:t xml:space="preserve"> </w:t>
      </w:r>
      <w:r w:rsidR="00BC5037">
        <w:t>The</w:t>
      </w:r>
      <w:r w:rsidR="002724B3">
        <w:t xml:space="preserve"> function</w:t>
      </w:r>
      <w:r w:rsidR="00BC5037">
        <w:t xml:space="preserve"> of independent ‘comparative’ clauses like </w:t>
      </w:r>
      <w:r w:rsidR="00BC5037">
        <w:fldChar w:fldCharType="begin"/>
      </w:r>
      <w:r w:rsidR="00BC5037">
        <w:instrText xml:space="preserve"> REF _Ref148960457 \r \h </w:instrText>
      </w:r>
      <w:r w:rsidR="00BC5037">
        <w:fldChar w:fldCharType="separate"/>
      </w:r>
      <w:r w:rsidR="008912AA">
        <w:t>(9)</w:t>
      </w:r>
      <w:r w:rsidR="00BC5037">
        <w:fldChar w:fldCharType="end"/>
      </w:r>
      <w:r w:rsidR="002724B3">
        <w:t xml:space="preserve"> is “descriptive”</w:t>
      </w:r>
      <w:r w:rsidR="00454B21">
        <w:t xml:space="preserve"> (or representational)</w:t>
      </w:r>
      <w:r w:rsidR="002724B3">
        <w:t xml:space="preserve">, rather than intersubjective: </w:t>
      </w:r>
      <w:r w:rsidR="00BC5037">
        <w:t xml:space="preserve">“they give a description of something that resembles reality” </w:t>
      </w:r>
      <w:r w:rsidR="00BC5037" w:rsidRPr="00D97DC8">
        <w:t>(</w:t>
      </w:r>
      <w:r w:rsidR="003E5C20" w:rsidRPr="007C6831">
        <w:t xml:space="preserve">Looij </w:t>
      </w:r>
      <w:r w:rsidR="007948AE">
        <w:t>and</w:t>
      </w:r>
      <w:r w:rsidR="003E5C20" w:rsidRPr="007C6831">
        <w:t xml:space="preserve"> Minnaert </w:t>
      </w:r>
      <w:r w:rsidR="003E5C20">
        <w:t>2019</w:t>
      </w:r>
      <w:r w:rsidR="00BC5037" w:rsidRPr="00D97DC8">
        <w:t>:</w:t>
      </w:r>
      <w:r w:rsidR="00BC5037">
        <w:t xml:space="preserve"> 367) and, unlike in the ‘negating/emotive’ clause-type, there is no implication that the description is not valid </w:t>
      </w:r>
      <w:r w:rsidR="00BC5037" w:rsidRPr="00D97DC8">
        <w:t>(</w:t>
      </w:r>
      <w:r w:rsidR="003E5C20" w:rsidRPr="007C6831">
        <w:t xml:space="preserve">Looij </w:t>
      </w:r>
      <w:r w:rsidR="007948AE">
        <w:t>and</w:t>
      </w:r>
      <w:r w:rsidR="003E5C20" w:rsidRPr="007C6831">
        <w:t xml:space="preserve"> Minnaert </w:t>
      </w:r>
      <w:r w:rsidR="003E5C20">
        <w:t>2019</w:t>
      </w:r>
      <w:r w:rsidR="00BC5037" w:rsidRPr="00D97DC8">
        <w:t>:</w:t>
      </w:r>
      <w:r w:rsidR="00BC5037">
        <w:t xml:space="preserve"> 366). </w:t>
      </w:r>
    </w:p>
    <w:p w14:paraId="22D66E66" w14:textId="77777777" w:rsidR="00092C48" w:rsidRDefault="00092C48" w:rsidP="00092C48">
      <w:pPr>
        <w:jc w:val="both"/>
      </w:pPr>
    </w:p>
    <w:p w14:paraId="175603FE" w14:textId="50999414" w:rsidR="00092C48" w:rsidRDefault="00092C48" w:rsidP="00DB2415">
      <w:pPr>
        <w:pStyle w:val="ListParagraph"/>
        <w:jc w:val="left"/>
        <w:rPr>
          <w:lang w:val="nl-BE"/>
        </w:rPr>
      </w:pPr>
      <w:bookmarkStart w:id="9" w:name="_Ref148960457"/>
      <w:r w:rsidRPr="00980990">
        <w:rPr>
          <w:lang w:val="nl-BE"/>
        </w:rPr>
        <w:t>Kijk</w:t>
      </w:r>
      <w:r w:rsidR="00492C75">
        <w:rPr>
          <w:lang w:val="nl-BE"/>
        </w:rPr>
        <w:tab/>
      </w:r>
      <w:r w:rsidRPr="00980990">
        <w:rPr>
          <w:lang w:val="nl-BE"/>
        </w:rPr>
        <w:t xml:space="preserve">die </w:t>
      </w:r>
      <w:r w:rsidR="00492C75">
        <w:rPr>
          <w:lang w:val="nl-BE"/>
        </w:rPr>
        <w:tab/>
      </w:r>
      <w:r w:rsidRPr="00980990">
        <w:rPr>
          <w:lang w:val="nl-BE"/>
        </w:rPr>
        <w:t>Diederik Samsom</w:t>
      </w:r>
      <w:r>
        <w:rPr>
          <w:lang w:val="nl-BE"/>
        </w:rPr>
        <w:t xml:space="preserve"> </w:t>
      </w:r>
      <w:r w:rsidR="00492C75">
        <w:rPr>
          <w:lang w:val="nl-BE"/>
        </w:rPr>
        <w:tab/>
      </w:r>
      <w:r w:rsidRPr="00980990">
        <w:rPr>
          <w:lang w:val="nl-BE"/>
        </w:rPr>
        <w:t>nou</w:t>
      </w:r>
      <w:r>
        <w:rPr>
          <w:lang w:val="nl-BE"/>
        </w:rPr>
        <w:t xml:space="preserve"> </w:t>
      </w:r>
      <w:r w:rsidR="00492C75">
        <w:rPr>
          <w:lang w:val="nl-BE"/>
        </w:rPr>
        <w:tab/>
      </w:r>
      <w:r w:rsidRPr="00980990">
        <w:rPr>
          <w:lang w:val="nl-BE"/>
        </w:rPr>
        <w:t xml:space="preserve">toch </w:t>
      </w:r>
      <w:r w:rsidR="00492C75">
        <w:rPr>
          <w:lang w:val="nl-BE"/>
        </w:rPr>
        <w:tab/>
      </w:r>
      <w:r w:rsidRPr="00980990">
        <w:rPr>
          <w:lang w:val="nl-BE"/>
        </w:rPr>
        <w:t>eens</w:t>
      </w:r>
      <w:r>
        <w:rPr>
          <w:lang w:val="nl-BE"/>
        </w:rPr>
        <w:t xml:space="preserve"> </w:t>
      </w:r>
      <w:r w:rsidR="00492C75">
        <w:rPr>
          <w:lang w:val="nl-BE"/>
        </w:rPr>
        <w:tab/>
      </w:r>
      <w:r w:rsidRPr="00980990">
        <w:rPr>
          <w:lang w:val="nl-BE"/>
        </w:rPr>
        <w:t>zingen!</w:t>
      </w:r>
      <w:r>
        <w:rPr>
          <w:lang w:val="nl-BE"/>
        </w:rPr>
        <w:t xml:space="preserve"> </w:t>
      </w:r>
      <w:r w:rsidR="00492C75">
        <w:rPr>
          <w:lang w:val="nl-BE"/>
        </w:rPr>
        <w:tab/>
      </w:r>
      <w:r w:rsidRPr="00DB2415">
        <w:rPr>
          <w:u w:val="single"/>
          <w:lang w:val="en-US"/>
        </w:rPr>
        <w:t xml:space="preserve">Alsof </w:t>
      </w:r>
      <w:r w:rsidR="00492C75" w:rsidRPr="00DB2415">
        <w:rPr>
          <w:u w:val="single"/>
          <w:lang w:val="en-US"/>
        </w:rPr>
        <w:tab/>
      </w:r>
      <w:r w:rsidRPr="00DB2415">
        <w:rPr>
          <w:u w:val="single"/>
          <w:lang w:val="en-US"/>
        </w:rPr>
        <w:t xml:space="preserve">er </w:t>
      </w:r>
      <w:r w:rsidR="00492C75" w:rsidRPr="00DB2415">
        <w:rPr>
          <w:u w:val="single"/>
          <w:lang w:val="en-US"/>
        </w:rPr>
        <w:tab/>
      </w:r>
      <w:r w:rsidR="00492C75" w:rsidRPr="00DB2415">
        <w:rPr>
          <w:u w:val="single"/>
          <w:lang w:val="en-US"/>
        </w:rPr>
        <w:tab/>
      </w:r>
      <w:r w:rsidRPr="00DB2415">
        <w:rPr>
          <w:u w:val="single"/>
          <w:lang w:val="en-US"/>
        </w:rPr>
        <w:t>een</w:t>
      </w:r>
      <w:r w:rsidR="00492C75" w:rsidRPr="00DB2415">
        <w:rPr>
          <w:u w:val="single"/>
          <w:lang w:val="en-US"/>
        </w:rPr>
        <w:tab/>
      </w:r>
      <w:r w:rsidRPr="00DB2415">
        <w:rPr>
          <w:u w:val="single"/>
          <w:lang w:val="en-US"/>
        </w:rPr>
        <w:t>last</w:t>
      </w:r>
      <w:r w:rsidR="00492C75" w:rsidRPr="00DB2415">
        <w:rPr>
          <w:u w:val="single"/>
          <w:lang w:val="en-US"/>
        </w:rPr>
        <w:br/>
      </w:r>
      <w:r w:rsidR="00492C75" w:rsidRPr="00DB2415">
        <w:rPr>
          <w:lang w:val="en-US"/>
        </w:rPr>
        <w:t>Look</w:t>
      </w:r>
      <w:r w:rsidR="00492C75" w:rsidRPr="00DB2415">
        <w:rPr>
          <w:lang w:val="en-US"/>
        </w:rPr>
        <w:tab/>
        <w:t>that</w:t>
      </w:r>
      <w:r w:rsidR="00492C75" w:rsidRPr="00DB2415">
        <w:rPr>
          <w:lang w:val="en-US"/>
        </w:rPr>
        <w:tab/>
        <w:t>Diederik Samsom</w:t>
      </w:r>
      <w:r w:rsidR="00492C75" w:rsidRPr="00DB2415">
        <w:rPr>
          <w:lang w:val="en-US"/>
        </w:rPr>
        <w:tab/>
        <w:t>now</w:t>
      </w:r>
      <w:r w:rsidR="00492C75" w:rsidRPr="00DB2415">
        <w:rPr>
          <w:lang w:val="en-US"/>
        </w:rPr>
        <w:tab/>
        <w:t>even</w:t>
      </w:r>
      <w:r w:rsidR="00492C75" w:rsidRPr="00DB2415">
        <w:rPr>
          <w:lang w:val="en-US"/>
        </w:rPr>
        <w:tab/>
        <w:t>once</w:t>
      </w:r>
      <w:r w:rsidR="00492C75" w:rsidRPr="00DB2415">
        <w:rPr>
          <w:lang w:val="en-US"/>
        </w:rPr>
        <w:tab/>
        <w:t>sing!</w:t>
      </w:r>
      <w:r w:rsidR="00492C75" w:rsidRPr="00DB2415">
        <w:rPr>
          <w:lang w:val="en-US"/>
        </w:rPr>
        <w:tab/>
      </w:r>
      <w:r w:rsidR="00492C75" w:rsidRPr="00DB2415">
        <w:rPr>
          <w:lang w:val="en-US"/>
        </w:rPr>
        <w:tab/>
      </w:r>
      <w:r w:rsidR="00492C75" w:rsidRPr="00DB2415">
        <w:rPr>
          <w:u w:val="single"/>
          <w:lang w:val="nl-BE"/>
        </w:rPr>
        <w:t>As.if</w:t>
      </w:r>
      <w:r w:rsidR="00492C75" w:rsidRPr="00DB2415">
        <w:rPr>
          <w:u w:val="single"/>
          <w:lang w:val="nl-BE"/>
        </w:rPr>
        <w:tab/>
      </w:r>
      <w:r w:rsidR="00492C75" w:rsidRPr="00DB2415">
        <w:rPr>
          <w:u w:val="single"/>
          <w:lang w:val="nl-BE"/>
        </w:rPr>
        <w:tab/>
        <w:t>there</w:t>
      </w:r>
      <w:r w:rsidR="00492C75" w:rsidRPr="00DB2415">
        <w:rPr>
          <w:u w:val="single"/>
          <w:lang w:val="nl-BE"/>
        </w:rPr>
        <w:tab/>
        <w:t>a</w:t>
      </w:r>
      <w:r w:rsidR="00492C75" w:rsidRPr="00DB2415">
        <w:rPr>
          <w:u w:val="single"/>
          <w:lang w:val="nl-BE"/>
        </w:rPr>
        <w:tab/>
      </w:r>
      <w:r w:rsidR="00492C75" w:rsidRPr="00DB2415">
        <w:rPr>
          <w:u w:val="single"/>
          <w:lang w:val="nl-BE"/>
        </w:rPr>
        <w:tab/>
        <w:t>burden</w:t>
      </w:r>
      <w:r w:rsidR="00492C75" w:rsidRPr="00492C75">
        <w:rPr>
          <w:u w:val="single"/>
          <w:lang w:val="nl-BE"/>
        </w:rPr>
        <w:br/>
      </w:r>
      <w:r w:rsidRPr="008F229D">
        <w:rPr>
          <w:u w:val="single"/>
          <w:lang w:val="nl-BE"/>
        </w:rPr>
        <w:t xml:space="preserve">van </w:t>
      </w:r>
      <w:r w:rsidR="00492C75">
        <w:rPr>
          <w:u w:val="single"/>
          <w:lang w:val="nl-BE"/>
        </w:rPr>
        <w:tab/>
      </w:r>
      <w:r w:rsidRPr="008F229D">
        <w:rPr>
          <w:u w:val="single"/>
          <w:lang w:val="nl-BE"/>
        </w:rPr>
        <w:t xml:space="preserve">hem </w:t>
      </w:r>
      <w:r w:rsidR="00492C75">
        <w:rPr>
          <w:u w:val="single"/>
          <w:lang w:val="nl-BE"/>
        </w:rPr>
        <w:tab/>
      </w:r>
      <w:r w:rsidRPr="008F229D">
        <w:rPr>
          <w:u w:val="single"/>
          <w:lang w:val="nl-BE"/>
        </w:rPr>
        <w:t xml:space="preserve">af </w:t>
      </w:r>
      <w:r w:rsidR="00492C75">
        <w:rPr>
          <w:u w:val="single"/>
          <w:lang w:val="nl-BE"/>
        </w:rPr>
        <w:tab/>
      </w:r>
      <w:r w:rsidR="00492C75">
        <w:rPr>
          <w:u w:val="single"/>
          <w:lang w:val="nl-BE"/>
        </w:rPr>
        <w:tab/>
      </w:r>
      <w:r w:rsidRPr="008F229D">
        <w:rPr>
          <w:u w:val="single"/>
          <w:lang w:val="nl-BE"/>
        </w:rPr>
        <w:t>is</w:t>
      </w:r>
      <w:r w:rsidR="00492C75">
        <w:rPr>
          <w:u w:val="single"/>
          <w:lang w:val="nl-BE"/>
        </w:rPr>
        <w:tab/>
      </w:r>
      <w:r w:rsidRPr="008F229D">
        <w:rPr>
          <w:u w:val="single"/>
          <w:lang w:val="nl-BE"/>
        </w:rPr>
        <w:t>gevallen</w:t>
      </w:r>
      <w:r w:rsidRPr="00DB2415">
        <w:rPr>
          <w:u w:val="single"/>
          <w:lang w:val="nl-BE"/>
        </w:rPr>
        <w:t>.</w:t>
      </w:r>
      <w:r>
        <w:rPr>
          <w:lang w:val="nl-BE"/>
        </w:rPr>
        <w:t xml:space="preserve"> </w:t>
      </w:r>
      <w:r w:rsidRPr="00DB2415">
        <w:rPr>
          <w:lang w:val="nl-BE"/>
        </w:rPr>
        <w:t xml:space="preserve">(Looij </w:t>
      </w:r>
      <w:r w:rsidR="007948AE" w:rsidRPr="00DB2415">
        <w:rPr>
          <w:lang w:val="nl-BE"/>
        </w:rPr>
        <w:t>and</w:t>
      </w:r>
      <w:r w:rsidRPr="00DB2415">
        <w:rPr>
          <w:lang w:val="nl-BE"/>
        </w:rPr>
        <w:t xml:space="preserve"> Minnaert 2019: 361)</w:t>
      </w:r>
      <w:bookmarkEnd w:id="9"/>
      <w:r w:rsidR="00492C75">
        <w:rPr>
          <w:lang w:val="nl-BE"/>
        </w:rPr>
        <w:br/>
      </w:r>
      <w:r w:rsidR="00492C75">
        <w:rPr>
          <w:u w:val="single"/>
          <w:lang w:val="nl-BE"/>
        </w:rPr>
        <w:t>from</w:t>
      </w:r>
      <w:r w:rsidR="00492C75">
        <w:rPr>
          <w:u w:val="single"/>
          <w:lang w:val="nl-BE"/>
        </w:rPr>
        <w:tab/>
        <w:t>him</w:t>
      </w:r>
      <w:r w:rsidR="00492C75">
        <w:rPr>
          <w:u w:val="single"/>
          <w:lang w:val="nl-BE"/>
        </w:rPr>
        <w:tab/>
        <w:t>off</w:t>
      </w:r>
      <w:r w:rsidR="00492C75">
        <w:rPr>
          <w:u w:val="single"/>
          <w:lang w:val="nl-BE"/>
        </w:rPr>
        <w:tab/>
      </w:r>
      <w:r w:rsidR="00492C75">
        <w:rPr>
          <w:u w:val="single"/>
          <w:lang w:val="nl-BE"/>
        </w:rPr>
        <w:tab/>
        <w:t>is</w:t>
      </w:r>
      <w:r w:rsidR="00492C75">
        <w:rPr>
          <w:u w:val="single"/>
          <w:lang w:val="nl-BE"/>
        </w:rPr>
        <w:tab/>
        <w:t>fallen.</w:t>
      </w:r>
    </w:p>
    <w:p w14:paraId="59E3DEF2" w14:textId="77777777" w:rsidR="00092C48" w:rsidRPr="00E82399" w:rsidRDefault="00092C48" w:rsidP="00092C48">
      <w:pPr>
        <w:pStyle w:val="ListParagraph"/>
        <w:numPr>
          <w:ilvl w:val="0"/>
          <w:numId w:val="0"/>
        </w:numPr>
        <w:ind w:left="567"/>
      </w:pPr>
      <w:r>
        <w:t xml:space="preserve">‘Look at that Diederik Samsom sing! </w:t>
      </w:r>
      <w:r w:rsidRPr="0096177B">
        <w:rPr>
          <w:u w:val="single"/>
        </w:rPr>
        <w:t>As if a weight is lifted off his shoulders.</w:t>
      </w:r>
      <w:r>
        <w:t>’</w:t>
      </w:r>
    </w:p>
    <w:p w14:paraId="1F780CB5" w14:textId="7E6B4B7D" w:rsidR="00092C48" w:rsidRDefault="00092C48" w:rsidP="00092C48">
      <w:pPr>
        <w:ind w:left="567" w:hanging="567"/>
      </w:pPr>
    </w:p>
    <w:p w14:paraId="5FDCE732" w14:textId="3AE34B28" w:rsidR="00A85BA3" w:rsidRDefault="00BC5037" w:rsidP="00A85BA3">
      <w:pPr>
        <w:jc w:val="both"/>
      </w:pPr>
      <w:r w:rsidRPr="00E47BCC">
        <w:t xml:space="preserve">Looij </w:t>
      </w:r>
      <w:r w:rsidR="007948AE">
        <w:t>and</w:t>
      </w:r>
      <w:r w:rsidRPr="00E47BCC">
        <w:t xml:space="preserve"> Minnaert </w:t>
      </w:r>
      <w:r>
        <w:t>(</w:t>
      </w:r>
      <w:r w:rsidRPr="00E47BCC">
        <w:t>2019)</w:t>
      </w:r>
      <w:r>
        <w:t xml:space="preserve"> </w:t>
      </w:r>
      <w:r w:rsidR="00E058BA">
        <w:t xml:space="preserve">argue that the ‘comparative </w:t>
      </w:r>
      <w:r w:rsidR="00E058BA">
        <w:rPr>
          <w:i/>
        </w:rPr>
        <w:t>alsof</w:t>
      </w:r>
      <w:r w:rsidR="00E058BA">
        <w:t>-construction’ is also a case of insubordination</w:t>
      </w:r>
      <w:r w:rsidR="00A85BA3">
        <w:t>, as it involves “the independent use of a free-standing subclause”</w:t>
      </w:r>
      <w:r w:rsidR="00E058BA">
        <w:t xml:space="preserve"> </w:t>
      </w:r>
      <w:r w:rsidR="00E058BA" w:rsidRPr="00D97DC8">
        <w:t>(</w:t>
      </w:r>
      <w:r w:rsidR="003E5C20" w:rsidRPr="007C6831">
        <w:t xml:space="preserve">Looij </w:t>
      </w:r>
      <w:r w:rsidR="007948AE">
        <w:t>and</w:t>
      </w:r>
      <w:r w:rsidR="003E5C20" w:rsidRPr="007C6831">
        <w:t xml:space="preserve"> Minnaert </w:t>
      </w:r>
      <w:r w:rsidR="003E5C20">
        <w:t>2019</w:t>
      </w:r>
      <w:r w:rsidR="00E058BA" w:rsidRPr="00D97DC8">
        <w:t>:</w:t>
      </w:r>
      <w:r w:rsidR="00E058BA">
        <w:t xml:space="preserve"> 359</w:t>
      </w:r>
      <w:r w:rsidR="00A85BA3">
        <w:t>, translated from Dutch</w:t>
      </w:r>
      <w:r w:rsidR="00E058BA">
        <w:t>).</w:t>
      </w:r>
      <w:r w:rsidR="00A85BA3">
        <w:t xml:space="preserve"> For English, </w:t>
      </w:r>
      <w:r w:rsidR="00A85BA3" w:rsidRPr="00A85BA3">
        <w:rPr>
          <w:szCs w:val="24"/>
        </w:rPr>
        <w:t xml:space="preserve">López-Couso </w:t>
      </w:r>
      <w:r w:rsidR="007948AE">
        <w:rPr>
          <w:szCs w:val="24"/>
        </w:rPr>
        <w:t>and</w:t>
      </w:r>
      <w:r w:rsidR="00A85BA3" w:rsidRPr="00A85BA3">
        <w:rPr>
          <w:szCs w:val="24"/>
        </w:rPr>
        <w:t xml:space="preserve"> Méndez-Naya </w:t>
      </w:r>
      <w:r w:rsidR="00A85BA3">
        <w:rPr>
          <w:szCs w:val="24"/>
        </w:rPr>
        <w:lastRenderedPageBreak/>
        <w:t>(</w:t>
      </w:r>
      <w:r w:rsidR="00A85BA3" w:rsidRPr="00A85BA3">
        <w:rPr>
          <w:szCs w:val="24"/>
        </w:rPr>
        <w:t>2012</w:t>
      </w:r>
      <w:r w:rsidR="00980556">
        <w:rPr>
          <w:szCs w:val="24"/>
        </w:rPr>
        <w:t>a</w:t>
      </w:r>
      <w:r w:rsidR="00A85BA3" w:rsidRPr="00A85BA3">
        <w:rPr>
          <w:szCs w:val="24"/>
        </w:rPr>
        <w:t>: 181)</w:t>
      </w:r>
      <w:r w:rsidR="00A85BA3">
        <w:t xml:space="preserve"> likewise found cases where the HM clause “occurs on its own”</w:t>
      </w:r>
      <w:r w:rsidR="002724B3">
        <w:t>,</w:t>
      </w:r>
      <w:r w:rsidR="00A85BA3">
        <w:t xml:space="preserve"> but rather than interpreting </w:t>
      </w:r>
      <w:r w:rsidR="008D409E">
        <w:t xml:space="preserve">them </w:t>
      </w:r>
      <w:r w:rsidR="00A85BA3">
        <w:t xml:space="preserve">as insubordinates, they claim that they “can be understood as depending on an elided matrix of the kind </w:t>
      </w:r>
      <w:r w:rsidR="00A85BA3" w:rsidRPr="00A85BA3">
        <w:rPr>
          <w:i/>
        </w:rPr>
        <w:t>it is/seems/appears/looks</w:t>
      </w:r>
      <w:r w:rsidR="00A85BA3">
        <w:t xml:space="preserve">, etc.”, e.g., </w:t>
      </w:r>
      <w:r w:rsidR="00A85BA3">
        <w:fldChar w:fldCharType="begin"/>
      </w:r>
      <w:r w:rsidR="00A85BA3">
        <w:instrText xml:space="preserve"> REF _Ref148961308 \r \h </w:instrText>
      </w:r>
      <w:r w:rsidR="00A85BA3">
        <w:fldChar w:fldCharType="separate"/>
      </w:r>
      <w:r w:rsidR="008912AA">
        <w:t>(10)</w:t>
      </w:r>
      <w:r w:rsidR="00A85BA3">
        <w:fldChar w:fldCharType="end"/>
      </w:r>
      <w:r w:rsidR="00A85BA3">
        <w:t>.</w:t>
      </w:r>
    </w:p>
    <w:p w14:paraId="160E06F4" w14:textId="77777777" w:rsidR="00A85BA3" w:rsidRDefault="00A85BA3" w:rsidP="00A85BA3">
      <w:pPr>
        <w:jc w:val="both"/>
      </w:pPr>
    </w:p>
    <w:p w14:paraId="753C0254" w14:textId="6869BEC7" w:rsidR="00E058BA" w:rsidRPr="00E058BA" w:rsidRDefault="00A85BA3" w:rsidP="00A85BA3">
      <w:pPr>
        <w:pStyle w:val="ListParagraph"/>
      </w:pPr>
      <w:bookmarkStart w:id="10" w:name="_Ref148961308"/>
      <w:bookmarkStart w:id="11" w:name="_Ref148962255"/>
      <w:r>
        <w:t xml:space="preserve">Everybody these days </w:t>
      </w:r>
      <w:proofErr w:type="gramStart"/>
      <w:r>
        <w:t>has to</w:t>
      </w:r>
      <w:proofErr w:type="gramEnd"/>
      <w:r>
        <w:t xml:space="preserve"> be something. Conservative, Socialist, Communist, </w:t>
      </w:r>
      <w:r w:rsidRPr="008F229D">
        <w:rPr>
          <w:u w:val="single"/>
        </w:rPr>
        <w:t>as though you must belong to some party to have any opinion worth calling an opinion</w:t>
      </w:r>
      <w:r>
        <w:t>.</w:t>
      </w:r>
      <w:bookmarkEnd w:id="10"/>
      <w:r>
        <w:t xml:space="preserve"> </w:t>
      </w:r>
      <w:r w:rsidRPr="00A85BA3">
        <w:rPr>
          <w:szCs w:val="24"/>
        </w:rPr>
        <w:t xml:space="preserve">(López-Couso </w:t>
      </w:r>
      <w:r w:rsidR="007948AE">
        <w:rPr>
          <w:szCs w:val="24"/>
        </w:rPr>
        <w:t>and</w:t>
      </w:r>
      <w:r w:rsidRPr="00A85BA3">
        <w:rPr>
          <w:szCs w:val="24"/>
        </w:rPr>
        <w:t xml:space="preserve"> Méndez-Naya 2012</w:t>
      </w:r>
      <w:r w:rsidR="00980556">
        <w:rPr>
          <w:szCs w:val="24"/>
        </w:rPr>
        <w:t>a</w:t>
      </w:r>
      <w:r w:rsidRPr="00A85BA3">
        <w:rPr>
          <w:szCs w:val="24"/>
        </w:rPr>
        <w:t>: 181)</w:t>
      </w:r>
      <w:bookmarkEnd w:id="11"/>
    </w:p>
    <w:p w14:paraId="638560C9" w14:textId="14E3299B" w:rsidR="00A85BA3" w:rsidRDefault="00A85BA3" w:rsidP="00A85BA3">
      <w:pPr>
        <w:jc w:val="both"/>
      </w:pPr>
    </w:p>
    <w:p w14:paraId="69BFD554" w14:textId="39C1ECC0" w:rsidR="0007169D" w:rsidRDefault="0007169D" w:rsidP="00A85BA3">
      <w:pPr>
        <w:jc w:val="both"/>
      </w:pPr>
      <w:r>
        <w:t xml:space="preserve">Moreover, in their analysis of “descriptive” </w:t>
      </w:r>
      <w:r>
        <w:rPr>
          <w:i/>
        </w:rPr>
        <w:t>as if</w:t>
      </w:r>
      <w:r>
        <w:t xml:space="preserve">-clauses, </w:t>
      </w:r>
      <w:r w:rsidRPr="0007169D">
        <w:t xml:space="preserve">Bledin </w:t>
      </w:r>
      <w:r w:rsidR="007948AE">
        <w:t>and</w:t>
      </w:r>
      <w:r w:rsidRPr="0007169D">
        <w:t xml:space="preserve"> Srinivas </w:t>
      </w:r>
      <w:r>
        <w:t>(</w:t>
      </w:r>
      <w:r w:rsidRPr="0007169D">
        <w:t>2023: 110)</w:t>
      </w:r>
      <w:r>
        <w:t xml:space="preserve"> observe that these clauses can not just express hypothetical comparison (or, as they call it, ‘perceptual resemblance’) but also hypothetical cause, e.g., </w:t>
      </w:r>
      <w:r>
        <w:fldChar w:fldCharType="begin"/>
      </w:r>
      <w:r>
        <w:instrText xml:space="preserve"> REF _Ref148976566 \r \h </w:instrText>
      </w:r>
      <w:r>
        <w:fldChar w:fldCharType="separate"/>
      </w:r>
      <w:r w:rsidR="008912AA">
        <w:t>(11)</w:t>
      </w:r>
      <w:r>
        <w:fldChar w:fldCharType="end"/>
      </w:r>
      <w:r>
        <w:t>.</w:t>
      </w:r>
    </w:p>
    <w:p w14:paraId="47130927" w14:textId="40530192" w:rsidR="0007169D" w:rsidRDefault="0007169D" w:rsidP="00A85BA3">
      <w:pPr>
        <w:jc w:val="both"/>
      </w:pPr>
    </w:p>
    <w:p w14:paraId="4B70272A" w14:textId="42131C32" w:rsidR="0007169D" w:rsidRDefault="0007169D" w:rsidP="0007169D">
      <w:pPr>
        <w:pStyle w:val="ListParagraph"/>
      </w:pPr>
      <w:bookmarkStart w:id="12" w:name="_Ref148976566"/>
      <w:r>
        <w:t xml:space="preserve">Phineas made a jaunty pirouette, </w:t>
      </w:r>
      <w:r w:rsidRPr="005F2C04">
        <w:rPr>
          <w:u w:val="single"/>
        </w:rPr>
        <w:t>as if to tell the onlookers that, though bent, he was not yet broken</w:t>
      </w:r>
      <w:r>
        <w:t xml:space="preserve">. (COCA, as cited in </w:t>
      </w:r>
      <w:r w:rsidRPr="0007169D">
        <w:t xml:space="preserve">Bledin </w:t>
      </w:r>
      <w:r w:rsidR="007948AE">
        <w:t>and</w:t>
      </w:r>
      <w:r w:rsidRPr="0007169D">
        <w:t xml:space="preserve"> Srinivas 2023: 110)</w:t>
      </w:r>
      <w:bookmarkEnd w:id="12"/>
      <w:r>
        <w:t xml:space="preserve"> </w:t>
      </w:r>
    </w:p>
    <w:p w14:paraId="2C08FCD4" w14:textId="1EBB0698" w:rsidR="0007169D" w:rsidRDefault="0007169D" w:rsidP="0007169D"/>
    <w:p w14:paraId="07F8BBE1" w14:textId="782ABAC5" w:rsidR="00FF76B4" w:rsidRPr="00FF76B4" w:rsidRDefault="00FF76B4" w:rsidP="00A41D4B">
      <w:pPr>
        <w:jc w:val="both"/>
      </w:pPr>
      <w:r>
        <w:t xml:space="preserve">In such cases, </w:t>
      </w:r>
      <w:r w:rsidRPr="0007169D">
        <w:t xml:space="preserve">Bledin </w:t>
      </w:r>
      <w:r w:rsidR="007948AE">
        <w:t>and</w:t>
      </w:r>
      <w:r w:rsidRPr="0007169D">
        <w:t xml:space="preserve"> Srinivas </w:t>
      </w:r>
      <w:r>
        <w:t>(</w:t>
      </w:r>
      <w:r w:rsidRPr="0007169D">
        <w:t>2023: 110)</w:t>
      </w:r>
      <w:r>
        <w:t xml:space="preserve"> suggest, the speaker “speculat[es] about its motive [i.e., for the situation described in the </w:t>
      </w:r>
      <w:r w:rsidR="00194AB5">
        <w:t>main/previous</w:t>
      </w:r>
      <w:r>
        <w:t xml:space="preserve"> clause] by bringing this probable cause to a hearer’s attention.” Unlike </w:t>
      </w:r>
      <w:r w:rsidRPr="00FF76B4">
        <w:t xml:space="preserve">Looij </w:t>
      </w:r>
      <w:r w:rsidR="007948AE">
        <w:t>and</w:t>
      </w:r>
      <w:r w:rsidRPr="00FF76B4">
        <w:t xml:space="preserve"> Minnaert </w:t>
      </w:r>
      <w:r>
        <w:t>(</w:t>
      </w:r>
      <w:r w:rsidRPr="00FF76B4">
        <w:t>2019)</w:t>
      </w:r>
      <w:r>
        <w:t xml:space="preserve">, however, </w:t>
      </w:r>
      <w:r w:rsidRPr="00FF76B4">
        <w:t xml:space="preserve">Bledin </w:t>
      </w:r>
      <w:r w:rsidR="007948AE">
        <w:t>and</w:t>
      </w:r>
      <w:r w:rsidRPr="00FF76B4">
        <w:t xml:space="preserve"> Srinivas </w:t>
      </w:r>
      <w:r>
        <w:t>(</w:t>
      </w:r>
      <w:r w:rsidRPr="00FF76B4">
        <w:t>2023)</w:t>
      </w:r>
      <w:r>
        <w:t xml:space="preserve"> do not treat these causal uses, nor the descriptive-comparative ones, as insubordinate. Instead, they contend that these clauses should be interpreted as “adjuncts merged [with the </w:t>
      </w:r>
      <w:r w:rsidR="008D409E">
        <w:t>main/previous</w:t>
      </w:r>
      <w:r>
        <w:t xml:space="preserve"> clause] after the full main clause proposition has been formed” </w:t>
      </w:r>
      <w:r w:rsidRPr="00D97DC8">
        <w:t>(</w:t>
      </w:r>
      <w:r w:rsidR="003E5C20" w:rsidRPr="00FF76B4">
        <w:t xml:space="preserve">Bledin </w:t>
      </w:r>
      <w:r w:rsidR="007948AE">
        <w:t>and</w:t>
      </w:r>
      <w:r w:rsidR="003E5C20" w:rsidRPr="00FF76B4">
        <w:t xml:space="preserve"> Srinivas </w:t>
      </w:r>
      <w:r w:rsidR="003E5C20">
        <w:t>2023</w:t>
      </w:r>
      <w:r w:rsidRPr="00D97DC8">
        <w:t>:</w:t>
      </w:r>
      <w:r>
        <w:t xml:space="preserve"> 111). </w:t>
      </w:r>
    </w:p>
    <w:p w14:paraId="5A90DD24" w14:textId="741D4AB1" w:rsidR="00F9718C" w:rsidRDefault="00F9718C" w:rsidP="00346CF2">
      <w:pPr>
        <w:ind w:firstLine="567"/>
        <w:jc w:val="both"/>
      </w:pPr>
      <w:r>
        <w:t xml:space="preserve">The question </w:t>
      </w:r>
      <w:r w:rsidR="00070BF6">
        <w:t xml:space="preserve">of whether </w:t>
      </w:r>
      <w:r>
        <w:t>the</w:t>
      </w:r>
      <w:r w:rsidR="00D97DC8">
        <w:t xml:space="preserve"> (more)</w:t>
      </w:r>
      <w:r>
        <w:t xml:space="preserve"> independent use</w:t>
      </w:r>
      <w:r w:rsidR="0077239D">
        <w:t>s</w:t>
      </w:r>
      <w:r>
        <w:t xml:space="preserve"> of </w:t>
      </w:r>
      <w:r w:rsidR="00A41D4B">
        <w:t>descriptive-comparative and/or causal</w:t>
      </w:r>
      <w:r>
        <w:t xml:space="preserve"> HM clauses like the ones in </w:t>
      </w:r>
      <w:r>
        <w:fldChar w:fldCharType="begin"/>
      </w:r>
      <w:r>
        <w:instrText xml:space="preserve"> REF _Ref148960457 \r \h </w:instrText>
      </w:r>
      <w:r>
        <w:fldChar w:fldCharType="separate"/>
      </w:r>
      <w:r w:rsidR="008912AA">
        <w:t>(9)</w:t>
      </w:r>
      <w:r>
        <w:fldChar w:fldCharType="end"/>
      </w:r>
      <w:r w:rsidR="00DC54CC">
        <w:t xml:space="preserve">, </w:t>
      </w:r>
      <w:r>
        <w:fldChar w:fldCharType="begin"/>
      </w:r>
      <w:r>
        <w:instrText xml:space="preserve"> REF _Ref148962255 \r \h </w:instrText>
      </w:r>
      <w:r>
        <w:fldChar w:fldCharType="separate"/>
      </w:r>
      <w:r w:rsidR="008912AA">
        <w:t>(10)</w:t>
      </w:r>
      <w:r>
        <w:fldChar w:fldCharType="end"/>
      </w:r>
      <w:r w:rsidR="00DC54CC">
        <w:t xml:space="preserve"> and </w:t>
      </w:r>
      <w:r w:rsidR="00DC54CC">
        <w:fldChar w:fldCharType="begin"/>
      </w:r>
      <w:r w:rsidR="00DC54CC">
        <w:instrText xml:space="preserve"> REF _Ref148976566 \r \h </w:instrText>
      </w:r>
      <w:r w:rsidR="00DC54CC">
        <w:fldChar w:fldCharType="separate"/>
      </w:r>
      <w:r w:rsidR="008912AA">
        <w:t>(11)</w:t>
      </w:r>
      <w:r w:rsidR="00DC54CC">
        <w:fldChar w:fldCharType="end"/>
      </w:r>
      <w:r>
        <w:t xml:space="preserve"> should be considered insubordinate or not </w:t>
      </w:r>
      <w:r w:rsidR="0052087E">
        <w:t xml:space="preserve">relates </w:t>
      </w:r>
      <w:r>
        <w:t xml:space="preserve">to the larger issue of the delimitation of the category of insubordination in general. </w:t>
      </w:r>
      <w:r w:rsidR="00801FD0">
        <w:t xml:space="preserve">Some authors take a broad view of insubordination, allowing for some degree of discursive dependence (e.g., </w:t>
      </w:r>
      <w:r w:rsidR="00801FD0" w:rsidRPr="009E2994">
        <w:rPr>
          <w:szCs w:val="24"/>
        </w:rPr>
        <w:t xml:space="preserve">Kaltenböck 2016; Gras </w:t>
      </w:r>
      <w:r w:rsidR="007948AE">
        <w:rPr>
          <w:szCs w:val="24"/>
        </w:rPr>
        <w:t>and</w:t>
      </w:r>
      <w:r w:rsidR="00801FD0" w:rsidRPr="009E2994">
        <w:rPr>
          <w:szCs w:val="24"/>
        </w:rPr>
        <w:t xml:space="preserve"> Sansiñena 2017; Sansiñena 2019)</w:t>
      </w:r>
      <w:r w:rsidR="00801FD0">
        <w:t xml:space="preserve">. They distinguish, then, between ‘self-contained’ vs. ‘pragmatically dependent’ insubordination </w:t>
      </w:r>
      <w:r w:rsidR="00801FD0" w:rsidRPr="0065666A">
        <w:rPr>
          <w:szCs w:val="24"/>
        </w:rPr>
        <w:t>(Sansiñena 2019)</w:t>
      </w:r>
      <w:r w:rsidR="00801FD0">
        <w:t xml:space="preserve"> or between ‘stand-alone’ vs. ‘elaborative’ insubordination </w:t>
      </w:r>
      <w:r w:rsidR="00801FD0" w:rsidRPr="0065666A">
        <w:rPr>
          <w:szCs w:val="24"/>
        </w:rPr>
        <w:t>(Kaltenböck 2016)</w:t>
      </w:r>
      <w:r w:rsidR="00801FD0">
        <w:t xml:space="preserve">. Other authors argue that full discursive independence is </w:t>
      </w:r>
      <w:proofErr w:type="gramStart"/>
      <w:r w:rsidR="00801FD0">
        <w:t>a necessary prerequisite</w:t>
      </w:r>
      <w:proofErr w:type="gramEnd"/>
      <w:r w:rsidR="00801FD0">
        <w:t xml:space="preserve"> for insubordination (e.g., </w:t>
      </w:r>
      <w:r w:rsidR="00801FD0" w:rsidRPr="000018D9">
        <w:rPr>
          <w:szCs w:val="24"/>
        </w:rPr>
        <w:t xml:space="preserve">Mithun 2008; D’Hertefelt </w:t>
      </w:r>
      <w:r w:rsidR="007948AE">
        <w:rPr>
          <w:szCs w:val="24"/>
        </w:rPr>
        <w:t>and</w:t>
      </w:r>
      <w:r w:rsidR="00801FD0" w:rsidRPr="000018D9">
        <w:rPr>
          <w:szCs w:val="24"/>
        </w:rPr>
        <w:t xml:space="preserve"> Verstraete 2014; D’Hertefelt 2018)</w:t>
      </w:r>
      <w:r w:rsidR="00801FD0">
        <w:t>. Instead, they suggest that syntactically free-standing clauses that are discursively dependent on another clause</w:t>
      </w:r>
      <w:r w:rsidR="00D3239B">
        <w:t xml:space="preserve"> – like the </w:t>
      </w:r>
      <w:r w:rsidR="00E70F72">
        <w:t>underlined examples</w:t>
      </w:r>
      <w:r w:rsidR="00D3239B">
        <w:t xml:space="preserve"> in </w:t>
      </w:r>
      <w:r w:rsidR="00D3239B">
        <w:fldChar w:fldCharType="begin"/>
      </w:r>
      <w:r w:rsidR="00D3239B">
        <w:instrText xml:space="preserve"> REF _Ref148960457 \r \h </w:instrText>
      </w:r>
      <w:r w:rsidR="00D3239B">
        <w:fldChar w:fldCharType="separate"/>
      </w:r>
      <w:r w:rsidR="008912AA">
        <w:t>(9)</w:t>
      </w:r>
      <w:r w:rsidR="00D3239B">
        <w:fldChar w:fldCharType="end"/>
      </w:r>
      <w:r w:rsidR="00E56FA1">
        <w:t xml:space="preserve">, </w:t>
      </w:r>
      <w:r w:rsidR="00D3239B">
        <w:fldChar w:fldCharType="begin"/>
      </w:r>
      <w:r w:rsidR="00D3239B">
        <w:instrText xml:space="preserve"> REF _Ref148962255 \r \h </w:instrText>
      </w:r>
      <w:r w:rsidR="00D3239B">
        <w:fldChar w:fldCharType="separate"/>
      </w:r>
      <w:r w:rsidR="008912AA">
        <w:t>(10)</w:t>
      </w:r>
      <w:r w:rsidR="00D3239B">
        <w:fldChar w:fldCharType="end"/>
      </w:r>
      <w:r w:rsidR="00E56FA1">
        <w:t xml:space="preserve"> and </w:t>
      </w:r>
      <w:r w:rsidR="00E56FA1">
        <w:fldChar w:fldCharType="begin"/>
      </w:r>
      <w:r w:rsidR="00E56FA1">
        <w:instrText xml:space="preserve"> REF _Ref148976566 \r \h </w:instrText>
      </w:r>
      <w:r w:rsidR="00E56FA1">
        <w:fldChar w:fldCharType="separate"/>
      </w:r>
      <w:r w:rsidR="008912AA">
        <w:t>(11)</w:t>
      </w:r>
      <w:r w:rsidR="00E56FA1">
        <w:fldChar w:fldCharType="end"/>
      </w:r>
      <w:r w:rsidR="00D3239B">
        <w:t xml:space="preserve"> –</w:t>
      </w:r>
      <w:r w:rsidR="00801FD0">
        <w:t xml:space="preserve"> are cases of ‘dependency-</w:t>
      </w:r>
      <w:r w:rsidR="00801FD0">
        <w:lastRenderedPageBreak/>
        <w:t xml:space="preserve">shift’ </w:t>
      </w:r>
      <w:r w:rsidR="00801FD0" w:rsidRPr="002C7F16">
        <w:rPr>
          <w:szCs w:val="24"/>
        </w:rPr>
        <w:t>(</w:t>
      </w:r>
      <w:r w:rsidR="00801FD0">
        <w:rPr>
          <w:szCs w:val="24"/>
        </w:rPr>
        <w:t xml:space="preserve">e.g., </w:t>
      </w:r>
      <w:r w:rsidR="00801FD0" w:rsidRPr="002C7F16">
        <w:rPr>
          <w:szCs w:val="24"/>
        </w:rPr>
        <w:t>D’Hertefelt 2018)</w:t>
      </w:r>
      <w:r w:rsidR="00801FD0">
        <w:t>, in which the dependency scope of the subordinate clause has shifted from the syntactic level to the discourse one.</w:t>
      </w:r>
    </w:p>
    <w:p w14:paraId="74AF80E9" w14:textId="0E544585" w:rsidR="006621E7" w:rsidRDefault="00D3239B" w:rsidP="00D3239B">
      <w:pPr>
        <w:ind w:firstLine="567"/>
        <w:jc w:val="both"/>
      </w:pPr>
      <w:r>
        <w:tab/>
        <w:t>One angle from which to approach this question is to look at the prosodic realisation of the different dependency configurations of the HM clauses.</w:t>
      </w:r>
      <w:r w:rsidRPr="00D3239B">
        <w:t xml:space="preserve"> </w:t>
      </w:r>
      <w:r>
        <w:t>Indeed, previous studies</w:t>
      </w:r>
      <w:r w:rsidR="0003746D">
        <w:t xml:space="preserve"> advanced</w:t>
      </w:r>
      <w:r>
        <w:t xml:space="preserve"> that prosody is a crucial factor distinguishing insubordination from subordination (e.g., </w:t>
      </w:r>
      <w:r w:rsidRPr="000D6079">
        <w:rPr>
          <w:szCs w:val="24"/>
        </w:rPr>
        <w:t>Schwenter 1996</w:t>
      </w:r>
      <w:r>
        <w:rPr>
          <w:szCs w:val="24"/>
        </w:rPr>
        <w:t>, 2016;</w:t>
      </w:r>
      <w:r w:rsidRPr="000D6079">
        <w:rPr>
          <w:szCs w:val="24"/>
        </w:rPr>
        <w:t xml:space="preserve"> Debaisieux 20</w:t>
      </w:r>
      <w:r w:rsidR="00845C23">
        <w:rPr>
          <w:szCs w:val="24"/>
        </w:rPr>
        <w:t>1</w:t>
      </w:r>
      <w:r w:rsidRPr="000D6079">
        <w:rPr>
          <w:szCs w:val="24"/>
        </w:rPr>
        <w:t>6; Gras</w:t>
      </w:r>
      <w:r w:rsidR="008D409E">
        <w:rPr>
          <w:szCs w:val="24"/>
        </w:rPr>
        <w:t xml:space="preserve"> </w:t>
      </w:r>
      <w:r w:rsidRPr="000D6079">
        <w:rPr>
          <w:szCs w:val="24"/>
        </w:rPr>
        <w:t>2016; Kaltenböck 2016; Elvira-García</w:t>
      </w:r>
      <w:r w:rsidR="00CC4FEC">
        <w:rPr>
          <w:szCs w:val="24"/>
        </w:rPr>
        <w:t xml:space="preserve"> et al.</w:t>
      </w:r>
      <w:r w:rsidRPr="000D6079">
        <w:rPr>
          <w:szCs w:val="24"/>
        </w:rPr>
        <w:t xml:space="preserve"> 2017)</w:t>
      </w:r>
      <w:r>
        <w:t>.</w:t>
      </w:r>
      <w:r w:rsidR="00A8180D">
        <w:t xml:space="preserve"> </w:t>
      </w:r>
      <w:r w:rsidR="0060252F">
        <w:t>For instance, insubordinate and other semi-independent uses of subordinate clauses are found to be distinguishable based on the intonation contour, or tone, with which they are uttered (e.g., Schwenter 2016; Elvira-García et al. 2017)</w:t>
      </w:r>
      <w:r w:rsidR="005F6CC2">
        <w:t xml:space="preserve">: for Spanish, this leads </w:t>
      </w:r>
      <w:r w:rsidR="005F6CC2" w:rsidRPr="005F6CC2">
        <w:rPr>
          <w:szCs w:val="24"/>
        </w:rPr>
        <w:t>Elvira-García</w:t>
      </w:r>
      <w:r w:rsidR="006C75E4">
        <w:rPr>
          <w:szCs w:val="24"/>
        </w:rPr>
        <w:t xml:space="preserve"> et al.</w:t>
      </w:r>
      <w:r w:rsidR="005F6CC2" w:rsidRPr="005F6CC2">
        <w:rPr>
          <w:szCs w:val="24"/>
        </w:rPr>
        <w:t xml:space="preserve"> </w:t>
      </w:r>
      <w:r w:rsidR="005F6CC2">
        <w:rPr>
          <w:szCs w:val="24"/>
        </w:rPr>
        <w:t>(</w:t>
      </w:r>
      <w:r w:rsidR="005F6CC2" w:rsidRPr="005F6CC2">
        <w:rPr>
          <w:szCs w:val="24"/>
        </w:rPr>
        <w:t>201</w:t>
      </w:r>
      <w:r w:rsidR="005B1498">
        <w:rPr>
          <w:szCs w:val="24"/>
        </w:rPr>
        <w:t>7</w:t>
      </w:r>
      <w:r w:rsidR="005F6CC2" w:rsidRPr="005F6CC2">
        <w:rPr>
          <w:szCs w:val="24"/>
        </w:rPr>
        <w:t>)</w:t>
      </w:r>
      <w:r w:rsidR="005F6CC2">
        <w:t xml:space="preserve"> to conclude that “intonation acts as an acoustic cue for the level of syntactic dependence of a construction</w:t>
      </w:r>
      <w:r w:rsidR="005B1498">
        <w:t>” (</w:t>
      </w:r>
      <w:r w:rsidR="003E5C20" w:rsidRPr="005F6CC2">
        <w:rPr>
          <w:szCs w:val="24"/>
        </w:rPr>
        <w:t>Elvira-García</w:t>
      </w:r>
      <w:r w:rsidR="003E5C20">
        <w:rPr>
          <w:szCs w:val="24"/>
        </w:rPr>
        <w:t xml:space="preserve"> et al.</w:t>
      </w:r>
      <w:r w:rsidR="003E5C20" w:rsidRPr="005F6CC2">
        <w:rPr>
          <w:szCs w:val="24"/>
        </w:rPr>
        <w:t xml:space="preserve"> </w:t>
      </w:r>
      <w:r w:rsidR="003E5C20">
        <w:rPr>
          <w:szCs w:val="24"/>
        </w:rPr>
        <w:t>2017</w:t>
      </w:r>
      <w:r w:rsidR="005B1498">
        <w:t>: 29).</w:t>
      </w:r>
      <w:r w:rsidR="0003746D">
        <w:t xml:space="preserve"> </w:t>
      </w:r>
      <w:r w:rsidR="008D409E">
        <w:t>Moreover</w:t>
      </w:r>
      <w:r>
        <w:t xml:space="preserve">, in studies that look at the different dependency levels among subordinate clauses, prosody has also been advanced as an indicator of the level of dependency, or syntactic integration, of the subclause vis-à-vis the matrix (e.g., </w:t>
      </w:r>
      <w:r w:rsidR="008F4726" w:rsidRPr="008F4726">
        <w:t>Smessaert et al. 2005: 498; Verstraete 2007: Chap</w:t>
      </w:r>
      <w:r w:rsidR="008F4726">
        <w:t>ter</w:t>
      </w:r>
      <w:r w:rsidR="008F4726" w:rsidRPr="008F4726">
        <w:t xml:space="preserve"> 3; Debaisieux 2016)</w:t>
      </w:r>
      <w:r w:rsidR="0054209B">
        <w:t>.</w:t>
      </w:r>
      <w:r w:rsidR="0003746D">
        <w:t xml:space="preserve"> More specifically, syntactic integration is thought to </w:t>
      </w:r>
      <w:r w:rsidR="009E196F">
        <w:t xml:space="preserve">be </w:t>
      </w:r>
      <w:r w:rsidR="0003746D">
        <w:t>reflected in the prosodic integration of the subordinate clause with the main clause.</w:t>
      </w:r>
      <w:r w:rsidR="009E196F" w:rsidRPr="009E196F">
        <w:t xml:space="preserve"> Still, the </w:t>
      </w:r>
      <w:r w:rsidR="009E196F">
        <w:t>assumption that</w:t>
      </w:r>
      <w:r w:rsidR="009E196F" w:rsidRPr="009E196F">
        <w:t xml:space="preserve"> prosodic factors signal dependency relations is too often taken for granted</w:t>
      </w:r>
      <w:r w:rsidR="009E196F">
        <w:t>, often without firm empirical verification.</w:t>
      </w:r>
      <w:r w:rsidR="00E501E0">
        <w:t xml:space="preserve"> Moreover,</w:t>
      </w:r>
      <w:r w:rsidR="00525721">
        <w:t xml:space="preserve"> </w:t>
      </w:r>
      <w:r w:rsidR="006621E7">
        <w:t>though it is claimed that prosody reflects different degrees of (in)dependence, it is unclear if this means that different syntactic distinctions (e.g., complementation vs. adverbial subordination, subordination vs. insubordination) are manifested through different prosodic factors</w:t>
      </w:r>
      <w:r w:rsidR="00CC1FCF">
        <w:t>. O</w:t>
      </w:r>
      <w:r w:rsidR="006621E7">
        <w:t xml:space="preserve">r do the same prosodic factors </w:t>
      </w:r>
      <w:r w:rsidR="00CC1FCF">
        <w:t>give expression to the assumed cline, or continuum, of syntactic dependency?</w:t>
      </w:r>
      <w:r w:rsidR="006621E7">
        <w:t xml:space="preserve">  </w:t>
      </w:r>
    </w:p>
    <w:p w14:paraId="6609E08B" w14:textId="4C82D32B" w:rsidR="00DD2521" w:rsidRDefault="0085340A">
      <w:pPr>
        <w:tabs>
          <w:tab w:val="left" w:pos="567"/>
        </w:tabs>
        <w:jc w:val="both"/>
      </w:pPr>
      <w:bookmarkStart w:id="13" w:name="_Hlk135057399"/>
      <w:r>
        <w:t xml:space="preserve"> </w:t>
      </w:r>
      <w:bookmarkEnd w:id="13"/>
      <w:r w:rsidR="00B94121">
        <w:tab/>
      </w:r>
      <w:r w:rsidR="00D317E0">
        <w:t xml:space="preserve">In this paper, we aim to investigate if the different </w:t>
      </w:r>
      <w:r w:rsidR="00DD2521">
        <w:t>levels</w:t>
      </w:r>
      <w:r w:rsidR="00D317E0">
        <w:t xml:space="preserve"> of syntactic integration</w:t>
      </w:r>
      <w:r w:rsidR="00DC54CC">
        <w:t>,</w:t>
      </w:r>
      <w:r w:rsidR="00D317E0">
        <w:t xml:space="preserve"> and the different </w:t>
      </w:r>
      <w:r w:rsidR="00DC54CC">
        <w:t>meanings</w:t>
      </w:r>
      <w:r w:rsidR="00D317E0">
        <w:t xml:space="preserve"> that have been recognised for </w:t>
      </w:r>
      <w:r w:rsidR="00DC54CC">
        <w:t>HM</w:t>
      </w:r>
      <w:r w:rsidR="00D317E0">
        <w:t xml:space="preserve"> clauses</w:t>
      </w:r>
      <w:r w:rsidR="00DC54CC">
        <w:t>,</w:t>
      </w:r>
      <w:r w:rsidR="00D317E0">
        <w:t xml:space="preserve"> are reflected in the prosodic realisation of these clauses in spoken English and Dutch. </w:t>
      </w:r>
      <w:r w:rsidR="00346C33">
        <w:t xml:space="preserve">In other words, does prosody </w:t>
      </w:r>
      <w:r w:rsidR="00156721">
        <w:t xml:space="preserve">interact with the </w:t>
      </w:r>
      <w:r w:rsidR="00DD2521">
        <w:t>level of syntactic dependence</w:t>
      </w:r>
      <w:r w:rsidR="00156721">
        <w:t xml:space="preserve"> </w:t>
      </w:r>
      <w:r w:rsidR="00DD2521">
        <w:t>of the ‘subordinate’ clause on another clause, and, if so, which prosodic factors are relevant in signalling syntactic integration? Second, to what extent</w:t>
      </w:r>
      <w:r w:rsidR="00DC54CC">
        <w:t xml:space="preserve"> do the different meanings recognised for HM clauses correlate with the syntactic dependency configurations and, possibly, with different prosodic profiles? Can we find, for instance, an attraction between these meanings and specific syntactic patterns? </w:t>
      </w:r>
      <w:r w:rsidR="00DD2521">
        <w:t xml:space="preserve">Finally, how do the two </w:t>
      </w:r>
      <w:r w:rsidR="00E70F72">
        <w:t>closely related</w:t>
      </w:r>
      <w:r w:rsidR="000224E4">
        <w:t xml:space="preserve"> </w:t>
      </w:r>
      <w:r w:rsidR="00DD2521">
        <w:t>languages</w:t>
      </w:r>
      <w:r w:rsidR="00381EEB">
        <w:t xml:space="preserve"> studied</w:t>
      </w:r>
      <w:r w:rsidR="00DD2521">
        <w:t xml:space="preserve"> compare </w:t>
      </w:r>
      <w:r w:rsidR="002E34DB">
        <w:t>when it comes to the interaction</w:t>
      </w:r>
      <w:r w:rsidR="003F1A44">
        <w:t>s</w:t>
      </w:r>
      <w:r w:rsidR="002E34DB">
        <w:t xml:space="preserve"> between </w:t>
      </w:r>
      <w:r w:rsidR="003F1A44">
        <w:t>syntax, semantics</w:t>
      </w:r>
      <w:r w:rsidR="006D37F1">
        <w:t>/pragmatics</w:t>
      </w:r>
      <w:r w:rsidR="003F1A44">
        <w:t>, and prosody</w:t>
      </w:r>
      <w:r w:rsidR="002E34DB">
        <w:t xml:space="preserve">? </w:t>
      </w:r>
      <w:r w:rsidR="003F1A44">
        <w:t xml:space="preserve">Are the interactions language-specific or can meaningful generalisations be made? </w:t>
      </w:r>
    </w:p>
    <w:p w14:paraId="798F1470" w14:textId="6B747C30" w:rsidR="00347EEC" w:rsidRDefault="00B35FCE" w:rsidP="00B35FCE">
      <w:pPr>
        <w:jc w:val="both"/>
      </w:pPr>
      <w:r>
        <w:lastRenderedPageBreak/>
        <w:tab/>
      </w:r>
      <w:r>
        <w:tab/>
        <w:t xml:space="preserve">The structure of this paper is as follows. In Section </w:t>
      </w:r>
      <w:r>
        <w:fldChar w:fldCharType="begin"/>
      </w:r>
      <w:r>
        <w:instrText xml:space="preserve"> REF _Ref132786444 \r \h </w:instrText>
      </w:r>
      <w:r>
        <w:fldChar w:fldCharType="separate"/>
      </w:r>
      <w:r w:rsidR="008912AA">
        <w:t>2</w:t>
      </w:r>
      <w:r>
        <w:fldChar w:fldCharType="end"/>
      </w:r>
      <w:r>
        <w:t>, we outline how the data for this study were compiled and then analysed. In Section</w:t>
      </w:r>
      <w:r w:rsidR="0052087E">
        <w:t xml:space="preserve"> 3</w:t>
      </w:r>
      <w:r>
        <w:t xml:space="preserve">, we describe the results of the syntactic, semantic-pragmatic, and prosodic analyses. In Section </w:t>
      </w:r>
      <w:r>
        <w:fldChar w:fldCharType="begin"/>
      </w:r>
      <w:r>
        <w:instrText xml:space="preserve"> REF _Ref134198981 \r \h </w:instrText>
      </w:r>
      <w:r>
        <w:fldChar w:fldCharType="separate"/>
      </w:r>
      <w:r w:rsidR="008912AA">
        <w:t>4</w:t>
      </w:r>
      <w:r>
        <w:fldChar w:fldCharType="end"/>
      </w:r>
      <w:r>
        <w:t xml:space="preserve">, we discuss what the implications of the results are for our understanding of the interactions between syntax, </w:t>
      </w:r>
      <w:r w:rsidR="006D37F1">
        <w:t>semantics/</w:t>
      </w:r>
      <w:r>
        <w:t>pragmatics, and prosody for clause-combining in English and Dutch.</w:t>
      </w:r>
      <w:r w:rsidR="00347EEC">
        <w:t xml:space="preserve"> Finally, Section </w:t>
      </w:r>
      <w:r w:rsidR="00347EEC">
        <w:fldChar w:fldCharType="begin"/>
      </w:r>
      <w:r w:rsidR="00347EEC">
        <w:instrText xml:space="preserve"> REF _Ref134199067 \r \h </w:instrText>
      </w:r>
      <w:r w:rsidR="00347EEC">
        <w:fldChar w:fldCharType="separate"/>
      </w:r>
      <w:r w:rsidR="008912AA">
        <w:t>5</w:t>
      </w:r>
      <w:r w:rsidR="00347EEC">
        <w:fldChar w:fldCharType="end"/>
      </w:r>
      <w:r w:rsidR="00347EEC">
        <w:t xml:space="preserve"> concludes this paper by summarising </w:t>
      </w:r>
      <w:r w:rsidR="006D37F1">
        <w:t xml:space="preserve">the </w:t>
      </w:r>
      <w:r w:rsidR="00347EEC">
        <w:t>main findings.</w:t>
      </w:r>
    </w:p>
    <w:p w14:paraId="505F2DA2" w14:textId="77777777" w:rsidR="00B35FCE" w:rsidRPr="00A52A16" w:rsidRDefault="00B35FCE" w:rsidP="00446752"/>
    <w:p w14:paraId="52682DF1" w14:textId="2300A902" w:rsidR="00446752" w:rsidRPr="00A52A16" w:rsidRDefault="0056463D" w:rsidP="00446752">
      <w:pPr>
        <w:pStyle w:val="Heading1"/>
      </w:pPr>
      <w:bookmarkStart w:id="14" w:name="_Ref132786444"/>
      <w:r>
        <w:t>Data and methodology</w:t>
      </w:r>
      <w:bookmarkEnd w:id="14"/>
    </w:p>
    <w:p w14:paraId="01B74E39" w14:textId="77777777" w:rsidR="00446752" w:rsidRPr="00A52A16" w:rsidRDefault="00446752" w:rsidP="00093CCB"/>
    <w:p w14:paraId="4DF63384" w14:textId="51B8AD3B" w:rsidR="0088171B" w:rsidRDefault="00093CCB" w:rsidP="00D80FE1">
      <w:pPr>
        <w:tabs>
          <w:tab w:val="left" w:pos="567"/>
        </w:tabs>
        <w:jc w:val="both"/>
      </w:pPr>
      <w:r w:rsidRPr="00A52A16">
        <w:t>The study in this paper is grounded in analyses of spoken data from the ‘British National Corpus’ (BNC) for English and the ‘Corpus Gesproken Nederlands’ (CGN) for Dutch.</w:t>
      </w:r>
      <w:r w:rsidR="0088171B">
        <w:t xml:space="preserve"> Both corpora consist of a range of genres, including mostly spontaneous natural conversations, but also lectures, news broadcasts, interviews, sports commentaries, parliamentary debates, business meetings, read speech, etc. The corpora are, therefore, similar in terms of the types of spoken data they </w:t>
      </w:r>
      <w:r w:rsidR="00126E5A">
        <w:t xml:space="preserve">include, though they may differ with regard the relative frequencies of data per genre (of which no information is given in the metadata </w:t>
      </w:r>
      <w:r w:rsidR="004E30DB">
        <w:t>of</w:t>
      </w:r>
      <w:r w:rsidR="00126E5A">
        <w:t xml:space="preserve"> the two corpora).</w:t>
      </w:r>
    </w:p>
    <w:p w14:paraId="704081BF" w14:textId="46903461" w:rsidR="001D0CC0" w:rsidRPr="00D80FE1" w:rsidRDefault="00DD00CB" w:rsidP="00D80FE1">
      <w:pPr>
        <w:tabs>
          <w:tab w:val="left" w:pos="567"/>
        </w:tabs>
        <w:jc w:val="both"/>
      </w:pPr>
      <w:r>
        <w:tab/>
      </w:r>
      <w:r w:rsidR="00093CCB" w:rsidRPr="00A52A16">
        <w:t xml:space="preserve">In a first step, we </w:t>
      </w:r>
      <w:proofErr w:type="gramStart"/>
      <w:r w:rsidR="00093CCB" w:rsidRPr="00A52A16">
        <w:t>extracted</w:t>
      </w:r>
      <w:r w:rsidR="00EE197A" w:rsidRPr="00A52A16">
        <w:t>,</w:t>
      </w:r>
      <w:proofErr w:type="gramEnd"/>
      <w:r w:rsidR="00EE197A" w:rsidRPr="00A52A16">
        <w:t xml:space="preserve"> from the spoken subsections of the BNC and the CGN,</w:t>
      </w:r>
      <w:r w:rsidR="00093CCB" w:rsidRPr="00A52A16">
        <w:t xml:space="preserve"> all hits for </w:t>
      </w:r>
      <w:r w:rsidR="00093CCB" w:rsidRPr="00A52A16">
        <w:rPr>
          <w:i/>
        </w:rPr>
        <w:t>a</w:t>
      </w:r>
      <w:r w:rsidR="00EE197A" w:rsidRPr="00A52A16">
        <w:rPr>
          <w:i/>
        </w:rPr>
        <w:t>s</w:t>
      </w:r>
      <w:r w:rsidR="00093CCB" w:rsidRPr="00A52A16">
        <w:rPr>
          <w:i/>
        </w:rPr>
        <w:t xml:space="preserve"> if</w:t>
      </w:r>
      <w:r w:rsidR="00093CCB" w:rsidRPr="00A52A16">
        <w:t xml:space="preserve"> </w:t>
      </w:r>
      <w:r w:rsidR="00EE197A" w:rsidRPr="00A52A16">
        <w:t>(</w:t>
      </w:r>
      <w:r w:rsidR="00E701F3">
        <w:t>n=</w:t>
      </w:r>
      <w:r w:rsidR="00EE197A" w:rsidRPr="00A52A16">
        <w:t xml:space="preserve">683) </w:t>
      </w:r>
      <w:r w:rsidR="00093CCB" w:rsidRPr="00A52A16">
        <w:t xml:space="preserve">and </w:t>
      </w:r>
      <w:r w:rsidR="00093CCB" w:rsidRPr="00A52A16">
        <w:rPr>
          <w:i/>
        </w:rPr>
        <w:t xml:space="preserve">alsof </w:t>
      </w:r>
      <w:r w:rsidR="00EE197A" w:rsidRPr="00A52A16">
        <w:t>(</w:t>
      </w:r>
      <w:r w:rsidR="00E701F3">
        <w:t>n=</w:t>
      </w:r>
      <w:r w:rsidR="00EE197A" w:rsidRPr="00A52A16">
        <w:t>1,036)</w:t>
      </w:r>
      <w:r w:rsidR="00D06EBA">
        <w:t>.</w:t>
      </w:r>
      <w:r w:rsidR="009145BA">
        <w:t xml:space="preserve"> These subsets were narrowed </w:t>
      </w:r>
      <w:r w:rsidR="00707AEB">
        <w:t xml:space="preserve">down </w:t>
      </w:r>
      <w:r w:rsidR="009145BA">
        <w:t>to the data for which audio material was readily available in SketchEngine, for the BNC, and in OpenSoNaR, for the CGN. For the Dutch data</w:t>
      </w:r>
      <w:r w:rsidR="008D409E">
        <w:t xml:space="preserve">, </w:t>
      </w:r>
      <w:r w:rsidR="000C4562">
        <w:t>sound files</w:t>
      </w:r>
      <w:r w:rsidR="008D409E">
        <w:t xml:space="preserve"> were available for all the </w:t>
      </w:r>
      <w:r w:rsidR="000C4562">
        <w:t>recordings</w:t>
      </w:r>
      <w:r w:rsidR="008D409E">
        <w:t>;</w:t>
      </w:r>
      <w:r w:rsidR="009145BA">
        <w:t xml:space="preserve"> but for the English data, </w:t>
      </w:r>
      <w:r w:rsidR="00AD7A47">
        <w:t>only 225 hits were accompanied by audio material in SketchEngine.</w:t>
      </w:r>
      <w:r w:rsidR="00A43C49">
        <w:t xml:space="preserve"> From the resulting datasets (</w:t>
      </w:r>
      <w:r w:rsidR="00E701F3">
        <w:t>n=</w:t>
      </w:r>
      <w:r w:rsidR="00A43C49">
        <w:t xml:space="preserve">225 for </w:t>
      </w:r>
      <w:r w:rsidR="008D409E">
        <w:t>English</w:t>
      </w:r>
      <w:r w:rsidR="00A43C49">
        <w:t xml:space="preserve"> and </w:t>
      </w:r>
      <w:r w:rsidR="00E701F3">
        <w:t>n=</w:t>
      </w:r>
      <w:r w:rsidR="00A43C49">
        <w:t xml:space="preserve">1,036 for </w:t>
      </w:r>
      <w:r w:rsidR="008D409E">
        <w:t>Dutch</w:t>
      </w:r>
      <w:r w:rsidR="00A43C49">
        <w:t>), we then excluded irrelevant hits</w:t>
      </w:r>
      <w:r w:rsidR="008D409E">
        <w:t>: for instance</w:t>
      </w:r>
      <w:r w:rsidR="00A43C49">
        <w:t>, combinations of comparative</w:t>
      </w:r>
      <w:r w:rsidR="00CF4F75">
        <w:t xml:space="preserve"> </w:t>
      </w:r>
      <w:r w:rsidR="00CF4F75">
        <w:rPr>
          <w:i/>
        </w:rPr>
        <w:t xml:space="preserve">as </w:t>
      </w:r>
      <w:r w:rsidR="00CF4F75">
        <w:t xml:space="preserve">ADJ/ADV </w:t>
      </w:r>
      <w:r w:rsidR="00CF4F75">
        <w:rPr>
          <w:i/>
        </w:rPr>
        <w:t xml:space="preserve">as </w:t>
      </w:r>
      <w:r w:rsidR="00CF4F75">
        <w:t xml:space="preserve">+ conditional </w:t>
      </w:r>
      <w:r w:rsidR="00CF4F75">
        <w:rPr>
          <w:i/>
        </w:rPr>
        <w:t xml:space="preserve">if </w:t>
      </w:r>
      <w:r w:rsidR="00CF4F75">
        <w:t xml:space="preserve">(e.g., </w:t>
      </w:r>
      <w:r w:rsidR="00CF4F75">
        <w:rPr>
          <w:i/>
        </w:rPr>
        <w:t>you were as cool as if you were out for a stroll</w:t>
      </w:r>
      <w:r w:rsidR="00CF4F75">
        <w:t>), interrupted examples</w:t>
      </w:r>
      <w:r w:rsidR="00EA59CB">
        <w:t xml:space="preserve">, </w:t>
      </w:r>
      <w:r w:rsidR="00CF4F75">
        <w:t>wrong transcriptions</w:t>
      </w:r>
      <w:r w:rsidR="00A43C49">
        <w:t xml:space="preserve"> </w:t>
      </w:r>
      <w:r w:rsidR="008D409E">
        <w:t>and</w:t>
      </w:r>
      <w:r w:rsidR="00A43C49">
        <w:t xml:space="preserve">, specifically for Dutch, </w:t>
      </w:r>
      <w:r w:rsidR="008D409E">
        <w:t>hits where</w:t>
      </w:r>
      <w:r w:rsidR="00A43C49">
        <w:t xml:space="preserve"> </w:t>
      </w:r>
      <w:r w:rsidR="00A43C49">
        <w:rPr>
          <w:i/>
        </w:rPr>
        <w:t xml:space="preserve">alsof </w:t>
      </w:r>
      <w:r w:rsidR="00A43C49">
        <w:t xml:space="preserve">does not introduce a clause (e.g., </w:t>
      </w:r>
      <w:r w:rsidR="00A43C49">
        <w:rPr>
          <w:i/>
        </w:rPr>
        <w:t>ze doet tenminste alsof</w:t>
      </w:r>
      <w:r w:rsidR="00A43C49">
        <w:t xml:space="preserve"> ‘at least she pretends’).</w:t>
      </w:r>
      <w:r w:rsidR="005124D7">
        <w:t xml:space="preserve"> </w:t>
      </w:r>
      <w:r w:rsidR="00423EA0">
        <w:t>T</w:t>
      </w:r>
      <w:r w:rsidR="005124D7">
        <w:t>his narrowed down the data to 161 hits from the BNC and 1,016 hits from the CGN. To ensure feasibility of the prosodic analyses, we took a random sample of 250 examples from the CGN dataset. Finally, some of the data had to be excluded due to bad quality of some of the audio material. Ultimately, we therefore ended up with 156 useful hits for English and 24</w:t>
      </w:r>
      <w:r w:rsidR="00E64825">
        <w:t>7</w:t>
      </w:r>
      <w:r w:rsidR="005124D7">
        <w:t xml:space="preserve"> hits for Dutch.</w:t>
      </w:r>
    </w:p>
    <w:p w14:paraId="75BE808F" w14:textId="0F3D41B1" w:rsidR="00455A5F" w:rsidRPr="00A52A16" w:rsidRDefault="008F229D" w:rsidP="005532AB">
      <w:pPr>
        <w:ind w:firstLine="567"/>
        <w:jc w:val="both"/>
      </w:pPr>
      <w:r>
        <w:t>For the data analysis</w:t>
      </w:r>
      <w:r w:rsidR="0047269C">
        <w:t>, three coding schemes were used</w:t>
      </w:r>
      <w:r w:rsidR="00522D2F" w:rsidRPr="00A52A16">
        <w:t xml:space="preserve">. </w:t>
      </w:r>
      <w:r>
        <w:t>First, t</w:t>
      </w:r>
      <w:r w:rsidR="006359F4" w:rsidRPr="00A52A16">
        <w:t xml:space="preserve">he </w:t>
      </w:r>
      <w:r w:rsidR="00BD6618" w:rsidRPr="00657AD8">
        <w:rPr>
          <w:b/>
        </w:rPr>
        <w:t>syntactic</w:t>
      </w:r>
      <w:r w:rsidR="006359F4" w:rsidRPr="00A52A16">
        <w:t xml:space="preserve"> scheme</w:t>
      </w:r>
      <w:r w:rsidR="00536F70">
        <w:t>, presented in Table 1,</w:t>
      </w:r>
      <w:r w:rsidR="006359F4" w:rsidRPr="00A52A16">
        <w:t xml:space="preserve"> assesses the level of </w:t>
      </w:r>
      <w:r w:rsidR="009F2043">
        <w:t xml:space="preserve">syntactic </w:t>
      </w:r>
      <w:r w:rsidR="006359F4" w:rsidRPr="00A52A16">
        <w:t>(in)dependence</w:t>
      </w:r>
      <w:r>
        <w:t xml:space="preserve"> of the HM clause</w:t>
      </w:r>
      <w:r w:rsidR="00572BA7">
        <w:t xml:space="preserve">, </w:t>
      </w:r>
      <w:r w:rsidR="00F4214F">
        <w:t>based on</w:t>
      </w:r>
      <w:r w:rsidR="00527607">
        <w:t xml:space="preserve"> (i) </w:t>
      </w:r>
      <w:r>
        <w:t xml:space="preserve">its </w:t>
      </w:r>
      <w:r w:rsidR="00527607">
        <w:t xml:space="preserve">obligatoriness (i.e., can it be omitted without changing the meaning of the process in the matrix), (ii) the possibility of pronominal proportionality (i.e., substitution of the subordinate </w:t>
      </w:r>
      <w:r w:rsidR="00527607">
        <w:lastRenderedPageBreak/>
        <w:t>clause by a proform with the same function)</w:t>
      </w:r>
      <w:r w:rsidR="005532AB">
        <w:t>, e.g.,</w:t>
      </w:r>
      <w:r w:rsidR="00527607">
        <w:t xml:space="preserve"> </w:t>
      </w:r>
      <w:r w:rsidR="00B51C01">
        <w:t>(12a)</w:t>
      </w:r>
      <w:r w:rsidR="00527607">
        <w:t>, (iii) clefting</w:t>
      </w:r>
      <w:r w:rsidR="005532AB">
        <w:t>, e.g.,</w:t>
      </w:r>
      <w:r w:rsidR="00527607">
        <w:t xml:space="preserve"> </w:t>
      </w:r>
      <w:r w:rsidR="00B51C01">
        <w:t>(12</w:t>
      </w:r>
      <w:r>
        <w:t>b)</w:t>
      </w:r>
      <w:r w:rsidR="00527607">
        <w:t>, and (iv) preposability (i.e., can it be placed before the matrix and, if so, does it, in Dutch, trigger subject-finite inversion)</w:t>
      </w:r>
      <w:r w:rsidR="005532AB">
        <w:t>, e.g.,</w:t>
      </w:r>
      <w:r w:rsidR="00527607">
        <w:t xml:space="preserve"> </w:t>
      </w:r>
      <w:r w:rsidR="00B51C01">
        <w:t>(12</w:t>
      </w:r>
      <w:r>
        <w:t>c)</w:t>
      </w:r>
      <w:r w:rsidR="005532AB">
        <w:t xml:space="preserve"> and</w:t>
      </w:r>
      <w:r w:rsidR="00F65915">
        <w:t xml:space="preserve"> (13)</w:t>
      </w:r>
      <w:r w:rsidR="00527607">
        <w:t>.</w:t>
      </w:r>
    </w:p>
    <w:p w14:paraId="2856EEC1" w14:textId="77777777" w:rsidR="00455A5F" w:rsidRPr="00A52A16" w:rsidRDefault="00455A5F" w:rsidP="00455A5F">
      <w:pPr>
        <w:jc w:val="both"/>
      </w:pPr>
    </w:p>
    <w:p w14:paraId="2A121EE2" w14:textId="27C63A7B" w:rsidR="00455A5F" w:rsidRPr="00A52A16" w:rsidRDefault="00455A5F" w:rsidP="00476BFF">
      <w:pPr>
        <w:pStyle w:val="ListParagraph"/>
      </w:pPr>
      <w:bookmarkStart w:id="15" w:name="_Ref135634196"/>
      <w:r w:rsidRPr="00A52A16">
        <w:t xml:space="preserve">He walks around </w:t>
      </w:r>
      <w:r w:rsidRPr="00A52A16">
        <w:rPr>
          <w:u w:val="single"/>
        </w:rPr>
        <w:t>as if he owns the place</w:t>
      </w:r>
      <w:r w:rsidRPr="00A52A16">
        <w:t>.</w:t>
      </w:r>
      <w:r w:rsidR="008B6F60" w:rsidRPr="00A52A16">
        <w:t xml:space="preserve"> (BNC)</w:t>
      </w:r>
      <w:bookmarkEnd w:id="15"/>
    </w:p>
    <w:p w14:paraId="1437837E" w14:textId="77777777" w:rsidR="00554378" w:rsidRDefault="00554378" w:rsidP="00554378">
      <w:pPr>
        <w:pStyle w:val="ListParagraph"/>
        <w:numPr>
          <w:ilvl w:val="0"/>
          <w:numId w:val="4"/>
        </w:numPr>
      </w:pPr>
      <w:r w:rsidRPr="00A52A16">
        <w:rPr>
          <w:u w:val="single"/>
        </w:rPr>
        <w:t>How</w:t>
      </w:r>
      <w:r w:rsidRPr="00A52A16">
        <w:t xml:space="preserve"> does he walk around? – He walks around </w:t>
      </w:r>
      <w:r w:rsidRPr="00A52A16">
        <w:rPr>
          <w:u w:val="single"/>
        </w:rPr>
        <w:t>like that</w:t>
      </w:r>
      <w:r w:rsidRPr="00A52A16">
        <w:t>.</w:t>
      </w:r>
    </w:p>
    <w:p w14:paraId="30BC45E0" w14:textId="00F66B99" w:rsidR="00455A5F" w:rsidRPr="00A52A16" w:rsidRDefault="00455A5F" w:rsidP="00476BFF">
      <w:pPr>
        <w:pStyle w:val="ListParagraph"/>
        <w:numPr>
          <w:ilvl w:val="0"/>
          <w:numId w:val="4"/>
        </w:numPr>
      </w:pPr>
      <w:r w:rsidRPr="00A52A16">
        <w:t xml:space="preserve">It’s </w:t>
      </w:r>
      <w:r w:rsidRPr="00A52A16">
        <w:rPr>
          <w:u w:val="single"/>
        </w:rPr>
        <w:t>as if he owns the place</w:t>
      </w:r>
      <w:r w:rsidRPr="00A52A16">
        <w:t xml:space="preserve"> that he walks around</w:t>
      </w:r>
      <w:r w:rsidR="00D808CE">
        <w:t>.</w:t>
      </w:r>
    </w:p>
    <w:p w14:paraId="3FC1C4B3" w14:textId="77777777" w:rsidR="00527607" w:rsidRDefault="00455A5F" w:rsidP="00455A5F">
      <w:pPr>
        <w:pStyle w:val="ListParagraph"/>
        <w:numPr>
          <w:ilvl w:val="0"/>
          <w:numId w:val="4"/>
        </w:numPr>
      </w:pPr>
      <w:r w:rsidRPr="00A52A16">
        <w:rPr>
          <w:vertAlign w:val="superscript"/>
        </w:rPr>
        <w:t>??</w:t>
      </w:r>
      <w:r w:rsidRPr="009E6865">
        <w:rPr>
          <w:u w:val="single"/>
        </w:rPr>
        <w:t>As if he owns the place</w:t>
      </w:r>
      <w:r w:rsidRPr="00A52A16">
        <w:t>, he walks around.</w:t>
      </w:r>
    </w:p>
    <w:p w14:paraId="1C1001BC" w14:textId="5817C874" w:rsidR="00455A5F" w:rsidRDefault="00DF4858" w:rsidP="00527607">
      <w:pPr>
        <w:pStyle w:val="ListParagraph"/>
        <w:jc w:val="left"/>
        <w:rPr>
          <w:lang w:val="nl-BE"/>
        </w:rPr>
      </w:pPr>
      <w:r>
        <w:rPr>
          <w:u w:val="single"/>
          <w:lang w:val="nl-BE"/>
        </w:rPr>
        <w:t>En</w:t>
      </w:r>
      <w:r>
        <w:rPr>
          <w:u w:val="single"/>
          <w:lang w:val="nl-BE"/>
        </w:rPr>
        <w:tab/>
      </w:r>
      <w:r>
        <w:rPr>
          <w:u w:val="single"/>
          <w:lang w:val="nl-BE"/>
        </w:rPr>
        <w:tab/>
        <w:t>alsof</w:t>
      </w:r>
      <w:r>
        <w:rPr>
          <w:u w:val="single"/>
          <w:lang w:val="nl-BE"/>
        </w:rPr>
        <w:tab/>
        <w:t>dat</w:t>
      </w:r>
      <w:r>
        <w:rPr>
          <w:u w:val="single"/>
          <w:lang w:val="nl-BE"/>
        </w:rPr>
        <w:tab/>
        <w:t>niet</w:t>
      </w:r>
      <w:r>
        <w:rPr>
          <w:u w:val="single"/>
          <w:lang w:val="nl-BE"/>
        </w:rPr>
        <w:tab/>
        <w:t>genoeg</w:t>
      </w:r>
      <w:r>
        <w:rPr>
          <w:u w:val="single"/>
          <w:lang w:val="nl-BE"/>
        </w:rPr>
        <w:tab/>
        <w:t>was</w:t>
      </w:r>
      <w:r>
        <w:rPr>
          <w:lang w:val="nl-BE"/>
        </w:rPr>
        <w:t>,</w:t>
      </w:r>
      <w:r>
        <w:rPr>
          <w:lang w:val="nl-BE"/>
        </w:rPr>
        <w:tab/>
        <w:t>belde</w:t>
      </w:r>
      <w:r>
        <w:rPr>
          <w:lang w:val="nl-BE"/>
        </w:rPr>
        <w:tab/>
      </w:r>
      <w:r>
        <w:rPr>
          <w:lang w:val="nl-BE"/>
        </w:rPr>
        <w:tab/>
        <w:t>de</w:t>
      </w:r>
      <w:r w:rsidR="00042FFF">
        <w:rPr>
          <w:lang w:val="nl-BE"/>
        </w:rPr>
        <w:tab/>
      </w:r>
      <w:r w:rsidR="00042FFF">
        <w:rPr>
          <w:lang w:val="nl-BE"/>
        </w:rPr>
        <w:tab/>
      </w:r>
      <w:r>
        <w:rPr>
          <w:lang w:val="nl-BE"/>
        </w:rPr>
        <w:t>burgemeester. (CGN)</w:t>
      </w:r>
    </w:p>
    <w:p w14:paraId="2C561696" w14:textId="16BC7D18" w:rsidR="005532AB" w:rsidRPr="0087295A" w:rsidRDefault="00DF4858" w:rsidP="00DF4858">
      <w:pPr>
        <w:pStyle w:val="ListParagraph"/>
        <w:numPr>
          <w:ilvl w:val="0"/>
          <w:numId w:val="0"/>
        </w:numPr>
        <w:ind w:left="568"/>
      </w:pPr>
      <w:r w:rsidRPr="00DB2415">
        <w:rPr>
          <w:u w:val="single"/>
        </w:rPr>
        <w:t>And</w:t>
      </w:r>
      <w:r w:rsidRPr="00DB2415">
        <w:rPr>
          <w:u w:val="single"/>
        </w:rPr>
        <w:tab/>
        <w:t>a</w:t>
      </w:r>
      <w:r w:rsidR="00EB658C" w:rsidRPr="00DB2415">
        <w:rPr>
          <w:u w:val="single"/>
        </w:rPr>
        <w:t>s.</w:t>
      </w:r>
      <w:r w:rsidR="00527607" w:rsidRPr="00DB2415">
        <w:rPr>
          <w:u w:val="single"/>
        </w:rPr>
        <w:t>if</w:t>
      </w:r>
      <w:r w:rsidR="00527607" w:rsidRPr="00DB2415">
        <w:rPr>
          <w:u w:val="single"/>
        </w:rPr>
        <w:tab/>
        <w:t>that</w:t>
      </w:r>
      <w:r w:rsidR="00527607" w:rsidRPr="00DB2415">
        <w:rPr>
          <w:u w:val="single"/>
        </w:rPr>
        <w:tab/>
        <w:t>not</w:t>
      </w:r>
      <w:r w:rsidR="00527607" w:rsidRPr="00DB2415">
        <w:rPr>
          <w:u w:val="single"/>
        </w:rPr>
        <w:tab/>
        <w:t>enough</w:t>
      </w:r>
      <w:r w:rsidR="00527607" w:rsidRPr="00DB2415">
        <w:rPr>
          <w:u w:val="single"/>
        </w:rPr>
        <w:tab/>
      </w:r>
      <w:r w:rsidRPr="00DB2415">
        <w:rPr>
          <w:u w:val="single"/>
        </w:rPr>
        <w:t>wa</w:t>
      </w:r>
      <w:r w:rsidR="00527607" w:rsidRPr="00DB2415">
        <w:rPr>
          <w:u w:val="single"/>
        </w:rPr>
        <w:t>s</w:t>
      </w:r>
      <w:r w:rsidR="00527607">
        <w:t>,</w:t>
      </w:r>
      <w:r w:rsidR="00527607">
        <w:tab/>
      </w:r>
      <w:r>
        <w:t>called</w:t>
      </w:r>
      <w:r>
        <w:tab/>
      </w:r>
      <w:r w:rsidR="005532AB">
        <w:t>the</w:t>
      </w:r>
      <w:r w:rsidR="00042FFF">
        <w:tab/>
      </w:r>
      <w:r>
        <w:t>ma</w:t>
      </w:r>
      <w:r w:rsidR="00EB581E">
        <w:t>y</w:t>
      </w:r>
      <w:r>
        <w:t>or</w:t>
      </w:r>
      <w:r w:rsidR="005532AB" w:rsidRPr="0087295A">
        <w:t>.</w:t>
      </w:r>
    </w:p>
    <w:p w14:paraId="49186713" w14:textId="400D755D" w:rsidR="005532AB" w:rsidRDefault="005532AB" w:rsidP="005532AB">
      <w:pPr>
        <w:pStyle w:val="ListParagraph"/>
        <w:numPr>
          <w:ilvl w:val="0"/>
          <w:numId w:val="0"/>
        </w:numPr>
        <w:ind w:left="568"/>
      </w:pPr>
      <w:r>
        <w:t>‘</w:t>
      </w:r>
      <w:r w:rsidR="00DF4858" w:rsidRPr="00DB2415">
        <w:rPr>
          <w:u w:val="single"/>
        </w:rPr>
        <w:t>And a</w:t>
      </w:r>
      <w:r w:rsidRPr="00DB2415">
        <w:rPr>
          <w:u w:val="single"/>
        </w:rPr>
        <w:t xml:space="preserve">s if that </w:t>
      </w:r>
      <w:r w:rsidR="00DF4858" w:rsidRPr="00DB2415">
        <w:rPr>
          <w:u w:val="single"/>
        </w:rPr>
        <w:t>wasn’t enough</w:t>
      </w:r>
      <w:r>
        <w:t xml:space="preserve">, the </w:t>
      </w:r>
      <w:r w:rsidR="00DF4858">
        <w:t>ma</w:t>
      </w:r>
      <w:r w:rsidR="00EB581E">
        <w:t>y</w:t>
      </w:r>
      <w:r w:rsidR="00DF4858">
        <w:t>or called</w:t>
      </w:r>
      <w:r>
        <w:t xml:space="preserve">.’ </w:t>
      </w:r>
    </w:p>
    <w:p w14:paraId="61DF3F80" w14:textId="77777777" w:rsidR="005532AB" w:rsidRPr="00527607" w:rsidRDefault="005532AB" w:rsidP="005532AB">
      <w:pPr>
        <w:ind w:left="567" w:hanging="567"/>
      </w:pPr>
    </w:p>
    <w:p w14:paraId="6E644D5B" w14:textId="1F00DF5A" w:rsidR="00D36F52" w:rsidRDefault="005532AB" w:rsidP="00574F37">
      <w:pPr>
        <w:jc w:val="both"/>
      </w:pPr>
      <w:r>
        <w:t xml:space="preserve">These features have been proposed in previous studies (e.g., </w:t>
      </w:r>
      <w:r w:rsidRPr="005532AB">
        <w:t>Smessaert et al. 2005; Verstraete 2007)</w:t>
      </w:r>
      <w:r>
        <w:t xml:space="preserve"> as recognition criteria to differentiate between close syntactic integration, weak syntactic integration, and non-integration. </w:t>
      </w:r>
      <w:r w:rsidR="00DF4858">
        <w:t>Firstly</w:t>
      </w:r>
      <w:r w:rsidR="00B07A27">
        <w:t xml:space="preserve">, </w:t>
      </w:r>
      <w:r w:rsidR="00DF4858">
        <w:t>closely integrated clauses</w:t>
      </w:r>
      <w:r w:rsidR="009752B0">
        <w:t xml:space="preserve"> function as arguments of the verb: they </w:t>
      </w:r>
      <w:r w:rsidR="00DF4858">
        <w:t>are obligatory in that they</w:t>
      </w:r>
      <w:r w:rsidR="009752B0">
        <w:t xml:space="preserve"> cannot be omitted with</w:t>
      </w:r>
      <w:r w:rsidR="00346CF2">
        <w:t>out</w:t>
      </w:r>
      <w:r w:rsidR="009752B0">
        <w:t xml:space="preserve"> changing the </w:t>
      </w:r>
      <w:r w:rsidR="006A7C28">
        <w:t>meaning of</w:t>
      </w:r>
      <w:r w:rsidR="009752B0">
        <w:t xml:space="preserve"> the main clause. These include complements </w:t>
      </w:r>
      <w:r w:rsidR="0096546B">
        <w:t xml:space="preserve">of copular verbs </w:t>
      </w:r>
      <w:r w:rsidR="009752B0">
        <w:t xml:space="preserve">(e.g., </w:t>
      </w:r>
      <w:r w:rsidR="00DF4858">
        <w:rPr>
          <w:i/>
        </w:rPr>
        <w:t>I</w:t>
      </w:r>
      <w:r w:rsidR="009752B0">
        <w:rPr>
          <w:i/>
        </w:rPr>
        <w:t>t’s as if he vanished</w:t>
      </w:r>
      <w:r w:rsidR="009752B0">
        <w:t>)</w:t>
      </w:r>
      <w:r w:rsidR="0096546B">
        <w:t xml:space="preserve"> and</w:t>
      </w:r>
      <w:r w:rsidR="009752B0">
        <w:t xml:space="preserve"> </w:t>
      </w:r>
      <w:r w:rsidR="00F913F0">
        <w:t>(obligatory) argument</w:t>
      </w:r>
      <w:r w:rsidR="009752B0">
        <w:t xml:space="preserve">s (e.g., </w:t>
      </w:r>
      <w:r w:rsidR="00DF4858">
        <w:rPr>
          <w:i/>
        </w:rPr>
        <w:t>H</w:t>
      </w:r>
      <w:r w:rsidR="009752B0">
        <w:rPr>
          <w:i/>
        </w:rPr>
        <w:t>e treats them as if they’re his personal friends</w:t>
      </w:r>
      <w:r w:rsidR="009752B0">
        <w:t>)</w:t>
      </w:r>
      <w:r w:rsidR="0096546B">
        <w:t>.</w:t>
      </w:r>
      <w:r w:rsidR="00B159C8">
        <w:t xml:space="preserve"> </w:t>
      </w:r>
      <w:r w:rsidR="00721BC1">
        <w:t xml:space="preserve">These clauses also allow for proportionality (e.g., </w:t>
      </w:r>
      <w:r w:rsidR="007B5ECA">
        <w:rPr>
          <w:i/>
          <w:iCs/>
        </w:rPr>
        <w:t xml:space="preserve">How do they treat </w:t>
      </w:r>
      <w:proofErr w:type="gramStart"/>
      <w:r w:rsidR="007B5ECA">
        <w:rPr>
          <w:i/>
          <w:iCs/>
        </w:rPr>
        <w:t>them?</w:t>
      </w:r>
      <w:r w:rsidR="00DF4858">
        <w:t>;</w:t>
      </w:r>
      <w:proofErr w:type="gramEnd"/>
      <w:r w:rsidR="00721BC1">
        <w:rPr>
          <w:i/>
        </w:rPr>
        <w:t xml:space="preserve"> </w:t>
      </w:r>
      <w:r w:rsidR="002A3248">
        <w:rPr>
          <w:i/>
        </w:rPr>
        <w:t>He treats them that way/like that</w:t>
      </w:r>
      <w:r w:rsidR="00721BC1">
        <w:t xml:space="preserve">) and clefting (e.g., </w:t>
      </w:r>
      <w:r w:rsidR="00DF4858">
        <w:rPr>
          <w:i/>
        </w:rPr>
        <w:t>I</w:t>
      </w:r>
      <w:r w:rsidR="00721BC1">
        <w:rPr>
          <w:i/>
        </w:rPr>
        <w:t>t’s as if they’re his personal friends that he treats them</w:t>
      </w:r>
      <w:r w:rsidR="00721BC1">
        <w:t xml:space="preserve">). These clauses are generally not preposed to their matrix, except under the right pragmatic </w:t>
      </w:r>
      <w:r w:rsidR="00A33717">
        <w:t>conditions</w:t>
      </w:r>
      <w:r w:rsidR="00721BC1">
        <w:t xml:space="preserve"> </w:t>
      </w:r>
      <w:r w:rsidR="00A33717" w:rsidRPr="00A33717">
        <w:t>(Quirk et al. 1985: 51; Haeseryn et al. 1997: 1263)</w:t>
      </w:r>
      <w:r w:rsidR="00721BC1">
        <w:t>; without these conditions, preposability of strongly dependent clauses is awkward (e.g.</w:t>
      </w:r>
      <w:proofErr w:type="gramStart"/>
      <w:r w:rsidR="00721BC1">
        <w:t xml:space="preserve">, </w:t>
      </w:r>
      <w:r w:rsidR="00721BC1" w:rsidRPr="00721BC1">
        <w:rPr>
          <w:i/>
          <w:vertAlign w:val="superscript"/>
        </w:rPr>
        <w:t>?</w:t>
      </w:r>
      <w:r w:rsidR="00721BC1">
        <w:rPr>
          <w:i/>
        </w:rPr>
        <w:t>As</w:t>
      </w:r>
      <w:proofErr w:type="gramEnd"/>
      <w:r w:rsidR="00721BC1">
        <w:rPr>
          <w:i/>
        </w:rPr>
        <w:t xml:space="preserve"> if they’re his personal friends he treats them</w:t>
      </w:r>
      <w:r w:rsidR="00721BC1">
        <w:t xml:space="preserve">). </w:t>
      </w:r>
      <w:r w:rsidR="005A38E5">
        <w:t>At the second level, of weak dependence</w:t>
      </w:r>
      <w:r w:rsidR="00DF4858">
        <w:t xml:space="preserve">, </w:t>
      </w:r>
      <w:r w:rsidR="005A38E5">
        <w:t>we find</w:t>
      </w:r>
      <w:r w:rsidR="00017FF6">
        <w:t xml:space="preserve"> </w:t>
      </w:r>
      <w:r w:rsidR="00F913F0">
        <w:t>optional adjunct</w:t>
      </w:r>
      <w:r w:rsidR="00017FF6">
        <w:t>s</w:t>
      </w:r>
      <w:r w:rsidR="00DF4858">
        <w:t xml:space="preserve"> </w:t>
      </w:r>
      <w:r w:rsidR="00017FF6">
        <w:t>(e.g.,</w:t>
      </w:r>
      <w:r w:rsidR="00017FF6">
        <w:rPr>
          <w:i/>
        </w:rPr>
        <w:t xml:space="preserve"> They </w:t>
      </w:r>
      <w:r w:rsidR="008E0413">
        <w:rPr>
          <w:i/>
        </w:rPr>
        <w:t>look at me as if I’m stupid</w:t>
      </w:r>
      <w:r w:rsidR="00017FF6">
        <w:t>)</w:t>
      </w:r>
      <w:r w:rsidR="005A38E5">
        <w:t>, which c</w:t>
      </w:r>
      <w:r w:rsidR="003C7002">
        <w:t xml:space="preserve">an be omitted without changing the meaning of the </w:t>
      </w:r>
      <w:r w:rsidR="005A38E5">
        <w:t>matrix and are generally more easily preposable</w:t>
      </w:r>
      <w:r w:rsidR="00574F37">
        <w:t xml:space="preserve"> than complements or </w:t>
      </w:r>
      <w:r w:rsidR="00F913F0">
        <w:t>(obligatory) argument</w:t>
      </w:r>
      <w:r w:rsidR="00574F37">
        <w:t>s</w:t>
      </w:r>
      <w:r w:rsidR="005A38E5">
        <w:t xml:space="preserve">, as noted by </w:t>
      </w:r>
      <w:r w:rsidR="00574F37" w:rsidRPr="00034530">
        <w:t xml:space="preserve">Quirk et al. (1985: 51) </w:t>
      </w:r>
      <w:r w:rsidR="00574F37">
        <w:t xml:space="preserve">for English and </w:t>
      </w:r>
      <w:r w:rsidR="00A33717" w:rsidRPr="00034530">
        <w:t>Haeseryn et al. (1997</w:t>
      </w:r>
      <w:r w:rsidR="00A33717">
        <w:t>: 1263</w:t>
      </w:r>
      <w:r w:rsidR="00A33717" w:rsidRPr="00034530">
        <w:t>)</w:t>
      </w:r>
      <w:r w:rsidR="00A33717">
        <w:t xml:space="preserve"> for Dutch.</w:t>
      </w:r>
      <w:r w:rsidR="00A33717" w:rsidRPr="00034530">
        <w:t xml:space="preserve"> </w:t>
      </w:r>
      <w:r w:rsidR="005A38E5">
        <w:t>T</w:t>
      </w:r>
      <w:r w:rsidR="00574F37">
        <w:t xml:space="preserve">hey also </w:t>
      </w:r>
      <w:r w:rsidR="00DB2415">
        <w:t xml:space="preserve">typically </w:t>
      </w:r>
      <w:r w:rsidR="00574F37">
        <w:t xml:space="preserve">allow for proportionality (e.g., </w:t>
      </w:r>
      <w:r w:rsidR="007B5ECA">
        <w:rPr>
          <w:i/>
        </w:rPr>
        <w:t>How did t</w:t>
      </w:r>
      <w:r w:rsidR="00574F37">
        <w:rPr>
          <w:i/>
        </w:rPr>
        <w:t>hey look at me</w:t>
      </w:r>
      <w:r w:rsidR="007B5ECA">
        <w:rPr>
          <w:i/>
        </w:rPr>
        <w:t>?</w:t>
      </w:r>
      <w:r w:rsidR="00F30A5E">
        <w:t xml:space="preserve">) </w:t>
      </w:r>
      <w:r w:rsidR="00574F37">
        <w:t xml:space="preserve">and clefting (e.g., </w:t>
      </w:r>
      <w:r w:rsidR="00574F37">
        <w:rPr>
          <w:i/>
        </w:rPr>
        <w:t>It’s as if I’m stupid that they look at me</w:t>
      </w:r>
      <w:r w:rsidR="00574F37">
        <w:t>).</w:t>
      </w:r>
      <w:r w:rsidR="00DB2415">
        <w:t xml:space="preserve"> </w:t>
      </w:r>
      <w:r w:rsidR="008F4025">
        <w:t>F</w:t>
      </w:r>
      <w:r w:rsidR="007B5ECA">
        <w:t>or a clause to be coded as weakly dependent, it needed to be omissible and allow for at least one of the three additional tests</w:t>
      </w:r>
      <w:r w:rsidR="00445F24">
        <w:t xml:space="preserve">. </w:t>
      </w:r>
      <w:r w:rsidR="007342E4">
        <w:t xml:space="preserve">The third level, finally, brings together all </w:t>
      </w:r>
      <w:r w:rsidR="00CC4872">
        <w:t>syntactically non-integrated</w:t>
      </w:r>
      <w:r w:rsidR="007342E4">
        <w:t xml:space="preserve"> clauses</w:t>
      </w:r>
      <w:r w:rsidR="009F2043">
        <w:t xml:space="preserve">. These </w:t>
      </w:r>
      <w:r w:rsidR="00CC4872">
        <w:t xml:space="preserve">can be cases of dependency shift </w:t>
      </w:r>
      <w:r w:rsidR="00AC3B0C">
        <w:t xml:space="preserve">(e.g., </w:t>
      </w:r>
      <w:r w:rsidR="00132550">
        <w:rPr>
          <w:i/>
        </w:rPr>
        <w:t>The sea’s very upset</w:t>
      </w:r>
      <w:r w:rsidR="00330EFC">
        <w:rPr>
          <w:i/>
        </w:rPr>
        <w:t>, a</w:t>
      </w:r>
      <w:r w:rsidR="00132550">
        <w:rPr>
          <w:i/>
        </w:rPr>
        <w:t>s if it can’t decide to ebb or flow</w:t>
      </w:r>
      <w:r w:rsidR="00AC3B0C">
        <w:rPr>
          <w:i/>
        </w:rPr>
        <w:t>.</w:t>
      </w:r>
      <w:r w:rsidR="00AC3B0C">
        <w:t>)</w:t>
      </w:r>
      <w:r w:rsidR="00431346">
        <w:t xml:space="preserve"> or insubordination (e.g., </w:t>
      </w:r>
      <w:r w:rsidR="00431346">
        <w:rPr>
          <w:i/>
        </w:rPr>
        <w:t>As if you need it</w:t>
      </w:r>
      <w:r w:rsidR="00431346">
        <w:t>.).</w:t>
      </w:r>
      <w:r w:rsidR="00C12D38">
        <w:t xml:space="preserve"> They are, therefore, omittable, and they do not allow for proportionality or clefting. Since they are syntactically non-integrated in another clause, they can also not be ‘preposed’ to it (in the sense </w:t>
      </w:r>
      <w:r w:rsidR="00C12D38">
        <w:lastRenderedPageBreak/>
        <w:t xml:space="preserve">that they cannot occur in the left-periphery of that clause). </w:t>
      </w:r>
      <w:r w:rsidR="00C70B05">
        <w:t>In principle, and discourse restrictions permitting, t</w:t>
      </w:r>
      <w:r w:rsidR="00B73EE1">
        <w:t>hey can</w:t>
      </w:r>
      <w:r w:rsidR="00C70B05">
        <w:t>,</w:t>
      </w:r>
      <w:r w:rsidR="00B73EE1">
        <w:t xml:space="preserve"> like any other coordinated or juxtaposed clauses, switch positions with the clause preceding them, but then this re-ordering would not, in Dutch, trigger subject-finite inversion in the second clause</w:t>
      </w:r>
      <w:r w:rsidR="00952CC7">
        <w:t>.</w:t>
      </w:r>
    </w:p>
    <w:p w14:paraId="4E37B0DF" w14:textId="0B3E5ABE" w:rsidR="00083553" w:rsidRDefault="00083553" w:rsidP="00574F37">
      <w:pPr>
        <w:jc w:val="both"/>
      </w:pPr>
    </w:p>
    <w:p w14:paraId="44C79F12" w14:textId="7A360310" w:rsidR="00EB658C" w:rsidRDefault="00EB658C" w:rsidP="00EB658C">
      <w:pPr>
        <w:pStyle w:val="Caption"/>
        <w:spacing w:after="0"/>
        <w:rPr>
          <w:b w:val="0"/>
        </w:rPr>
      </w:pPr>
      <w:bookmarkStart w:id="16" w:name="_Hlk153456155"/>
      <w:r>
        <w:t xml:space="preserve">Table </w:t>
      </w:r>
      <w:r>
        <w:fldChar w:fldCharType="begin"/>
      </w:r>
      <w:r>
        <w:instrText xml:space="preserve"> SEQ Table \* ARABIC </w:instrText>
      </w:r>
      <w:r>
        <w:fldChar w:fldCharType="separate"/>
      </w:r>
      <w:r w:rsidR="008B649D">
        <w:rPr>
          <w:noProof/>
        </w:rPr>
        <w:t>1</w:t>
      </w:r>
      <w:r>
        <w:fldChar w:fldCharType="end"/>
      </w:r>
      <w:r>
        <w:t xml:space="preserve">. </w:t>
      </w:r>
      <w:r w:rsidRPr="00EB658C">
        <w:rPr>
          <w:b w:val="0"/>
        </w:rPr>
        <w:t>Syntactic coding scheme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935"/>
      </w:tblGrid>
      <w:tr w:rsidR="00DC475E" w:rsidRPr="00DC475E" w14:paraId="4525758C" w14:textId="77777777" w:rsidTr="00DC475E">
        <w:tc>
          <w:tcPr>
            <w:tcW w:w="2127" w:type="dxa"/>
            <w:tcBorders>
              <w:top w:val="single" w:sz="4" w:space="0" w:color="auto"/>
              <w:bottom w:val="single" w:sz="4" w:space="0" w:color="auto"/>
            </w:tcBorders>
          </w:tcPr>
          <w:p w14:paraId="5DD14044" w14:textId="10C5AD1D" w:rsidR="00DC475E" w:rsidRPr="00DC475E" w:rsidRDefault="00DC475E" w:rsidP="00DC475E">
            <w:pPr>
              <w:rPr>
                <w:b/>
                <w:bCs/>
              </w:rPr>
            </w:pPr>
            <w:r w:rsidRPr="00DC475E">
              <w:rPr>
                <w:b/>
                <w:bCs/>
              </w:rPr>
              <w:t>Value</w:t>
            </w:r>
          </w:p>
        </w:tc>
        <w:tc>
          <w:tcPr>
            <w:tcW w:w="6935" w:type="dxa"/>
            <w:tcBorders>
              <w:top w:val="single" w:sz="4" w:space="0" w:color="auto"/>
              <w:bottom w:val="single" w:sz="4" w:space="0" w:color="auto"/>
            </w:tcBorders>
          </w:tcPr>
          <w:p w14:paraId="3F9B5555" w14:textId="4C1D4079" w:rsidR="00DC475E" w:rsidRPr="00DC475E" w:rsidRDefault="00DC475E" w:rsidP="00DC475E">
            <w:pPr>
              <w:rPr>
                <w:b/>
                <w:bCs/>
              </w:rPr>
            </w:pPr>
            <w:r w:rsidRPr="00DC475E">
              <w:rPr>
                <w:b/>
                <w:bCs/>
              </w:rPr>
              <w:t>Operationalisation</w:t>
            </w:r>
          </w:p>
        </w:tc>
      </w:tr>
      <w:tr w:rsidR="00DC475E" w14:paraId="62733C50" w14:textId="77777777" w:rsidTr="00DC475E">
        <w:trPr>
          <w:trHeight w:val="1247"/>
        </w:trPr>
        <w:tc>
          <w:tcPr>
            <w:tcW w:w="2127" w:type="dxa"/>
            <w:tcBorders>
              <w:top w:val="single" w:sz="4" w:space="0" w:color="auto"/>
            </w:tcBorders>
          </w:tcPr>
          <w:p w14:paraId="491B4344" w14:textId="12F81483" w:rsidR="00DC475E" w:rsidRDefault="00DC475E" w:rsidP="00DC475E">
            <w:r>
              <w:t>Strong dependence</w:t>
            </w:r>
          </w:p>
        </w:tc>
        <w:tc>
          <w:tcPr>
            <w:tcW w:w="6935" w:type="dxa"/>
            <w:tcBorders>
              <w:top w:val="single" w:sz="4" w:space="0" w:color="auto"/>
            </w:tcBorders>
          </w:tcPr>
          <w:p w14:paraId="6AF9FE8E" w14:textId="6F03DF22" w:rsidR="00DC475E" w:rsidRDefault="00DC475E" w:rsidP="00DC475E">
            <w:pPr>
              <w:spacing w:line="276" w:lineRule="auto"/>
            </w:pPr>
            <w:r w:rsidRPr="00DC475E">
              <w:t>+ obligatory [Dutch/English]</w:t>
            </w:r>
            <w:r>
              <w:br/>
            </w:r>
            <w:r w:rsidRPr="00DC475E">
              <w:t>+ clefting [Dutch/English]</w:t>
            </w:r>
            <w:r>
              <w:br/>
            </w:r>
            <w:r w:rsidRPr="00DC475E">
              <w:t>+ proportionality [Dutch/English]</w:t>
            </w:r>
            <w:r>
              <w:br/>
              <w:t>–</w:t>
            </w:r>
            <w:r w:rsidRPr="00DC475E">
              <w:t>/+ preposability [Dutch/English]</w:t>
            </w:r>
            <w:r>
              <w:br/>
            </w:r>
            <w:r w:rsidRPr="00DC475E">
              <w:t>+ subject-finite inversion (when preposed to matrix) [Dutch]</w:t>
            </w:r>
          </w:p>
          <w:p w14:paraId="35F06584" w14:textId="29CE1C6D" w:rsidR="00DC475E" w:rsidRDefault="00DC475E" w:rsidP="00DC475E">
            <w:pPr>
              <w:spacing w:line="276" w:lineRule="auto"/>
            </w:pPr>
            <w:r w:rsidRPr="00DC475E">
              <w:t xml:space="preserve">e.g., </w:t>
            </w:r>
            <w:r w:rsidRPr="00DC475E">
              <w:rPr>
                <w:i/>
                <w:iCs/>
              </w:rPr>
              <w:t xml:space="preserve">I don't feel </w:t>
            </w:r>
            <w:r w:rsidRPr="00DC475E">
              <w:rPr>
                <w:i/>
                <w:iCs/>
                <w:u w:val="single"/>
              </w:rPr>
              <w:t>as if I've learnt an awful lot</w:t>
            </w:r>
            <w:r w:rsidRPr="00DC475E">
              <w:t>.</w:t>
            </w:r>
          </w:p>
        </w:tc>
      </w:tr>
      <w:tr w:rsidR="00DC475E" w14:paraId="3EFF74CF" w14:textId="77777777" w:rsidTr="00DC475E">
        <w:trPr>
          <w:trHeight w:val="1247"/>
        </w:trPr>
        <w:tc>
          <w:tcPr>
            <w:tcW w:w="2127" w:type="dxa"/>
          </w:tcPr>
          <w:p w14:paraId="79DDAE36" w14:textId="256965F3" w:rsidR="00DC475E" w:rsidRDefault="00DC475E" w:rsidP="00DC475E">
            <w:r>
              <w:t>Weak dependence</w:t>
            </w:r>
          </w:p>
        </w:tc>
        <w:tc>
          <w:tcPr>
            <w:tcW w:w="6935" w:type="dxa"/>
          </w:tcPr>
          <w:p w14:paraId="7444010E" w14:textId="44821BE1" w:rsidR="00DC475E" w:rsidRDefault="00DC475E" w:rsidP="00DC475E">
            <w:pPr>
              <w:spacing w:line="276" w:lineRule="auto"/>
            </w:pPr>
            <w:r>
              <w:t>–</w:t>
            </w:r>
            <w:r w:rsidRPr="00DC475E">
              <w:t xml:space="preserve"> obligatory [Dutch/English]</w:t>
            </w:r>
            <w:r>
              <w:br/>
            </w:r>
            <w:r>
              <w:t>–/</w:t>
            </w:r>
            <w:r w:rsidRPr="00DC475E">
              <w:t>+ clefting [Dutch/English]</w:t>
            </w:r>
            <w:r>
              <w:br/>
            </w:r>
            <w:r>
              <w:t>–/</w:t>
            </w:r>
            <w:r w:rsidRPr="00DC475E">
              <w:t>+ proportionality [Dutch/English]</w:t>
            </w:r>
            <w:r>
              <w:br/>
              <w:t>–</w:t>
            </w:r>
            <w:r w:rsidRPr="00DC475E">
              <w:t>/+ preposability [Dutch/English]</w:t>
            </w:r>
            <w:r>
              <w:br/>
            </w:r>
            <w:r w:rsidRPr="00DC475E">
              <w:t>+ subject-finite inversion (when preposed to matrix) [Dutch]</w:t>
            </w:r>
          </w:p>
          <w:p w14:paraId="48715610" w14:textId="4C72C601" w:rsidR="00DC475E" w:rsidRPr="00DC475E" w:rsidRDefault="00DC475E" w:rsidP="00DC475E">
            <w:pPr>
              <w:spacing w:line="276" w:lineRule="auto"/>
              <w:rPr>
                <w:i/>
                <w:iCs/>
              </w:rPr>
            </w:pPr>
            <w:r w:rsidRPr="00DC475E">
              <w:t xml:space="preserve">e.g., </w:t>
            </w:r>
            <w:r w:rsidRPr="00DC475E">
              <w:rPr>
                <w:i/>
                <w:iCs/>
              </w:rPr>
              <w:t xml:space="preserve">But they crack on </w:t>
            </w:r>
            <w:r w:rsidRPr="00DC475E">
              <w:rPr>
                <w:i/>
                <w:iCs/>
                <w:u w:val="single"/>
              </w:rPr>
              <w:t>as if you were something, somebody very</w:t>
            </w:r>
            <w:r w:rsidRPr="00DC475E">
              <w:rPr>
                <w:i/>
                <w:iCs/>
                <w:u w:val="single"/>
              </w:rPr>
              <w:t xml:space="preserve"> </w:t>
            </w:r>
            <w:r w:rsidRPr="00DC475E">
              <w:rPr>
                <w:i/>
                <w:iCs/>
                <w:u w:val="single"/>
              </w:rPr>
              <w:t>special.</w:t>
            </w:r>
          </w:p>
        </w:tc>
      </w:tr>
      <w:tr w:rsidR="00DC475E" w14:paraId="0ACD2FF0" w14:textId="77777777" w:rsidTr="00DC475E">
        <w:trPr>
          <w:trHeight w:val="1247"/>
        </w:trPr>
        <w:tc>
          <w:tcPr>
            <w:tcW w:w="2127" w:type="dxa"/>
          </w:tcPr>
          <w:p w14:paraId="69311099" w14:textId="306C8384" w:rsidR="00DC475E" w:rsidRDefault="00DC475E" w:rsidP="00DC475E">
            <w:r>
              <w:t>Independence</w:t>
            </w:r>
          </w:p>
        </w:tc>
        <w:tc>
          <w:tcPr>
            <w:tcW w:w="6935" w:type="dxa"/>
          </w:tcPr>
          <w:p w14:paraId="59602F0C" w14:textId="4E7453FD" w:rsidR="00DC475E" w:rsidRDefault="00DC475E" w:rsidP="00DC475E">
            <w:pPr>
              <w:spacing w:line="276" w:lineRule="auto"/>
            </w:pPr>
            <w:r>
              <w:t>–</w:t>
            </w:r>
            <w:r w:rsidRPr="00DC475E">
              <w:t xml:space="preserve"> obligatory [Dutch/English]</w:t>
            </w:r>
            <w:r>
              <w:br/>
              <w:t>–</w:t>
            </w:r>
            <w:r w:rsidRPr="00DC475E">
              <w:t xml:space="preserve"> clefting [Dutch/English]</w:t>
            </w:r>
            <w:r>
              <w:br/>
              <w:t>–</w:t>
            </w:r>
            <w:r w:rsidRPr="00DC475E">
              <w:t xml:space="preserve"> proportionality [Dutch/English]</w:t>
            </w:r>
            <w:r>
              <w:br/>
              <w:t>–</w:t>
            </w:r>
            <w:r w:rsidRPr="00DC475E">
              <w:t xml:space="preserve"> preposability [Dutch/English]</w:t>
            </w:r>
            <w:r>
              <w:br/>
            </w:r>
            <w:r>
              <w:t xml:space="preserve">– </w:t>
            </w:r>
            <w:r w:rsidRPr="00DC475E">
              <w:t xml:space="preserve">subject-finite inversion </w:t>
            </w:r>
            <w:r>
              <w:t>of following clause</w:t>
            </w:r>
            <w:r w:rsidRPr="00DC475E">
              <w:t xml:space="preserve"> [Dutch]</w:t>
            </w:r>
          </w:p>
          <w:p w14:paraId="1A56B0E6" w14:textId="05CD3400" w:rsidR="00DC475E" w:rsidRDefault="00DC475E" w:rsidP="00DC475E">
            <w:pPr>
              <w:spacing w:line="276" w:lineRule="auto"/>
            </w:pPr>
            <w:r w:rsidRPr="00DC475E">
              <w:t>e.g., T</w:t>
            </w:r>
            <w:r w:rsidRPr="00DC475E">
              <w:rPr>
                <w:i/>
                <w:iCs/>
              </w:rPr>
              <w:t xml:space="preserve">his might sound funny as the times gone on. </w:t>
            </w:r>
            <w:r w:rsidRPr="00DC475E">
              <w:rPr>
                <w:i/>
                <w:iCs/>
                <w:u w:val="single"/>
              </w:rPr>
              <w:t>Almost as if</w:t>
            </w:r>
            <w:r>
              <w:rPr>
                <w:i/>
                <w:iCs/>
                <w:u w:val="single"/>
              </w:rPr>
              <w:t xml:space="preserve"> </w:t>
            </w:r>
            <w:r w:rsidRPr="00DC475E">
              <w:rPr>
                <w:i/>
                <w:iCs/>
                <w:u w:val="single"/>
              </w:rPr>
              <w:t>we can go on forever</w:t>
            </w:r>
            <w:r>
              <w:rPr>
                <w:i/>
                <w:iCs/>
                <w:u w:val="single"/>
              </w:rPr>
              <w:t>.</w:t>
            </w:r>
          </w:p>
        </w:tc>
      </w:tr>
      <w:bookmarkEnd w:id="16"/>
    </w:tbl>
    <w:p w14:paraId="22F25F74" w14:textId="77777777" w:rsidR="002475B0" w:rsidRDefault="002475B0" w:rsidP="00BF7AB7">
      <w:pPr>
        <w:tabs>
          <w:tab w:val="left" w:pos="567"/>
        </w:tabs>
        <w:jc w:val="both"/>
      </w:pPr>
    </w:p>
    <w:p w14:paraId="1B7BED1E" w14:textId="29844A6B" w:rsidR="00B658C3" w:rsidRDefault="006D0E92" w:rsidP="00BF7AB7">
      <w:pPr>
        <w:tabs>
          <w:tab w:val="left" w:pos="567"/>
        </w:tabs>
        <w:jc w:val="both"/>
      </w:pPr>
      <w:r>
        <w:t xml:space="preserve"> </w:t>
      </w:r>
      <w:r w:rsidR="00F95831">
        <w:tab/>
      </w:r>
      <w:r w:rsidR="00B658C3">
        <w:t xml:space="preserve">Second, the </w:t>
      </w:r>
      <w:r w:rsidR="00B658C3" w:rsidRPr="00657AD8">
        <w:rPr>
          <w:b/>
        </w:rPr>
        <w:t>semantic-pragmatic</w:t>
      </w:r>
      <w:r w:rsidR="004319A1">
        <w:t xml:space="preserve"> scheme</w:t>
      </w:r>
      <w:r w:rsidR="00536F70">
        <w:t>, outlined in Table 2,</w:t>
      </w:r>
      <w:r w:rsidR="004319A1">
        <w:t xml:space="preserve"> looks at the</w:t>
      </w:r>
      <w:r w:rsidR="00B658C3">
        <w:t xml:space="preserve"> possible</w:t>
      </w:r>
      <w:r w:rsidR="004319A1">
        <w:t xml:space="preserve"> </w:t>
      </w:r>
      <w:r w:rsidR="00B658C3">
        <w:t>meanings</w:t>
      </w:r>
      <w:r w:rsidR="00804E16">
        <w:t xml:space="preserve"> of the clause, as described in previous studies </w:t>
      </w:r>
      <w:r w:rsidR="00E60ACB" w:rsidRPr="00E60ACB">
        <w:rPr>
          <w:szCs w:val="24"/>
        </w:rPr>
        <w:t xml:space="preserve">(López-Couso </w:t>
      </w:r>
      <w:r w:rsidR="007948AE">
        <w:rPr>
          <w:szCs w:val="24"/>
        </w:rPr>
        <w:t>and</w:t>
      </w:r>
      <w:r w:rsidR="00E60ACB" w:rsidRPr="00E60ACB">
        <w:rPr>
          <w:szCs w:val="24"/>
        </w:rPr>
        <w:t xml:space="preserve"> Méndez-Naya 2012a</w:t>
      </w:r>
      <w:r w:rsidR="00B658C3">
        <w:rPr>
          <w:szCs w:val="24"/>
        </w:rPr>
        <w:t>,</w:t>
      </w:r>
      <w:r w:rsidR="00152BE4">
        <w:rPr>
          <w:szCs w:val="24"/>
        </w:rPr>
        <w:t xml:space="preserve"> 2012</w:t>
      </w:r>
      <w:r w:rsidR="00E60ACB" w:rsidRPr="00E60ACB">
        <w:rPr>
          <w:szCs w:val="24"/>
        </w:rPr>
        <w:t xml:space="preserve">b; Brinton 2014; Looij </w:t>
      </w:r>
      <w:r w:rsidR="007948AE">
        <w:rPr>
          <w:szCs w:val="24"/>
        </w:rPr>
        <w:t>and</w:t>
      </w:r>
      <w:r w:rsidR="00E60ACB" w:rsidRPr="00E60ACB">
        <w:rPr>
          <w:szCs w:val="24"/>
        </w:rPr>
        <w:t xml:space="preserve"> Minnaert 2019;</w:t>
      </w:r>
      <w:r w:rsidR="00B658C3">
        <w:rPr>
          <w:szCs w:val="24"/>
        </w:rPr>
        <w:t xml:space="preserve"> </w:t>
      </w:r>
      <w:r w:rsidR="00B658C3" w:rsidRPr="0007169D">
        <w:t xml:space="preserve">Bledin </w:t>
      </w:r>
      <w:r w:rsidR="007948AE">
        <w:t>and</w:t>
      </w:r>
      <w:r w:rsidR="00B658C3" w:rsidRPr="0007169D">
        <w:t xml:space="preserve"> Srinivas</w:t>
      </w:r>
      <w:r w:rsidR="00B658C3">
        <w:t xml:space="preserve"> </w:t>
      </w:r>
      <w:r w:rsidR="004562B5">
        <w:t>2020</w:t>
      </w:r>
      <w:r w:rsidR="00B658C3">
        <w:t>, 2023</w:t>
      </w:r>
      <w:r w:rsidR="00E60ACB" w:rsidRPr="00E60ACB">
        <w:rPr>
          <w:szCs w:val="24"/>
        </w:rPr>
        <w:t>)</w:t>
      </w:r>
      <w:r w:rsidR="00CE7B3D">
        <w:t>.</w:t>
      </w:r>
      <w:r w:rsidR="00C914B2">
        <w:t xml:space="preserve"> </w:t>
      </w:r>
      <w:r w:rsidR="00B51C01">
        <w:t>On the basis of the literature review</w:t>
      </w:r>
      <w:r w:rsidR="00B658C3">
        <w:t xml:space="preserve"> in Section </w:t>
      </w:r>
      <w:r w:rsidR="00B658C3">
        <w:fldChar w:fldCharType="begin"/>
      </w:r>
      <w:r w:rsidR="00B658C3">
        <w:instrText xml:space="preserve"> REF _Ref148990095 \r \h </w:instrText>
      </w:r>
      <w:r w:rsidR="00B658C3">
        <w:fldChar w:fldCharType="separate"/>
      </w:r>
      <w:r w:rsidR="008912AA">
        <w:t>1</w:t>
      </w:r>
      <w:r w:rsidR="00B658C3">
        <w:fldChar w:fldCharType="end"/>
      </w:r>
      <w:r w:rsidR="00B658C3">
        <w:t xml:space="preserve">, four meanings can, roughly, be distinguished, which will be referred to here as follows: (i) hypothetical manner, (ii) </w:t>
      </w:r>
      <w:r w:rsidR="00B51C01">
        <w:t>hypothetical qualification</w:t>
      </w:r>
      <w:r w:rsidR="00B658C3">
        <w:t xml:space="preserve">, (iii) </w:t>
      </w:r>
      <w:r w:rsidR="00B51C01">
        <w:t xml:space="preserve">hypothetical </w:t>
      </w:r>
      <w:r w:rsidR="00B658C3">
        <w:t>cause, and (iv) denial of assumption.</w:t>
      </w:r>
      <w:r w:rsidR="00166A70">
        <w:t xml:space="preserve"> </w:t>
      </w:r>
      <w:r w:rsidR="00860A35">
        <w:t>Importantly, the semantic-pragmatic scheme was coded independently of the syntactic scheme. Therefore, while the meaning of ‘</w:t>
      </w:r>
      <w:r w:rsidR="00895152">
        <w:t xml:space="preserve">hypothetical </w:t>
      </w:r>
      <w:r w:rsidR="00860A35">
        <w:t>cause’, for instance, was discussed in Section </w:t>
      </w:r>
      <w:r w:rsidR="00860A35">
        <w:fldChar w:fldCharType="begin"/>
      </w:r>
      <w:r w:rsidR="00860A35">
        <w:instrText xml:space="preserve"> REF _Ref148990095 \r \h </w:instrText>
      </w:r>
      <w:r w:rsidR="00860A35">
        <w:fldChar w:fldCharType="separate"/>
      </w:r>
      <w:r w:rsidR="008912AA">
        <w:t>1</w:t>
      </w:r>
      <w:r w:rsidR="00860A35">
        <w:fldChar w:fldCharType="end"/>
      </w:r>
      <w:r w:rsidR="00860A35">
        <w:t xml:space="preserve"> in the context of independent clauses, it can, in principle, be found in any syntactic configuration. </w:t>
      </w:r>
    </w:p>
    <w:p w14:paraId="4EC24BCC" w14:textId="0EE2B54B" w:rsidR="00D1790B" w:rsidRDefault="00D1790B" w:rsidP="00BF7AB7">
      <w:pPr>
        <w:tabs>
          <w:tab w:val="left" w:pos="567"/>
        </w:tabs>
        <w:jc w:val="both"/>
      </w:pPr>
    </w:p>
    <w:p w14:paraId="790450F5" w14:textId="11F34348" w:rsidR="00D1790B" w:rsidRDefault="00D1790B" w:rsidP="00E12C4F">
      <w:pPr>
        <w:pStyle w:val="Caption"/>
        <w:spacing w:after="0"/>
        <w:rPr>
          <w:b w:val="0"/>
        </w:rPr>
      </w:pPr>
      <w:bookmarkStart w:id="17" w:name="_Hlk153456578"/>
      <w:r>
        <w:lastRenderedPageBreak/>
        <w:t xml:space="preserve">Table </w:t>
      </w:r>
      <w:r>
        <w:fldChar w:fldCharType="begin"/>
      </w:r>
      <w:r>
        <w:instrText xml:space="preserve"> SEQ Table \* ARABIC </w:instrText>
      </w:r>
      <w:r>
        <w:fldChar w:fldCharType="separate"/>
      </w:r>
      <w:r w:rsidR="008B649D">
        <w:rPr>
          <w:noProof/>
        </w:rPr>
        <w:t>2</w:t>
      </w:r>
      <w:r>
        <w:fldChar w:fldCharType="end"/>
      </w:r>
      <w:r>
        <w:t xml:space="preserve">. </w:t>
      </w:r>
      <w:r>
        <w:rPr>
          <w:b w:val="0"/>
        </w:rPr>
        <w:t>Semantic-pragmatic coding scheme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DC475E" w:rsidRPr="00DC475E" w14:paraId="5A998AB2" w14:textId="77777777" w:rsidTr="00DC475E">
        <w:tc>
          <w:tcPr>
            <w:tcW w:w="2972" w:type="dxa"/>
            <w:tcBorders>
              <w:top w:val="single" w:sz="4" w:space="0" w:color="auto"/>
              <w:bottom w:val="single" w:sz="4" w:space="0" w:color="auto"/>
            </w:tcBorders>
          </w:tcPr>
          <w:p w14:paraId="7CA7846E" w14:textId="52EE0CCA" w:rsidR="00DC475E" w:rsidRPr="00DC475E" w:rsidRDefault="00DC475E" w:rsidP="00DC475E">
            <w:pPr>
              <w:rPr>
                <w:b/>
                <w:bCs/>
              </w:rPr>
            </w:pPr>
            <w:r w:rsidRPr="00DC475E">
              <w:rPr>
                <w:b/>
                <w:bCs/>
              </w:rPr>
              <w:t xml:space="preserve"> Value</w:t>
            </w:r>
          </w:p>
        </w:tc>
        <w:tc>
          <w:tcPr>
            <w:tcW w:w="6090" w:type="dxa"/>
            <w:tcBorders>
              <w:top w:val="single" w:sz="4" w:space="0" w:color="auto"/>
              <w:bottom w:val="single" w:sz="4" w:space="0" w:color="auto"/>
            </w:tcBorders>
          </w:tcPr>
          <w:p w14:paraId="41905F01" w14:textId="1956071D" w:rsidR="00DC475E" w:rsidRPr="00DC475E" w:rsidRDefault="00DC475E" w:rsidP="00DC475E">
            <w:pPr>
              <w:rPr>
                <w:b/>
                <w:bCs/>
              </w:rPr>
            </w:pPr>
            <w:r w:rsidRPr="00DC475E">
              <w:rPr>
                <w:b/>
                <w:bCs/>
              </w:rPr>
              <w:t>Operationalisation</w:t>
            </w:r>
          </w:p>
        </w:tc>
      </w:tr>
      <w:tr w:rsidR="00DC475E" w14:paraId="6758BFE4" w14:textId="77777777" w:rsidTr="00DC475E">
        <w:tc>
          <w:tcPr>
            <w:tcW w:w="2972" w:type="dxa"/>
            <w:tcBorders>
              <w:top w:val="single" w:sz="4" w:space="0" w:color="auto"/>
            </w:tcBorders>
          </w:tcPr>
          <w:p w14:paraId="4F6AA6A1" w14:textId="1FADADBD" w:rsidR="00DC475E" w:rsidRDefault="00DC475E" w:rsidP="00DC475E">
            <w:r>
              <w:t>Hypothetical manner</w:t>
            </w:r>
          </w:p>
        </w:tc>
        <w:tc>
          <w:tcPr>
            <w:tcW w:w="6090" w:type="dxa"/>
            <w:tcBorders>
              <w:top w:val="single" w:sz="4" w:space="0" w:color="auto"/>
            </w:tcBorders>
          </w:tcPr>
          <w:p w14:paraId="480B76EF" w14:textId="5E1099DF" w:rsidR="00DC475E" w:rsidRPr="00DC475E" w:rsidRDefault="00DC475E" w:rsidP="00DC475E">
            <w:pPr>
              <w:jc w:val="both"/>
            </w:pPr>
            <w:r w:rsidRPr="00DC475E">
              <w:t xml:space="preserve">Is the HM clause used to describe the </w:t>
            </w:r>
            <w:proofErr w:type="gramStart"/>
            <w:r w:rsidRPr="00DC475E">
              <w:t>manner in which</w:t>
            </w:r>
            <w:proofErr w:type="gramEnd"/>
            <w:r w:rsidRPr="00DC475E">
              <w:t xml:space="preserve"> the event takes place (i.e., does it describe how</w:t>
            </w:r>
            <w:r>
              <w:t xml:space="preserve"> </w:t>
            </w:r>
            <w:r w:rsidRPr="00DC475E">
              <w:t>a process is performed or how it occurs)?</w:t>
            </w:r>
          </w:p>
          <w:p w14:paraId="702C7DC8" w14:textId="77777777" w:rsidR="00DC475E" w:rsidRDefault="00DC475E" w:rsidP="00DC475E">
            <w:pPr>
              <w:jc w:val="both"/>
              <w:rPr>
                <w:i/>
                <w:iCs/>
              </w:rPr>
            </w:pPr>
            <w:r w:rsidRPr="00DC475E">
              <w:t xml:space="preserve">e.g., </w:t>
            </w:r>
            <w:r w:rsidRPr="00DC475E">
              <w:rPr>
                <w:i/>
                <w:iCs/>
              </w:rPr>
              <w:t xml:space="preserve">He walks around </w:t>
            </w:r>
            <w:r w:rsidRPr="00DC475E">
              <w:rPr>
                <w:i/>
                <w:iCs/>
                <w:u w:val="single"/>
              </w:rPr>
              <w:t>as if he owns the place</w:t>
            </w:r>
            <w:r w:rsidRPr="00DC475E">
              <w:rPr>
                <w:i/>
                <w:iCs/>
              </w:rPr>
              <w:t>.</w:t>
            </w:r>
          </w:p>
          <w:p w14:paraId="498751C5" w14:textId="026ECFF4" w:rsidR="00DC475E" w:rsidRDefault="00DC475E" w:rsidP="00DC475E">
            <w:pPr>
              <w:jc w:val="both"/>
            </w:pPr>
            <w:r w:rsidRPr="00DC475E">
              <w:t>[see also examples (1), (2), (5), (7) and (9) above]</w:t>
            </w:r>
          </w:p>
        </w:tc>
      </w:tr>
      <w:tr w:rsidR="00DC475E" w14:paraId="6D8A27C4" w14:textId="77777777" w:rsidTr="00DC475E">
        <w:tc>
          <w:tcPr>
            <w:tcW w:w="2972" w:type="dxa"/>
          </w:tcPr>
          <w:p w14:paraId="52C6790D" w14:textId="7100F99A" w:rsidR="00DC475E" w:rsidRDefault="00DC475E" w:rsidP="00DC475E">
            <w:r>
              <w:t>Hypothetical cause</w:t>
            </w:r>
          </w:p>
        </w:tc>
        <w:tc>
          <w:tcPr>
            <w:tcW w:w="6090" w:type="dxa"/>
          </w:tcPr>
          <w:p w14:paraId="52798E05" w14:textId="56901CF5" w:rsidR="00DC475E" w:rsidRPr="00DC475E" w:rsidRDefault="00DC475E" w:rsidP="00DC475E">
            <w:pPr>
              <w:jc w:val="both"/>
            </w:pPr>
            <w:r w:rsidRPr="00DC475E">
              <w:t>Does the HM clause speculate about possible causes</w:t>
            </w:r>
            <w:r>
              <w:t xml:space="preserve"> </w:t>
            </w:r>
            <w:r w:rsidRPr="00DC475E">
              <w:t>of an event, that is, is the situation described in the</w:t>
            </w:r>
            <w:r>
              <w:t xml:space="preserve"> </w:t>
            </w:r>
            <w:r w:rsidRPr="00DC475E">
              <w:t>HM clause potentially real?</w:t>
            </w:r>
          </w:p>
          <w:p w14:paraId="1C4A36B4" w14:textId="711EE6B1" w:rsidR="00DC475E" w:rsidRPr="00DC475E" w:rsidRDefault="00DC475E" w:rsidP="00DC475E">
            <w:pPr>
              <w:jc w:val="both"/>
            </w:pPr>
            <w:r w:rsidRPr="00DC475E">
              <w:t xml:space="preserve">e.g., </w:t>
            </w:r>
            <w:r w:rsidRPr="00DC475E">
              <w:rPr>
                <w:i/>
                <w:iCs/>
              </w:rPr>
              <w:t xml:space="preserve">I feel a bit dizzy ... </w:t>
            </w:r>
            <w:r w:rsidRPr="00DC475E">
              <w:rPr>
                <w:i/>
                <w:iCs/>
                <w:u w:val="single"/>
              </w:rPr>
              <w:t>As if I need new glasses or</w:t>
            </w:r>
            <w:r>
              <w:rPr>
                <w:i/>
                <w:iCs/>
                <w:u w:val="single"/>
              </w:rPr>
              <w:t xml:space="preserve"> </w:t>
            </w:r>
            <w:r w:rsidRPr="00DC475E">
              <w:rPr>
                <w:i/>
                <w:iCs/>
                <w:u w:val="single"/>
              </w:rPr>
              <w:t>something</w:t>
            </w:r>
            <w:r w:rsidRPr="00DC475E">
              <w:rPr>
                <w:i/>
                <w:iCs/>
              </w:rPr>
              <w:t>.</w:t>
            </w:r>
          </w:p>
          <w:p w14:paraId="231EBECB" w14:textId="1E900CAD" w:rsidR="00DC475E" w:rsidRPr="00DC475E" w:rsidRDefault="00DC475E" w:rsidP="00DC475E">
            <w:pPr>
              <w:jc w:val="both"/>
              <w:rPr>
                <w:i/>
                <w:iCs/>
              </w:rPr>
            </w:pPr>
            <w:r w:rsidRPr="00DC475E">
              <w:t>[see also example (11) above]</w:t>
            </w:r>
          </w:p>
        </w:tc>
      </w:tr>
      <w:tr w:rsidR="00DC475E" w14:paraId="3112249C" w14:textId="77777777" w:rsidTr="00DC475E">
        <w:tc>
          <w:tcPr>
            <w:tcW w:w="2972" w:type="dxa"/>
          </w:tcPr>
          <w:p w14:paraId="682488FB" w14:textId="75486824" w:rsidR="00DC475E" w:rsidRDefault="00DC475E" w:rsidP="00DC475E">
            <w:r>
              <w:t>Hypothetical qualification</w:t>
            </w:r>
          </w:p>
        </w:tc>
        <w:tc>
          <w:tcPr>
            <w:tcW w:w="6090" w:type="dxa"/>
          </w:tcPr>
          <w:p w14:paraId="22F69C86" w14:textId="7D752A2B" w:rsidR="00DC475E" w:rsidRPr="00DC475E" w:rsidRDefault="00DC475E" w:rsidP="00DC475E">
            <w:pPr>
              <w:jc w:val="both"/>
            </w:pPr>
            <w:r w:rsidRPr="00DC475E">
              <w:t xml:space="preserve">Is the HM clause used to make a qualification of a state </w:t>
            </w:r>
            <w:r w:rsidRPr="00DC475E">
              <w:tab/>
              <w:t xml:space="preserve">or event based on a comparison with an imagined, unreal situation? (There is no speculation about the situation in the HM clause being potentially real. Moreover, the qualification describes what something is </w:t>
            </w:r>
            <w:r w:rsidRPr="00DC475E">
              <w:rPr>
                <w:i/>
                <w:iCs/>
              </w:rPr>
              <w:t>like</w:t>
            </w:r>
            <w:r w:rsidRPr="00DC475E">
              <w:t>, not how some event or process unfolds.)</w:t>
            </w:r>
          </w:p>
          <w:p w14:paraId="6B2C2695" w14:textId="77777777" w:rsidR="00DC475E" w:rsidRDefault="00DC475E" w:rsidP="00DC475E">
            <w:pPr>
              <w:jc w:val="both"/>
              <w:rPr>
                <w:i/>
                <w:iCs/>
              </w:rPr>
            </w:pPr>
            <w:r w:rsidRPr="00DC475E">
              <w:t xml:space="preserve">e.g., </w:t>
            </w:r>
            <w:r w:rsidRPr="00DC475E">
              <w:rPr>
                <w:i/>
                <w:iCs/>
              </w:rPr>
              <w:t xml:space="preserve">I put some Vicks on my chest last night and it felt </w:t>
            </w:r>
            <w:r w:rsidRPr="00DC475E">
              <w:rPr>
                <w:i/>
                <w:iCs/>
                <w:u w:val="single"/>
              </w:rPr>
              <w:t>as</w:t>
            </w:r>
            <w:r>
              <w:rPr>
                <w:i/>
                <w:iCs/>
                <w:u w:val="single"/>
              </w:rPr>
              <w:t xml:space="preserve"> </w:t>
            </w:r>
            <w:r w:rsidRPr="00DC475E">
              <w:rPr>
                <w:i/>
                <w:iCs/>
                <w:u w:val="single"/>
              </w:rPr>
              <w:t>if it was burning</w:t>
            </w:r>
            <w:r w:rsidRPr="00DC475E">
              <w:rPr>
                <w:i/>
                <w:iCs/>
              </w:rPr>
              <w:t>.</w:t>
            </w:r>
          </w:p>
          <w:p w14:paraId="5CA7EBE9" w14:textId="4AEE61C5" w:rsidR="00DC475E" w:rsidRDefault="00DC475E" w:rsidP="00DC475E">
            <w:pPr>
              <w:jc w:val="both"/>
            </w:pPr>
            <w:r w:rsidRPr="00DC475E">
              <w:t>[see also examples (6) and (10) above]</w:t>
            </w:r>
          </w:p>
        </w:tc>
      </w:tr>
      <w:tr w:rsidR="00DC475E" w14:paraId="37ED8010" w14:textId="77777777" w:rsidTr="00DC475E">
        <w:tc>
          <w:tcPr>
            <w:tcW w:w="2972" w:type="dxa"/>
          </w:tcPr>
          <w:p w14:paraId="20133BC8" w14:textId="29BDDA8F" w:rsidR="00DC475E" w:rsidRDefault="00DC475E" w:rsidP="00DC475E">
            <w:r>
              <w:t>Denial of assumption</w:t>
            </w:r>
          </w:p>
        </w:tc>
        <w:tc>
          <w:tcPr>
            <w:tcW w:w="6090" w:type="dxa"/>
          </w:tcPr>
          <w:p w14:paraId="5198CF79" w14:textId="288BAF9B" w:rsidR="00DC475E" w:rsidRPr="00DC475E" w:rsidRDefault="00DC475E" w:rsidP="00DC475E">
            <w:pPr>
              <w:jc w:val="both"/>
            </w:pPr>
            <w:r w:rsidRPr="00DC475E">
              <w:t>Is the HM clause used to the deny the literally coded</w:t>
            </w:r>
            <w:r>
              <w:t xml:space="preserve"> </w:t>
            </w:r>
            <w:r w:rsidRPr="00DC475E">
              <w:t>proposition in the HM clause? (That is, the clause has</w:t>
            </w:r>
            <w:r>
              <w:t xml:space="preserve"> </w:t>
            </w:r>
            <w:r w:rsidRPr="00DC475E">
              <w:t>an assertive function, involving polarity reversal.)</w:t>
            </w:r>
          </w:p>
          <w:p w14:paraId="13DA7083" w14:textId="77777777" w:rsidR="00DC475E" w:rsidRDefault="00DC475E" w:rsidP="00DC475E">
            <w:pPr>
              <w:jc w:val="both"/>
              <w:rPr>
                <w:i/>
                <w:iCs/>
                <w:u w:val="single"/>
              </w:rPr>
            </w:pPr>
            <w:r w:rsidRPr="00DC475E">
              <w:rPr>
                <w:lang w:val="nl-BE"/>
              </w:rPr>
              <w:t xml:space="preserve">e.g., </w:t>
            </w:r>
            <w:r w:rsidRPr="00DC475E">
              <w:rPr>
                <w:i/>
                <w:iCs/>
                <w:lang w:val="nl-BE"/>
              </w:rPr>
              <w:t xml:space="preserve">Me getting drunk. </w:t>
            </w:r>
            <w:r w:rsidRPr="00DC475E">
              <w:rPr>
                <w:i/>
                <w:iCs/>
                <w:u w:val="single"/>
              </w:rPr>
              <w:t>As if I would, dear!</w:t>
            </w:r>
          </w:p>
          <w:p w14:paraId="1CE92998" w14:textId="3E1B0896" w:rsidR="00DC475E" w:rsidRDefault="00DC475E" w:rsidP="00DC475E">
            <w:pPr>
              <w:jc w:val="both"/>
            </w:pPr>
            <w:r w:rsidRPr="00DC475E">
              <w:t>[ see also examples (3), (4) and (8) above]</w:t>
            </w:r>
          </w:p>
        </w:tc>
      </w:tr>
      <w:bookmarkEnd w:id="17"/>
    </w:tbl>
    <w:p w14:paraId="3D90254D" w14:textId="77777777" w:rsidR="00D238AD" w:rsidRDefault="00D238AD" w:rsidP="00DC475E">
      <w:pPr>
        <w:jc w:val="both"/>
      </w:pPr>
    </w:p>
    <w:p w14:paraId="19FC4777" w14:textId="2B19FF1B" w:rsidR="0004158C" w:rsidRDefault="00536F70" w:rsidP="001A4570">
      <w:pPr>
        <w:ind w:firstLine="567"/>
        <w:jc w:val="both"/>
      </w:pPr>
      <w:r>
        <w:t>Finally, t</w:t>
      </w:r>
      <w:r w:rsidR="00966C3C" w:rsidRPr="00A52A16">
        <w:t xml:space="preserve">he </w:t>
      </w:r>
      <w:r w:rsidR="00966C3C" w:rsidRPr="00A52A16">
        <w:rPr>
          <w:b/>
        </w:rPr>
        <w:t>prosodic</w:t>
      </w:r>
      <w:r w:rsidR="00966C3C" w:rsidRPr="00A52A16">
        <w:t xml:space="preserve"> scheme, </w:t>
      </w:r>
      <w:r>
        <w:t>presented in Table 3</w:t>
      </w:r>
      <w:r w:rsidR="00966C3C" w:rsidRPr="00A52A16">
        <w:t xml:space="preserve">, probes for prosodic features potentially correlating with the different levels of </w:t>
      </w:r>
      <w:r w:rsidR="00081B3B">
        <w:t xml:space="preserve">syntactic dependence and/or the </w:t>
      </w:r>
      <w:r w:rsidR="00860A35">
        <w:t>potential meanings</w:t>
      </w:r>
      <w:r w:rsidR="00081B3B">
        <w:t xml:space="preserve"> of the clause.</w:t>
      </w:r>
      <w:r w:rsidR="00966C3C" w:rsidRPr="00A52A16">
        <w:t xml:space="preserve"> </w:t>
      </w:r>
      <w:r w:rsidR="000B5B83">
        <w:t>The four features studied here are: prosodic integration, pitch onset level, pausing, and pitch contour or tone.</w:t>
      </w:r>
    </w:p>
    <w:p w14:paraId="6206C5A7" w14:textId="77777777" w:rsidR="008B649D" w:rsidRDefault="008B649D" w:rsidP="008B649D">
      <w:pPr>
        <w:jc w:val="both"/>
      </w:pPr>
    </w:p>
    <w:p w14:paraId="34D35120" w14:textId="45A77621" w:rsidR="008B649D" w:rsidRDefault="008B649D" w:rsidP="008B649D">
      <w:pPr>
        <w:pStyle w:val="Caption"/>
      </w:pPr>
      <w:r>
        <w:lastRenderedPageBreak/>
        <w:t xml:space="preserve">Table </w:t>
      </w:r>
      <w:r>
        <w:fldChar w:fldCharType="begin"/>
      </w:r>
      <w:r>
        <w:instrText xml:space="preserve"> SEQ Table \* ARABIC </w:instrText>
      </w:r>
      <w:r>
        <w:fldChar w:fldCharType="separate"/>
      </w:r>
      <w:r>
        <w:rPr>
          <w:noProof/>
        </w:rPr>
        <w:t>3</w:t>
      </w:r>
      <w:r>
        <w:fldChar w:fldCharType="end"/>
      </w:r>
      <w:r>
        <w:t xml:space="preserve">. </w:t>
      </w:r>
      <w:r>
        <w:rPr>
          <w:b w:val="0"/>
          <w:bCs/>
        </w:rPr>
        <w:t>Prosodic coding scheme.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94"/>
      </w:tblGrid>
      <w:tr w:rsidR="008B649D" w:rsidRPr="008B649D" w14:paraId="7C23B1FD" w14:textId="77777777" w:rsidTr="008B649D">
        <w:tc>
          <w:tcPr>
            <w:tcW w:w="2268" w:type="dxa"/>
            <w:tcBorders>
              <w:top w:val="single" w:sz="4" w:space="0" w:color="auto"/>
              <w:bottom w:val="single" w:sz="4" w:space="0" w:color="auto"/>
            </w:tcBorders>
          </w:tcPr>
          <w:p w14:paraId="6180CB2E" w14:textId="157E7662" w:rsidR="008B649D" w:rsidRPr="008B649D" w:rsidRDefault="008B649D" w:rsidP="008B649D">
            <w:pPr>
              <w:spacing w:line="276" w:lineRule="auto"/>
              <w:jc w:val="both"/>
              <w:rPr>
                <w:b/>
                <w:bCs/>
                <w:szCs w:val="24"/>
              </w:rPr>
            </w:pPr>
            <w:r w:rsidRPr="008B649D">
              <w:rPr>
                <w:b/>
                <w:bCs/>
                <w:szCs w:val="24"/>
              </w:rPr>
              <w:t>Value</w:t>
            </w:r>
          </w:p>
        </w:tc>
        <w:tc>
          <w:tcPr>
            <w:tcW w:w="6794" w:type="dxa"/>
            <w:tcBorders>
              <w:top w:val="single" w:sz="4" w:space="0" w:color="auto"/>
              <w:bottom w:val="single" w:sz="4" w:space="0" w:color="auto"/>
            </w:tcBorders>
          </w:tcPr>
          <w:p w14:paraId="24FF95D4" w14:textId="7251B4E6" w:rsidR="008B649D" w:rsidRPr="008B649D" w:rsidRDefault="008B649D" w:rsidP="008B649D">
            <w:pPr>
              <w:spacing w:line="276" w:lineRule="auto"/>
              <w:jc w:val="both"/>
              <w:rPr>
                <w:b/>
                <w:bCs/>
                <w:szCs w:val="24"/>
              </w:rPr>
            </w:pPr>
            <w:r w:rsidRPr="008B649D">
              <w:rPr>
                <w:b/>
                <w:bCs/>
                <w:szCs w:val="24"/>
              </w:rPr>
              <w:t>Operationalisation</w:t>
            </w:r>
          </w:p>
        </w:tc>
      </w:tr>
      <w:tr w:rsidR="008B649D" w:rsidRPr="008B649D" w14:paraId="3420FD3D" w14:textId="77777777" w:rsidTr="008B649D">
        <w:trPr>
          <w:trHeight w:val="1134"/>
        </w:trPr>
        <w:tc>
          <w:tcPr>
            <w:tcW w:w="2268" w:type="dxa"/>
            <w:tcBorders>
              <w:top w:val="single" w:sz="4" w:space="0" w:color="auto"/>
            </w:tcBorders>
          </w:tcPr>
          <w:p w14:paraId="00703E29" w14:textId="5AA6BC27" w:rsidR="008B649D" w:rsidRPr="008B649D" w:rsidRDefault="008B649D" w:rsidP="008B649D">
            <w:pPr>
              <w:autoSpaceDE w:val="0"/>
              <w:autoSpaceDN w:val="0"/>
              <w:adjustRightInd w:val="0"/>
              <w:spacing w:line="276" w:lineRule="auto"/>
              <w:rPr>
                <w:szCs w:val="24"/>
              </w:rPr>
            </w:pPr>
            <w:r w:rsidRPr="008B649D">
              <w:rPr>
                <w:szCs w:val="24"/>
              </w:rPr>
              <w:t>Prosodic</w:t>
            </w:r>
            <w:r w:rsidRPr="008B649D">
              <w:rPr>
                <w:szCs w:val="24"/>
              </w:rPr>
              <w:t xml:space="preserve"> </w:t>
            </w:r>
            <w:r w:rsidRPr="008B649D">
              <w:rPr>
                <w:szCs w:val="24"/>
              </w:rPr>
              <w:t>integration</w:t>
            </w:r>
          </w:p>
        </w:tc>
        <w:tc>
          <w:tcPr>
            <w:tcW w:w="6794" w:type="dxa"/>
            <w:tcBorders>
              <w:top w:val="single" w:sz="4" w:space="0" w:color="auto"/>
            </w:tcBorders>
          </w:tcPr>
          <w:p w14:paraId="6D0D591F" w14:textId="64C6F27D" w:rsidR="008B649D" w:rsidRPr="008B649D" w:rsidRDefault="008B649D" w:rsidP="008B649D">
            <w:pPr>
              <w:autoSpaceDE w:val="0"/>
              <w:autoSpaceDN w:val="0"/>
              <w:adjustRightInd w:val="0"/>
              <w:spacing w:line="276" w:lineRule="auto"/>
              <w:rPr>
                <w:szCs w:val="24"/>
              </w:rPr>
            </w:pPr>
            <w:r w:rsidRPr="008B649D">
              <w:rPr>
                <w:szCs w:val="24"/>
              </w:rPr>
              <w:t>Is the HM clause preceded and followed by an IU boundary, as defined in the ToBI</w:t>
            </w:r>
            <w:r>
              <w:rPr>
                <w:szCs w:val="24"/>
              </w:rPr>
              <w:t xml:space="preserve"> </w:t>
            </w:r>
            <w:r w:rsidRPr="008B649D">
              <w:rPr>
                <w:szCs w:val="24"/>
              </w:rPr>
              <w:t>system for English and the ToDI system for Dutch?</w:t>
            </w:r>
          </w:p>
        </w:tc>
      </w:tr>
      <w:tr w:rsidR="008B649D" w:rsidRPr="008B649D" w14:paraId="72F76296" w14:textId="77777777" w:rsidTr="008B649D">
        <w:trPr>
          <w:trHeight w:val="1134"/>
        </w:trPr>
        <w:tc>
          <w:tcPr>
            <w:tcW w:w="2268" w:type="dxa"/>
          </w:tcPr>
          <w:p w14:paraId="709FDFA7" w14:textId="1C80C615" w:rsidR="008B649D" w:rsidRPr="008B649D" w:rsidRDefault="008B649D" w:rsidP="008B649D">
            <w:pPr>
              <w:autoSpaceDE w:val="0"/>
              <w:autoSpaceDN w:val="0"/>
              <w:adjustRightInd w:val="0"/>
              <w:spacing w:line="276" w:lineRule="auto"/>
              <w:rPr>
                <w:szCs w:val="24"/>
              </w:rPr>
            </w:pPr>
            <w:r w:rsidRPr="008B649D">
              <w:rPr>
                <w:szCs w:val="24"/>
              </w:rPr>
              <w:t xml:space="preserve">Pitch onset level </w:t>
            </w:r>
          </w:p>
        </w:tc>
        <w:tc>
          <w:tcPr>
            <w:tcW w:w="6794" w:type="dxa"/>
          </w:tcPr>
          <w:p w14:paraId="40540959" w14:textId="3FDAF742" w:rsidR="008B649D" w:rsidRPr="008B649D" w:rsidRDefault="008B649D" w:rsidP="008B649D">
            <w:pPr>
              <w:autoSpaceDE w:val="0"/>
              <w:autoSpaceDN w:val="0"/>
              <w:adjustRightInd w:val="0"/>
              <w:spacing w:line="276" w:lineRule="auto"/>
              <w:rPr>
                <w:szCs w:val="24"/>
              </w:rPr>
            </w:pPr>
            <w:r w:rsidRPr="008B649D">
              <w:rPr>
                <w:szCs w:val="24"/>
              </w:rPr>
              <w:t>Pitch difference, in semitones, between the onset of the HM clause and the end of the</w:t>
            </w:r>
            <w:r>
              <w:rPr>
                <w:szCs w:val="24"/>
              </w:rPr>
              <w:t xml:space="preserve"> </w:t>
            </w:r>
            <w:r w:rsidRPr="008B649D">
              <w:rPr>
                <w:szCs w:val="24"/>
              </w:rPr>
              <w:t>previous IU. Measured in Praat, based on fundamental frequency. (Relevant only if</w:t>
            </w:r>
            <w:r>
              <w:rPr>
                <w:szCs w:val="24"/>
              </w:rPr>
              <w:t xml:space="preserve"> </w:t>
            </w:r>
            <w:r w:rsidRPr="008B649D">
              <w:rPr>
                <w:szCs w:val="24"/>
              </w:rPr>
              <w:t>the HM clause is preceded by an IU boundary and if it does not initiate a new turn.)</w:t>
            </w:r>
          </w:p>
        </w:tc>
      </w:tr>
      <w:tr w:rsidR="008B649D" w:rsidRPr="008B649D" w14:paraId="59E8F2EA" w14:textId="77777777" w:rsidTr="008B649D">
        <w:trPr>
          <w:trHeight w:val="1134"/>
        </w:trPr>
        <w:tc>
          <w:tcPr>
            <w:tcW w:w="2268" w:type="dxa"/>
          </w:tcPr>
          <w:p w14:paraId="178E0ABB" w14:textId="2D5DD675" w:rsidR="008B649D" w:rsidRPr="008B649D" w:rsidRDefault="008B649D" w:rsidP="008B649D">
            <w:pPr>
              <w:autoSpaceDE w:val="0"/>
              <w:autoSpaceDN w:val="0"/>
              <w:adjustRightInd w:val="0"/>
              <w:spacing w:line="276" w:lineRule="auto"/>
              <w:rPr>
                <w:szCs w:val="24"/>
              </w:rPr>
            </w:pPr>
            <w:r w:rsidRPr="008B649D">
              <w:rPr>
                <w:szCs w:val="24"/>
              </w:rPr>
              <w:t xml:space="preserve">Pausing </w:t>
            </w:r>
          </w:p>
        </w:tc>
        <w:tc>
          <w:tcPr>
            <w:tcW w:w="6794" w:type="dxa"/>
          </w:tcPr>
          <w:p w14:paraId="3F3E73B0" w14:textId="348E6BCB" w:rsidR="008B649D" w:rsidRPr="008B649D" w:rsidRDefault="008B649D" w:rsidP="008B649D">
            <w:pPr>
              <w:autoSpaceDE w:val="0"/>
              <w:autoSpaceDN w:val="0"/>
              <w:adjustRightInd w:val="0"/>
              <w:spacing w:line="276" w:lineRule="auto"/>
              <w:rPr>
                <w:szCs w:val="24"/>
              </w:rPr>
            </w:pPr>
            <w:r w:rsidRPr="008B649D">
              <w:rPr>
                <w:szCs w:val="24"/>
              </w:rPr>
              <w:t>Time interval, in milliseconds, between the start of the HM clause and the end of the</w:t>
            </w:r>
            <w:r>
              <w:rPr>
                <w:szCs w:val="24"/>
              </w:rPr>
              <w:t xml:space="preserve"> </w:t>
            </w:r>
            <w:r w:rsidRPr="008B649D">
              <w:rPr>
                <w:szCs w:val="24"/>
              </w:rPr>
              <w:t>previous utterance (whether produced by the same speaker or an interlocutor).</w:t>
            </w:r>
          </w:p>
        </w:tc>
      </w:tr>
      <w:tr w:rsidR="008B649D" w:rsidRPr="008B649D" w14:paraId="3634C1FA" w14:textId="77777777" w:rsidTr="008B649D">
        <w:trPr>
          <w:trHeight w:val="1134"/>
        </w:trPr>
        <w:tc>
          <w:tcPr>
            <w:tcW w:w="2268" w:type="dxa"/>
          </w:tcPr>
          <w:p w14:paraId="216D12E0" w14:textId="5F81CE2D" w:rsidR="008B649D" w:rsidRPr="008B649D" w:rsidRDefault="008B649D" w:rsidP="008B649D">
            <w:pPr>
              <w:autoSpaceDE w:val="0"/>
              <w:autoSpaceDN w:val="0"/>
              <w:adjustRightInd w:val="0"/>
              <w:spacing w:line="276" w:lineRule="auto"/>
              <w:rPr>
                <w:szCs w:val="24"/>
              </w:rPr>
            </w:pPr>
            <w:r w:rsidRPr="008B649D">
              <w:rPr>
                <w:szCs w:val="24"/>
              </w:rPr>
              <w:t xml:space="preserve">Tone </w:t>
            </w:r>
          </w:p>
          <w:p w14:paraId="58BBDBE4" w14:textId="71E951F0" w:rsidR="008B649D" w:rsidRPr="008B649D" w:rsidRDefault="008B649D" w:rsidP="008B649D">
            <w:pPr>
              <w:spacing w:line="276" w:lineRule="auto"/>
              <w:jc w:val="both"/>
              <w:rPr>
                <w:szCs w:val="24"/>
              </w:rPr>
            </w:pPr>
          </w:p>
        </w:tc>
        <w:tc>
          <w:tcPr>
            <w:tcW w:w="6794" w:type="dxa"/>
          </w:tcPr>
          <w:p w14:paraId="11CF7B4D" w14:textId="77777777" w:rsidR="008B649D" w:rsidRPr="008B649D" w:rsidRDefault="008B649D" w:rsidP="008B649D">
            <w:pPr>
              <w:autoSpaceDE w:val="0"/>
              <w:autoSpaceDN w:val="0"/>
              <w:adjustRightInd w:val="0"/>
              <w:spacing w:line="276" w:lineRule="auto"/>
              <w:rPr>
                <w:szCs w:val="24"/>
              </w:rPr>
            </w:pPr>
            <w:r w:rsidRPr="008B649D">
              <w:rPr>
                <w:szCs w:val="24"/>
              </w:rPr>
              <w:t>What is the pitch contour with which the HM clause is uttered?</w:t>
            </w:r>
          </w:p>
          <w:p w14:paraId="5FBA027A" w14:textId="6C6C1089" w:rsidR="008B649D" w:rsidRPr="008B649D" w:rsidRDefault="008B649D" w:rsidP="008B649D">
            <w:pPr>
              <w:autoSpaceDE w:val="0"/>
              <w:autoSpaceDN w:val="0"/>
              <w:adjustRightInd w:val="0"/>
              <w:spacing w:line="276" w:lineRule="auto"/>
              <w:ind w:left="888" w:hanging="888"/>
              <w:rPr>
                <w:szCs w:val="24"/>
              </w:rPr>
            </w:pPr>
            <w:r w:rsidRPr="008B649D">
              <w:rPr>
                <w:b/>
                <w:bCs/>
                <w:szCs w:val="24"/>
              </w:rPr>
              <w:t>English</w:t>
            </w:r>
            <w:r w:rsidRPr="008B649D">
              <w:rPr>
                <w:szCs w:val="24"/>
              </w:rPr>
              <w:t xml:space="preserve"> </w:t>
            </w:r>
            <w:r>
              <w:rPr>
                <w:szCs w:val="24"/>
              </w:rPr>
              <w:t xml:space="preserve">   </w:t>
            </w:r>
            <w:r w:rsidRPr="008B649D">
              <w:rPr>
                <w:szCs w:val="24"/>
              </w:rPr>
              <w:t>Fall, Rise, Fall-rise, Rise-fall, Level</w:t>
            </w:r>
          </w:p>
          <w:p w14:paraId="39EF8E59" w14:textId="6DA29EB4" w:rsidR="008B649D" w:rsidRPr="008B649D" w:rsidRDefault="008B649D" w:rsidP="008B649D">
            <w:pPr>
              <w:spacing w:line="276" w:lineRule="auto"/>
              <w:jc w:val="both"/>
              <w:rPr>
                <w:szCs w:val="24"/>
              </w:rPr>
            </w:pPr>
            <w:r w:rsidRPr="008B649D">
              <w:rPr>
                <w:b/>
                <w:bCs/>
                <w:szCs w:val="24"/>
              </w:rPr>
              <w:t>Dutch</w:t>
            </w:r>
            <w:r w:rsidRPr="008B649D">
              <w:rPr>
                <w:szCs w:val="24"/>
              </w:rPr>
              <w:t xml:space="preserve"> </w:t>
            </w:r>
            <w:r>
              <w:rPr>
                <w:szCs w:val="24"/>
              </w:rPr>
              <w:t xml:space="preserve">     </w:t>
            </w:r>
            <w:r w:rsidRPr="008B649D">
              <w:rPr>
                <w:szCs w:val="24"/>
              </w:rPr>
              <w:t>Fall, Delayed fall, Rise, Fall-rise, Level</w:t>
            </w:r>
          </w:p>
        </w:tc>
      </w:tr>
    </w:tbl>
    <w:p w14:paraId="0CAD0E52" w14:textId="77777777" w:rsidR="008B649D" w:rsidRDefault="008B649D" w:rsidP="008B649D">
      <w:pPr>
        <w:jc w:val="both"/>
      </w:pPr>
    </w:p>
    <w:p w14:paraId="46649AE0" w14:textId="465F4C83" w:rsidR="00BB41E2" w:rsidRPr="00BB41E2" w:rsidRDefault="00081B3B" w:rsidP="001A4570">
      <w:pPr>
        <w:ind w:firstLine="567"/>
        <w:jc w:val="both"/>
      </w:pPr>
      <w:r>
        <w:t>First,</w:t>
      </w:r>
      <w:r w:rsidR="00966C3C" w:rsidRPr="00A52A16">
        <w:t xml:space="preserve"> </w:t>
      </w:r>
      <w:r w:rsidR="005B4177">
        <w:t xml:space="preserve">prosodic integration of the HM clause in the same intonation unit (IU) as the </w:t>
      </w:r>
      <w:r w:rsidR="00194AB5">
        <w:t>main/previous</w:t>
      </w:r>
      <w:r w:rsidR="005B4177">
        <w:t xml:space="preserve"> clause</w:t>
      </w:r>
      <w:r w:rsidR="007C151E">
        <w:t xml:space="preserve"> </w:t>
      </w:r>
      <w:r>
        <w:t xml:space="preserve">has been proposed as a factor signalling closer integration of the subordinate clause with its matrix </w:t>
      </w:r>
      <w:r w:rsidRPr="00081B3B">
        <w:t>(</w:t>
      </w:r>
      <w:r>
        <w:t xml:space="preserve">e.g., </w:t>
      </w:r>
      <w:r w:rsidRPr="00081B3B">
        <w:t>Smessaert et al. 2005; Verstraete 2007)</w:t>
      </w:r>
      <w:r>
        <w:t>. This is operationalised by analysing whether the HM clause is preceded by an intonation unit boundary or not</w:t>
      </w:r>
      <w:r w:rsidR="000B5B83">
        <w:t xml:space="preserve">, following the conventions of the ToBI system for English (e.g., </w:t>
      </w:r>
      <w:r w:rsidR="000B5B83">
        <w:fldChar w:fldCharType="begin"/>
      </w:r>
      <w:r w:rsidR="000B5B83">
        <w:instrText xml:space="preserve"> ADDIN ZOTERO_ITEM CSL_CITATION {"citationID":"ccdnu7AX","properties":{"formattedCitation":"(Silverman et al. 1992; Beckman, Hirschberg &amp; Shattuck-Hufnagel 2005)","plainCitation":"(Silverman et al. 1992; Beckman, Hirschberg &amp; Shattuck-Hufnagel 2005)","dontUpdate":true,"noteIndex":2},"citationItems":[{"id":836,"uris":["http://zotero.org/users/5024743/items/C9IZCZFC"],"itemData":{"id":836,"type":"paper-conference","container-title":"2nd International Conference on Spoken Language Processing (ICSLP 92)","event-place":"Banff, Alberta","event-title":"ICSLP 2","page":"867-870","publisher-place":"Banff, Alberta","title":"TOBI: A standard for labeling English prosody.","author":[{"family":"Silverman","given":"Kim"},{"family":"Beckman","given":"Mary E."},{"family":"Pitrelli","given":"John"},{"family":"Ostendorf","given":"Mari"},{"family":"Wightman","given":"Colin"},{"family":"Price","given":"Patti"},{"family":"Pierrehumbert","given":"Janet"},{"family":"Hirschberg","given":"Julia"}],"issued":{"date-parts":[["1992",10,12]]}}},{"id":2100,"uris":["http://zotero.org/users/5024743/items/SRZG8ART"],"itemData":{"id":2100,"type":"chapter","abstract":"In this chapter, the authors will try to identify the essential properties of a ToBI framework annotation system by describing the development and design of the original ToBI conventions. In this description, the authors will overview the general phonological theory and the specific theory of Mainstream American English intonation and prosody that the authors decided to incorporate in the original ToBI tags. The authors will also state the practical principles that led us to make the decisions that the authors did. The chapter is organised as follows. Section 2.2 briefly chronicles how the MAE_ToBI system came into being. Section 2.3 briefly describes the consensus account of English intonation and prosody on which the MAE_ToBI system is based. Section 2.4 catalogues the different components of a MAE_ToBI transcription and lists the salient rules which constrain the relationships between different components. This section also expands upon the theoretical foundations and practical consequences of adopting the general structure of multiple labelling tiers, and particularly the separation of the labels for tones from the labels for indexing prosodic boundary strength. Section 2.5 then describes some of the extensions of the basic ToBI tiers that have been adopted by some sites. This section also compares our decisions about the number of tiers and about inter-tier constraints with the analogous decisions for some of the other ToBI systems described in this book. Section 2.6 discusses the status of the symbolic labels relative to the continuous phonetic records that are also an obligatory component of the MAE_ToBI transcription. Section 2.7 then closes by listing several open research questions that the authors would like to see addressed by MAE_ToBI users and the larger ToBI community.","container-title":"Prosodic Models and Transcription: Towards Prosodic Typology","event-place":"Oxford","page":"9-54","publisher":"Oxford University Press","publisher-place":"Oxford","source":"academiccommons.columbia.edu","title":"Chapter 2: The Original ToBI System and the Evolution of the ToBI Framework","title-short":"Chapter 2","URL":"https://doi.org/10.7916/D87P97T5","author":[{"family":"Beckman","given":"Mary E."},{"family":"Hirschberg","given":"Julia Bell"},{"family":"Shattuck-Hufnagel","given":"Stefanie"}],"editor":[{"family":"Jun","given":"Sun-Ah"}],"accessed":{"date-parts":[["2023",11,21]]},"issued":{"date-parts":[["2005"]]}}}],"schema":"https://github.com/citation-style-language/schema/raw/master/csl-citation.json"} </w:instrText>
      </w:r>
      <w:r w:rsidR="000B5B83">
        <w:fldChar w:fldCharType="separate"/>
      </w:r>
      <w:r w:rsidR="000B5B83" w:rsidRPr="004F41DA">
        <w:t>Silverman et al. 1992; Beckman</w:t>
      </w:r>
      <w:r w:rsidR="00152BE4">
        <w:t xml:space="preserve"> et al.</w:t>
      </w:r>
      <w:r w:rsidR="000B5B83" w:rsidRPr="004F41DA">
        <w:t xml:space="preserve"> 2005)</w:t>
      </w:r>
      <w:r w:rsidR="000B5B83">
        <w:fldChar w:fldCharType="end"/>
      </w:r>
      <w:r w:rsidR="000B5B83">
        <w:t xml:space="preserve"> and the ToDI system for Dutch </w:t>
      </w:r>
      <w:r w:rsidR="000B5B83">
        <w:fldChar w:fldCharType="begin"/>
      </w:r>
      <w:r w:rsidR="000B5B83">
        <w:instrText xml:space="preserve"> ADDIN ZOTERO_ITEM CSL_CITATION {"citationID":"cbWwEKqS","properties":{"formattedCitation":"(Gussenhoven 2005)","plainCitation":"(Gussenhoven 2005)","noteIndex":2},"citationItems":[{"id":2102,"uris":["http://zotero.org/users/5024743/items/SDG8KWPN"],"itemData":{"id":2102,"type":"chapter","container-title":"Prosodic Typology: The Phonology of Intonation and Phrasing","event-place":"Oxford","page":"118-145","publisher":"Oxford University Press","publisher-place":"Oxford","title":"Transcription of Dutch intonation","author":[{"family":"Gussenhoven","given":"Carlos"}],"editor":[{"family":"Jun","given":"Sun-Ah"}],"issued":{"date-parts":[["2005"]]}}}],"schema":"https://github.com/citation-style-language/schema/raw/master/csl-citation.json"} </w:instrText>
      </w:r>
      <w:r w:rsidR="000B5B83">
        <w:fldChar w:fldCharType="separate"/>
      </w:r>
      <w:r w:rsidR="000B5B83" w:rsidRPr="004F41DA">
        <w:t>(Gussenhoven 2005)</w:t>
      </w:r>
      <w:r w:rsidR="000B5B83">
        <w:fldChar w:fldCharType="end"/>
      </w:r>
      <w:r w:rsidR="000B5B83">
        <w:t>. In both models, IU boundaries are identified by the presence of a boundary tone, or major pitch movement, that marks the end of the pitch contour associated with the IU. The disjuncture in pitch movement may be further accompanied by lengthening of the syllables at the end of the IU, by pausing, and/or variations in intensity (perceived as loudness)</w:t>
      </w:r>
      <w:r w:rsidR="00BB41E2">
        <w:t xml:space="preserve">. In the transcriptions, IU boundaries are indicated, numerically, by means of a so-called ‘break index’ (BI) of 4. For instance, in </w:t>
      </w:r>
      <w:r w:rsidR="00BB41E2">
        <w:fldChar w:fldCharType="begin"/>
      </w:r>
      <w:r w:rsidR="00BB41E2">
        <w:instrText xml:space="preserve"> REF _Ref170985372 \h </w:instrText>
      </w:r>
      <w:r w:rsidR="00BB41E2">
        <w:fldChar w:fldCharType="separate"/>
      </w:r>
      <w:r w:rsidR="008912AA">
        <w:t xml:space="preserve">Figure </w:t>
      </w:r>
      <w:r w:rsidR="008912AA">
        <w:rPr>
          <w:noProof/>
        </w:rPr>
        <w:t>1</w:t>
      </w:r>
      <w:r w:rsidR="00BB41E2">
        <w:fldChar w:fldCharType="end"/>
      </w:r>
      <w:r w:rsidR="00BB41E2">
        <w:t xml:space="preserve">, the HM clause </w:t>
      </w:r>
      <w:r w:rsidR="00BB41E2">
        <w:rPr>
          <w:i/>
          <w:iCs/>
        </w:rPr>
        <w:t>almost as if we can go on forever</w:t>
      </w:r>
      <w:r w:rsidR="00BB41E2">
        <w:t xml:space="preserve"> begins and ends with an IU boundary, which is annotated, on the third tier below the spectrogram, by the BI 4. This means that the HM clause is prosodically non-integrated, as it is uttered on a </w:t>
      </w:r>
      <w:r w:rsidR="001D5154">
        <w:t>separate</w:t>
      </w:r>
      <w:r w:rsidR="00BB41E2">
        <w:t xml:space="preserve"> IU.</w:t>
      </w:r>
    </w:p>
    <w:p w14:paraId="52687749" w14:textId="77777777" w:rsidR="00BB41E2" w:rsidRDefault="00BB41E2" w:rsidP="00BB41E2">
      <w:pPr>
        <w:jc w:val="both"/>
      </w:pPr>
    </w:p>
    <w:p w14:paraId="47BB651C" w14:textId="77777777" w:rsidR="00BB41E2" w:rsidRDefault="00BB41E2" w:rsidP="00DB2415">
      <w:pPr>
        <w:keepNext/>
        <w:jc w:val="both"/>
      </w:pPr>
      <w:r>
        <w:rPr>
          <w:noProof/>
        </w:rPr>
        <w:lastRenderedPageBreak/>
        <w:drawing>
          <wp:inline distT="0" distB="0" distL="0" distR="0" wp14:anchorId="66006400" wp14:editId="577A2AEA">
            <wp:extent cx="5708073" cy="3302578"/>
            <wp:effectExtent l="0" t="0" r="0" b="0"/>
            <wp:docPr id="273157324" name="Picture 1" descr="A close-up of a sound wa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157324" name="Picture 1" descr="A close-up of a sound wave&#10;&#10;Description automatically generated"/>
                    <pic:cNvPicPr/>
                  </pic:nvPicPr>
                  <pic:blipFill rotWithShape="1">
                    <a:blip r:embed="rId8" cstate="print">
                      <a:extLst>
                        <a:ext uri="{28A0092B-C50C-407E-A947-70E740481C1C}">
                          <a14:useLocalDpi xmlns:a14="http://schemas.microsoft.com/office/drawing/2010/main" val="0"/>
                        </a:ext>
                      </a:extLst>
                    </a:blip>
                    <a:srcRect r="2036"/>
                    <a:stretch/>
                  </pic:blipFill>
                  <pic:spPr bwMode="auto">
                    <a:xfrm>
                      <a:off x="0" y="0"/>
                      <a:ext cx="5710963" cy="3304250"/>
                    </a:xfrm>
                    <a:prstGeom prst="rect">
                      <a:avLst/>
                    </a:prstGeom>
                    <a:ln>
                      <a:noFill/>
                    </a:ln>
                    <a:extLst>
                      <a:ext uri="{53640926-AAD7-44D8-BBD7-CCE9431645EC}">
                        <a14:shadowObscured xmlns:a14="http://schemas.microsoft.com/office/drawing/2010/main"/>
                      </a:ext>
                    </a:extLst>
                  </pic:spPr>
                </pic:pic>
              </a:graphicData>
            </a:graphic>
          </wp:inline>
        </w:drawing>
      </w:r>
    </w:p>
    <w:p w14:paraId="192DD9FE" w14:textId="3DED8595" w:rsidR="00BB41E2" w:rsidRDefault="00BB41E2" w:rsidP="00DB2415">
      <w:pPr>
        <w:pStyle w:val="Caption"/>
        <w:jc w:val="both"/>
      </w:pPr>
      <w:bookmarkStart w:id="18" w:name="_Ref170985372"/>
      <w:r>
        <w:t xml:space="preserve">Figure </w:t>
      </w:r>
      <w:r>
        <w:fldChar w:fldCharType="begin"/>
      </w:r>
      <w:r>
        <w:instrText xml:space="preserve"> SEQ Figure \* ARABIC </w:instrText>
      </w:r>
      <w:r>
        <w:fldChar w:fldCharType="separate"/>
      </w:r>
      <w:r w:rsidR="008912AA">
        <w:rPr>
          <w:noProof/>
        </w:rPr>
        <w:t>1</w:t>
      </w:r>
      <w:r>
        <w:fldChar w:fldCharType="end"/>
      </w:r>
      <w:bookmarkEnd w:id="18"/>
      <w:r>
        <w:t xml:space="preserve">. </w:t>
      </w:r>
      <w:r>
        <w:rPr>
          <w:b w:val="0"/>
          <w:bCs/>
        </w:rPr>
        <w:t>Example of a ToBI transcription, including the visualisation of the pitch curve (in blue)</w:t>
      </w:r>
    </w:p>
    <w:p w14:paraId="0A7612CA" w14:textId="77777777" w:rsidR="00BB41E2" w:rsidRDefault="00BB41E2" w:rsidP="00BB41E2">
      <w:pPr>
        <w:jc w:val="both"/>
      </w:pPr>
    </w:p>
    <w:p w14:paraId="582F03AB" w14:textId="786233DE" w:rsidR="0004158C" w:rsidRDefault="000B5B83" w:rsidP="00BB41E2">
      <w:pPr>
        <w:jc w:val="both"/>
      </w:pPr>
      <w:r>
        <w:t xml:space="preserve">In addition to IU boundaries, ToBI, but not ToDI, also distinguishes ‘minor’ intonational phrase boundaries within the IU, so-called ‘intermediate phrase (ip) boundaries’ (Veilleux et al. 2006: Chapter 8). They are recognised, acoustically and perceptually, by ‘minor’ pitch movements, or ‘phrase tones’, which mark disjunctures in the pitch movement smaller than the IU boundaries but greater than ordinary word boundaries. </w:t>
      </w:r>
      <w:r w:rsidR="00BB41E2">
        <w:t xml:space="preserve">In the ToBI model, ip boundaries are annotated by a BI of 3 (for instance, between </w:t>
      </w:r>
      <w:r w:rsidR="00BB41E2">
        <w:rPr>
          <w:i/>
          <w:iCs/>
        </w:rPr>
        <w:t xml:space="preserve">funny </w:t>
      </w:r>
      <w:r w:rsidR="00BB41E2">
        <w:t xml:space="preserve">and </w:t>
      </w:r>
      <w:r w:rsidR="00BB41E2">
        <w:rPr>
          <w:i/>
          <w:iCs/>
        </w:rPr>
        <w:t xml:space="preserve">as </w:t>
      </w:r>
      <w:r w:rsidR="00BB41E2">
        <w:t xml:space="preserve">in Figure 1). </w:t>
      </w:r>
      <w:r>
        <w:t>However, since ToDI, unlike ToBI, annotates only IU boundaries, and not ip boundaries, the coding scheme will only consider the first, not the second, for reasons of comparability.</w:t>
      </w:r>
    </w:p>
    <w:p w14:paraId="28B8A901" w14:textId="18677B16" w:rsidR="00C15F2B" w:rsidRDefault="00511B09" w:rsidP="00DB2415">
      <w:pPr>
        <w:tabs>
          <w:tab w:val="left" w:pos="567"/>
        </w:tabs>
        <w:jc w:val="both"/>
      </w:pPr>
      <w:r>
        <w:tab/>
      </w:r>
      <w:r w:rsidR="00860A35">
        <w:t>Second</w:t>
      </w:r>
      <w:r w:rsidR="00E64F68">
        <w:t xml:space="preserve">, even if a subordinate clause and its matrix are uttered on separate IUs, they can be uttered on the same declination line – i.e., the gradual lowering of the pitch </w:t>
      </w:r>
      <w:r w:rsidR="00CC5916">
        <w:t xml:space="preserve">over consecutive IUs to a final low on the final IU – as the previous IU(s), signalling that they cohere as two parts of one message </w:t>
      </w:r>
      <w:r w:rsidR="00CC5916" w:rsidRPr="00CC5916">
        <w:t>(Tench 2011: 182)</w:t>
      </w:r>
      <w:r w:rsidR="00BE50FD">
        <w:t>.</w:t>
      </w:r>
      <w:r w:rsidR="005E4B0F">
        <w:t xml:space="preserve"> I</w:t>
      </w:r>
      <w:r w:rsidR="0010629A">
        <w:t>n such cases</w:t>
      </w:r>
      <w:r w:rsidR="005E4B0F">
        <w:t xml:space="preserve">, </w:t>
      </w:r>
      <w:r w:rsidR="0010629A">
        <w:t>the consecutive</w:t>
      </w:r>
      <w:r w:rsidR="007C5692">
        <w:t xml:space="preserve"> IUs may form what is called a ‘paratone’, i.e., a phonological paragraph, which “tend to be shorter than [written] paragraphs and may often be more equivalent to extended sentences” </w:t>
      </w:r>
      <w:r w:rsidR="007C5692" w:rsidRPr="007C5692">
        <w:t>(Tench 2011: 182)</w:t>
      </w:r>
      <w:r w:rsidR="007C5692">
        <w:t>. This factor is operationalised by quantifying the difference in pitch between the onset of the (first) IU of the HM clause and the end of the previous IU</w:t>
      </w:r>
      <w:r w:rsidR="00E56AFE">
        <w:t xml:space="preserve">, whereby positive values indicate that the pitch level of the onset of the HM clause is higher than the pitch level at the end of the previous </w:t>
      </w:r>
      <w:r w:rsidR="00E56AFE">
        <w:lastRenderedPageBreak/>
        <w:t>IU; negative values signal that the pitch level of the HM clause’s onset is lower</w:t>
      </w:r>
      <w:r w:rsidR="00E56AFE" w:rsidRPr="00A52A16">
        <w:t>.</w:t>
      </w:r>
      <w:r w:rsidR="007C5692">
        <w:t xml:space="preserve"> These measures </w:t>
      </w:r>
      <w:r w:rsidR="00FE03FA">
        <w:t>are</w:t>
      </w:r>
      <w:r w:rsidR="007C5692">
        <w:t xml:space="preserve"> taken using Praat</w:t>
      </w:r>
      <w:r w:rsidR="007B2626">
        <w:t xml:space="preserve"> (based on fundamental frequenc</w:t>
      </w:r>
      <w:r w:rsidR="00403245">
        <w:t>y</w:t>
      </w:r>
      <w:r w:rsidR="007B2626">
        <w:t xml:space="preserve"> in Hz), which </w:t>
      </w:r>
      <w:r w:rsidR="0010629A">
        <w:t>are then</w:t>
      </w:r>
      <w:r w:rsidR="007B2626">
        <w:t xml:space="preserve"> converted to semitones.</w:t>
      </w:r>
      <w:r w:rsidR="00403245">
        <w:t xml:space="preserve"> </w:t>
      </w:r>
      <w:r w:rsidR="00E56AFE">
        <w:t xml:space="preserve">Results from experimental studies suggest that a difference of 1.5 semitones is sufficient to create an impression of a difference in pitch </w:t>
      </w:r>
      <w:r w:rsidR="00E56AFE">
        <w:fldChar w:fldCharType="begin"/>
      </w:r>
      <w:r w:rsidR="00E56AFE">
        <w:instrText xml:space="preserve"> ADDIN ZOTERO_ITEM CSL_CITATION {"citationID":"fEsMTaNp","properties":{"formattedCitation":"(Rietveld &amp; Gussenhoven 1985: 304)","plainCitation":"(Rietveld &amp; Gussenhoven 1985: 304)","noteIndex":0},"citationItems":[{"id":2103,"uris":["http://zotero.org/users/5024743/items/W4K9IZLZ"],"itemData":{"id":2103,"type":"article-journal","container-title":"Journal of Phonetics","page":"299-308","title":"On the relation between pitch excursion size and prominence","volume":"13","author":[{"family":"Rietveld","given":"A.C.M."},{"family":"Gussenhoven","given":"Carlos"}],"issued":{"date-parts":[["1985"]]}},"locator":"304","label":"page"}],"schema":"https://github.com/citation-style-language/schema/raw/master/csl-citation.json"} </w:instrText>
      </w:r>
      <w:r w:rsidR="00E56AFE">
        <w:fldChar w:fldCharType="separate"/>
      </w:r>
      <w:r w:rsidR="00E56AFE" w:rsidRPr="00035160">
        <w:t xml:space="preserve">(Rietveld </w:t>
      </w:r>
      <w:r w:rsidR="00E56AFE">
        <w:t>and</w:t>
      </w:r>
      <w:r w:rsidR="00E56AFE" w:rsidRPr="00035160">
        <w:t xml:space="preserve"> Gussenhoven 1985: 304)</w:t>
      </w:r>
      <w:r w:rsidR="00E56AFE">
        <w:fldChar w:fldCharType="end"/>
      </w:r>
      <w:r w:rsidR="00E56AFE">
        <w:t xml:space="preserve">, while a difference of at least 3 semitones can be reliably considered to play a meaningful role in communication </w:t>
      </w:r>
      <w:r w:rsidR="00E56AFE">
        <w:fldChar w:fldCharType="begin"/>
      </w:r>
      <w:r w:rsidR="00E56AFE">
        <w:instrText xml:space="preserve"> ADDIN ZOTERO_ITEM CSL_CITATION {"citationID":"9sgQPvyu","properties":{"formattedCitation":"(\\uc0\\u8217{}t Hart 1981)","plainCitation":"(’t Hart 1981)","noteIndex":0},"citationItems":[{"id":2105,"uris":["http://zotero.org/users/5024743/items/WXQV32YV"],"itemData":{"id":2105,"type":"article-journal","abstract":"The fundamental frequency in speech shows many rapid variations, part of which determine the perceived shape of the pitch contour. This implies that the accuracy with which listeners perceive changes of F0 is more relevant to understanding the perception of intonation than the traditional just noticeable difference of F0 in speech. This study examines the sensitivity to differences in the amount of change of F0, upward (Experiment Ia) and downward (Experiment Ib). Subjects, 74 and 104, respectively, with widely different musical ability can be divided into three categories: (1) Quite a number of them were not able to discriminate differences of less than 4 semitones (nondiscriminators); (2) other subjects wrongly tried to base their judgments on a simple comparison of the final pitches of a stimulus pair (final pitch discriminators); (3) the remaining subjects (pitch distance discriminators) yielded average jnd’s of about 1.5 to 2 semitones. Since the issue is associated with musical interval sense, similar experiments were carried out using piano tones. The results were essentially the same as with the speech stimuli. The outcome suggests that only differences of more than 3 semitones play a part in communicative situations.","container-title":"The Journal of the Acoustical Society of America","DOI":"10.1121/1.385592","ISSN":"0001-4966","issue":"3","journalAbbreviation":"The Journal of the Acoustical Society of America","page":"811-821","source":"Silverchair","title":"Differential sensitivity to pitch distance, particularly in speech","volume":"69","author":[{"family":"Hart","given":"Johan","non-dropping-particle":"’t"}],"issued":{"date-parts":[["1981",3,1]]}}}],"schema":"https://github.com/citation-style-language/schema/raw/master/csl-citation.json"} </w:instrText>
      </w:r>
      <w:r w:rsidR="00E56AFE">
        <w:fldChar w:fldCharType="separate"/>
      </w:r>
      <w:r w:rsidR="00E56AFE" w:rsidRPr="0080792B">
        <w:rPr>
          <w:szCs w:val="24"/>
        </w:rPr>
        <w:t>(’t Hart 1981)</w:t>
      </w:r>
      <w:r w:rsidR="00E56AFE">
        <w:fldChar w:fldCharType="end"/>
      </w:r>
      <w:r w:rsidR="00E56AFE">
        <w:t>. To illustrate this</w:t>
      </w:r>
      <w:r w:rsidR="00C132E6">
        <w:t>, in Figure 1</w:t>
      </w:r>
      <w:r w:rsidR="00E56AFE">
        <w:t xml:space="preserve"> the pitch at the onset of the HM clause (</w:t>
      </w:r>
      <w:r w:rsidR="00E56AFE">
        <w:rPr>
          <w:i/>
          <w:iCs/>
        </w:rPr>
        <w:t>almost as if we can go on forever</w:t>
      </w:r>
      <w:r w:rsidR="00E56AFE">
        <w:t xml:space="preserve">) is 271 Hz, while pitch at the end of the previous IU (i.e. of the matrix </w:t>
      </w:r>
      <w:r w:rsidR="00E56AFE">
        <w:rPr>
          <w:i/>
          <w:iCs/>
        </w:rPr>
        <w:t>this might sound funny as the time’s gone on</w:t>
      </w:r>
      <w:r w:rsidR="00E56AFE">
        <w:t xml:space="preserve">) is (182 Hz). This </w:t>
      </w:r>
      <w:r w:rsidR="009D5E89">
        <w:t xml:space="preserve">difference of 89 Hz </w:t>
      </w:r>
      <w:r w:rsidR="00E56AFE">
        <w:t xml:space="preserve">corresponds to a difference of </w:t>
      </w:r>
      <w:r w:rsidR="00C132E6">
        <w:t>6.89 semitones</w:t>
      </w:r>
      <w:r w:rsidR="00E56AFE">
        <w:t xml:space="preserve">. The positive value indicates that the pitch is higher at the start of the HM clause than at the end of the previous IU. Additionally, the difference is bigger than 3 semitones and, hence, counts as a clearly noticeable step-up in pitch. </w:t>
      </w:r>
    </w:p>
    <w:p w14:paraId="324E0E2A" w14:textId="22B79033" w:rsidR="008773A3" w:rsidRDefault="00860A35" w:rsidP="001A4570">
      <w:pPr>
        <w:ind w:firstLine="567"/>
        <w:jc w:val="both"/>
      </w:pPr>
      <w:r>
        <w:t>Third</w:t>
      </w:r>
      <w:r w:rsidR="00403245">
        <w:t xml:space="preserve">, not just prosodic boundary placement but also pausing has been proposed as a factor contributing to the assumed ‘comma intonation’ </w:t>
      </w:r>
      <w:r w:rsidR="00F73DFD">
        <w:t xml:space="preserve">by which a weakly dependent or independent clause is marked off from the previous clause </w:t>
      </w:r>
      <w:r w:rsidR="00F73DFD" w:rsidRPr="00F73DFD">
        <w:t>(Smessaert et al. 2005: 498)</w:t>
      </w:r>
      <w:r w:rsidR="00F73DFD">
        <w:t xml:space="preserve">. </w:t>
      </w:r>
      <w:r w:rsidR="000B5B83">
        <w:t>Pauses typically, but not necessarily, occur after IU boundaries</w:t>
      </w:r>
      <w:r w:rsidR="008D0114">
        <w:t xml:space="preserve"> (as is the case in Figures 1 and 2)</w:t>
      </w:r>
      <w:r w:rsidR="000B5B83">
        <w:t xml:space="preserve">, so that the presence of a pause, to some extent, intersects with the prosodic boundary placement. However, what we are interested in here is not just the presence of a pause, but more importantly the length of the pause. </w:t>
      </w:r>
      <w:r w:rsidR="00F73DFD">
        <w:t>Hence, we calculate</w:t>
      </w:r>
      <w:r w:rsidR="00827737">
        <w:t>d</w:t>
      </w:r>
      <w:r w:rsidR="00F73DFD">
        <w:t xml:space="preserve">, in Praat, the time interval, if any, between the HM clause and the </w:t>
      </w:r>
      <w:r w:rsidR="00194AB5">
        <w:t>main/previous</w:t>
      </w:r>
      <w:r w:rsidR="00F73DFD">
        <w:t xml:space="preserve"> clause (in </w:t>
      </w:r>
      <w:r w:rsidR="00424981">
        <w:t>milli</w:t>
      </w:r>
      <w:r w:rsidR="00F73DFD">
        <w:t>seconds)</w:t>
      </w:r>
      <w:r w:rsidR="008D0114">
        <w:t xml:space="preserve">. In Figure </w:t>
      </w:r>
      <w:r w:rsidR="007B64C2">
        <w:t>1</w:t>
      </w:r>
      <w:r w:rsidR="008D0114">
        <w:t xml:space="preserve">, for instance, the interval between the matrix and the HM clause is </w:t>
      </w:r>
      <w:r w:rsidR="007B64C2">
        <w:t>1</w:t>
      </w:r>
      <w:r w:rsidR="008D0114">
        <w:t>,</w:t>
      </w:r>
      <w:r w:rsidR="007B64C2">
        <w:t>444</w:t>
      </w:r>
      <w:r w:rsidR="008D0114">
        <w:t xml:space="preserve"> ms. </w:t>
      </w:r>
      <w:r w:rsidR="00CA675E">
        <w:t xml:space="preserve">Generally, the weaker the link between the HM clause and the preceding clause, the longer the average time interval between them will </w:t>
      </w:r>
      <w:proofErr w:type="gramStart"/>
      <w:r w:rsidR="00CA675E">
        <w:t>be:</w:t>
      </w:r>
      <w:proofErr w:type="gramEnd"/>
      <w:r w:rsidR="00CA675E">
        <w:t xml:space="preserve"> that is, pauses are more likely to occur before free-standing clauses, and we can assume that they will also, in such cases, tend to be longer than before a dependent clause.</w:t>
      </w:r>
      <w:r>
        <w:t xml:space="preserve"> </w:t>
      </w:r>
    </w:p>
    <w:p w14:paraId="28845A3D" w14:textId="7723C406" w:rsidR="00E7297F" w:rsidRPr="00E7297F" w:rsidRDefault="000B5B83" w:rsidP="001A4570">
      <w:pPr>
        <w:ind w:firstLine="567"/>
        <w:jc w:val="both"/>
      </w:pPr>
      <w:r>
        <w:t xml:space="preserve">The last prosodic factor we are interested in is </w:t>
      </w:r>
      <w:r w:rsidR="00860A35">
        <w:t>the</w:t>
      </w:r>
      <w:r w:rsidR="00860A35" w:rsidRPr="00A52A16">
        <w:t xml:space="preserve"> pitch contour</w:t>
      </w:r>
      <w:r w:rsidR="00860A35">
        <w:t xml:space="preserve"> with which the HM clause is uttered</w:t>
      </w:r>
      <w:r>
        <w:t>, more specifically the ‘tone’ or direction of the pitch contour.</w:t>
      </w:r>
      <w:r>
        <w:rPr>
          <w:rStyle w:val="FootnoteReference"/>
        </w:rPr>
        <w:footnoteReference w:id="2"/>
      </w:r>
      <w:r>
        <w:t xml:space="preserve"> </w:t>
      </w:r>
      <w:r w:rsidR="00E85992">
        <w:t xml:space="preserve">This was operationalised by looking at the combination of the final pitch accent in the IU and the boundary (and phrasal) tone. From this combination the direction of the pitch contour can be interpreted into the following tonal categories for each language: fall, rise, fall-rise, rise-fall, and level for English, and fall, delayed, rise, fall-rise, and level for Dutch. </w:t>
      </w:r>
      <w:r w:rsidR="00E7297F">
        <w:t xml:space="preserve">For instance, in Figure 1, the HM clause ends in H*L-L% (i.e., a high pitch accent, followed by a low phrasal and boundary tone), or in other words in a fall. By contrast, in Figure 2, the HM clause </w:t>
      </w:r>
      <w:r w:rsidR="00E7297F">
        <w:rPr>
          <w:i/>
          <w:iCs/>
        </w:rPr>
        <w:t xml:space="preserve">alsof ze </w:t>
      </w:r>
      <w:r w:rsidR="00E7297F">
        <w:rPr>
          <w:i/>
          <w:iCs/>
        </w:rPr>
        <w:lastRenderedPageBreak/>
        <w:t>hierop hadden gewacht</w:t>
      </w:r>
      <w:r w:rsidR="00E7297F">
        <w:t xml:space="preserve"> (‘as if they had been waiting for this’) ends in L*H H%, which realises a rising tone (as shown by the rising pitch curve).</w:t>
      </w:r>
    </w:p>
    <w:p w14:paraId="62440EE3" w14:textId="77777777" w:rsidR="00E7297F" w:rsidRDefault="00E7297F" w:rsidP="00E7297F">
      <w:pPr>
        <w:jc w:val="both"/>
      </w:pPr>
    </w:p>
    <w:p w14:paraId="3C3E3C5F" w14:textId="77777777" w:rsidR="00E7297F" w:rsidRDefault="00E7297F" w:rsidP="00DB2415">
      <w:pPr>
        <w:keepNext/>
        <w:jc w:val="both"/>
      </w:pPr>
      <w:r>
        <w:rPr>
          <w:noProof/>
        </w:rPr>
        <w:drawing>
          <wp:inline distT="0" distB="0" distL="0" distR="0" wp14:anchorId="67D4D7F0" wp14:editId="5283456C">
            <wp:extent cx="5754189" cy="2963167"/>
            <wp:effectExtent l="0" t="0" r="0" b="0"/>
            <wp:docPr id="81813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1330" name="Picture 4"/>
                    <pic:cNvPicPr/>
                  </pic:nvPicPr>
                  <pic:blipFill rotWithShape="1">
                    <a:blip r:embed="rId9" cstate="print">
                      <a:extLst>
                        <a:ext uri="{28A0092B-C50C-407E-A947-70E740481C1C}">
                          <a14:useLocalDpi xmlns:a14="http://schemas.microsoft.com/office/drawing/2010/main" val="0"/>
                        </a:ext>
                      </a:extLst>
                    </a:blip>
                    <a:srcRect l="-205" r="1929"/>
                    <a:stretch/>
                  </pic:blipFill>
                  <pic:spPr bwMode="auto">
                    <a:xfrm>
                      <a:off x="0" y="0"/>
                      <a:ext cx="5783013" cy="2978010"/>
                    </a:xfrm>
                    <a:prstGeom prst="rect">
                      <a:avLst/>
                    </a:prstGeom>
                    <a:ln>
                      <a:noFill/>
                    </a:ln>
                    <a:extLst>
                      <a:ext uri="{53640926-AAD7-44D8-BBD7-CCE9431645EC}">
                        <a14:shadowObscured xmlns:a14="http://schemas.microsoft.com/office/drawing/2010/main"/>
                      </a:ext>
                    </a:extLst>
                  </pic:spPr>
                </pic:pic>
              </a:graphicData>
            </a:graphic>
          </wp:inline>
        </w:drawing>
      </w:r>
    </w:p>
    <w:p w14:paraId="786A73A6" w14:textId="79673B03" w:rsidR="00E7297F" w:rsidRDefault="00E7297F" w:rsidP="00DB2415">
      <w:pPr>
        <w:pStyle w:val="Caption"/>
        <w:jc w:val="both"/>
      </w:pPr>
      <w:r>
        <w:t xml:space="preserve">Figure </w:t>
      </w:r>
      <w:r>
        <w:fldChar w:fldCharType="begin"/>
      </w:r>
      <w:r>
        <w:instrText xml:space="preserve"> SEQ Figure \* ARABIC </w:instrText>
      </w:r>
      <w:r>
        <w:fldChar w:fldCharType="separate"/>
      </w:r>
      <w:r w:rsidR="008912AA">
        <w:rPr>
          <w:noProof/>
        </w:rPr>
        <w:t>2</w:t>
      </w:r>
      <w:r>
        <w:fldChar w:fldCharType="end"/>
      </w:r>
      <w:r>
        <w:t xml:space="preserve">. </w:t>
      </w:r>
      <w:r>
        <w:rPr>
          <w:b w:val="0"/>
          <w:bCs/>
        </w:rPr>
        <w:t>ToDI transcription, with a visualisation of the pitch curve (in blue)</w:t>
      </w:r>
    </w:p>
    <w:p w14:paraId="7EF1278A" w14:textId="77777777" w:rsidR="00E7297F" w:rsidRDefault="00E7297F" w:rsidP="00E7297F">
      <w:pPr>
        <w:jc w:val="both"/>
      </w:pPr>
    </w:p>
    <w:p w14:paraId="66FE7C81" w14:textId="723F3199" w:rsidR="003134A9" w:rsidRPr="00A52A16" w:rsidRDefault="000B5B83" w:rsidP="008B649D">
      <w:pPr>
        <w:jc w:val="both"/>
      </w:pPr>
      <w:r>
        <w:t xml:space="preserve">Tones </w:t>
      </w:r>
      <w:r w:rsidR="00860A35">
        <w:t xml:space="preserve">can have various functions, including the difference between the “equal” vs. “unequal” status of two conjuncts </w:t>
      </w:r>
      <w:r w:rsidR="00860A35" w:rsidRPr="006072AA">
        <w:rPr>
          <w:szCs w:val="24"/>
        </w:rPr>
        <w:t xml:space="preserve">(Halliday </w:t>
      </w:r>
      <w:r w:rsidR="007948AE">
        <w:rPr>
          <w:szCs w:val="24"/>
        </w:rPr>
        <w:t>and</w:t>
      </w:r>
      <w:r w:rsidR="00860A35" w:rsidRPr="006072AA">
        <w:rPr>
          <w:szCs w:val="24"/>
        </w:rPr>
        <w:t xml:space="preserve"> Matthiessen 2004: 373–374)</w:t>
      </w:r>
      <w:r w:rsidR="00860A35">
        <w:t xml:space="preserve">, the “meaning-function” (cf. pragmatic function) of a clause (e.g. </w:t>
      </w:r>
      <w:r w:rsidR="00860A35" w:rsidRPr="006072AA">
        <w:rPr>
          <w:szCs w:val="24"/>
        </w:rPr>
        <w:t xml:space="preserve">Gras </w:t>
      </w:r>
      <w:r w:rsidR="007948AE">
        <w:rPr>
          <w:szCs w:val="24"/>
        </w:rPr>
        <w:t>and</w:t>
      </w:r>
      <w:r w:rsidR="00860A35" w:rsidRPr="006072AA">
        <w:rPr>
          <w:szCs w:val="24"/>
        </w:rPr>
        <w:t xml:space="preserve"> Elvira-García 2021: 244)</w:t>
      </w:r>
      <w:r w:rsidR="00860A35" w:rsidRPr="00A52A16">
        <w:t xml:space="preserve">, </w:t>
      </w:r>
      <w:r w:rsidR="00860A35">
        <w:t xml:space="preserve">or attitudinal meanings </w:t>
      </w:r>
      <w:r w:rsidR="00860A35" w:rsidRPr="009E2938">
        <w:rPr>
          <w:szCs w:val="24"/>
        </w:rPr>
        <w:t xml:space="preserve">(Halliday 1967: 40–47; </w:t>
      </w:r>
      <w:r w:rsidR="00AD019F">
        <w:rPr>
          <w:szCs w:val="24"/>
        </w:rPr>
        <w:fldChar w:fldCharType="begin"/>
      </w:r>
      <w:r w:rsidR="009F5C9B">
        <w:rPr>
          <w:szCs w:val="24"/>
        </w:rPr>
        <w:instrText xml:space="preserve"> ADDIN ZOTERO_ITEM CSL_CITATION {"citationID":"07ydcdMs","properties":{"formattedCitation":"(Collins &amp; Mees 2003: 247)","plainCitation":"(Collins &amp; Mees 2003: 247)","dontUpdate":true,"noteIndex":0},"citationItems":[{"id":2110,"uris":["http://zotero.org/users/5024743/items/6VL57A8S"],"itemData":{"id":2110,"type":"book","event-place":"London","publisher":"Brill","publisher-place":"London","title":"The Phonetics of English and Dutch","author":[{"family":"Collins","given":"Beverley"},{"family":"Mees","given":"Inger M."}],"issued":{"date-parts":[["2003"]]}},"locator":"247","label":"page"}],"schema":"https://github.com/citation-style-language/schema/raw/master/csl-citation.json"} </w:instrText>
      </w:r>
      <w:r w:rsidR="00AD019F">
        <w:rPr>
          <w:szCs w:val="24"/>
        </w:rPr>
        <w:fldChar w:fldCharType="separate"/>
      </w:r>
      <w:r w:rsidR="00AD019F" w:rsidRPr="00AD019F">
        <w:t xml:space="preserve">Collins </w:t>
      </w:r>
      <w:r w:rsidR="007948AE">
        <w:t>and</w:t>
      </w:r>
      <w:r w:rsidR="00AD019F" w:rsidRPr="00AD019F">
        <w:t xml:space="preserve"> Mees 2003: 247)</w:t>
      </w:r>
      <w:r w:rsidR="00AD019F">
        <w:rPr>
          <w:szCs w:val="24"/>
        </w:rPr>
        <w:fldChar w:fldCharType="end"/>
      </w:r>
      <w:r w:rsidR="00860A35">
        <w:t>.</w:t>
      </w:r>
      <w:r w:rsidR="002668E8">
        <w:t xml:space="preserve"> The analysis of tone </w:t>
      </w:r>
      <w:r w:rsidR="0014525D">
        <w:t>allows us to examine whether these predictions – that is, that tone is used to reflect the difference in status between independent and subordinate clauses (Halliday 1967), or more specific ‘local’ meanings associated with a construction (such as contradiction, irony, which would appear to resonate with the function of ‘denial of assumption’) – are borne out for the data in this study</w:t>
      </w:r>
      <w:r w:rsidR="00E36C43">
        <w:t xml:space="preserve"> of English and Dutch HM clauses.</w:t>
      </w:r>
      <w:bookmarkStart w:id="19" w:name="_Hlk153457849"/>
    </w:p>
    <w:p w14:paraId="0643C39E" w14:textId="4C54C39C" w:rsidR="002475B0" w:rsidRDefault="002475B0" w:rsidP="00A42E26">
      <w:bookmarkStart w:id="20" w:name="_Ref134198925"/>
      <w:bookmarkEnd w:id="19"/>
    </w:p>
    <w:p w14:paraId="08139789" w14:textId="3D33C61B" w:rsidR="00446752" w:rsidRPr="00A52A16" w:rsidRDefault="00446752" w:rsidP="00446752">
      <w:pPr>
        <w:pStyle w:val="Heading1"/>
      </w:pPr>
      <w:r w:rsidRPr="00A52A16">
        <w:t>Results</w:t>
      </w:r>
      <w:bookmarkEnd w:id="20"/>
    </w:p>
    <w:p w14:paraId="72A91A83" w14:textId="6C509737" w:rsidR="00446752" w:rsidRDefault="00446752" w:rsidP="00446752"/>
    <w:p w14:paraId="6AC61C8D" w14:textId="32701F87" w:rsidR="00F322CC" w:rsidRDefault="00B74BE7" w:rsidP="00B74BE7">
      <w:pPr>
        <w:jc w:val="both"/>
      </w:pPr>
      <w:r>
        <w:t>This section outlines the results from the</w:t>
      </w:r>
      <w:r w:rsidR="00562E52">
        <w:t xml:space="preserve"> grammatical and </w:t>
      </w:r>
      <w:r w:rsidR="001F06D9">
        <w:t xml:space="preserve">semantic-pragmatic </w:t>
      </w:r>
      <w:r w:rsidR="00562E52">
        <w:t xml:space="preserve">analyses, as well as the </w:t>
      </w:r>
      <w:r>
        <w:t>prosodic analys</w:t>
      </w:r>
      <w:r w:rsidR="00562E52">
        <w:t>e</w:t>
      </w:r>
      <w:r>
        <w:t>s of HM clauses</w:t>
      </w:r>
      <w:r w:rsidR="00562E52">
        <w:t>,</w:t>
      </w:r>
      <w:r>
        <w:t xml:space="preserve"> in English and Dutch.</w:t>
      </w:r>
      <w:r w:rsidR="00562E52">
        <w:t xml:space="preserve"> First, we briefly describe the distribution of the data according to the syntactic and </w:t>
      </w:r>
      <w:r w:rsidR="00736B93">
        <w:t>semantic-pragmatic</w:t>
      </w:r>
      <w:r w:rsidR="00736B93" w:rsidDel="00736B93">
        <w:t xml:space="preserve"> </w:t>
      </w:r>
      <w:r w:rsidR="00562E52">
        <w:t xml:space="preserve">parameters, and interactions between them, in Section </w:t>
      </w:r>
      <w:r w:rsidR="00562E52">
        <w:fldChar w:fldCharType="begin"/>
      </w:r>
      <w:r w:rsidR="00562E52">
        <w:instrText xml:space="preserve"> REF _Ref135657701 \n \h </w:instrText>
      </w:r>
      <w:r w:rsidR="00562E52">
        <w:fldChar w:fldCharType="separate"/>
      </w:r>
      <w:r w:rsidR="008912AA">
        <w:t>3.1</w:t>
      </w:r>
      <w:r w:rsidR="00562E52">
        <w:fldChar w:fldCharType="end"/>
      </w:r>
      <w:r w:rsidR="00562E52">
        <w:t xml:space="preserve">. Then, we examine if the prosodic realisations of the HM clauses interact with those parameters in Section </w:t>
      </w:r>
      <w:r w:rsidR="00562E52">
        <w:fldChar w:fldCharType="begin"/>
      </w:r>
      <w:r w:rsidR="00562E52">
        <w:instrText xml:space="preserve"> REF _Ref135657780 \n \h </w:instrText>
      </w:r>
      <w:r w:rsidR="00562E52">
        <w:fldChar w:fldCharType="separate"/>
      </w:r>
      <w:r w:rsidR="008912AA">
        <w:t>3.2</w:t>
      </w:r>
      <w:r w:rsidR="00562E52">
        <w:fldChar w:fldCharType="end"/>
      </w:r>
      <w:r w:rsidR="00562E52">
        <w:t>.</w:t>
      </w:r>
    </w:p>
    <w:p w14:paraId="0367A2EF" w14:textId="2678BA48" w:rsidR="00F322CC" w:rsidRDefault="00F322CC" w:rsidP="00446752"/>
    <w:p w14:paraId="008F2C09" w14:textId="6EA08F45" w:rsidR="00B159C8" w:rsidRPr="00DE4D9B" w:rsidRDefault="00B159C8" w:rsidP="00DE4D9B">
      <w:pPr>
        <w:pStyle w:val="Heading2"/>
      </w:pPr>
      <w:bookmarkStart w:id="21" w:name="_Ref135657701"/>
      <w:r w:rsidRPr="00DE4D9B">
        <w:t xml:space="preserve">The interaction between syntactic dependency and </w:t>
      </w:r>
      <w:r w:rsidR="00E2443F" w:rsidRPr="00DE4D9B">
        <w:t>semantic-</w:t>
      </w:r>
      <w:r w:rsidRPr="00DE4D9B">
        <w:t>pragmatic function</w:t>
      </w:r>
      <w:bookmarkEnd w:id="21"/>
    </w:p>
    <w:p w14:paraId="0E7354E5" w14:textId="18E6CAB2" w:rsidR="00B159C8" w:rsidRDefault="00B159C8" w:rsidP="00446752"/>
    <w:p w14:paraId="36F3FE47" w14:textId="0EE6F005" w:rsidR="00BF7AB7" w:rsidRDefault="00BF7AB7" w:rsidP="006370E9">
      <w:pPr>
        <w:jc w:val="both"/>
      </w:pPr>
      <w:r>
        <w:t xml:space="preserve">In our datasets, strong correlations are found between syntactic (in)dependence and </w:t>
      </w:r>
      <w:r w:rsidR="00683807">
        <w:t>semantic-</w:t>
      </w:r>
      <w:r>
        <w:t>pragmatic function, both for English (</w:t>
      </w:r>
      <w:r w:rsidRPr="00AE1311">
        <w:rPr>
          <w:i/>
        </w:rPr>
        <w:t>χ</w:t>
      </w:r>
      <w:r>
        <w:t>²(6</w:t>
      </w:r>
      <w:r w:rsidR="002B69B2">
        <w:t xml:space="preserve">, </w:t>
      </w:r>
      <w:r w:rsidR="00E701F3">
        <w:rPr>
          <w:i/>
        </w:rPr>
        <w:t>N=</w:t>
      </w:r>
      <w:r w:rsidR="002B69B2">
        <w:t>156</w:t>
      </w:r>
      <w:r w:rsidR="00E701F3">
        <w:t>)=</w:t>
      </w:r>
      <w:r w:rsidR="00F528B1" w:rsidRPr="00F528B1">
        <w:t>116</w:t>
      </w:r>
      <w:r w:rsidR="007F4DCC" w:rsidRPr="007F4DCC">
        <w:t xml:space="preserve">, </w:t>
      </w:r>
      <w:r w:rsidR="007F4DCC" w:rsidRPr="007F4DCC">
        <w:rPr>
          <w:i/>
        </w:rPr>
        <w:t>p</w:t>
      </w:r>
      <w:r w:rsidR="007F4DCC" w:rsidRPr="007F4DCC">
        <w:t xml:space="preserve"> &lt; 0.001</w:t>
      </w:r>
      <w:r w:rsidR="007F4DCC">
        <w:t>;</w:t>
      </w:r>
      <w:r w:rsidR="007F4DCC" w:rsidRPr="007F4DCC">
        <w:t xml:space="preserve"> Cramer’s V: 0.</w:t>
      </w:r>
      <w:r w:rsidR="00D12742">
        <w:t>6</w:t>
      </w:r>
      <w:r w:rsidR="0047516B">
        <w:t>1</w:t>
      </w:r>
      <w:r>
        <w:t>) and for Dutch (</w:t>
      </w:r>
      <w:r w:rsidRPr="009F7C9D">
        <w:rPr>
          <w:i/>
        </w:rPr>
        <w:t>χ</w:t>
      </w:r>
      <w:r>
        <w:t>²(6</w:t>
      </w:r>
      <w:r w:rsidR="002B69B2">
        <w:t xml:space="preserve">, </w:t>
      </w:r>
      <w:r w:rsidR="00E701F3">
        <w:rPr>
          <w:i/>
        </w:rPr>
        <w:t>N=</w:t>
      </w:r>
      <w:r w:rsidR="002B69B2">
        <w:t>24</w:t>
      </w:r>
      <w:r w:rsidR="00E64825">
        <w:t>7</w:t>
      </w:r>
      <w:r w:rsidR="00E701F3">
        <w:t>)=</w:t>
      </w:r>
      <w:r w:rsidR="007F4DCC" w:rsidRPr="007F4DCC">
        <w:t>15</w:t>
      </w:r>
      <w:r w:rsidR="00E64825">
        <w:t>4</w:t>
      </w:r>
      <w:r w:rsidR="007F4DCC" w:rsidRPr="007F4DCC">
        <w:t>.</w:t>
      </w:r>
      <w:r w:rsidR="00E64825">
        <w:t>07</w:t>
      </w:r>
      <w:r w:rsidR="007F4DCC" w:rsidRPr="007F4DCC">
        <w:t xml:space="preserve">, </w:t>
      </w:r>
      <w:r w:rsidR="007F4DCC" w:rsidRPr="007F4DCC">
        <w:rPr>
          <w:i/>
        </w:rPr>
        <w:t>p</w:t>
      </w:r>
      <w:r w:rsidR="007F4DCC" w:rsidRPr="007F4DCC">
        <w:t xml:space="preserve"> &lt; 0.001</w:t>
      </w:r>
      <w:r w:rsidR="007F4DCC">
        <w:t xml:space="preserve">; </w:t>
      </w:r>
      <w:r w:rsidR="007F4DCC" w:rsidRPr="007F4DCC">
        <w:t>Cramer’s V: 0.55</w:t>
      </w:r>
      <w:r w:rsidR="00E64825">
        <w:t>8</w:t>
      </w:r>
      <w:r>
        <w:t>)</w:t>
      </w:r>
      <w:r w:rsidR="006E4842">
        <w:t xml:space="preserve"> (cf.</w:t>
      </w:r>
      <w:r w:rsidR="00810D37">
        <w:t xml:space="preserve"> </w:t>
      </w:r>
      <w:r w:rsidR="00810D37">
        <w:fldChar w:fldCharType="begin"/>
      </w:r>
      <w:r w:rsidR="00810D37">
        <w:instrText xml:space="preserve"> REF _Ref171584003 \h </w:instrText>
      </w:r>
      <w:r w:rsidR="00810D37">
        <w:fldChar w:fldCharType="separate"/>
      </w:r>
      <w:r w:rsidR="008912AA">
        <w:t xml:space="preserve">Table </w:t>
      </w:r>
      <w:r w:rsidR="008912AA">
        <w:rPr>
          <w:noProof/>
        </w:rPr>
        <w:t>4</w:t>
      </w:r>
      <w:r w:rsidR="00810D37">
        <w:fldChar w:fldCharType="end"/>
      </w:r>
      <w:r w:rsidR="00810D37">
        <w:t>,</w:t>
      </w:r>
      <w:r w:rsidR="006E4842">
        <w:t xml:space="preserve"> </w:t>
      </w:r>
      <w:r w:rsidR="006E4842">
        <w:fldChar w:fldCharType="begin"/>
      </w:r>
      <w:r w:rsidR="006E4842">
        <w:instrText xml:space="preserve"> REF _Ref132728966 \h </w:instrText>
      </w:r>
      <w:r w:rsidR="006E4842">
        <w:fldChar w:fldCharType="separate"/>
      </w:r>
      <w:r w:rsidR="008912AA">
        <w:t xml:space="preserve">Figure </w:t>
      </w:r>
      <w:r w:rsidR="008912AA">
        <w:rPr>
          <w:noProof/>
        </w:rPr>
        <w:t>3</w:t>
      </w:r>
      <w:r w:rsidR="006E4842">
        <w:fldChar w:fldCharType="end"/>
      </w:r>
      <w:r w:rsidR="006E4842">
        <w:t>)</w:t>
      </w:r>
      <w:r>
        <w:t xml:space="preserve">. </w:t>
      </w:r>
      <w:r w:rsidR="006E4842">
        <w:t>The standardized residuals indicate that the effect is mostly due, in both English and Dutch, to the concentration of ‘denial of assumption’ in syntactically independent clauses</w:t>
      </w:r>
      <w:r w:rsidR="00D601D3">
        <w:t xml:space="preserve"> (</w:t>
      </w:r>
      <w:r w:rsidR="002922DE">
        <w:t>r=</w:t>
      </w:r>
      <w:r w:rsidR="00D601D3">
        <w:t>4.</w:t>
      </w:r>
      <w:r w:rsidR="0047516B">
        <w:t>37</w:t>
      </w:r>
      <w:r w:rsidR="00D601D3">
        <w:t xml:space="preserve"> and </w:t>
      </w:r>
      <w:r w:rsidR="002922DE">
        <w:t>r=</w:t>
      </w:r>
      <w:r w:rsidR="00576608">
        <w:t>5.88 respectively</w:t>
      </w:r>
      <w:r w:rsidR="00D601D3">
        <w:t>)</w:t>
      </w:r>
      <w:r w:rsidR="006E4842">
        <w:t xml:space="preserve"> as well as to high frequency of ‘</w:t>
      </w:r>
      <w:r w:rsidR="00BF2834">
        <w:t xml:space="preserve">(hypothetical) </w:t>
      </w:r>
      <w:r w:rsidR="006E4842">
        <w:t>manner’ with weakly dependent clauses</w:t>
      </w:r>
      <w:r w:rsidR="00576608">
        <w:t xml:space="preserve"> (r</w:t>
      </w:r>
      <w:r w:rsidR="00E701F3">
        <w:t>=</w:t>
      </w:r>
      <w:r w:rsidR="00576608">
        <w:t>6.</w:t>
      </w:r>
      <w:r w:rsidR="0042774C">
        <w:t xml:space="preserve">42 </w:t>
      </w:r>
      <w:r w:rsidR="00576608">
        <w:t>and r</w:t>
      </w:r>
      <w:r w:rsidR="00E701F3">
        <w:t>=</w:t>
      </w:r>
      <w:r w:rsidR="00576608">
        <w:t>6.14 respectively)</w:t>
      </w:r>
      <w:r w:rsidR="006E4842">
        <w:t xml:space="preserve">. </w:t>
      </w:r>
      <w:r w:rsidR="002D66FA">
        <w:t>Still</w:t>
      </w:r>
      <w:r>
        <w:t>,</w:t>
      </w:r>
      <w:r w:rsidR="002D66FA">
        <w:t xml:space="preserve"> while</w:t>
      </w:r>
      <w:r>
        <w:t xml:space="preserve"> </w:t>
      </w:r>
      <w:r w:rsidR="002D66FA">
        <w:t>the data are overall similarly distributed in English and Dutch</w:t>
      </w:r>
      <w:r>
        <w:t xml:space="preserve">, </w:t>
      </w:r>
      <w:r w:rsidR="002D66FA">
        <w:t>some</w:t>
      </w:r>
      <w:r>
        <w:t xml:space="preserve"> notable divergences</w:t>
      </w:r>
      <w:r w:rsidR="002D66FA">
        <w:t xml:space="preserve"> between the two languages can be observed</w:t>
      </w:r>
      <w:r>
        <w:t>.</w:t>
      </w:r>
    </w:p>
    <w:p w14:paraId="496EC2CF" w14:textId="77777777" w:rsidR="00BF7AB7" w:rsidRDefault="00BF7AB7" w:rsidP="00FF60BE">
      <w:pPr>
        <w:jc w:val="both"/>
      </w:pPr>
    </w:p>
    <w:p w14:paraId="6EEDA2F8" w14:textId="05498ABD" w:rsidR="009D5BB4" w:rsidRDefault="009D5BB4" w:rsidP="00DB2415">
      <w:pPr>
        <w:pStyle w:val="Caption"/>
      </w:pPr>
      <w:bookmarkStart w:id="22" w:name="_Ref171584003"/>
      <w:r>
        <w:t xml:space="preserve">Table </w:t>
      </w:r>
      <w:r>
        <w:fldChar w:fldCharType="begin"/>
      </w:r>
      <w:r>
        <w:instrText xml:space="preserve"> SEQ Table \* ARABIC </w:instrText>
      </w:r>
      <w:r>
        <w:fldChar w:fldCharType="separate"/>
      </w:r>
      <w:r w:rsidR="008B649D">
        <w:rPr>
          <w:noProof/>
        </w:rPr>
        <w:t>4</w:t>
      </w:r>
      <w:r>
        <w:fldChar w:fldCharType="end"/>
      </w:r>
      <w:bookmarkEnd w:id="22"/>
      <w:r>
        <w:t xml:space="preserve">. </w:t>
      </w:r>
      <w:r>
        <w:rPr>
          <w:b w:val="0"/>
          <w:bCs/>
        </w:rPr>
        <w:t>Frequency of semantic functions per syntactic dependency status for English and Dutch</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1987"/>
        <w:gridCol w:w="1110"/>
        <w:gridCol w:w="230"/>
        <w:gridCol w:w="880"/>
        <w:gridCol w:w="193"/>
        <w:gridCol w:w="918"/>
        <w:gridCol w:w="1110"/>
        <w:gridCol w:w="91"/>
        <w:gridCol w:w="1019"/>
        <w:gridCol w:w="1111"/>
      </w:tblGrid>
      <w:tr w:rsidR="00B91D8C" w14:paraId="5FA60F6B" w14:textId="0FCEE288" w:rsidTr="00DB2415">
        <w:tc>
          <w:tcPr>
            <w:tcW w:w="3750" w:type="dxa"/>
            <w:gridSpan w:val="4"/>
            <w:tcBorders>
              <w:top w:val="single" w:sz="4" w:space="0" w:color="auto"/>
              <w:bottom w:val="single" w:sz="4" w:space="0" w:color="auto"/>
            </w:tcBorders>
          </w:tcPr>
          <w:p w14:paraId="60219C14" w14:textId="133F4B76" w:rsidR="00B91D8C" w:rsidRDefault="00B91D8C" w:rsidP="00FF60BE">
            <w:pPr>
              <w:jc w:val="both"/>
            </w:pPr>
            <w:r w:rsidRPr="00DB2415">
              <w:rPr>
                <w:b/>
                <w:bCs/>
              </w:rPr>
              <w:t>English</w:t>
            </w:r>
          </w:p>
        </w:tc>
        <w:tc>
          <w:tcPr>
            <w:tcW w:w="5322" w:type="dxa"/>
            <w:gridSpan w:val="7"/>
            <w:tcBorders>
              <w:top w:val="single" w:sz="4" w:space="0" w:color="auto"/>
              <w:bottom w:val="single" w:sz="4" w:space="0" w:color="auto"/>
            </w:tcBorders>
            <w:vAlign w:val="center"/>
          </w:tcPr>
          <w:p w14:paraId="7A361BDB" w14:textId="13BE2D4C" w:rsidR="00B91D8C" w:rsidRDefault="00B91D8C" w:rsidP="00DB2415">
            <w:pPr>
              <w:jc w:val="center"/>
            </w:pPr>
          </w:p>
        </w:tc>
      </w:tr>
      <w:tr w:rsidR="00810D37" w14:paraId="363BAFF2" w14:textId="236EA609" w:rsidTr="00DB2415">
        <w:tc>
          <w:tcPr>
            <w:tcW w:w="423" w:type="dxa"/>
            <w:tcBorders>
              <w:top w:val="single" w:sz="4" w:space="0" w:color="auto"/>
              <w:bottom w:val="nil"/>
            </w:tcBorders>
          </w:tcPr>
          <w:p w14:paraId="0A531224" w14:textId="77777777" w:rsidR="00810D37" w:rsidRDefault="00810D37" w:rsidP="00810D37">
            <w:pPr>
              <w:jc w:val="both"/>
            </w:pPr>
          </w:p>
        </w:tc>
        <w:tc>
          <w:tcPr>
            <w:tcW w:w="1987" w:type="dxa"/>
            <w:tcBorders>
              <w:top w:val="single" w:sz="4" w:space="0" w:color="auto"/>
              <w:bottom w:val="single" w:sz="4" w:space="0" w:color="auto"/>
            </w:tcBorders>
          </w:tcPr>
          <w:p w14:paraId="00AA5E55" w14:textId="61335BBB" w:rsidR="00810D37" w:rsidRDefault="00810D37" w:rsidP="00810D37">
            <w:pPr>
              <w:jc w:val="both"/>
            </w:pPr>
          </w:p>
        </w:tc>
        <w:tc>
          <w:tcPr>
            <w:tcW w:w="2220" w:type="dxa"/>
            <w:gridSpan w:val="3"/>
            <w:tcBorders>
              <w:top w:val="single" w:sz="4" w:space="0" w:color="auto"/>
              <w:bottom w:val="single" w:sz="4" w:space="0" w:color="auto"/>
            </w:tcBorders>
            <w:vAlign w:val="center"/>
          </w:tcPr>
          <w:p w14:paraId="6FA4DA7D" w14:textId="13AF8ECB" w:rsidR="00810D37" w:rsidRDefault="00810D37" w:rsidP="00DB2415">
            <w:pPr>
              <w:jc w:val="center"/>
            </w:pPr>
            <w:r>
              <w:t>Strong</w:t>
            </w:r>
          </w:p>
        </w:tc>
        <w:tc>
          <w:tcPr>
            <w:tcW w:w="2221" w:type="dxa"/>
            <w:gridSpan w:val="3"/>
            <w:tcBorders>
              <w:top w:val="single" w:sz="4" w:space="0" w:color="auto"/>
              <w:bottom w:val="single" w:sz="4" w:space="0" w:color="auto"/>
            </w:tcBorders>
            <w:vAlign w:val="center"/>
          </w:tcPr>
          <w:p w14:paraId="22F189EB" w14:textId="4018BBAB" w:rsidR="00810D37" w:rsidRDefault="00810D37" w:rsidP="00DB2415">
            <w:pPr>
              <w:jc w:val="center"/>
            </w:pPr>
            <w:r>
              <w:t>Weak</w:t>
            </w:r>
          </w:p>
        </w:tc>
        <w:tc>
          <w:tcPr>
            <w:tcW w:w="2221" w:type="dxa"/>
            <w:gridSpan w:val="3"/>
            <w:tcBorders>
              <w:top w:val="single" w:sz="4" w:space="0" w:color="auto"/>
              <w:bottom w:val="single" w:sz="4" w:space="0" w:color="auto"/>
            </w:tcBorders>
            <w:vAlign w:val="center"/>
          </w:tcPr>
          <w:p w14:paraId="2744C834" w14:textId="4C62F869" w:rsidR="00810D37" w:rsidRDefault="00810D37" w:rsidP="00DB2415">
            <w:pPr>
              <w:jc w:val="center"/>
            </w:pPr>
            <w:r>
              <w:t>Independent</w:t>
            </w:r>
          </w:p>
        </w:tc>
      </w:tr>
      <w:tr w:rsidR="00810D37" w14:paraId="04C149F0" w14:textId="62A5159B" w:rsidTr="00DB2415">
        <w:tc>
          <w:tcPr>
            <w:tcW w:w="423" w:type="dxa"/>
            <w:tcBorders>
              <w:top w:val="nil"/>
            </w:tcBorders>
          </w:tcPr>
          <w:p w14:paraId="7E3C0FB4" w14:textId="6D165F8A" w:rsidR="00810D37" w:rsidRDefault="00810D37" w:rsidP="00810D37">
            <w:pPr>
              <w:jc w:val="both"/>
            </w:pPr>
          </w:p>
        </w:tc>
        <w:tc>
          <w:tcPr>
            <w:tcW w:w="1987" w:type="dxa"/>
            <w:tcBorders>
              <w:top w:val="single" w:sz="4" w:space="0" w:color="auto"/>
            </w:tcBorders>
          </w:tcPr>
          <w:p w14:paraId="2AD9A092" w14:textId="7C29220C" w:rsidR="00810D37" w:rsidRDefault="00810D37" w:rsidP="00810D37">
            <w:pPr>
              <w:jc w:val="both"/>
            </w:pPr>
            <w:r>
              <w:t>Manner</w:t>
            </w:r>
          </w:p>
        </w:tc>
        <w:tc>
          <w:tcPr>
            <w:tcW w:w="1110" w:type="dxa"/>
            <w:tcBorders>
              <w:top w:val="single" w:sz="4" w:space="0" w:color="auto"/>
            </w:tcBorders>
            <w:vAlign w:val="center"/>
          </w:tcPr>
          <w:p w14:paraId="21F19D9D" w14:textId="72808F68" w:rsidR="00810D37" w:rsidRDefault="00810D37" w:rsidP="00DB2415">
            <w:pPr>
              <w:jc w:val="right"/>
            </w:pPr>
            <w:r>
              <w:t>7</w:t>
            </w:r>
          </w:p>
        </w:tc>
        <w:tc>
          <w:tcPr>
            <w:tcW w:w="1110" w:type="dxa"/>
            <w:gridSpan w:val="2"/>
            <w:tcBorders>
              <w:top w:val="single" w:sz="4" w:space="0" w:color="auto"/>
            </w:tcBorders>
            <w:vAlign w:val="center"/>
          </w:tcPr>
          <w:p w14:paraId="2CA3AAD1" w14:textId="7B139EC8" w:rsidR="00810D37" w:rsidRDefault="00810D37" w:rsidP="00DB2415">
            <w:r>
              <w:t>(13%)</w:t>
            </w:r>
          </w:p>
        </w:tc>
        <w:tc>
          <w:tcPr>
            <w:tcW w:w="1111" w:type="dxa"/>
            <w:gridSpan w:val="2"/>
            <w:tcBorders>
              <w:top w:val="single" w:sz="4" w:space="0" w:color="auto"/>
            </w:tcBorders>
            <w:vAlign w:val="center"/>
          </w:tcPr>
          <w:p w14:paraId="46A159A1" w14:textId="58C1CB00" w:rsidR="00810D37" w:rsidRDefault="00810D37" w:rsidP="00DB2415">
            <w:pPr>
              <w:jc w:val="right"/>
            </w:pPr>
            <w:r>
              <w:t>39</w:t>
            </w:r>
          </w:p>
        </w:tc>
        <w:tc>
          <w:tcPr>
            <w:tcW w:w="1110" w:type="dxa"/>
            <w:tcBorders>
              <w:top w:val="single" w:sz="4" w:space="0" w:color="auto"/>
            </w:tcBorders>
            <w:vAlign w:val="center"/>
          </w:tcPr>
          <w:p w14:paraId="79F1C9B7" w14:textId="5151FF3B" w:rsidR="00810D37" w:rsidRDefault="00810D37" w:rsidP="00DB2415">
            <w:r>
              <w:t>(9</w:t>
            </w:r>
            <w:r w:rsidR="0047516B">
              <w:t>3</w:t>
            </w:r>
            <w:r>
              <w:t>%)</w:t>
            </w:r>
          </w:p>
        </w:tc>
        <w:tc>
          <w:tcPr>
            <w:tcW w:w="1110" w:type="dxa"/>
            <w:gridSpan w:val="2"/>
            <w:tcBorders>
              <w:top w:val="single" w:sz="4" w:space="0" w:color="auto"/>
            </w:tcBorders>
            <w:vAlign w:val="center"/>
          </w:tcPr>
          <w:p w14:paraId="3D19F620" w14:textId="51B9601C" w:rsidR="00810D37" w:rsidRDefault="0047516B" w:rsidP="00DB2415">
            <w:pPr>
              <w:jc w:val="right"/>
            </w:pPr>
            <w:r>
              <w:t>8</w:t>
            </w:r>
          </w:p>
        </w:tc>
        <w:tc>
          <w:tcPr>
            <w:tcW w:w="1111" w:type="dxa"/>
            <w:tcBorders>
              <w:top w:val="single" w:sz="4" w:space="0" w:color="auto"/>
            </w:tcBorders>
            <w:vAlign w:val="center"/>
          </w:tcPr>
          <w:p w14:paraId="4BD47906" w14:textId="4FA8FEAB" w:rsidR="00810D37" w:rsidRDefault="00810D37" w:rsidP="00DB2415">
            <w:r>
              <w:t>(1</w:t>
            </w:r>
            <w:r w:rsidR="0047516B">
              <w:t>4</w:t>
            </w:r>
            <w:r>
              <w:t>%)</w:t>
            </w:r>
          </w:p>
        </w:tc>
      </w:tr>
      <w:tr w:rsidR="00810D37" w14:paraId="6C3748BD" w14:textId="55F5CE6B" w:rsidTr="00DB2415">
        <w:tc>
          <w:tcPr>
            <w:tcW w:w="423" w:type="dxa"/>
          </w:tcPr>
          <w:p w14:paraId="36F28458" w14:textId="0E5C2BA5" w:rsidR="00810D37" w:rsidRDefault="00810D37" w:rsidP="00810D37">
            <w:pPr>
              <w:jc w:val="both"/>
            </w:pPr>
          </w:p>
        </w:tc>
        <w:tc>
          <w:tcPr>
            <w:tcW w:w="1987" w:type="dxa"/>
          </w:tcPr>
          <w:p w14:paraId="063E2C38" w14:textId="510C2330" w:rsidR="00810D37" w:rsidRDefault="00810D37" w:rsidP="00810D37">
            <w:pPr>
              <w:jc w:val="both"/>
            </w:pPr>
            <w:r>
              <w:t>Qualification</w:t>
            </w:r>
          </w:p>
        </w:tc>
        <w:tc>
          <w:tcPr>
            <w:tcW w:w="1110" w:type="dxa"/>
            <w:vAlign w:val="center"/>
          </w:tcPr>
          <w:p w14:paraId="12CF6AAA" w14:textId="5A68000D" w:rsidR="00810D37" w:rsidRDefault="00810D37" w:rsidP="00DB2415">
            <w:pPr>
              <w:jc w:val="right"/>
            </w:pPr>
            <w:r>
              <w:t>27</w:t>
            </w:r>
          </w:p>
        </w:tc>
        <w:tc>
          <w:tcPr>
            <w:tcW w:w="1110" w:type="dxa"/>
            <w:gridSpan w:val="2"/>
            <w:vAlign w:val="center"/>
          </w:tcPr>
          <w:p w14:paraId="4015E450" w14:textId="560BC7F0" w:rsidR="00810D37" w:rsidRDefault="00810D37" w:rsidP="00DB2415">
            <w:r>
              <w:t>(48%)</w:t>
            </w:r>
          </w:p>
        </w:tc>
        <w:tc>
          <w:tcPr>
            <w:tcW w:w="1111" w:type="dxa"/>
            <w:gridSpan w:val="2"/>
            <w:vAlign w:val="center"/>
          </w:tcPr>
          <w:p w14:paraId="2DB6B253" w14:textId="213EC090" w:rsidR="00810D37" w:rsidRDefault="0047516B" w:rsidP="00DB2415">
            <w:pPr>
              <w:jc w:val="right"/>
            </w:pPr>
            <w:r>
              <w:t>3</w:t>
            </w:r>
          </w:p>
        </w:tc>
        <w:tc>
          <w:tcPr>
            <w:tcW w:w="1110" w:type="dxa"/>
            <w:vAlign w:val="center"/>
          </w:tcPr>
          <w:p w14:paraId="1A332462" w14:textId="7F6E1100" w:rsidR="00810D37" w:rsidRDefault="00810D37" w:rsidP="00DB2415">
            <w:r>
              <w:t>(</w:t>
            </w:r>
            <w:r w:rsidR="0047516B">
              <w:t>7</w:t>
            </w:r>
            <w:r>
              <w:t>%)</w:t>
            </w:r>
          </w:p>
        </w:tc>
        <w:tc>
          <w:tcPr>
            <w:tcW w:w="1110" w:type="dxa"/>
            <w:gridSpan w:val="2"/>
            <w:vAlign w:val="center"/>
          </w:tcPr>
          <w:p w14:paraId="43B93157" w14:textId="3C8F3226" w:rsidR="00810D37" w:rsidRDefault="00810D37" w:rsidP="00DB2415">
            <w:pPr>
              <w:jc w:val="right"/>
            </w:pPr>
            <w:r>
              <w:t>1</w:t>
            </w:r>
            <w:r w:rsidR="0047516B">
              <w:t>7</w:t>
            </w:r>
          </w:p>
        </w:tc>
        <w:tc>
          <w:tcPr>
            <w:tcW w:w="1111" w:type="dxa"/>
            <w:vAlign w:val="center"/>
          </w:tcPr>
          <w:p w14:paraId="37077461" w14:textId="5C83AD1A" w:rsidR="00810D37" w:rsidRDefault="00810D37" w:rsidP="00DB2415">
            <w:r>
              <w:t>(</w:t>
            </w:r>
            <w:r w:rsidR="0047516B">
              <w:t>29</w:t>
            </w:r>
            <w:r>
              <w:t>%)</w:t>
            </w:r>
          </w:p>
        </w:tc>
      </w:tr>
      <w:tr w:rsidR="00810D37" w14:paraId="4F805BA2" w14:textId="67C56A19" w:rsidTr="00DB2415">
        <w:tc>
          <w:tcPr>
            <w:tcW w:w="423" w:type="dxa"/>
            <w:tcBorders>
              <w:bottom w:val="nil"/>
            </w:tcBorders>
          </w:tcPr>
          <w:p w14:paraId="7B35601A" w14:textId="01030BD2" w:rsidR="00810D37" w:rsidRDefault="00810D37" w:rsidP="00810D37">
            <w:pPr>
              <w:jc w:val="both"/>
            </w:pPr>
          </w:p>
        </w:tc>
        <w:tc>
          <w:tcPr>
            <w:tcW w:w="1987" w:type="dxa"/>
          </w:tcPr>
          <w:p w14:paraId="1FEE79E4" w14:textId="59AED9F4" w:rsidR="00810D37" w:rsidRDefault="00810D37" w:rsidP="00810D37">
            <w:pPr>
              <w:jc w:val="both"/>
            </w:pPr>
            <w:r>
              <w:t>Cause</w:t>
            </w:r>
          </w:p>
        </w:tc>
        <w:tc>
          <w:tcPr>
            <w:tcW w:w="1110" w:type="dxa"/>
            <w:vAlign w:val="center"/>
          </w:tcPr>
          <w:p w14:paraId="478D4339" w14:textId="3B4BBC7D" w:rsidR="00810D37" w:rsidRDefault="00810D37" w:rsidP="00DB2415">
            <w:pPr>
              <w:jc w:val="right"/>
            </w:pPr>
            <w:r>
              <w:t>22</w:t>
            </w:r>
          </w:p>
        </w:tc>
        <w:tc>
          <w:tcPr>
            <w:tcW w:w="1110" w:type="dxa"/>
            <w:gridSpan w:val="2"/>
            <w:vAlign w:val="center"/>
          </w:tcPr>
          <w:p w14:paraId="3B9C7926" w14:textId="3EA5F6B8" w:rsidR="00810D37" w:rsidRDefault="00810D37" w:rsidP="00DB2415">
            <w:r>
              <w:t>(39%)</w:t>
            </w:r>
          </w:p>
        </w:tc>
        <w:tc>
          <w:tcPr>
            <w:tcW w:w="1111" w:type="dxa"/>
            <w:gridSpan w:val="2"/>
            <w:vAlign w:val="center"/>
          </w:tcPr>
          <w:p w14:paraId="6AE0337E" w14:textId="77777777" w:rsidR="00810D37" w:rsidRDefault="00810D37" w:rsidP="00DB2415">
            <w:pPr>
              <w:jc w:val="right"/>
            </w:pPr>
            <w:r>
              <w:t>0</w:t>
            </w:r>
          </w:p>
        </w:tc>
        <w:tc>
          <w:tcPr>
            <w:tcW w:w="1110" w:type="dxa"/>
            <w:vAlign w:val="center"/>
          </w:tcPr>
          <w:p w14:paraId="1AC6E3CA" w14:textId="4E0D2F66" w:rsidR="00810D37" w:rsidRDefault="00810D37" w:rsidP="00DB2415">
            <w:pPr>
              <w:jc w:val="center"/>
            </w:pPr>
          </w:p>
        </w:tc>
        <w:tc>
          <w:tcPr>
            <w:tcW w:w="1110" w:type="dxa"/>
            <w:gridSpan w:val="2"/>
            <w:vAlign w:val="center"/>
          </w:tcPr>
          <w:p w14:paraId="54B777FC" w14:textId="093E57D1" w:rsidR="00810D37" w:rsidRDefault="00810D37" w:rsidP="00DB2415">
            <w:pPr>
              <w:jc w:val="right"/>
            </w:pPr>
            <w:r>
              <w:t>15</w:t>
            </w:r>
          </w:p>
        </w:tc>
        <w:tc>
          <w:tcPr>
            <w:tcW w:w="1111" w:type="dxa"/>
            <w:vAlign w:val="center"/>
          </w:tcPr>
          <w:p w14:paraId="5B1D8C8E" w14:textId="42949B5B" w:rsidR="00810D37" w:rsidRDefault="00810D37" w:rsidP="00DB2415">
            <w:r>
              <w:t>(2</w:t>
            </w:r>
            <w:r w:rsidR="0047516B">
              <w:t>6</w:t>
            </w:r>
            <w:r>
              <w:t>%)</w:t>
            </w:r>
          </w:p>
        </w:tc>
      </w:tr>
      <w:tr w:rsidR="00810D37" w14:paraId="617FFAA9" w14:textId="378AD014" w:rsidTr="00DB2415">
        <w:tc>
          <w:tcPr>
            <w:tcW w:w="423" w:type="dxa"/>
            <w:tcBorders>
              <w:top w:val="nil"/>
              <w:bottom w:val="nil"/>
            </w:tcBorders>
          </w:tcPr>
          <w:p w14:paraId="0EDF5ADC" w14:textId="6CE93793" w:rsidR="00810D37" w:rsidRDefault="00810D37" w:rsidP="00810D37">
            <w:pPr>
              <w:jc w:val="both"/>
            </w:pPr>
          </w:p>
        </w:tc>
        <w:tc>
          <w:tcPr>
            <w:tcW w:w="1987" w:type="dxa"/>
            <w:tcBorders>
              <w:bottom w:val="single" w:sz="4" w:space="0" w:color="auto"/>
            </w:tcBorders>
          </w:tcPr>
          <w:p w14:paraId="0A482CD9" w14:textId="23EC469A" w:rsidR="00810D37" w:rsidRDefault="00810D37" w:rsidP="00810D37">
            <w:pPr>
              <w:jc w:val="both"/>
            </w:pPr>
            <w:r>
              <w:t>Denial</w:t>
            </w:r>
          </w:p>
        </w:tc>
        <w:tc>
          <w:tcPr>
            <w:tcW w:w="1110" w:type="dxa"/>
            <w:tcBorders>
              <w:bottom w:val="single" w:sz="4" w:space="0" w:color="auto"/>
            </w:tcBorders>
            <w:vAlign w:val="center"/>
          </w:tcPr>
          <w:p w14:paraId="5B393B9D" w14:textId="6445B251" w:rsidR="00810D37" w:rsidRDefault="00810D37" w:rsidP="00DB2415">
            <w:pPr>
              <w:jc w:val="right"/>
            </w:pPr>
            <w:r>
              <w:t>0</w:t>
            </w:r>
          </w:p>
        </w:tc>
        <w:tc>
          <w:tcPr>
            <w:tcW w:w="1110" w:type="dxa"/>
            <w:gridSpan w:val="2"/>
            <w:tcBorders>
              <w:bottom w:val="single" w:sz="4" w:space="0" w:color="auto"/>
            </w:tcBorders>
            <w:vAlign w:val="center"/>
          </w:tcPr>
          <w:p w14:paraId="49E5406F" w14:textId="5025F51D" w:rsidR="00810D37" w:rsidRDefault="00810D37" w:rsidP="00DB2415">
            <w:pPr>
              <w:jc w:val="center"/>
            </w:pPr>
          </w:p>
        </w:tc>
        <w:tc>
          <w:tcPr>
            <w:tcW w:w="1111" w:type="dxa"/>
            <w:gridSpan w:val="2"/>
            <w:tcBorders>
              <w:bottom w:val="single" w:sz="4" w:space="0" w:color="auto"/>
            </w:tcBorders>
            <w:vAlign w:val="center"/>
          </w:tcPr>
          <w:p w14:paraId="7626EADE" w14:textId="77777777" w:rsidR="00810D37" w:rsidRDefault="00810D37" w:rsidP="00DB2415">
            <w:pPr>
              <w:jc w:val="right"/>
            </w:pPr>
            <w:r>
              <w:t>0</w:t>
            </w:r>
          </w:p>
        </w:tc>
        <w:tc>
          <w:tcPr>
            <w:tcW w:w="1110" w:type="dxa"/>
            <w:tcBorders>
              <w:bottom w:val="single" w:sz="4" w:space="0" w:color="auto"/>
            </w:tcBorders>
            <w:vAlign w:val="center"/>
          </w:tcPr>
          <w:p w14:paraId="0DED2FE4" w14:textId="3B423639" w:rsidR="00810D37" w:rsidRDefault="00810D37" w:rsidP="00DB2415">
            <w:pPr>
              <w:jc w:val="center"/>
            </w:pPr>
          </w:p>
        </w:tc>
        <w:tc>
          <w:tcPr>
            <w:tcW w:w="1110" w:type="dxa"/>
            <w:gridSpan w:val="2"/>
            <w:tcBorders>
              <w:bottom w:val="single" w:sz="4" w:space="0" w:color="auto"/>
            </w:tcBorders>
            <w:vAlign w:val="center"/>
          </w:tcPr>
          <w:p w14:paraId="2E556A2B" w14:textId="639CEFAE" w:rsidR="00810D37" w:rsidRDefault="00810D37" w:rsidP="00DB2415">
            <w:pPr>
              <w:jc w:val="right"/>
            </w:pPr>
            <w:r>
              <w:t>18</w:t>
            </w:r>
          </w:p>
        </w:tc>
        <w:tc>
          <w:tcPr>
            <w:tcW w:w="1111" w:type="dxa"/>
            <w:tcBorders>
              <w:bottom w:val="single" w:sz="4" w:space="0" w:color="auto"/>
            </w:tcBorders>
            <w:vAlign w:val="center"/>
          </w:tcPr>
          <w:p w14:paraId="5F52F400" w14:textId="5A18D4E3" w:rsidR="00810D37" w:rsidRDefault="00810D37" w:rsidP="00DB2415">
            <w:r>
              <w:t>(3</w:t>
            </w:r>
            <w:r w:rsidR="0047516B">
              <w:t>1</w:t>
            </w:r>
            <w:r>
              <w:t>%)</w:t>
            </w:r>
          </w:p>
        </w:tc>
      </w:tr>
      <w:tr w:rsidR="00810D37" w14:paraId="02D87FE0" w14:textId="0F401D62" w:rsidTr="00DB2415">
        <w:tc>
          <w:tcPr>
            <w:tcW w:w="423" w:type="dxa"/>
            <w:tcBorders>
              <w:top w:val="nil"/>
              <w:bottom w:val="single" w:sz="4" w:space="0" w:color="auto"/>
            </w:tcBorders>
          </w:tcPr>
          <w:p w14:paraId="4B4351B2" w14:textId="62BE9BAE" w:rsidR="00810D37" w:rsidRPr="00810D37" w:rsidRDefault="00810D37" w:rsidP="00810D37">
            <w:pPr>
              <w:jc w:val="both"/>
              <w:rPr>
                <w:b/>
                <w:bCs/>
              </w:rPr>
            </w:pPr>
          </w:p>
        </w:tc>
        <w:tc>
          <w:tcPr>
            <w:tcW w:w="1987" w:type="dxa"/>
            <w:tcBorders>
              <w:bottom w:val="single" w:sz="4" w:space="0" w:color="auto"/>
            </w:tcBorders>
          </w:tcPr>
          <w:p w14:paraId="5092FB47" w14:textId="3A5D3712" w:rsidR="00810D37" w:rsidRPr="00DB2415" w:rsidRDefault="00810D37" w:rsidP="00810D37">
            <w:pPr>
              <w:jc w:val="both"/>
              <w:rPr>
                <w:b/>
                <w:bCs/>
              </w:rPr>
            </w:pPr>
            <w:r>
              <w:rPr>
                <w:b/>
                <w:bCs/>
              </w:rPr>
              <w:t>Total</w:t>
            </w:r>
          </w:p>
        </w:tc>
        <w:tc>
          <w:tcPr>
            <w:tcW w:w="2220" w:type="dxa"/>
            <w:gridSpan w:val="3"/>
            <w:tcBorders>
              <w:bottom w:val="single" w:sz="4" w:space="0" w:color="auto"/>
            </w:tcBorders>
            <w:vAlign w:val="center"/>
          </w:tcPr>
          <w:p w14:paraId="31BEBA58" w14:textId="584399E0" w:rsidR="00810D37" w:rsidRPr="00DB2415" w:rsidRDefault="00810D37" w:rsidP="00810D37">
            <w:pPr>
              <w:jc w:val="center"/>
              <w:rPr>
                <w:b/>
                <w:bCs/>
              </w:rPr>
            </w:pPr>
            <w:r w:rsidRPr="00DB2415">
              <w:rPr>
                <w:b/>
                <w:bCs/>
              </w:rPr>
              <w:t>56</w:t>
            </w:r>
            <w:r w:rsidR="00736B93">
              <w:rPr>
                <w:b/>
                <w:bCs/>
              </w:rPr>
              <w:t xml:space="preserve"> (100%)</w:t>
            </w:r>
          </w:p>
        </w:tc>
        <w:tc>
          <w:tcPr>
            <w:tcW w:w="2221" w:type="dxa"/>
            <w:gridSpan w:val="3"/>
            <w:tcBorders>
              <w:bottom w:val="single" w:sz="4" w:space="0" w:color="auto"/>
            </w:tcBorders>
            <w:vAlign w:val="center"/>
          </w:tcPr>
          <w:p w14:paraId="7CFF9CDA" w14:textId="05ABF8B6" w:rsidR="00810D37" w:rsidRPr="00DB2415" w:rsidRDefault="00810D37" w:rsidP="00810D37">
            <w:pPr>
              <w:jc w:val="center"/>
              <w:rPr>
                <w:b/>
                <w:bCs/>
              </w:rPr>
            </w:pPr>
            <w:r w:rsidRPr="00DB2415">
              <w:rPr>
                <w:b/>
                <w:bCs/>
              </w:rPr>
              <w:t>4</w:t>
            </w:r>
            <w:r w:rsidR="0047516B">
              <w:rPr>
                <w:b/>
                <w:bCs/>
              </w:rPr>
              <w:t>2</w:t>
            </w:r>
            <w:r w:rsidR="00736B93">
              <w:rPr>
                <w:b/>
                <w:bCs/>
              </w:rPr>
              <w:t xml:space="preserve"> (100%)</w:t>
            </w:r>
          </w:p>
        </w:tc>
        <w:tc>
          <w:tcPr>
            <w:tcW w:w="2221" w:type="dxa"/>
            <w:gridSpan w:val="3"/>
            <w:tcBorders>
              <w:bottom w:val="single" w:sz="4" w:space="0" w:color="auto"/>
            </w:tcBorders>
            <w:vAlign w:val="center"/>
          </w:tcPr>
          <w:p w14:paraId="7531640F" w14:textId="5A4C7F6C" w:rsidR="00810D37" w:rsidRPr="00DB2415" w:rsidRDefault="0047516B" w:rsidP="00810D37">
            <w:pPr>
              <w:jc w:val="center"/>
              <w:rPr>
                <w:b/>
                <w:bCs/>
              </w:rPr>
            </w:pPr>
            <w:r>
              <w:rPr>
                <w:b/>
                <w:bCs/>
              </w:rPr>
              <w:t xml:space="preserve">58 </w:t>
            </w:r>
            <w:r w:rsidR="00736B93">
              <w:rPr>
                <w:b/>
                <w:bCs/>
              </w:rPr>
              <w:t>(100%)</w:t>
            </w:r>
          </w:p>
        </w:tc>
      </w:tr>
      <w:tr w:rsidR="00810D37" w14:paraId="6DE958D6" w14:textId="77777777" w:rsidTr="00DB2415">
        <w:tc>
          <w:tcPr>
            <w:tcW w:w="2410" w:type="dxa"/>
            <w:gridSpan w:val="2"/>
            <w:tcBorders>
              <w:bottom w:val="single" w:sz="4" w:space="0" w:color="auto"/>
            </w:tcBorders>
          </w:tcPr>
          <w:p w14:paraId="7BB455AC" w14:textId="77777777" w:rsidR="00810D37" w:rsidRDefault="00810D37" w:rsidP="00810D37">
            <w:pPr>
              <w:jc w:val="both"/>
            </w:pPr>
          </w:p>
        </w:tc>
        <w:tc>
          <w:tcPr>
            <w:tcW w:w="2413" w:type="dxa"/>
            <w:gridSpan w:val="4"/>
            <w:tcBorders>
              <w:bottom w:val="single" w:sz="4" w:space="0" w:color="auto"/>
            </w:tcBorders>
            <w:vAlign w:val="center"/>
          </w:tcPr>
          <w:p w14:paraId="5047981A" w14:textId="77777777" w:rsidR="00810D37" w:rsidRDefault="00810D37" w:rsidP="00810D37">
            <w:pPr>
              <w:jc w:val="center"/>
            </w:pPr>
          </w:p>
        </w:tc>
        <w:tc>
          <w:tcPr>
            <w:tcW w:w="2119" w:type="dxa"/>
            <w:gridSpan w:val="3"/>
            <w:tcBorders>
              <w:bottom w:val="single" w:sz="4" w:space="0" w:color="auto"/>
            </w:tcBorders>
            <w:vAlign w:val="center"/>
          </w:tcPr>
          <w:p w14:paraId="65A2F795" w14:textId="77777777" w:rsidR="00810D37" w:rsidRDefault="00810D37" w:rsidP="00810D37">
            <w:pPr>
              <w:jc w:val="center"/>
            </w:pPr>
          </w:p>
        </w:tc>
        <w:tc>
          <w:tcPr>
            <w:tcW w:w="2130" w:type="dxa"/>
            <w:gridSpan w:val="2"/>
            <w:tcBorders>
              <w:bottom w:val="single" w:sz="4" w:space="0" w:color="auto"/>
            </w:tcBorders>
            <w:vAlign w:val="center"/>
          </w:tcPr>
          <w:p w14:paraId="3800FCAD" w14:textId="77777777" w:rsidR="00810D37" w:rsidRDefault="00810D37" w:rsidP="00810D37">
            <w:pPr>
              <w:jc w:val="center"/>
            </w:pPr>
          </w:p>
        </w:tc>
      </w:tr>
      <w:tr w:rsidR="00810D37" w14:paraId="22B2868B" w14:textId="785D36F3" w:rsidTr="00DB2415">
        <w:tc>
          <w:tcPr>
            <w:tcW w:w="2410" w:type="dxa"/>
            <w:gridSpan w:val="2"/>
            <w:tcBorders>
              <w:top w:val="single" w:sz="4" w:space="0" w:color="auto"/>
              <w:bottom w:val="single" w:sz="4" w:space="0" w:color="auto"/>
            </w:tcBorders>
          </w:tcPr>
          <w:p w14:paraId="2802E8CE" w14:textId="61936061" w:rsidR="00810D37" w:rsidRPr="009D5BB4" w:rsidRDefault="00810D37" w:rsidP="00810D37">
            <w:pPr>
              <w:jc w:val="both"/>
            </w:pPr>
            <w:r w:rsidRPr="00DB2415">
              <w:rPr>
                <w:b/>
                <w:bCs/>
              </w:rPr>
              <w:t>Dutch</w:t>
            </w:r>
          </w:p>
        </w:tc>
        <w:tc>
          <w:tcPr>
            <w:tcW w:w="2413" w:type="dxa"/>
            <w:gridSpan w:val="4"/>
            <w:tcBorders>
              <w:top w:val="single" w:sz="4" w:space="0" w:color="auto"/>
              <w:bottom w:val="single" w:sz="4" w:space="0" w:color="auto"/>
            </w:tcBorders>
            <w:vAlign w:val="center"/>
          </w:tcPr>
          <w:p w14:paraId="12A9EFE5" w14:textId="77777777" w:rsidR="00810D37" w:rsidRDefault="00810D37" w:rsidP="00810D37">
            <w:pPr>
              <w:jc w:val="center"/>
            </w:pPr>
          </w:p>
        </w:tc>
        <w:tc>
          <w:tcPr>
            <w:tcW w:w="2119" w:type="dxa"/>
            <w:gridSpan w:val="3"/>
            <w:tcBorders>
              <w:top w:val="single" w:sz="4" w:space="0" w:color="auto"/>
              <w:bottom w:val="single" w:sz="4" w:space="0" w:color="auto"/>
            </w:tcBorders>
            <w:vAlign w:val="center"/>
          </w:tcPr>
          <w:p w14:paraId="1C64DB7E" w14:textId="77777777" w:rsidR="00810D37" w:rsidRDefault="00810D37" w:rsidP="00810D37">
            <w:pPr>
              <w:jc w:val="center"/>
            </w:pPr>
          </w:p>
        </w:tc>
        <w:tc>
          <w:tcPr>
            <w:tcW w:w="2130" w:type="dxa"/>
            <w:gridSpan w:val="2"/>
            <w:tcBorders>
              <w:top w:val="single" w:sz="4" w:space="0" w:color="auto"/>
              <w:bottom w:val="single" w:sz="4" w:space="0" w:color="auto"/>
            </w:tcBorders>
            <w:vAlign w:val="center"/>
          </w:tcPr>
          <w:p w14:paraId="64452632" w14:textId="77777777" w:rsidR="00810D37" w:rsidRDefault="00810D37" w:rsidP="00810D37">
            <w:pPr>
              <w:jc w:val="center"/>
            </w:pPr>
          </w:p>
        </w:tc>
      </w:tr>
      <w:tr w:rsidR="00810D37" w14:paraId="71014C0E" w14:textId="6C49BA89" w:rsidTr="00DB2415">
        <w:tc>
          <w:tcPr>
            <w:tcW w:w="423" w:type="dxa"/>
            <w:tcBorders>
              <w:top w:val="single" w:sz="4" w:space="0" w:color="auto"/>
              <w:bottom w:val="nil"/>
            </w:tcBorders>
          </w:tcPr>
          <w:p w14:paraId="4E23973D" w14:textId="77777777" w:rsidR="00810D37" w:rsidRDefault="00810D37" w:rsidP="00810D37">
            <w:pPr>
              <w:jc w:val="both"/>
            </w:pPr>
          </w:p>
        </w:tc>
        <w:tc>
          <w:tcPr>
            <w:tcW w:w="1987" w:type="dxa"/>
            <w:tcBorders>
              <w:top w:val="single" w:sz="4" w:space="0" w:color="auto"/>
              <w:bottom w:val="single" w:sz="4" w:space="0" w:color="auto"/>
            </w:tcBorders>
          </w:tcPr>
          <w:p w14:paraId="734B8150" w14:textId="09098AEF" w:rsidR="00810D37" w:rsidRDefault="00810D37" w:rsidP="00810D37">
            <w:pPr>
              <w:jc w:val="both"/>
            </w:pPr>
          </w:p>
        </w:tc>
        <w:tc>
          <w:tcPr>
            <w:tcW w:w="2220" w:type="dxa"/>
            <w:gridSpan w:val="3"/>
            <w:tcBorders>
              <w:top w:val="single" w:sz="4" w:space="0" w:color="auto"/>
              <w:bottom w:val="single" w:sz="4" w:space="0" w:color="auto"/>
            </w:tcBorders>
            <w:vAlign w:val="center"/>
          </w:tcPr>
          <w:p w14:paraId="32ACD65F" w14:textId="373EBA4E" w:rsidR="00810D37" w:rsidRDefault="00810D37" w:rsidP="00810D37">
            <w:pPr>
              <w:jc w:val="center"/>
            </w:pPr>
            <w:r>
              <w:t>Strong</w:t>
            </w:r>
          </w:p>
        </w:tc>
        <w:tc>
          <w:tcPr>
            <w:tcW w:w="2221" w:type="dxa"/>
            <w:gridSpan w:val="3"/>
            <w:tcBorders>
              <w:top w:val="single" w:sz="4" w:space="0" w:color="auto"/>
              <w:bottom w:val="single" w:sz="4" w:space="0" w:color="auto"/>
            </w:tcBorders>
            <w:vAlign w:val="center"/>
          </w:tcPr>
          <w:p w14:paraId="2BA8BB2D" w14:textId="7C7E143B" w:rsidR="00810D37" w:rsidRDefault="00810D37" w:rsidP="00810D37">
            <w:pPr>
              <w:jc w:val="center"/>
            </w:pPr>
            <w:r>
              <w:t>Weak</w:t>
            </w:r>
          </w:p>
        </w:tc>
        <w:tc>
          <w:tcPr>
            <w:tcW w:w="2221" w:type="dxa"/>
            <w:gridSpan w:val="3"/>
            <w:tcBorders>
              <w:top w:val="single" w:sz="4" w:space="0" w:color="auto"/>
              <w:bottom w:val="single" w:sz="4" w:space="0" w:color="auto"/>
            </w:tcBorders>
            <w:vAlign w:val="center"/>
          </w:tcPr>
          <w:p w14:paraId="03217DD3" w14:textId="0BDB09BB" w:rsidR="00810D37" w:rsidRDefault="00810D37" w:rsidP="00810D37">
            <w:pPr>
              <w:jc w:val="center"/>
            </w:pPr>
            <w:r>
              <w:t>Independent</w:t>
            </w:r>
          </w:p>
        </w:tc>
      </w:tr>
      <w:tr w:rsidR="00810D37" w14:paraId="1BA7BFCE" w14:textId="26130BA8" w:rsidTr="00810D37">
        <w:tc>
          <w:tcPr>
            <w:tcW w:w="423" w:type="dxa"/>
            <w:tcBorders>
              <w:top w:val="nil"/>
            </w:tcBorders>
          </w:tcPr>
          <w:p w14:paraId="5EDAC021" w14:textId="18D03F70" w:rsidR="00810D37" w:rsidRDefault="00810D37" w:rsidP="00810D37">
            <w:pPr>
              <w:jc w:val="both"/>
            </w:pPr>
          </w:p>
        </w:tc>
        <w:tc>
          <w:tcPr>
            <w:tcW w:w="1987" w:type="dxa"/>
            <w:tcBorders>
              <w:top w:val="single" w:sz="4" w:space="0" w:color="auto"/>
            </w:tcBorders>
          </w:tcPr>
          <w:p w14:paraId="685F00A1" w14:textId="6AD98F80" w:rsidR="00810D37" w:rsidRDefault="00810D37" w:rsidP="00810D37">
            <w:pPr>
              <w:jc w:val="both"/>
            </w:pPr>
            <w:r>
              <w:t>Manner</w:t>
            </w:r>
          </w:p>
        </w:tc>
        <w:tc>
          <w:tcPr>
            <w:tcW w:w="1110" w:type="dxa"/>
            <w:tcBorders>
              <w:top w:val="single" w:sz="4" w:space="0" w:color="auto"/>
            </w:tcBorders>
            <w:vAlign w:val="center"/>
          </w:tcPr>
          <w:p w14:paraId="4DD93D55" w14:textId="77777777" w:rsidR="00810D37" w:rsidRDefault="00810D37" w:rsidP="00DB2415">
            <w:pPr>
              <w:jc w:val="right"/>
            </w:pPr>
            <w:r>
              <w:t>44</w:t>
            </w:r>
          </w:p>
        </w:tc>
        <w:tc>
          <w:tcPr>
            <w:tcW w:w="1110" w:type="dxa"/>
            <w:gridSpan w:val="2"/>
            <w:tcBorders>
              <w:top w:val="single" w:sz="4" w:space="0" w:color="auto"/>
            </w:tcBorders>
            <w:vAlign w:val="center"/>
          </w:tcPr>
          <w:p w14:paraId="1FA81BF9" w14:textId="5D20C58B" w:rsidR="00810D37" w:rsidRDefault="00810D37" w:rsidP="00DB2415">
            <w:r>
              <w:t>(49%)</w:t>
            </w:r>
          </w:p>
        </w:tc>
        <w:tc>
          <w:tcPr>
            <w:tcW w:w="1111" w:type="dxa"/>
            <w:gridSpan w:val="2"/>
            <w:tcBorders>
              <w:top w:val="single" w:sz="4" w:space="0" w:color="auto"/>
            </w:tcBorders>
            <w:vAlign w:val="center"/>
          </w:tcPr>
          <w:p w14:paraId="381FD8EB" w14:textId="77777777" w:rsidR="00810D37" w:rsidRDefault="00810D37" w:rsidP="00DB2415">
            <w:pPr>
              <w:jc w:val="right"/>
            </w:pPr>
            <w:r>
              <w:t>35</w:t>
            </w:r>
          </w:p>
        </w:tc>
        <w:tc>
          <w:tcPr>
            <w:tcW w:w="1110" w:type="dxa"/>
            <w:tcBorders>
              <w:top w:val="single" w:sz="4" w:space="0" w:color="auto"/>
            </w:tcBorders>
            <w:vAlign w:val="center"/>
          </w:tcPr>
          <w:p w14:paraId="0F45E020" w14:textId="01B5E4E7" w:rsidR="00810D37" w:rsidRDefault="00810D37" w:rsidP="00DB2415">
            <w:r>
              <w:t>(92%)</w:t>
            </w:r>
          </w:p>
        </w:tc>
        <w:tc>
          <w:tcPr>
            <w:tcW w:w="1110" w:type="dxa"/>
            <w:gridSpan w:val="2"/>
            <w:tcBorders>
              <w:top w:val="single" w:sz="4" w:space="0" w:color="auto"/>
            </w:tcBorders>
            <w:vAlign w:val="center"/>
          </w:tcPr>
          <w:p w14:paraId="45F1BE0E" w14:textId="77777777" w:rsidR="00810D37" w:rsidRDefault="00810D37" w:rsidP="00DB2415">
            <w:pPr>
              <w:jc w:val="right"/>
            </w:pPr>
            <w:r>
              <w:t>5</w:t>
            </w:r>
          </w:p>
        </w:tc>
        <w:tc>
          <w:tcPr>
            <w:tcW w:w="1111" w:type="dxa"/>
            <w:tcBorders>
              <w:top w:val="single" w:sz="4" w:space="0" w:color="auto"/>
            </w:tcBorders>
            <w:vAlign w:val="center"/>
          </w:tcPr>
          <w:p w14:paraId="06B3D5BD" w14:textId="4D94F337" w:rsidR="00810D37" w:rsidRDefault="00810D37" w:rsidP="00DB2415">
            <w:r>
              <w:t>(4%)</w:t>
            </w:r>
          </w:p>
        </w:tc>
      </w:tr>
      <w:tr w:rsidR="00810D37" w14:paraId="347C21F8" w14:textId="45233720" w:rsidTr="00810D37">
        <w:tc>
          <w:tcPr>
            <w:tcW w:w="423" w:type="dxa"/>
          </w:tcPr>
          <w:p w14:paraId="56642AC4" w14:textId="081E580C" w:rsidR="00810D37" w:rsidRDefault="00810D37" w:rsidP="00810D37">
            <w:pPr>
              <w:jc w:val="both"/>
            </w:pPr>
          </w:p>
        </w:tc>
        <w:tc>
          <w:tcPr>
            <w:tcW w:w="1987" w:type="dxa"/>
          </w:tcPr>
          <w:p w14:paraId="3532080D" w14:textId="37630E5F" w:rsidR="00810D37" w:rsidRDefault="00810D37" w:rsidP="00810D37">
            <w:pPr>
              <w:jc w:val="both"/>
            </w:pPr>
            <w:r>
              <w:t>Qualification</w:t>
            </w:r>
          </w:p>
        </w:tc>
        <w:tc>
          <w:tcPr>
            <w:tcW w:w="1110" w:type="dxa"/>
            <w:vAlign w:val="center"/>
          </w:tcPr>
          <w:p w14:paraId="5B99CD9E" w14:textId="77777777" w:rsidR="00810D37" w:rsidRDefault="00810D37" w:rsidP="00DB2415">
            <w:pPr>
              <w:jc w:val="right"/>
            </w:pPr>
            <w:r>
              <w:t>29</w:t>
            </w:r>
          </w:p>
        </w:tc>
        <w:tc>
          <w:tcPr>
            <w:tcW w:w="1110" w:type="dxa"/>
            <w:gridSpan w:val="2"/>
            <w:vAlign w:val="center"/>
          </w:tcPr>
          <w:p w14:paraId="5B6BB084" w14:textId="1B915025" w:rsidR="00810D37" w:rsidRDefault="00810D37" w:rsidP="00DB2415">
            <w:r>
              <w:t>(32%)</w:t>
            </w:r>
          </w:p>
        </w:tc>
        <w:tc>
          <w:tcPr>
            <w:tcW w:w="1111" w:type="dxa"/>
            <w:gridSpan w:val="2"/>
            <w:vAlign w:val="center"/>
          </w:tcPr>
          <w:p w14:paraId="24A4DA4F" w14:textId="77777777" w:rsidR="00810D37" w:rsidRDefault="00810D37" w:rsidP="00DB2415">
            <w:pPr>
              <w:jc w:val="right"/>
            </w:pPr>
            <w:r>
              <w:t>2</w:t>
            </w:r>
          </w:p>
        </w:tc>
        <w:tc>
          <w:tcPr>
            <w:tcW w:w="1110" w:type="dxa"/>
            <w:vAlign w:val="center"/>
          </w:tcPr>
          <w:p w14:paraId="4D5F90F8" w14:textId="2C35CCB4" w:rsidR="00810D37" w:rsidRDefault="00810D37" w:rsidP="00DB2415">
            <w:r>
              <w:t>(5%)</w:t>
            </w:r>
          </w:p>
        </w:tc>
        <w:tc>
          <w:tcPr>
            <w:tcW w:w="1110" w:type="dxa"/>
            <w:gridSpan w:val="2"/>
            <w:vAlign w:val="center"/>
          </w:tcPr>
          <w:p w14:paraId="73A43AA0" w14:textId="77777777" w:rsidR="00810D37" w:rsidRDefault="00810D37" w:rsidP="00DB2415">
            <w:pPr>
              <w:jc w:val="right"/>
            </w:pPr>
            <w:r>
              <w:t>34</w:t>
            </w:r>
          </w:p>
        </w:tc>
        <w:tc>
          <w:tcPr>
            <w:tcW w:w="1111" w:type="dxa"/>
            <w:vAlign w:val="center"/>
          </w:tcPr>
          <w:p w14:paraId="66494BD7" w14:textId="78DBF771" w:rsidR="00810D37" w:rsidRDefault="00810D37" w:rsidP="00DB2415">
            <w:r>
              <w:t>(29%)</w:t>
            </w:r>
          </w:p>
        </w:tc>
      </w:tr>
      <w:tr w:rsidR="00810D37" w14:paraId="42FB3D65" w14:textId="5F4CB227" w:rsidTr="00810D37">
        <w:tc>
          <w:tcPr>
            <w:tcW w:w="423" w:type="dxa"/>
            <w:tcBorders>
              <w:bottom w:val="nil"/>
            </w:tcBorders>
          </w:tcPr>
          <w:p w14:paraId="16C122FE" w14:textId="0F248C38" w:rsidR="00810D37" w:rsidRDefault="00810D37" w:rsidP="00810D37">
            <w:pPr>
              <w:jc w:val="both"/>
            </w:pPr>
          </w:p>
        </w:tc>
        <w:tc>
          <w:tcPr>
            <w:tcW w:w="1987" w:type="dxa"/>
          </w:tcPr>
          <w:p w14:paraId="59277906" w14:textId="6E2B2980" w:rsidR="00810D37" w:rsidRDefault="00810D37" w:rsidP="00810D37">
            <w:pPr>
              <w:jc w:val="both"/>
            </w:pPr>
            <w:r>
              <w:t>Cause</w:t>
            </w:r>
          </w:p>
        </w:tc>
        <w:tc>
          <w:tcPr>
            <w:tcW w:w="1110" w:type="dxa"/>
            <w:vAlign w:val="center"/>
          </w:tcPr>
          <w:p w14:paraId="016FCFF2" w14:textId="77777777" w:rsidR="00810D37" w:rsidRDefault="00810D37" w:rsidP="00DB2415">
            <w:pPr>
              <w:jc w:val="right"/>
            </w:pPr>
            <w:r>
              <w:t>17</w:t>
            </w:r>
          </w:p>
        </w:tc>
        <w:tc>
          <w:tcPr>
            <w:tcW w:w="1110" w:type="dxa"/>
            <w:gridSpan w:val="2"/>
            <w:vAlign w:val="center"/>
          </w:tcPr>
          <w:p w14:paraId="5A5AB0F9" w14:textId="4DBC118E" w:rsidR="00810D37" w:rsidRDefault="00810D37" w:rsidP="00DB2415">
            <w:r>
              <w:t>(19%)</w:t>
            </w:r>
          </w:p>
        </w:tc>
        <w:tc>
          <w:tcPr>
            <w:tcW w:w="1111" w:type="dxa"/>
            <w:gridSpan w:val="2"/>
            <w:vAlign w:val="center"/>
          </w:tcPr>
          <w:p w14:paraId="349DEAAA" w14:textId="77777777" w:rsidR="00810D37" w:rsidRDefault="00810D37" w:rsidP="00DB2415">
            <w:pPr>
              <w:jc w:val="right"/>
            </w:pPr>
            <w:r>
              <w:t>1</w:t>
            </w:r>
          </w:p>
        </w:tc>
        <w:tc>
          <w:tcPr>
            <w:tcW w:w="1110" w:type="dxa"/>
            <w:vAlign w:val="center"/>
          </w:tcPr>
          <w:p w14:paraId="64441978" w14:textId="0483CEF5" w:rsidR="00810D37" w:rsidRDefault="00810D37" w:rsidP="00DB2415">
            <w:r>
              <w:t>(3%)</w:t>
            </w:r>
          </w:p>
        </w:tc>
        <w:tc>
          <w:tcPr>
            <w:tcW w:w="1110" w:type="dxa"/>
            <w:gridSpan w:val="2"/>
            <w:vAlign w:val="center"/>
          </w:tcPr>
          <w:p w14:paraId="0EE238FC" w14:textId="77777777" w:rsidR="00810D37" w:rsidRDefault="00810D37" w:rsidP="00DB2415">
            <w:pPr>
              <w:jc w:val="right"/>
            </w:pPr>
            <w:r>
              <w:t>18</w:t>
            </w:r>
          </w:p>
        </w:tc>
        <w:tc>
          <w:tcPr>
            <w:tcW w:w="1111" w:type="dxa"/>
            <w:vAlign w:val="center"/>
          </w:tcPr>
          <w:p w14:paraId="239208B5" w14:textId="4DC75B4F" w:rsidR="00810D37" w:rsidRDefault="00810D37" w:rsidP="00DB2415">
            <w:r>
              <w:t>(15%)</w:t>
            </w:r>
          </w:p>
        </w:tc>
      </w:tr>
      <w:tr w:rsidR="00810D37" w14:paraId="4FAEEFBC" w14:textId="79D3F427" w:rsidTr="00810D37">
        <w:tc>
          <w:tcPr>
            <w:tcW w:w="423" w:type="dxa"/>
            <w:tcBorders>
              <w:top w:val="nil"/>
              <w:bottom w:val="nil"/>
            </w:tcBorders>
          </w:tcPr>
          <w:p w14:paraId="39522159" w14:textId="0823FB3E" w:rsidR="00810D37" w:rsidRDefault="00810D37" w:rsidP="00810D37">
            <w:pPr>
              <w:jc w:val="both"/>
            </w:pPr>
          </w:p>
        </w:tc>
        <w:tc>
          <w:tcPr>
            <w:tcW w:w="1987" w:type="dxa"/>
            <w:tcBorders>
              <w:bottom w:val="single" w:sz="4" w:space="0" w:color="auto"/>
            </w:tcBorders>
          </w:tcPr>
          <w:p w14:paraId="4FCA8D59" w14:textId="08E40F49" w:rsidR="00810D37" w:rsidRDefault="00810D37" w:rsidP="00810D37">
            <w:pPr>
              <w:jc w:val="both"/>
            </w:pPr>
            <w:r>
              <w:t>Denial</w:t>
            </w:r>
          </w:p>
        </w:tc>
        <w:tc>
          <w:tcPr>
            <w:tcW w:w="1110" w:type="dxa"/>
            <w:tcBorders>
              <w:bottom w:val="single" w:sz="4" w:space="0" w:color="auto"/>
            </w:tcBorders>
            <w:vAlign w:val="center"/>
          </w:tcPr>
          <w:p w14:paraId="38297ADC" w14:textId="77777777" w:rsidR="00810D37" w:rsidRDefault="00810D37" w:rsidP="00DB2415">
            <w:pPr>
              <w:jc w:val="right"/>
            </w:pPr>
            <w:r>
              <w:t>0</w:t>
            </w:r>
          </w:p>
        </w:tc>
        <w:tc>
          <w:tcPr>
            <w:tcW w:w="1110" w:type="dxa"/>
            <w:gridSpan w:val="2"/>
            <w:tcBorders>
              <w:bottom w:val="single" w:sz="4" w:space="0" w:color="auto"/>
            </w:tcBorders>
            <w:vAlign w:val="center"/>
          </w:tcPr>
          <w:p w14:paraId="289D5C49" w14:textId="60D72168" w:rsidR="00810D37" w:rsidRDefault="00810D37" w:rsidP="00DB2415"/>
        </w:tc>
        <w:tc>
          <w:tcPr>
            <w:tcW w:w="1111" w:type="dxa"/>
            <w:gridSpan w:val="2"/>
            <w:tcBorders>
              <w:bottom w:val="single" w:sz="4" w:space="0" w:color="auto"/>
            </w:tcBorders>
            <w:vAlign w:val="center"/>
          </w:tcPr>
          <w:p w14:paraId="22519E50" w14:textId="77777777" w:rsidR="00810D37" w:rsidRDefault="00810D37" w:rsidP="00DB2415">
            <w:pPr>
              <w:jc w:val="right"/>
            </w:pPr>
            <w:r>
              <w:t>0</w:t>
            </w:r>
          </w:p>
        </w:tc>
        <w:tc>
          <w:tcPr>
            <w:tcW w:w="1110" w:type="dxa"/>
            <w:tcBorders>
              <w:bottom w:val="single" w:sz="4" w:space="0" w:color="auto"/>
            </w:tcBorders>
            <w:vAlign w:val="center"/>
          </w:tcPr>
          <w:p w14:paraId="37EA305D" w14:textId="34FE7EC2" w:rsidR="00810D37" w:rsidRDefault="00810D37" w:rsidP="00DB2415"/>
        </w:tc>
        <w:tc>
          <w:tcPr>
            <w:tcW w:w="1110" w:type="dxa"/>
            <w:gridSpan w:val="2"/>
            <w:tcBorders>
              <w:bottom w:val="single" w:sz="4" w:space="0" w:color="auto"/>
            </w:tcBorders>
            <w:vAlign w:val="center"/>
          </w:tcPr>
          <w:p w14:paraId="7324FA9B" w14:textId="77777777" w:rsidR="00810D37" w:rsidRDefault="00810D37" w:rsidP="00DB2415">
            <w:pPr>
              <w:jc w:val="right"/>
            </w:pPr>
            <w:r>
              <w:t>62</w:t>
            </w:r>
          </w:p>
        </w:tc>
        <w:tc>
          <w:tcPr>
            <w:tcW w:w="1111" w:type="dxa"/>
            <w:tcBorders>
              <w:bottom w:val="single" w:sz="4" w:space="0" w:color="auto"/>
            </w:tcBorders>
            <w:vAlign w:val="center"/>
          </w:tcPr>
          <w:p w14:paraId="2E4E4371" w14:textId="57C5D2FF" w:rsidR="00810D37" w:rsidRDefault="00810D37" w:rsidP="00DB2415">
            <w:r>
              <w:t>(52%)</w:t>
            </w:r>
          </w:p>
        </w:tc>
      </w:tr>
      <w:tr w:rsidR="00810D37" w14:paraId="64D18266" w14:textId="77777777" w:rsidTr="00DB2415">
        <w:tc>
          <w:tcPr>
            <w:tcW w:w="423" w:type="dxa"/>
            <w:tcBorders>
              <w:top w:val="nil"/>
              <w:bottom w:val="single" w:sz="4" w:space="0" w:color="auto"/>
            </w:tcBorders>
          </w:tcPr>
          <w:p w14:paraId="61933A50" w14:textId="676A2428" w:rsidR="00810D37" w:rsidRPr="00810D37" w:rsidRDefault="00810D37" w:rsidP="00810D37">
            <w:pPr>
              <w:jc w:val="both"/>
              <w:rPr>
                <w:b/>
                <w:bCs/>
              </w:rPr>
            </w:pPr>
          </w:p>
        </w:tc>
        <w:tc>
          <w:tcPr>
            <w:tcW w:w="1987" w:type="dxa"/>
            <w:tcBorders>
              <w:top w:val="single" w:sz="4" w:space="0" w:color="auto"/>
              <w:bottom w:val="single" w:sz="4" w:space="0" w:color="auto"/>
            </w:tcBorders>
          </w:tcPr>
          <w:p w14:paraId="31093530" w14:textId="302B19B2" w:rsidR="00810D37" w:rsidRPr="00DB2415" w:rsidRDefault="00810D37" w:rsidP="00810D37">
            <w:pPr>
              <w:jc w:val="both"/>
              <w:rPr>
                <w:b/>
                <w:bCs/>
              </w:rPr>
            </w:pPr>
            <w:r>
              <w:rPr>
                <w:b/>
                <w:bCs/>
              </w:rPr>
              <w:t>Total</w:t>
            </w:r>
          </w:p>
        </w:tc>
        <w:tc>
          <w:tcPr>
            <w:tcW w:w="2220" w:type="dxa"/>
            <w:gridSpan w:val="3"/>
            <w:tcBorders>
              <w:top w:val="single" w:sz="4" w:space="0" w:color="auto"/>
              <w:bottom w:val="single" w:sz="4" w:space="0" w:color="auto"/>
            </w:tcBorders>
            <w:vAlign w:val="center"/>
          </w:tcPr>
          <w:p w14:paraId="494A3E6A" w14:textId="1BAC01C3" w:rsidR="00810D37" w:rsidRDefault="00810D37" w:rsidP="00810D37">
            <w:pPr>
              <w:jc w:val="center"/>
            </w:pPr>
            <w:r w:rsidRPr="00DB2415">
              <w:rPr>
                <w:b/>
                <w:bCs/>
              </w:rPr>
              <w:t>90</w:t>
            </w:r>
            <w:r w:rsidR="00736B93">
              <w:rPr>
                <w:b/>
                <w:bCs/>
              </w:rPr>
              <w:t xml:space="preserve"> (100%)</w:t>
            </w:r>
          </w:p>
        </w:tc>
        <w:tc>
          <w:tcPr>
            <w:tcW w:w="2221" w:type="dxa"/>
            <w:gridSpan w:val="3"/>
            <w:tcBorders>
              <w:top w:val="single" w:sz="4" w:space="0" w:color="auto"/>
              <w:bottom w:val="single" w:sz="4" w:space="0" w:color="auto"/>
            </w:tcBorders>
            <w:vAlign w:val="center"/>
          </w:tcPr>
          <w:p w14:paraId="40494964" w14:textId="4126FEB5" w:rsidR="00810D37" w:rsidRPr="00DB2415" w:rsidRDefault="00810D37" w:rsidP="00810D37">
            <w:pPr>
              <w:jc w:val="center"/>
              <w:rPr>
                <w:b/>
                <w:bCs/>
              </w:rPr>
            </w:pPr>
            <w:r>
              <w:rPr>
                <w:b/>
                <w:bCs/>
              </w:rPr>
              <w:t>38</w:t>
            </w:r>
            <w:r w:rsidR="00736B93">
              <w:rPr>
                <w:b/>
                <w:bCs/>
              </w:rPr>
              <w:t xml:space="preserve"> (100%)</w:t>
            </w:r>
          </w:p>
        </w:tc>
        <w:tc>
          <w:tcPr>
            <w:tcW w:w="2221" w:type="dxa"/>
            <w:gridSpan w:val="3"/>
            <w:tcBorders>
              <w:top w:val="single" w:sz="4" w:space="0" w:color="auto"/>
              <w:bottom w:val="single" w:sz="4" w:space="0" w:color="auto"/>
            </w:tcBorders>
            <w:vAlign w:val="center"/>
          </w:tcPr>
          <w:p w14:paraId="569155D9" w14:textId="18C9FC0D" w:rsidR="00810D37" w:rsidRPr="00DB2415" w:rsidRDefault="00810D37" w:rsidP="00810D37">
            <w:pPr>
              <w:jc w:val="center"/>
              <w:rPr>
                <w:b/>
                <w:bCs/>
              </w:rPr>
            </w:pPr>
            <w:r>
              <w:rPr>
                <w:b/>
                <w:bCs/>
              </w:rPr>
              <w:t>119</w:t>
            </w:r>
            <w:r w:rsidR="00736B93">
              <w:rPr>
                <w:b/>
                <w:bCs/>
              </w:rPr>
              <w:t xml:space="preserve"> (100%)</w:t>
            </w:r>
          </w:p>
        </w:tc>
      </w:tr>
    </w:tbl>
    <w:p w14:paraId="79A5B93E" w14:textId="77777777" w:rsidR="00FF60BE" w:rsidRDefault="00FF60BE" w:rsidP="00DB2415">
      <w:pPr>
        <w:jc w:val="both"/>
      </w:pPr>
    </w:p>
    <w:p w14:paraId="393450F2" w14:textId="461ADE17" w:rsidR="00BF7AB7" w:rsidRPr="00C06989" w:rsidRDefault="00E47D5B" w:rsidP="00BF7AB7">
      <w:pPr>
        <w:jc w:val="both"/>
        <w:rPr>
          <w:i/>
        </w:rPr>
      </w:pPr>
      <w:r>
        <w:rPr>
          <w:noProof/>
        </w:rPr>
        <w:lastRenderedPageBreak/>
        <mc:AlternateContent>
          <mc:Choice Requires="wps">
            <w:drawing>
              <wp:anchor distT="0" distB="0" distL="114300" distR="114300" simplePos="0" relativeHeight="251664384" behindDoc="0" locked="0" layoutInCell="1" allowOverlap="1" wp14:anchorId="1495A498" wp14:editId="5CAF2492">
                <wp:simplePos x="0" y="0"/>
                <wp:positionH relativeFrom="column">
                  <wp:posOffset>3649345</wp:posOffset>
                </wp:positionH>
                <wp:positionV relativeFrom="paragraph">
                  <wp:posOffset>163195</wp:posOffset>
                </wp:positionV>
                <wp:extent cx="1470660" cy="335280"/>
                <wp:effectExtent l="0" t="0" r="0" b="0"/>
                <wp:wrapNone/>
                <wp:docPr id="13562587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0660" cy="335280"/>
                        </a:xfrm>
                        <a:prstGeom prst="rect">
                          <a:avLst/>
                        </a:prstGeom>
                        <a:noFill/>
                        <a:ln w="6350">
                          <a:noFill/>
                        </a:ln>
                      </wps:spPr>
                      <wps:txbx>
                        <w:txbxContent>
                          <w:p w14:paraId="3D328FEC" w14:textId="1D3177B5" w:rsidR="00BD7F04" w:rsidRPr="00E12C4F" w:rsidRDefault="00BD7F04" w:rsidP="00BF7AB7">
                            <w:pPr>
                              <w:jc w:val="center"/>
                              <w:rPr>
                                <w:lang w:val="fr-BE"/>
                              </w:rPr>
                            </w:pPr>
                            <w:r>
                              <w:rPr>
                                <w:b/>
                                <w:sz w:val="28"/>
                                <w:lang w:val="fr-BE"/>
                              </w:rPr>
                              <w:t xml:space="preserve">Dutch </w:t>
                            </w:r>
                            <w:r>
                              <w:rPr>
                                <w:sz w:val="28"/>
                                <w:lang w:val="fr-BE"/>
                              </w:rPr>
                              <w:t>(n=247)</w:t>
                            </w:r>
                          </w:p>
                          <w:p w14:paraId="57C81511" w14:textId="77777777" w:rsidR="00BD7F04" w:rsidRDefault="00BD7F04" w:rsidP="00BF7AB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95A498" id="_x0000_t202" coordsize="21600,21600" o:spt="202" path="m,l,21600r21600,l21600,xe">
                <v:stroke joinstyle="miter"/>
                <v:path gradientshapeok="t" o:connecttype="rect"/>
              </v:shapetype>
              <v:shape id="Text Box 3" o:spid="_x0000_s1026" type="#_x0000_t202" style="position:absolute;left:0;text-align:left;margin-left:287.35pt;margin-top:12.85pt;width:115.8pt;height:26.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DTlKIQIAAEUEAAAOAAAAZHJzL2Uyb0RvYy54bWysU8lu2zAQvRfoPxC8x5LXpILlwE3gooCR&#13;&#10;BHCKnGmKtIRQHJakLblf3yElL0h7Knqhhpr9vcf5fVsrchDWVaBzOhyklAjNoaj0Lqc/Xlc3d5Q4&#13;&#10;z3TBFGiR06Nw9H7x+dO8MZkYQQmqEJZgEe2yxuS09N5kSeJ4KWrmBmCERqcEWzOPV7tLCssarF6r&#13;&#10;ZJSms6QBWxgLXDiHfx87J13E+lIK7p+ldMITlVOczcfTxnMbzmQxZ9nOMlNWvB+D/cMUNas0Nj2X&#13;&#10;emSekb2t/ihVV9yCA+kHHOoEpKy4iDvgNsP0wzabkhkRd0FwnDnD5P5fWf502JgXS3z7FVokMC7h&#13;&#10;zBr4u0Nsksa4rI8JmLrMYXRYtJW2Dl9cgWAiYns84ylaT3ioNrlNZzN0cfSNx9PRXQQ8uWQb6/w3&#13;&#10;ATUJRk4t8hUnYIe186E/y04hoZmGVaVU5Exp0uR0Np6mMeHswQyl+8G7WcPUvt22mBbMLRRHXNhC&#13;&#10;pwVn+KrC5mvm/AuzSD7Oi4L2z3hIBdgEeouSEuyvv/0P8cgJeilpUEw5dT/3zApK1HeNbH0ZTiZB&#13;&#10;ffEymd6O8GKvPdtrj97XD4B6HeLTMTyaId6rkykt1G+o+2Xoii6mOfbOqT+ZD76TOL4bLpbLGIR6&#13;&#10;M8yv9cbwE88B2tf2jVnT4++RuSc4yY5lH2joYjsilnsPsoocXVDtcUetRur6dxUew/U9Rl1e/+I3&#13;&#10;AAAA//8DAFBLAwQUAAYACAAAACEA2D0nyOQAAAAOAQAADwAAAGRycy9kb3ducmV2LnhtbExPPU/D&#13;&#10;MBDdkfgP1iGxUaeBNFEap6qCKiREh5YubE7sJlHtc4jdNvDrOSZY7nR6795HsZqsYRc9+t6hgPks&#13;&#10;AqaxcarHVsDhffOQAfNBopLGoRbwpT2sytubQubKXXGnL/vQMhJBn0sBXQhDzrlvOm2ln7lBI2FH&#13;&#10;N1oZ6BxbrkZ5JXFreBxFC25lj+TQyUFXnW5O+7MV8FpttnJXxzb7NtXL23E9fB4+EiHu76bnJY31&#13;&#10;EljQU/j7gN8OlB9KCla7MyrPjIAkfUqJKiBOaBMhixaPwGoBaZYALwv+v0b5AwAA//8DAFBLAQIt&#13;&#10;ABQABgAIAAAAIQC2gziS/gAAAOEBAAATAAAAAAAAAAAAAAAAAAAAAABbQ29udGVudF9UeXBlc10u&#13;&#10;eG1sUEsBAi0AFAAGAAgAAAAhADj9If/WAAAAlAEAAAsAAAAAAAAAAAAAAAAALwEAAF9yZWxzLy5y&#13;&#10;ZWxzUEsBAi0AFAAGAAgAAAAhABwNOUohAgAARQQAAA4AAAAAAAAAAAAAAAAALgIAAGRycy9lMm9E&#13;&#10;b2MueG1sUEsBAi0AFAAGAAgAAAAhANg9J8jkAAAADgEAAA8AAAAAAAAAAAAAAAAAewQAAGRycy9k&#13;&#10;b3ducmV2LnhtbFBLBQYAAAAABAAEAPMAAACMBQAAAAA=&#13;&#10;" filled="f" stroked="f" strokeweight=".5pt">
                <v:textbox>
                  <w:txbxContent>
                    <w:p w14:paraId="3D328FEC" w14:textId="1D3177B5" w:rsidR="00BD7F04" w:rsidRPr="00E12C4F" w:rsidRDefault="00BD7F04" w:rsidP="00BF7AB7">
                      <w:pPr>
                        <w:jc w:val="center"/>
                        <w:rPr>
                          <w:lang w:val="fr-BE"/>
                        </w:rPr>
                      </w:pPr>
                      <w:r>
                        <w:rPr>
                          <w:b/>
                          <w:sz w:val="28"/>
                          <w:lang w:val="fr-BE"/>
                        </w:rPr>
                        <w:t xml:space="preserve">Dutch </w:t>
                      </w:r>
                      <w:r>
                        <w:rPr>
                          <w:sz w:val="28"/>
                          <w:lang w:val="fr-BE"/>
                        </w:rPr>
                        <w:t>(n=247)</w:t>
                      </w:r>
                    </w:p>
                    <w:p w14:paraId="57C81511" w14:textId="77777777" w:rsidR="00BD7F04" w:rsidRDefault="00BD7F04" w:rsidP="00BF7AB7">
                      <w:pPr>
                        <w:jc w:val="cente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34C7C9D" wp14:editId="0AE223BE">
                <wp:simplePos x="0" y="0"/>
                <wp:positionH relativeFrom="column">
                  <wp:posOffset>540385</wp:posOffset>
                </wp:positionH>
                <wp:positionV relativeFrom="paragraph">
                  <wp:posOffset>163195</wp:posOffset>
                </wp:positionV>
                <wp:extent cx="1706880" cy="335280"/>
                <wp:effectExtent l="0" t="0" r="0" b="0"/>
                <wp:wrapNone/>
                <wp:docPr id="1432764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6880" cy="335280"/>
                        </a:xfrm>
                        <a:prstGeom prst="rect">
                          <a:avLst/>
                        </a:prstGeom>
                        <a:noFill/>
                        <a:ln w="6350">
                          <a:noFill/>
                        </a:ln>
                      </wps:spPr>
                      <wps:txbx>
                        <w:txbxContent>
                          <w:p w14:paraId="31DD2031" w14:textId="20846613" w:rsidR="00BD7F04" w:rsidRPr="00E06679" w:rsidRDefault="00BD7F04" w:rsidP="00BF7AB7">
                            <w:pPr>
                              <w:jc w:val="center"/>
                              <w:rPr>
                                <w:b/>
                                <w:lang w:val="fr-BE"/>
                              </w:rPr>
                            </w:pPr>
                            <w:r w:rsidRPr="00E06679">
                              <w:rPr>
                                <w:b/>
                                <w:sz w:val="28"/>
                                <w:lang w:val="fr-BE"/>
                              </w:rPr>
                              <w:t>English</w:t>
                            </w:r>
                            <w:r>
                              <w:rPr>
                                <w:b/>
                                <w:sz w:val="28"/>
                                <w:lang w:val="fr-BE"/>
                              </w:rPr>
                              <w:t xml:space="preserve"> </w:t>
                            </w:r>
                            <w:r w:rsidRPr="00E12C4F">
                              <w:rPr>
                                <w:sz w:val="28"/>
                                <w:lang w:val="fr-BE"/>
                              </w:rPr>
                              <w:t>(</w:t>
                            </w:r>
                            <w:r>
                              <w:rPr>
                                <w:sz w:val="28"/>
                                <w:lang w:val="fr-BE"/>
                              </w:rPr>
                              <w:t>n=</w:t>
                            </w:r>
                            <w:r w:rsidRPr="00E12C4F">
                              <w:rPr>
                                <w:sz w:val="28"/>
                                <w:lang w:val="fr-BE"/>
                              </w:rPr>
                              <w:t>156)</w:t>
                            </w:r>
                          </w:p>
                          <w:p w14:paraId="0B28CAAD" w14:textId="77777777" w:rsidR="00BD7F04" w:rsidRDefault="00BD7F04" w:rsidP="00BF7AB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C7C9D" id="Text Box 2" o:spid="_x0000_s1027" type="#_x0000_t202" style="position:absolute;left:0;text-align:left;margin-left:42.55pt;margin-top:12.85pt;width:134.4pt;height:2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zEXJJQIAAEwEAAAOAAAAZHJzL2Uyb0RvYy54bWysVNuO2yAQfa/Uf0C8N3aum1pxVumuUlWK&#13;&#10;dlfKVvtMMMRWMUOBxE6/vgN2Ltr2qeoLHpjhzOUcvLhva0WOwroKdE6Hg5QSoTkUld7n9Pvr+tOc&#13;&#10;EueZLpgCLXJ6Eo7eLz9+WDQmEyMoQRXCEgTRLmtMTkvvTZYkjpeiZm4ARmh0SrA187i1+6SwrEH0&#13;&#10;WiWjNJ0lDdjCWODCOTx97Jx0GfGlFNw/S+mEJyqnWJuPq43rLqzJcsGyvWWmrHhfBvuHKmpWaUx6&#13;&#10;gXpknpGDrf6AqituwYH0Aw51AlJWXMQesJth+q6bbcmMiL3gcJy5jMn9P1j+dNyaF0t8+wVaJDA2&#13;&#10;4cwG+A+Hs0ka47I+JszUZQ6jQ6OttHX4YgsEL+JsT5d5itYTHtDu0tl8ji6OvvF4OkI7gF5vG+v8&#13;&#10;VwE1CUZOLfIVK2DHjfNd6DkkJNOwrpSKnClNmpzOxtM0Xrh4EFzpvvCu1lC1b3ctqYrQIN4OJzso&#13;&#10;Tti3hU4SzvB1hTVsmPMvzKIGsGzUtX/GRSrAXNBblJRgf/3tPMQjNeilpEFN5dT9PDArKFHfNJL2&#13;&#10;eTiZBBHGzWR6N8KNvfXsbj36UD8AynaIL8jwaIZ4r86mtFC/ofxXISu6mOaYO6f+bD74Tun4fLhY&#13;&#10;rWIQys4wv9Fbw890hwm/tm/Mmp4GjwQ+wVl9LHvHRhfb8bE6eJBVpOo61X78KNlIdv+8wpu43ceo&#13;&#10;609g+RsAAP//AwBQSwMEFAAGAAgAAAAhACqxIrHkAAAADQEAAA8AAABkcnMvZG93bnJldi54bWxM&#13;&#10;T8tOwzAQvCPxD9YicaNOU5mGNE5VBVVICA4tvXDbxNskwo8Qu23g6zEnuKw0msfOFOvJaHam0ffO&#13;&#10;SpjPEmBkG6d620o4vG3vMmA+oFWonSUJX+RhXV5fFZgrd7E7Ou9Dy2KI9TlK6EIYcs5905FBP3MD&#13;&#10;2cgd3WgwRDi2XI14ieFG8zRJ7rnB3sYPHQ5UddR87E9GwnO1fcVdnZrsW1dPL8fN8Hl4F1Le3kyP&#13;&#10;q3g2K2CBpvDngN8NsT+UsVjtTlZ5piVkYh6VElKxBBb5hVg8AKslLDMBvCz4/xXlDwAAAP//AwBQ&#13;&#10;SwECLQAUAAYACAAAACEAtoM4kv4AAADhAQAAEwAAAAAAAAAAAAAAAAAAAAAAW0NvbnRlbnRfVHlw&#13;&#10;ZXNdLnhtbFBLAQItABQABgAIAAAAIQA4/SH/1gAAAJQBAAALAAAAAAAAAAAAAAAAAC8BAABfcmVs&#13;&#10;cy8ucmVsc1BLAQItABQABgAIAAAAIQAozEXJJQIAAEwEAAAOAAAAAAAAAAAAAAAAAC4CAABkcnMv&#13;&#10;ZTJvRG9jLnhtbFBLAQItABQABgAIAAAAIQAqsSKx5AAAAA0BAAAPAAAAAAAAAAAAAAAAAH8EAABk&#13;&#10;cnMvZG93bnJldi54bWxQSwUGAAAAAAQABADzAAAAkAUAAAAA&#13;&#10;" filled="f" stroked="f" strokeweight=".5pt">
                <v:textbox>
                  <w:txbxContent>
                    <w:p w14:paraId="31DD2031" w14:textId="20846613" w:rsidR="00BD7F04" w:rsidRPr="00E06679" w:rsidRDefault="00BD7F04" w:rsidP="00BF7AB7">
                      <w:pPr>
                        <w:jc w:val="center"/>
                        <w:rPr>
                          <w:b/>
                          <w:lang w:val="fr-BE"/>
                        </w:rPr>
                      </w:pPr>
                      <w:r w:rsidRPr="00E06679">
                        <w:rPr>
                          <w:b/>
                          <w:sz w:val="28"/>
                          <w:lang w:val="fr-BE"/>
                        </w:rPr>
                        <w:t>English</w:t>
                      </w:r>
                      <w:r>
                        <w:rPr>
                          <w:b/>
                          <w:sz w:val="28"/>
                          <w:lang w:val="fr-BE"/>
                        </w:rPr>
                        <w:t xml:space="preserve"> </w:t>
                      </w:r>
                      <w:r w:rsidRPr="00E12C4F">
                        <w:rPr>
                          <w:sz w:val="28"/>
                          <w:lang w:val="fr-BE"/>
                        </w:rPr>
                        <w:t>(</w:t>
                      </w:r>
                      <w:r>
                        <w:rPr>
                          <w:sz w:val="28"/>
                          <w:lang w:val="fr-BE"/>
                        </w:rPr>
                        <w:t>n=</w:t>
                      </w:r>
                      <w:r w:rsidRPr="00E12C4F">
                        <w:rPr>
                          <w:sz w:val="28"/>
                          <w:lang w:val="fr-BE"/>
                        </w:rPr>
                        <w:t>156)</w:t>
                      </w:r>
                    </w:p>
                    <w:p w14:paraId="0B28CAAD" w14:textId="77777777" w:rsidR="00BD7F04" w:rsidRDefault="00BD7F04" w:rsidP="00BF7AB7">
                      <w:pPr>
                        <w:jc w:val="center"/>
                      </w:pPr>
                    </w:p>
                  </w:txbxContent>
                </v:textbox>
              </v:shape>
            </w:pict>
          </mc:Fallback>
        </mc:AlternateContent>
      </w:r>
      <w:r w:rsidR="00BF7AB7" w:rsidRPr="00E06679">
        <w:rPr>
          <w:i/>
          <w:noProof/>
          <w:szCs w:val="24"/>
        </w:rPr>
        <w:drawing>
          <wp:inline distT="0" distB="0" distL="0" distR="0" wp14:anchorId="7C81ED44" wp14:editId="76F955E8">
            <wp:extent cx="5737860" cy="2883877"/>
            <wp:effectExtent l="0" t="0" r="15240" b="12065"/>
            <wp:docPr id="5" name="Chart 5">
              <a:extLst xmlns:a="http://schemas.openxmlformats.org/drawingml/2006/main">
                <a:ext uri="{FF2B5EF4-FFF2-40B4-BE49-F238E27FC236}">
                  <a16:creationId xmlns:a16="http://schemas.microsoft.com/office/drawing/2014/main" id="{BA30CBC7-C891-44AD-BDF9-E65903106B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7123446" w14:textId="7B1F8F9A" w:rsidR="00BF7AB7" w:rsidRDefault="00BF7AB7" w:rsidP="00BF7AB7">
      <w:pPr>
        <w:pStyle w:val="Caption"/>
        <w:spacing w:after="0"/>
        <w:jc w:val="both"/>
      </w:pPr>
      <w:bookmarkStart w:id="23" w:name="_Ref132728966"/>
      <w:r>
        <w:t xml:space="preserve">Figure </w:t>
      </w:r>
      <w:r>
        <w:fldChar w:fldCharType="begin"/>
      </w:r>
      <w:r>
        <w:instrText xml:space="preserve"> SEQ Figure \* ARABIC </w:instrText>
      </w:r>
      <w:r>
        <w:fldChar w:fldCharType="separate"/>
      </w:r>
      <w:r w:rsidR="008912AA">
        <w:rPr>
          <w:noProof/>
        </w:rPr>
        <w:t>3</w:t>
      </w:r>
      <w:r>
        <w:fldChar w:fldCharType="end"/>
      </w:r>
      <w:bookmarkEnd w:id="23"/>
      <w:r>
        <w:t xml:space="preserve">. </w:t>
      </w:r>
      <w:r>
        <w:rPr>
          <w:b w:val="0"/>
        </w:rPr>
        <w:t>The distribution of functional types across the levels of syntactic dependence</w:t>
      </w:r>
    </w:p>
    <w:p w14:paraId="006C2B8A" w14:textId="77777777" w:rsidR="00BF7AB7" w:rsidRDefault="00BF7AB7" w:rsidP="00BF7AB7">
      <w:pPr>
        <w:jc w:val="both"/>
      </w:pPr>
    </w:p>
    <w:p w14:paraId="50CEF2E5" w14:textId="77C81679" w:rsidR="00BF7AB7" w:rsidRDefault="00BF7AB7" w:rsidP="00BF7AB7">
      <w:pPr>
        <w:jc w:val="both"/>
      </w:pPr>
      <w:r>
        <w:t xml:space="preserve">In both languages, strongly dependent clauses often </w:t>
      </w:r>
      <w:r w:rsidR="00620B7C">
        <w:t xml:space="preserve">give a </w:t>
      </w:r>
      <w:r w:rsidR="004F3C43">
        <w:t xml:space="preserve">(counterfactual) </w:t>
      </w:r>
      <w:r w:rsidR="00E40A09">
        <w:t>‘</w:t>
      </w:r>
      <w:r w:rsidR="006E4842">
        <w:t>qualification’</w:t>
      </w:r>
      <w:r>
        <w:t xml:space="preserve">, e.g., </w:t>
      </w:r>
      <w:r>
        <w:fldChar w:fldCharType="begin"/>
      </w:r>
      <w:r>
        <w:instrText xml:space="preserve"> REF _Ref132729810 \n \h </w:instrText>
      </w:r>
      <w:r>
        <w:fldChar w:fldCharType="separate"/>
      </w:r>
      <w:r w:rsidR="008912AA">
        <w:t>(14)</w:t>
      </w:r>
      <w:r>
        <w:fldChar w:fldCharType="end"/>
      </w:r>
      <w:r>
        <w:t xml:space="preserve">, or </w:t>
      </w:r>
      <w:r w:rsidR="00620B7C">
        <w:t xml:space="preserve">conjecture on </w:t>
      </w:r>
      <w:r w:rsidR="00E40A09">
        <w:t xml:space="preserve">the </w:t>
      </w:r>
      <w:r w:rsidR="00620B7C">
        <w:t>potential</w:t>
      </w:r>
      <w:r>
        <w:t xml:space="preserve"> </w:t>
      </w:r>
      <w:r w:rsidR="00E40A09">
        <w:t>‘</w:t>
      </w:r>
      <w:r w:rsidR="00AD7155">
        <w:t>cause</w:t>
      </w:r>
      <w:r w:rsidR="00E40A09">
        <w:t>’</w:t>
      </w:r>
      <w:r w:rsidR="00620B7C">
        <w:t xml:space="preserve"> for a </w:t>
      </w:r>
      <w:r w:rsidR="00E70F72">
        <w:t>proposition</w:t>
      </w:r>
      <w:r>
        <w:t xml:space="preserve">, e.g., </w:t>
      </w:r>
      <w:r>
        <w:fldChar w:fldCharType="begin"/>
      </w:r>
      <w:r>
        <w:instrText xml:space="preserve"> REF _Ref132729800 \n \h </w:instrText>
      </w:r>
      <w:r>
        <w:fldChar w:fldCharType="separate"/>
      </w:r>
      <w:r w:rsidR="008912AA">
        <w:t>(15)</w:t>
      </w:r>
      <w:r>
        <w:fldChar w:fldCharType="end"/>
      </w:r>
      <w:r>
        <w:t>.</w:t>
      </w:r>
    </w:p>
    <w:p w14:paraId="2E492A03" w14:textId="77777777" w:rsidR="00BF7AB7" w:rsidRDefault="00BF7AB7" w:rsidP="00BF7AB7">
      <w:pPr>
        <w:jc w:val="both"/>
      </w:pPr>
    </w:p>
    <w:p w14:paraId="3EC59FCB" w14:textId="39C8716D" w:rsidR="00492C75" w:rsidRPr="00C914B2" w:rsidRDefault="00BF7AB7" w:rsidP="00DB2415">
      <w:pPr>
        <w:pStyle w:val="ListParagraph"/>
        <w:jc w:val="left"/>
      </w:pPr>
      <w:bookmarkStart w:id="24" w:name="_Ref132729810"/>
      <w:r w:rsidRPr="0087295A">
        <w:rPr>
          <w:lang w:val="nl-BE"/>
        </w:rPr>
        <w:t>Het</w:t>
      </w:r>
      <w:r w:rsidR="00492C75">
        <w:rPr>
          <w:lang w:val="nl-BE"/>
        </w:rPr>
        <w:tab/>
      </w:r>
      <w:r w:rsidRPr="0087295A">
        <w:rPr>
          <w:lang w:val="nl-BE"/>
        </w:rPr>
        <w:t>is</w:t>
      </w:r>
      <w:r w:rsidR="00492C75">
        <w:rPr>
          <w:lang w:val="nl-BE"/>
        </w:rPr>
        <w:tab/>
      </w:r>
      <w:r w:rsidRPr="0087295A">
        <w:rPr>
          <w:lang w:val="nl-BE"/>
        </w:rPr>
        <w:t xml:space="preserve">net </w:t>
      </w:r>
      <w:r w:rsidR="00492C75">
        <w:rPr>
          <w:lang w:val="nl-BE"/>
        </w:rPr>
        <w:tab/>
      </w:r>
      <w:r w:rsidRPr="008F229D">
        <w:rPr>
          <w:u w:val="single"/>
          <w:lang w:val="nl-BE"/>
        </w:rPr>
        <w:t xml:space="preserve">alsof </w:t>
      </w:r>
      <w:r w:rsidR="00492C75">
        <w:rPr>
          <w:u w:val="single"/>
          <w:lang w:val="nl-BE"/>
        </w:rPr>
        <w:tab/>
      </w:r>
      <w:r w:rsidRPr="008F229D">
        <w:rPr>
          <w:u w:val="single"/>
          <w:lang w:val="nl-BE"/>
        </w:rPr>
        <w:t xml:space="preserve">je </w:t>
      </w:r>
      <w:r w:rsidR="00492C75">
        <w:rPr>
          <w:u w:val="single"/>
          <w:lang w:val="nl-BE"/>
        </w:rPr>
        <w:tab/>
      </w:r>
      <w:r w:rsidR="00492C75">
        <w:rPr>
          <w:u w:val="single"/>
          <w:lang w:val="nl-BE"/>
        </w:rPr>
        <w:tab/>
      </w:r>
      <w:r w:rsidRPr="008F229D">
        <w:rPr>
          <w:u w:val="single"/>
          <w:lang w:val="nl-BE"/>
        </w:rPr>
        <w:t xml:space="preserve">een </w:t>
      </w:r>
      <w:r w:rsidR="00492C75">
        <w:rPr>
          <w:u w:val="single"/>
          <w:lang w:val="nl-BE"/>
        </w:rPr>
        <w:tab/>
      </w:r>
      <w:r w:rsidRPr="008F229D">
        <w:rPr>
          <w:u w:val="single"/>
          <w:lang w:val="nl-BE"/>
        </w:rPr>
        <w:t xml:space="preserve">Microsoftcursus </w:t>
      </w:r>
      <w:r w:rsidR="00492C75">
        <w:rPr>
          <w:u w:val="single"/>
          <w:lang w:val="nl-BE"/>
        </w:rPr>
        <w:tab/>
      </w:r>
      <w:r w:rsidRPr="008F229D">
        <w:rPr>
          <w:u w:val="single"/>
          <w:lang w:val="nl-BE"/>
        </w:rPr>
        <w:t xml:space="preserve">krijgt </w:t>
      </w:r>
      <w:r w:rsidR="00492C75">
        <w:rPr>
          <w:u w:val="single"/>
          <w:lang w:val="nl-BE"/>
        </w:rPr>
        <w:tab/>
      </w:r>
      <w:r w:rsidRPr="008F229D">
        <w:rPr>
          <w:u w:val="single"/>
          <w:lang w:val="nl-BE"/>
        </w:rPr>
        <w:t>van</w:t>
      </w:r>
      <w:r w:rsidR="00492C75">
        <w:rPr>
          <w:u w:val="single"/>
          <w:lang w:val="nl-BE"/>
        </w:rPr>
        <w:tab/>
      </w:r>
      <w:r w:rsidRPr="008F229D">
        <w:rPr>
          <w:u w:val="single"/>
          <w:lang w:val="nl-BE"/>
        </w:rPr>
        <w:t>Steve Jobs</w:t>
      </w:r>
      <w:r w:rsidRPr="0087295A">
        <w:rPr>
          <w:lang w:val="nl-BE"/>
        </w:rPr>
        <w:t xml:space="preserve">. </w:t>
      </w:r>
      <w:r w:rsidRPr="00C914B2">
        <w:t>(CGN)</w:t>
      </w:r>
      <w:bookmarkEnd w:id="24"/>
      <w:r w:rsidR="00492C75">
        <w:br/>
        <w:t>It</w:t>
      </w:r>
      <w:r w:rsidR="00492C75">
        <w:tab/>
      </w:r>
      <w:r w:rsidR="00492C75">
        <w:tab/>
        <w:t>is</w:t>
      </w:r>
      <w:r w:rsidR="00492C75">
        <w:tab/>
        <w:t>just</w:t>
      </w:r>
      <w:r w:rsidR="00492C75">
        <w:tab/>
      </w:r>
      <w:r w:rsidR="00492C75">
        <w:rPr>
          <w:u w:val="single"/>
        </w:rPr>
        <w:t>as.if</w:t>
      </w:r>
      <w:r w:rsidR="00492C75">
        <w:rPr>
          <w:u w:val="single"/>
        </w:rPr>
        <w:tab/>
        <w:t>you</w:t>
      </w:r>
      <w:r w:rsidR="00492C75">
        <w:rPr>
          <w:u w:val="single"/>
        </w:rPr>
        <w:tab/>
        <w:t>a</w:t>
      </w:r>
      <w:r w:rsidR="00492C75">
        <w:rPr>
          <w:u w:val="single"/>
        </w:rPr>
        <w:tab/>
      </w:r>
      <w:r w:rsidR="00492C75">
        <w:rPr>
          <w:u w:val="single"/>
        </w:rPr>
        <w:tab/>
        <w:t>Microsof.course</w:t>
      </w:r>
      <w:r w:rsidR="00492C75">
        <w:rPr>
          <w:u w:val="single"/>
        </w:rPr>
        <w:tab/>
        <w:t>get</w:t>
      </w:r>
      <w:r w:rsidR="00492C75">
        <w:rPr>
          <w:u w:val="single"/>
        </w:rPr>
        <w:tab/>
      </w:r>
      <w:r w:rsidR="00492C75">
        <w:rPr>
          <w:u w:val="single"/>
        </w:rPr>
        <w:tab/>
        <w:t>from</w:t>
      </w:r>
      <w:r w:rsidR="00492C75">
        <w:rPr>
          <w:u w:val="single"/>
        </w:rPr>
        <w:tab/>
        <w:t>Steve Jobs.</w:t>
      </w:r>
    </w:p>
    <w:p w14:paraId="197095C2" w14:textId="6811B2F5" w:rsidR="00BF7AB7" w:rsidRPr="00891B88" w:rsidRDefault="00BF7AB7" w:rsidP="00BF7AB7">
      <w:pPr>
        <w:pStyle w:val="ListParagraph"/>
        <w:numPr>
          <w:ilvl w:val="0"/>
          <w:numId w:val="0"/>
        </w:numPr>
        <w:ind w:left="567"/>
      </w:pPr>
      <w:r w:rsidRPr="00891B88">
        <w:t xml:space="preserve">‘It’s just </w:t>
      </w:r>
      <w:r w:rsidRPr="00DB2415">
        <w:rPr>
          <w:u w:val="single"/>
        </w:rPr>
        <w:t>as if you’re getting a Microsoft course from Steve Jobs</w:t>
      </w:r>
      <w:r>
        <w:t>.’</w:t>
      </w:r>
    </w:p>
    <w:p w14:paraId="0F2DE6CE" w14:textId="49BEA4F5" w:rsidR="00BF7AB7" w:rsidRDefault="00BF7AB7" w:rsidP="00BF7AB7">
      <w:pPr>
        <w:pStyle w:val="ListParagraph"/>
      </w:pPr>
      <w:bookmarkStart w:id="25" w:name="_Ref132729800"/>
      <w:r>
        <w:t xml:space="preserve">It sounds </w:t>
      </w:r>
      <w:r w:rsidRPr="00EA59CB">
        <w:rPr>
          <w:u w:val="single"/>
        </w:rPr>
        <w:t>as if they’re in the back garden or something</w:t>
      </w:r>
      <w:r>
        <w:t>. (BNC)</w:t>
      </w:r>
      <w:bookmarkEnd w:id="25"/>
    </w:p>
    <w:p w14:paraId="6EFC3092" w14:textId="77777777" w:rsidR="00BF7AB7" w:rsidRDefault="00BF7AB7" w:rsidP="00BF7AB7"/>
    <w:p w14:paraId="5BE032AB" w14:textId="486A44C0" w:rsidR="00BF7AB7" w:rsidRPr="00BC1F3F" w:rsidRDefault="00BF7AB7" w:rsidP="00BF7AB7">
      <w:pPr>
        <w:jc w:val="both"/>
      </w:pPr>
      <w:r>
        <w:t xml:space="preserve">Where the two languages differ is in the </w:t>
      </w:r>
      <w:r w:rsidR="00626096">
        <w:t>frequency</w:t>
      </w:r>
      <w:r>
        <w:t xml:space="preserve"> of expressions of </w:t>
      </w:r>
      <w:r w:rsidR="00E40A09">
        <w:t>‘</w:t>
      </w:r>
      <w:r>
        <w:t>manner</w:t>
      </w:r>
      <w:r w:rsidR="00E40A09">
        <w:t>’</w:t>
      </w:r>
      <w:r>
        <w:t xml:space="preserve"> in strongly dependent clauses</w:t>
      </w:r>
      <w:r w:rsidR="00626096">
        <w:t xml:space="preserve">. In Dutch, </w:t>
      </w:r>
      <w:r w:rsidR="00E40A09">
        <w:t>‘</w:t>
      </w:r>
      <w:r w:rsidR="00626096">
        <w:t>manner</w:t>
      </w:r>
      <w:r w:rsidR="00E40A09">
        <w:t>’</w:t>
      </w:r>
      <w:r w:rsidR="00626096">
        <w:t xml:space="preserve"> occurs in 49% of the strongly dependent clauses, </w:t>
      </w:r>
      <w:r>
        <w:t xml:space="preserve">e.g., </w:t>
      </w:r>
      <w:r w:rsidR="00AD7155">
        <w:fldChar w:fldCharType="begin"/>
      </w:r>
      <w:r w:rsidR="00AD7155">
        <w:instrText xml:space="preserve"> REF _Ref135729993 \r \h </w:instrText>
      </w:r>
      <w:r w:rsidR="00AD7155">
        <w:fldChar w:fldCharType="separate"/>
      </w:r>
      <w:r w:rsidR="008912AA">
        <w:t>(16)</w:t>
      </w:r>
      <w:r w:rsidR="00AD7155">
        <w:fldChar w:fldCharType="end"/>
      </w:r>
      <w:r w:rsidR="00626096">
        <w:t>; whereas in English, it only accounts for 1</w:t>
      </w:r>
      <w:r w:rsidR="00786ED7">
        <w:t>3</w:t>
      </w:r>
      <w:r w:rsidR="00626096">
        <w:t xml:space="preserve">%, e.g., </w:t>
      </w:r>
      <w:r w:rsidR="00BC1F3F">
        <w:fldChar w:fldCharType="begin"/>
      </w:r>
      <w:r w:rsidR="00BC1F3F">
        <w:instrText xml:space="preserve"> REF _Ref148443351 \n \h </w:instrText>
      </w:r>
      <w:r w:rsidR="00BC1F3F">
        <w:fldChar w:fldCharType="separate"/>
      </w:r>
      <w:r w:rsidR="008912AA">
        <w:t>(17)</w:t>
      </w:r>
      <w:r w:rsidR="00BC1F3F">
        <w:fldChar w:fldCharType="end"/>
      </w:r>
      <w:r w:rsidR="00BC1F3F">
        <w:t xml:space="preserve">. </w:t>
      </w:r>
      <w:r w:rsidR="002D66FA">
        <w:t>(Indeed, the standardized residuals for the chi-square tests suggest that ‘manner’ occurs less frequently than expected in strongly dependent clauses in English</w:t>
      </w:r>
      <w:r w:rsidR="00D601D3">
        <w:t xml:space="preserve"> (</w:t>
      </w:r>
      <w:r w:rsidR="002922DE">
        <w:t>r=</w:t>
      </w:r>
      <w:r w:rsidR="002C429B">
        <w:t>-</w:t>
      </w:r>
      <w:r w:rsidR="00EC5077">
        <w:t>2.8</w:t>
      </w:r>
      <w:r w:rsidR="0042774C">
        <w:t>1</w:t>
      </w:r>
      <w:r w:rsidR="002C429B">
        <w:t>)</w:t>
      </w:r>
      <w:r w:rsidR="002D66FA">
        <w:t>, but more frequently than expected in Dutch</w:t>
      </w:r>
      <w:r w:rsidR="002C429B">
        <w:t xml:space="preserve"> (</w:t>
      </w:r>
      <w:r w:rsidR="002922DE">
        <w:t>r=</w:t>
      </w:r>
      <w:r w:rsidR="002C429B">
        <w:t>2.42)</w:t>
      </w:r>
      <w:r w:rsidR="002D66FA">
        <w:t xml:space="preserve">.) </w:t>
      </w:r>
      <w:r w:rsidR="00BC1F3F">
        <w:t>This is due specifically to the Dutch collocat</w:t>
      </w:r>
      <w:r w:rsidR="00E56FA1">
        <w:t>ion</w:t>
      </w:r>
      <w:r w:rsidR="00BC1F3F">
        <w:t xml:space="preserve"> </w:t>
      </w:r>
      <w:r w:rsidR="00BC1F3F">
        <w:rPr>
          <w:i/>
        </w:rPr>
        <w:t>doen alsof</w:t>
      </w:r>
      <w:r w:rsidR="00BC1F3F">
        <w:t xml:space="preserve"> (literally ‘do as if’) being remarkably frequent, which is not the case for its English counterpart </w:t>
      </w:r>
      <w:r w:rsidR="00BC1F3F">
        <w:rPr>
          <w:i/>
        </w:rPr>
        <w:t>act as if</w:t>
      </w:r>
      <w:r w:rsidR="00BC1F3F">
        <w:t xml:space="preserve">. </w:t>
      </w:r>
    </w:p>
    <w:p w14:paraId="4304BE09" w14:textId="77777777" w:rsidR="00BF7AB7" w:rsidRDefault="00BF7AB7" w:rsidP="00BF7AB7">
      <w:pPr>
        <w:jc w:val="both"/>
      </w:pPr>
    </w:p>
    <w:p w14:paraId="0AC42804" w14:textId="2DA5AD7F" w:rsidR="00492C75" w:rsidRPr="00C914B2" w:rsidRDefault="00BF7AB7" w:rsidP="00DB2415">
      <w:pPr>
        <w:pStyle w:val="ListParagraph"/>
        <w:jc w:val="left"/>
      </w:pPr>
      <w:bookmarkStart w:id="26" w:name="_Ref135729993"/>
      <w:r w:rsidRPr="00BF7AB7">
        <w:rPr>
          <w:lang w:val="nl-BE"/>
        </w:rPr>
        <w:t xml:space="preserve">Nou </w:t>
      </w:r>
      <w:r w:rsidR="00492C75">
        <w:rPr>
          <w:lang w:val="nl-BE"/>
        </w:rPr>
        <w:tab/>
      </w:r>
      <w:r w:rsidRPr="00BF7AB7">
        <w:rPr>
          <w:lang w:val="nl-BE"/>
        </w:rPr>
        <w:t xml:space="preserve">doet </w:t>
      </w:r>
      <w:r w:rsidR="00492C75">
        <w:rPr>
          <w:lang w:val="nl-BE"/>
        </w:rPr>
        <w:tab/>
      </w:r>
      <w:r w:rsidRPr="00BF7AB7">
        <w:rPr>
          <w:lang w:val="nl-BE"/>
        </w:rPr>
        <w:t xml:space="preserve">ie </w:t>
      </w:r>
      <w:r w:rsidR="00492C75">
        <w:rPr>
          <w:lang w:val="nl-BE"/>
        </w:rPr>
        <w:tab/>
      </w:r>
      <w:r w:rsidRPr="00BF7AB7">
        <w:rPr>
          <w:lang w:val="nl-BE"/>
        </w:rPr>
        <w:t xml:space="preserve">weer </w:t>
      </w:r>
      <w:r w:rsidR="00492C75">
        <w:rPr>
          <w:lang w:val="nl-BE"/>
        </w:rPr>
        <w:tab/>
      </w:r>
      <w:r w:rsidR="00492C75">
        <w:rPr>
          <w:lang w:val="nl-BE"/>
        </w:rPr>
        <w:tab/>
      </w:r>
      <w:r w:rsidRPr="008F229D">
        <w:rPr>
          <w:u w:val="single"/>
          <w:lang w:val="nl-BE"/>
        </w:rPr>
        <w:t xml:space="preserve">net </w:t>
      </w:r>
      <w:r w:rsidR="00492C75">
        <w:rPr>
          <w:u w:val="single"/>
          <w:lang w:val="nl-BE"/>
        </w:rPr>
        <w:tab/>
      </w:r>
      <w:r w:rsidRPr="008F229D">
        <w:rPr>
          <w:u w:val="single"/>
          <w:lang w:val="nl-BE"/>
        </w:rPr>
        <w:t xml:space="preserve">alsof </w:t>
      </w:r>
      <w:r w:rsidR="00492C75">
        <w:rPr>
          <w:u w:val="single"/>
          <w:lang w:val="nl-BE"/>
        </w:rPr>
        <w:tab/>
      </w:r>
      <w:r w:rsidRPr="008F229D">
        <w:rPr>
          <w:u w:val="single"/>
          <w:lang w:val="nl-BE"/>
        </w:rPr>
        <w:t xml:space="preserve">ie </w:t>
      </w:r>
      <w:r w:rsidR="00492C75">
        <w:rPr>
          <w:u w:val="single"/>
          <w:lang w:val="nl-BE"/>
        </w:rPr>
        <w:tab/>
      </w:r>
      <w:r w:rsidR="00492C75">
        <w:rPr>
          <w:u w:val="single"/>
          <w:lang w:val="nl-BE"/>
        </w:rPr>
        <w:tab/>
      </w:r>
      <w:r w:rsidRPr="008F229D">
        <w:rPr>
          <w:u w:val="single"/>
          <w:lang w:val="nl-BE"/>
        </w:rPr>
        <w:t xml:space="preserve">alsof </w:t>
      </w:r>
      <w:r w:rsidR="00492C75">
        <w:rPr>
          <w:u w:val="single"/>
          <w:lang w:val="nl-BE"/>
        </w:rPr>
        <w:tab/>
      </w:r>
      <w:r w:rsidRPr="008F229D">
        <w:rPr>
          <w:u w:val="single"/>
          <w:lang w:val="nl-BE"/>
        </w:rPr>
        <w:t xml:space="preserve">ie </w:t>
      </w:r>
      <w:r w:rsidR="00492C75">
        <w:rPr>
          <w:u w:val="single"/>
          <w:lang w:val="nl-BE"/>
        </w:rPr>
        <w:tab/>
      </w:r>
      <w:r w:rsidRPr="008F229D">
        <w:rPr>
          <w:u w:val="single"/>
          <w:lang w:val="nl-BE"/>
        </w:rPr>
        <w:t xml:space="preserve">alles </w:t>
      </w:r>
      <w:r w:rsidR="00492C75">
        <w:rPr>
          <w:u w:val="single"/>
          <w:lang w:val="nl-BE"/>
        </w:rPr>
        <w:tab/>
      </w:r>
      <w:r w:rsidR="00492C75">
        <w:rPr>
          <w:u w:val="single"/>
          <w:lang w:val="nl-BE"/>
        </w:rPr>
        <w:tab/>
      </w:r>
      <w:r w:rsidR="00492C75">
        <w:rPr>
          <w:u w:val="single"/>
          <w:lang w:val="nl-BE"/>
        </w:rPr>
        <w:tab/>
      </w:r>
      <w:r w:rsidRPr="008F229D">
        <w:rPr>
          <w:u w:val="single"/>
          <w:lang w:val="nl-BE"/>
        </w:rPr>
        <w:t>kan</w:t>
      </w:r>
      <w:r w:rsidRPr="00BF7AB7">
        <w:rPr>
          <w:lang w:val="nl-BE"/>
        </w:rPr>
        <w:t xml:space="preserve">. </w:t>
      </w:r>
      <w:r w:rsidRPr="00C914B2">
        <w:t>(CGN)</w:t>
      </w:r>
      <w:bookmarkEnd w:id="26"/>
      <w:r w:rsidR="00492C75">
        <w:br/>
        <w:t>Now</w:t>
      </w:r>
      <w:r w:rsidR="00492C75">
        <w:tab/>
        <w:t>does</w:t>
      </w:r>
      <w:r w:rsidR="00492C75">
        <w:tab/>
        <w:t>he</w:t>
      </w:r>
      <w:r w:rsidR="00492C75">
        <w:tab/>
        <w:t>again</w:t>
      </w:r>
      <w:r w:rsidR="00492C75">
        <w:tab/>
      </w:r>
      <w:r w:rsidR="00492C75">
        <w:tab/>
      </w:r>
      <w:r w:rsidR="00492C75" w:rsidRPr="00DB2415">
        <w:rPr>
          <w:u w:val="single"/>
        </w:rPr>
        <w:t>just</w:t>
      </w:r>
      <w:r w:rsidR="00492C75" w:rsidRPr="00DB2415">
        <w:rPr>
          <w:u w:val="single"/>
        </w:rPr>
        <w:tab/>
        <w:t>as.if</w:t>
      </w:r>
      <w:r w:rsidR="00492C75" w:rsidRPr="00DB2415">
        <w:rPr>
          <w:u w:val="single"/>
        </w:rPr>
        <w:tab/>
        <w:t>he</w:t>
      </w:r>
      <w:r w:rsidR="00492C75" w:rsidRPr="00DB2415">
        <w:rPr>
          <w:u w:val="single"/>
        </w:rPr>
        <w:tab/>
      </w:r>
      <w:r w:rsidR="00492C75" w:rsidRPr="00DB2415">
        <w:rPr>
          <w:u w:val="single"/>
        </w:rPr>
        <w:tab/>
      </w:r>
      <w:proofErr w:type="gramStart"/>
      <w:r w:rsidR="00492C75" w:rsidRPr="00DB2415">
        <w:rPr>
          <w:u w:val="single"/>
        </w:rPr>
        <w:t>as.if</w:t>
      </w:r>
      <w:proofErr w:type="gramEnd"/>
      <w:r w:rsidR="00492C75" w:rsidRPr="00DB2415">
        <w:rPr>
          <w:u w:val="single"/>
        </w:rPr>
        <w:tab/>
        <w:t>he</w:t>
      </w:r>
      <w:r w:rsidR="00492C75" w:rsidRPr="00DB2415">
        <w:rPr>
          <w:u w:val="single"/>
        </w:rPr>
        <w:tab/>
        <w:t>everything</w:t>
      </w:r>
      <w:r w:rsidR="00492C75" w:rsidRPr="00DB2415">
        <w:rPr>
          <w:u w:val="single"/>
        </w:rPr>
        <w:tab/>
        <w:t>can</w:t>
      </w:r>
    </w:p>
    <w:p w14:paraId="6BC7D8F8" w14:textId="77777777" w:rsidR="00BF7AB7" w:rsidRPr="00240C9E" w:rsidRDefault="00BF7AB7" w:rsidP="00BF7AB7">
      <w:pPr>
        <w:pStyle w:val="ListParagraph"/>
        <w:numPr>
          <w:ilvl w:val="0"/>
          <w:numId w:val="0"/>
        </w:numPr>
        <w:ind w:left="567"/>
      </w:pPr>
      <w:r w:rsidRPr="00240C9E">
        <w:t>‘Now, he’s act</w:t>
      </w:r>
      <w:r>
        <w:t xml:space="preserve">ing again </w:t>
      </w:r>
      <w:r w:rsidRPr="00DB2415">
        <w:rPr>
          <w:u w:val="single"/>
        </w:rPr>
        <w:t>just as if he as if he can do everything</w:t>
      </w:r>
      <w:r>
        <w:t>.’</w:t>
      </w:r>
    </w:p>
    <w:p w14:paraId="6CDBA5F7" w14:textId="7CBF5DE9" w:rsidR="00BF7AB7" w:rsidRDefault="00BC1F3F" w:rsidP="00BC1F3F">
      <w:pPr>
        <w:pStyle w:val="ListParagraph"/>
      </w:pPr>
      <w:bookmarkStart w:id="27" w:name="_Ref148443351"/>
      <w:r>
        <w:t xml:space="preserve">We act </w:t>
      </w:r>
      <w:r w:rsidRPr="00075A99">
        <w:rPr>
          <w:u w:val="single"/>
        </w:rPr>
        <w:t>as if we belong to Jesus Christ</w:t>
      </w:r>
      <w:r>
        <w:t>.</w:t>
      </w:r>
      <w:bookmarkEnd w:id="27"/>
      <w:r w:rsidR="00827737">
        <w:t xml:space="preserve"> (BNC)</w:t>
      </w:r>
    </w:p>
    <w:p w14:paraId="0F3D612E" w14:textId="77777777" w:rsidR="00BC1F3F" w:rsidRPr="00240C9E" w:rsidRDefault="00BC1F3F" w:rsidP="00BF7AB7">
      <w:pPr>
        <w:jc w:val="both"/>
      </w:pPr>
    </w:p>
    <w:p w14:paraId="417AE8F2" w14:textId="33B04BD2" w:rsidR="00BF7AB7" w:rsidRDefault="003B41B6" w:rsidP="00BF7AB7">
      <w:pPr>
        <w:jc w:val="both"/>
      </w:pPr>
      <w:r>
        <w:t>In both languages, w</w:t>
      </w:r>
      <w:r w:rsidR="00BF7AB7">
        <w:t>eakly dependent clauses</w:t>
      </w:r>
      <w:r w:rsidR="00443213">
        <w:t xml:space="preserve"> </w:t>
      </w:r>
      <w:r w:rsidR="00BF7AB7">
        <w:t xml:space="preserve">almost exclusively express </w:t>
      </w:r>
      <w:r w:rsidR="00443213">
        <w:t>‘</w:t>
      </w:r>
      <w:r w:rsidR="00BF7AB7">
        <w:t>manner</w:t>
      </w:r>
      <w:r w:rsidR="00443213">
        <w:t>’</w:t>
      </w:r>
      <w:r w:rsidR="00BF7AB7">
        <w:t xml:space="preserve">, e.g., </w:t>
      </w:r>
      <w:r w:rsidR="00BF7AB7">
        <w:fldChar w:fldCharType="begin"/>
      </w:r>
      <w:r w:rsidR="00BF7AB7">
        <w:instrText xml:space="preserve"> REF _Ref132733864 \n \h </w:instrText>
      </w:r>
      <w:r w:rsidR="00BF7AB7">
        <w:fldChar w:fldCharType="separate"/>
      </w:r>
      <w:r w:rsidR="008912AA">
        <w:t>(18)</w:t>
      </w:r>
      <w:r w:rsidR="00BF7AB7">
        <w:fldChar w:fldCharType="end"/>
      </w:r>
      <w:r w:rsidR="00BF7AB7">
        <w:t>.</w:t>
      </w:r>
    </w:p>
    <w:p w14:paraId="23475B44" w14:textId="77777777" w:rsidR="00BF7AB7" w:rsidRDefault="00BF7AB7" w:rsidP="00BF7AB7">
      <w:pPr>
        <w:jc w:val="both"/>
      </w:pPr>
    </w:p>
    <w:p w14:paraId="038500E5" w14:textId="38D5EAC4" w:rsidR="00BF7AB7" w:rsidRPr="00C914B2" w:rsidRDefault="00BF7AB7" w:rsidP="00DB2415">
      <w:pPr>
        <w:pStyle w:val="ListParagraph"/>
        <w:jc w:val="left"/>
      </w:pPr>
      <w:bookmarkStart w:id="28" w:name="_Ref132733864"/>
      <w:r w:rsidRPr="00DB2415">
        <w:t>Spreken</w:t>
      </w:r>
      <w:r w:rsidR="00492C75" w:rsidRPr="00DB2415">
        <w:tab/>
      </w:r>
      <w:r w:rsidRPr="00DB2415">
        <w:t>mensen</w:t>
      </w:r>
      <w:r w:rsidR="00492C75" w:rsidRPr="00DB2415">
        <w:tab/>
      </w:r>
      <w:r w:rsidRPr="00DB2415">
        <w:t>u</w:t>
      </w:r>
      <w:r w:rsidR="00492C75" w:rsidRPr="00DB2415">
        <w:tab/>
      </w:r>
      <w:r w:rsidR="00492C75" w:rsidRPr="00DB2415">
        <w:tab/>
      </w:r>
      <w:r w:rsidRPr="00DB2415">
        <w:t>nog</w:t>
      </w:r>
      <w:r w:rsidR="00492C75" w:rsidRPr="00DB2415">
        <w:tab/>
      </w:r>
      <w:r w:rsidRPr="00DB2415">
        <w:t>aan</w:t>
      </w:r>
      <w:r w:rsidR="00492C75" w:rsidRPr="00DB2415">
        <w:tab/>
      </w:r>
      <w:r w:rsidRPr="00DB2415">
        <w:rPr>
          <w:u w:val="single"/>
        </w:rPr>
        <w:t xml:space="preserve">alsof </w:t>
      </w:r>
      <w:r w:rsidR="00492C75" w:rsidRPr="00DB2415">
        <w:rPr>
          <w:u w:val="single"/>
        </w:rPr>
        <w:tab/>
      </w:r>
      <w:r w:rsidRPr="00DB2415">
        <w:rPr>
          <w:u w:val="single"/>
        </w:rPr>
        <w:t xml:space="preserve">u </w:t>
      </w:r>
      <w:r w:rsidR="00492C75" w:rsidRPr="00DB2415">
        <w:rPr>
          <w:u w:val="single"/>
        </w:rPr>
        <w:tab/>
      </w:r>
      <w:r w:rsidR="00492C75" w:rsidRPr="00DB2415">
        <w:rPr>
          <w:u w:val="single"/>
        </w:rPr>
        <w:tab/>
      </w:r>
      <w:r w:rsidRPr="00DB2415">
        <w:rPr>
          <w:u w:val="single"/>
        </w:rPr>
        <w:t xml:space="preserve">de </w:t>
      </w:r>
      <w:r w:rsidR="00492C75" w:rsidRPr="00DB2415">
        <w:rPr>
          <w:u w:val="single"/>
        </w:rPr>
        <w:tab/>
      </w:r>
      <w:r w:rsidRPr="00DB2415">
        <w:rPr>
          <w:u w:val="single"/>
        </w:rPr>
        <w:t>burgemeester</w:t>
      </w:r>
      <w:r w:rsidR="00492C75" w:rsidRPr="00DB2415">
        <w:rPr>
          <w:u w:val="single"/>
        </w:rPr>
        <w:tab/>
      </w:r>
      <w:r w:rsidRPr="00DB2415">
        <w:rPr>
          <w:u w:val="single"/>
        </w:rPr>
        <w:t>bent</w:t>
      </w:r>
      <w:r w:rsidRPr="00DB2415">
        <w:t>,</w:t>
      </w:r>
      <w:r w:rsidR="00492C75" w:rsidRPr="00DB2415">
        <w:tab/>
      </w:r>
      <w:r w:rsidRPr="00DB2415">
        <w:t>meneer</w:t>
      </w:r>
      <w:r w:rsidR="00492C75" w:rsidRPr="00DB2415">
        <w:br/>
      </w:r>
      <w:r w:rsidR="00492C75" w:rsidRPr="00DB2415">
        <w:rPr>
          <w:lang w:val="en-US"/>
        </w:rPr>
        <w:t>Speak</w:t>
      </w:r>
      <w:r w:rsidR="00492C75" w:rsidRPr="00DB2415">
        <w:rPr>
          <w:lang w:val="en-US"/>
        </w:rPr>
        <w:tab/>
        <w:t>people</w:t>
      </w:r>
      <w:r w:rsidR="00492C75" w:rsidRPr="00DB2415">
        <w:rPr>
          <w:lang w:val="en-US"/>
        </w:rPr>
        <w:tab/>
        <w:t>you</w:t>
      </w:r>
      <w:r w:rsidR="00492C75" w:rsidRPr="00DB2415">
        <w:rPr>
          <w:lang w:val="en-US"/>
        </w:rPr>
        <w:tab/>
        <w:t>still</w:t>
      </w:r>
      <w:r w:rsidRPr="00DB2415">
        <w:rPr>
          <w:lang w:val="en-US"/>
        </w:rPr>
        <w:t xml:space="preserve"> </w:t>
      </w:r>
      <w:r w:rsidR="00492C75" w:rsidRPr="00DB2415">
        <w:rPr>
          <w:lang w:val="en-US"/>
        </w:rPr>
        <w:tab/>
      </w:r>
      <w:r w:rsidR="00492C75">
        <w:rPr>
          <w:lang w:val="en-US"/>
        </w:rPr>
        <w:t>to</w:t>
      </w:r>
      <w:r w:rsidR="00492C75" w:rsidRPr="00DB2415">
        <w:rPr>
          <w:lang w:val="en-US"/>
        </w:rPr>
        <w:tab/>
      </w:r>
      <w:r w:rsidR="00492C75" w:rsidRPr="00DB2415">
        <w:rPr>
          <w:lang w:val="en-US"/>
        </w:rPr>
        <w:tab/>
      </w:r>
      <w:proofErr w:type="gramStart"/>
      <w:r w:rsidR="00492C75" w:rsidRPr="00DB2415">
        <w:rPr>
          <w:u w:val="single"/>
          <w:lang w:val="en-US"/>
        </w:rPr>
        <w:t>as.if</w:t>
      </w:r>
      <w:proofErr w:type="gramEnd"/>
      <w:r w:rsidR="00492C75" w:rsidRPr="00DB2415">
        <w:rPr>
          <w:u w:val="single"/>
          <w:lang w:val="en-US"/>
        </w:rPr>
        <w:tab/>
        <w:t>you</w:t>
      </w:r>
      <w:r w:rsidR="00492C75" w:rsidRPr="00DB2415">
        <w:rPr>
          <w:u w:val="single"/>
          <w:lang w:val="en-US"/>
        </w:rPr>
        <w:tab/>
        <w:t>the</w:t>
      </w:r>
      <w:r w:rsidR="00492C75" w:rsidRPr="00DB2415">
        <w:rPr>
          <w:u w:val="single"/>
          <w:lang w:val="en-US"/>
        </w:rPr>
        <w:tab/>
      </w:r>
      <w:r w:rsidR="00492C75">
        <w:rPr>
          <w:u w:val="single"/>
          <w:lang w:val="en-US"/>
        </w:rPr>
        <w:t>mayor</w:t>
      </w:r>
      <w:r w:rsidR="00492C75">
        <w:rPr>
          <w:u w:val="single"/>
          <w:lang w:val="en-US"/>
        </w:rPr>
        <w:tab/>
      </w:r>
      <w:r w:rsidR="00492C75">
        <w:rPr>
          <w:u w:val="single"/>
          <w:lang w:val="en-US"/>
        </w:rPr>
        <w:tab/>
      </w:r>
      <w:r w:rsidR="00492C75">
        <w:rPr>
          <w:u w:val="single"/>
          <w:lang w:val="en-US"/>
        </w:rPr>
        <w:tab/>
        <w:t>are</w:t>
      </w:r>
      <w:r w:rsidR="00492C75">
        <w:rPr>
          <w:lang w:val="en-US"/>
        </w:rPr>
        <w:t>,</w:t>
      </w:r>
      <w:r w:rsidR="00492C75">
        <w:rPr>
          <w:lang w:val="en-US"/>
        </w:rPr>
        <w:tab/>
        <w:t>mister</w:t>
      </w:r>
      <w:r w:rsidR="00492C75">
        <w:rPr>
          <w:lang w:val="en-US"/>
        </w:rPr>
        <w:br/>
      </w:r>
      <w:r w:rsidR="00492C75" w:rsidRPr="00DB2415">
        <w:t>Michel?</w:t>
      </w:r>
      <w:r w:rsidR="00492C75">
        <w:rPr>
          <w:lang w:val="en-US"/>
        </w:rPr>
        <w:t xml:space="preserve"> </w:t>
      </w:r>
      <w:r w:rsidRPr="00C914B2">
        <w:t>(CGN)</w:t>
      </w:r>
      <w:bookmarkEnd w:id="28"/>
      <w:r w:rsidR="00492C75">
        <w:br/>
        <w:t>Michel?</w:t>
      </w:r>
    </w:p>
    <w:p w14:paraId="208005B8" w14:textId="77777777" w:rsidR="00BF7AB7" w:rsidRPr="00CC2CDA" w:rsidRDefault="00BF7AB7" w:rsidP="00BF7AB7">
      <w:pPr>
        <w:pStyle w:val="ListParagraph"/>
        <w:numPr>
          <w:ilvl w:val="0"/>
          <w:numId w:val="0"/>
        </w:numPr>
        <w:ind w:left="567"/>
      </w:pPr>
      <w:r w:rsidRPr="00CC2CDA">
        <w:t xml:space="preserve">‘Do people still </w:t>
      </w:r>
      <w:r>
        <w:t>address</w:t>
      </w:r>
      <w:r w:rsidRPr="00CC2CDA">
        <w:t xml:space="preserve"> you </w:t>
      </w:r>
      <w:r w:rsidRPr="00DB2415">
        <w:rPr>
          <w:u w:val="single"/>
        </w:rPr>
        <w:t>as if you’re the mayor</w:t>
      </w:r>
      <w:r w:rsidRPr="00CC2CDA">
        <w:t>, mister Mich</w:t>
      </w:r>
      <w:r>
        <w:t>el?’</w:t>
      </w:r>
    </w:p>
    <w:p w14:paraId="6A6823FB" w14:textId="77777777" w:rsidR="00BF7AB7" w:rsidRDefault="00BF7AB7" w:rsidP="00BF7AB7">
      <w:pPr>
        <w:jc w:val="both"/>
      </w:pPr>
    </w:p>
    <w:p w14:paraId="3839409B" w14:textId="1BB1EFE2" w:rsidR="00BF7AB7" w:rsidRPr="00472365" w:rsidRDefault="006370E9" w:rsidP="004C2965">
      <w:pPr>
        <w:jc w:val="both"/>
      </w:pPr>
      <w:r>
        <w:t>S</w:t>
      </w:r>
      <w:r w:rsidR="00BF7AB7">
        <w:t>yntactically independent clauses</w:t>
      </w:r>
      <w:r w:rsidR="00443213">
        <w:t>, finally,</w:t>
      </w:r>
      <w:r w:rsidR="00BF7AB7">
        <w:t xml:space="preserve"> are functionally diverse, both in English and in Dutch. Still,</w:t>
      </w:r>
      <w:r w:rsidR="0063468A">
        <w:t xml:space="preserve"> the two languages differ on two counts. First, syntactically independent clauses are much more frequent in Dutch</w:t>
      </w:r>
      <w:r w:rsidR="00C73DB7">
        <w:t xml:space="preserve"> (119 attestations, or 48%)</w:t>
      </w:r>
      <w:r w:rsidR="0063468A">
        <w:t xml:space="preserve"> than in English</w:t>
      </w:r>
      <w:r w:rsidR="00C73DB7">
        <w:t xml:space="preserve"> (</w:t>
      </w:r>
      <w:r w:rsidR="0042774C">
        <w:t xml:space="preserve">58 </w:t>
      </w:r>
      <w:r w:rsidR="00C73DB7">
        <w:t>attestations, or 3</w:t>
      </w:r>
      <w:r w:rsidR="007A2394">
        <w:t>7</w:t>
      </w:r>
      <w:r w:rsidR="00C73DB7">
        <w:t>%)</w:t>
      </w:r>
      <w:r w:rsidR="0063468A">
        <w:t xml:space="preserve">. Second, in English there seems to be no one function that stands out quantitatively. In Dutch, however, </w:t>
      </w:r>
      <w:r w:rsidR="004C2965">
        <w:t>‘denial of assumption’ is, with 6</w:t>
      </w:r>
      <w:r w:rsidR="00E64825">
        <w:t>2</w:t>
      </w:r>
      <w:r w:rsidR="004C2965">
        <w:t xml:space="preserve"> attestations (or 5</w:t>
      </w:r>
      <w:r w:rsidR="00E64825">
        <w:t>2</w:t>
      </w:r>
      <w:r w:rsidR="004C2965">
        <w:t>%), the main function found with syntactically independent clauses, followed by ‘</w:t>
      </w:r>
      <w:r w:rsidR="00C960EF">
        <w:t>qualification</w:t>
      </w:r>
      <w:r w:rsidR="004C2965">
        <w:t>’ (34 attestations, or 2</w:t>
      </w:r>
      <w:r w:rsidR="00017A3C">
        <w:t>9</w:t>
      </w:r>
      <w:r w:rsidR="004C2965">
        <w:t xml:space="preserve">%). </w:t>
      </w:r>
      <w:r w:rsidR="00BF7AB7">
        <w:t>Moreover, while all four of the functional types are attested at the level of syntactic independenc</w:t>
      </w:r>
      <w:r w:rsidR="000B5B83">
        <w:t>e</w:t>
      </w:r>
      <w:r w:rsidR="00BF7AB7">
        <w:t xml:space="preserve"> (in both languages), they do differ in terms of discursive (in)</w:t>
      </w:r>
      <w:r w:rsidR="000B5B83">
        <w:t>dependence</w:t>
      </w:r>
      <w:r w:rsidR="00BF7AB7">
        <w:t xml:space="preserve">. Syntactically non-integrated clauses expressing </w:t>
      </w:r>
      <w:r w:rsidR="00EA59CB">
        <w:t>‘</w:t>
      </w:r>
      <w:r w:rsidR="00BF7AB7">
        <w:t>manner</w:t>
      </w:r>
      <w:r w:rsidR="00EA59CB">
        <w:t>’</w:t>
      </w:r>
      <w:r w:rsidR="00BF7AB7">
        <w:t xml:space="preserve"> all take the form of ‘post-modifying’ constructions</w:t>
      </w:r>
      <w:r w:rsidR="004C2965">
        <w:t>. These</w:t>
      </w:r>
      <w:r w:rsidR="00BF7AB7">
        <w:t xml:space="preserve"> function as a sort of increment, “continu[ing] on an assertion that was seemingly ‘complete’ already” </w:t>
      </w:r>
      <w:r w:rsidR="00BF7AB7" w:rsidRPr="00F365BB">
        <w:rPr>
          <w:szCs w:val="24"/>
        </w:rPr>
        <w:t>(D’Hertefelt 2018: 172)</w:t>
      </w:r>
      <w:r w:rsidR="00BF7AB7">
        <w:t xml:space="preserve">, e.g., </w:t>
      </w:r>
      <w:r w:rsidR="00BF7AB7">
        <w:fldChar w:fldCharType="begin"/>
      </w:r>
      <w:r w:rsidR="00BF7AB7">
        <w:instrText xml:space="preserve"> REF _Ref132734933 \n \h </w:instrText>
      </w:r>
      <w:r w:rsidR="00BF7AB7">
        <w:fldChar w:fldCharType="separate"/>
      </w:r>
      <w:r w:rsidR="008912AA">
        <w:t>(19)</w:t>
      </w:r>
      <w:r w:rsidR="00BF7AB7">
        <w:fldChar w:fldCharType="end"/>
      </w:r>
      <w:r w:rsidR="00BF7AB7">
        <w:t xml:space="preserve">. Often, they provide a reformulation of a manner </w:t>
      </w:r>
      <w:r w:rsidR="00A3215D">
        <w:t xml:space="preserve">argument or manner </w:t>
      </w:r>
      <w:r w:rsidR="00BF7AB7">
        <w:t xml:space="preserve">adjunct in the prior clause, e.g. </w:t>
      </w:r>
      <w:r w:rsidR="00BF7AB7">
        <w:rPr>
          <w:i/>
        </w:rPr>
        <w:t>normal</w:t>
      </w:r>
      <w:r w:rsidR="00BF7AB7">
        <w:t xml:space="preserve"> in </w:t>
      </w:r>
      <w:r w:rsidR="00BF7AB7">
        <w:fldChar w:fldCharType="begin"/>
      </w:r>
      <w:r w:rsidR="00BF7AB7">
        <w:instrText xml:space="preserve"> REF _Ref132734933 \n \h </w:instrText>
      </w:r>
      <w:r w:rsidR="00BF7AB7">
        <w:fldChar w:fldCharType="separate"/>
      </w:r>
      <w:r w:rsidR="008912AA">
        <w:t>(19)</w:t>
      </w:r>
      <w:r w:rsidR="00BF7AB7">
        <w:fldChar w:fldCharType="end"/>
      </w:r>
      <w:r w:rsidR="00BF7AB7">
        <w:t>.</w:t>
      </w:r>
    </w:p>
    <w:p w14:paraId="07704DC8" w14:textId="77777777" w:rsidR="00BF7AB7" w:rsidRDefault="00BF7AB7" w:rsidP="00BF7AB7">
      <w:pPr>
        <w:jc w:val="both"/>
      </w:pPr>
    </w:p>
    <w:p w14:paraId="7A64B277" w14:textId="4C430074" w:rsidR="00BF7AB7" w:rsidRDefault="00BF7AB7" w:rsidP="00BF7AB7">
      <w:pPr>
        <w:pStyle w:val="ListParagraph"/>
      </w:pPr>
      <w:bookmarkStart w:id="29" w:name="_Ref132734933"/>
      <w:r>
        <w:t xml:space="preserve">Just behave normal. </w:t>
      </w:r>
      <w:r w:rsidRPr="008F229D">
        <w:rPr>
          <w:u w:val="single"/>
        </w:rPr>
        <w:t>As if you don’t know it’s there</w:t>
      </w:r>
      <w:r>
        <w:t>. (BNC)</w:t>
      </w:r>
      <w:bookmarkEnd w:id="29"/>
    </w:p>
    <w:p w14:paraId="041F8402" w14:textId="77777777" w:rsidR="00BF7AB7" w:rsidRDefault="00BF7AB7" w:rsidP="00BF7AB7">
      <w:pPr>
        <w:jc w:val="both"/>
      </w:pPr>
    </w:p>
    <w:p w14:paraId="4817EF1B" w14:textId="1F1477CD" w:rsidR="00BF7AB7" w:rsidRDefault="00BF7AB7" w:rsidP="00BF7AB7">
      <w:pPr>
        <w:jc w:val="both"/>
      </w:pPr>
      <w:r>
        <w:t xml:space="preserve">Independent clauses expressing </w:t>
      </w:r>
      <w:r w:rsidR="00C960EF">
        <w:t>qualification</w:t>
      </w:r>
      <w:r w:rsidRPr="001726FA">
        <w:t xml:space="preserve">, e.g. </w:t>
      </w:r>
      <w:r>
        <w:fldChar w:fldCharType="begin"/>
      </w:r>
      <w:r w:rsidRPr="001726FA">
        <w:instrText xml:space="preserve"> REF _Ref132735769 \n \h </w:instrText>
      </w:r>
      <w:r>
        <w:fldChar w:fldCharType="separate"/>
      </w:r>
      <w:r w:rsidR="008912AA">
        <w:t>(20)</w:t>
      </w:r>
      <w:r>
        <w:fldChar w:fldCharType="end"/>
      </w:r>
      <w:r w:rsidRPr="001726FA">
        <w:t xml:space="preserve">, or a </w:t>
      </w:r>
      <w:r w:rsidR="00DC4081" w:rsidRPr="001726FA">
        <w:t>cause</w:t>
      </w:r>
      <w:r w:rsidRPr="001726FA">
        <w:t xml:space="preserve">, e.g. </w:t>
      </w:r>
      <w:r>
        <w:fldChar w:fldCharType="begin"/>
      </w:r>
      <w:r w:rsidRPr="001726FA">
        <w:instrText xml:space="preserve"> REF _Ref132735953 \n \h </w:instrText>
      </w:r>
      <w:r>
        <w:fldChar w:fldCharType="separate"/>
      </w:r>
      <w:r w:rsidR="008912AA">
        <w:t>(21)</w:t>
      </w:r>
      <w:r>
        <w:fldChar w:fldCharType="end"/>
      </w:r>
      <w:r>
        <w:t xml:space="preserve">, take the form of </w:t>
      </w:r>
      <w:r w:rsidR="00AD7155">
        <w:t>a</w:t>
      </w:r>
      <w:r>
        <w:t xml:space="preserve"> dependency shift</w:t>
      </w:r>
      <w:r w:rsidR="00F82948">
        <w:t>: here, the HM clauses does not reformulate an element of the prior clause but, instead, it comments on what the situation in the prior clause</w:t>
      </w:r>
      <w:r w:rsidR="00004D47">
        <w:t xml:space="preserve"> </w:t>
      </w:r>
      <w:r w:rsidR="00F82948">
        <w:t>seems like</w:t>
      </w:r>
      <w:r w:rsidR="00004D47">
        <w:t>, or what the possible cause of that situation is.</w:t>
      </w:r>
    </w:p>
    <w:p w14:paraId="593CC95B" w14:textId="77777777" w:rsidR="00BF7AB7" w:rsidRDefault="00BF7AB7" w:rsidP="00BF7AB7">
      <w:pPr>
        <w:jc w:val="both"/>
      </w:pPr>
    </w:p>
    <w:p w14:paraId="0C058D24" w14:textId="6A1BBA1F" w:rsidR="00BF7AB7" w:rsidRDefault="00BF7AB7" w:rsidP="00BF7AB7">
      <w:pPr>
        <w:pStyle w:val="ListParagraph"/>
      </w:pPr>
      <w:bookmarkStart w:id="30" w:name="_Ref132735769"/>
      <w:r>
        <w:t>I</w:t>
      </w:r>
      <w:r w:rsidRPr="003C021C">
        <w:t xml:space="preserve">t was the type of house you looked into </w:t>
      </w:r>
      <w:proofErr w:type="gramStart"/>
      <w:r w:rsidRPr="003C021C">
        <w:t>it</w:t>
      </w:r>
      <w:proofErr w:type="gramEnd"/>
      <w:r w:rsidRPr="003C021C">
        <w:t xml:space="preserve"> and you expected to see cobwebs you know, sort of fustiness</w:t>
      </w:r>
      <w:r>
        <w:t xml:space="preserve">. (Pause) </w:t>
      </w:r>
      <w:r w:rsidRPr="008F229D">
        <w:rPr>
          <w:u w:val="single"/>
        </w:rPr>
        <w:t>As if a window had never been opened for years and years and years</w:t>
      </w:r>
      <w:r>
        <w:t>. (BNC)</w:t>
      </w:r>
      <w:bookmarkEnd w:id="30"/>
    </w:p>
    <w:p w14:paraId="4C0452D4" w14:textId="168CD428" w:rsidR="00BF7AB7" w:rsidRPr="00DB2415" w:rsidRDefault="00BF7AB7" w:rsidP="00DB2415">
      <w:pPr>
        <w:pStyle w:val="ListParagraph"/>
        <w:jc w:val="left"/>
        <w:rPr>
          <w:lang w:val="en-US"/>
        </w:rPr>
      </w:pPr>
      <w:bookmarkStart w:id="31" w:name="_Ref132735953"/>
      <w:r w:rsidRPr="00B42D75">
        <w:rPr>
          <w:lang w:val="nl-BE"/>
        </w:rPr>
        <w:t>Iedere</w:t>
      </w:r>
      <w:r w:rsidR="00492C75">
        <w:rPr>
          <w:lang w:val="nl-BE"/>
        </w:rPr>
        <w:tab/>
      </w:r>
      <w:r w:rsidRPr="00B42D75">
        <w:rPr>
          <w:lang w:val="nl-BE"/>
        </w:rPr>
        <w:t xml:space="preserve">stap </w:t>
      </w:r>
      <w:r w:rsidR="00492C75">
        <w:rPr>
          <w:lang w:val="nl-BE"/>
        </w:rPr>
        <w:tab/>
      </w:r>
      <w:r w:rsidRPr="00B42D75">
        <w:rPr>
          <w:lang w:val="nl-BE"/>
        </w:rPr>
        <w:t xml:space="preserve">heeft </w:t>
      </w:r>
      <w:r w:rsidR="00492C75">
        <w:rPr>
          <w:lang w:val="nl-BE"/>
        </w:rPr>
        <w:tab/>
      </w:r>
      <w:r w:rsidRPr="00B42D75">
        <w:rPr>
          <w:lang w:val="nl-BE"/>
        </w:rPr>
        <w:t xml:space="preserve">nu </w:t>
      </w:r>
      <w:r w:rsidR="00492C75">
        <w:rPr>
          <w:lang w:val="nl-BE"/>
        </w:rPr>
        <w:tab/>
      </w:r>
      <w:r>
        <w:rPr>
          <w:lang w:val="nl-BE"/>
        </w:rPr>
        <w:t xml:space="preserve">een </w:t>
      </w:r>
      <w:r w:rsidR="00492C75">
        <w:rPr>
          <w:lang w:val="nl-BE"/>
        </w:rPr>
        <w:tab/>
      </w:r>
      <w:r>
        <w:rPr>
          <w:lang w:val="nl-BE"/>
        </w:rPr>
        <w:t xml:space="preserve">duidelijke </w:t>
      </w:r>
      <w:r w:rsidR="00492C75">
        <w:rPr>
          <w:lang w:val="nl-BE"/>
        </w:rPr>
        <w:tab/>
      </w:r>
      <w:r>
        <w:rPr>
          <w:lang w:val="nl-BE"/>
        </w:rPr>
        <w:t xml:space="preserve">echo. </w:t>
      </w:r>
      <w:r w:rsidR="00492C75">
        <w:rPr>
          <w:lang w:val="nl-BE"/>
        </w:rPr>
        <w:tab/>
      </w:r>
      <w:r w:rsidRPr="00DB2415">
        <w:rPr>
          <w:u w:val="single"/>
          <w:lang w:val="en-US"/>
        </w:rPr>
        <w:t xml:space="preserve">Alsof </w:t>
      </w:r>
      <w:r w:rsidR="00492C75" w:rsidRPr="00DB2415">
        <w:rPr>
          <w:u w:val="single"/>
          <w:lang w:val="en-US"/>
        </w:rPr>
        <w:tab/>
      </w:r>
      <w:r w:rsidRPr="00DB2415">
        <w:rPr>
          <w:u w:val="single"/>
          <w:lang w:val="en-US"/>
        </w:rPr>
        <w:t xml:space="preserve">haar </w:t>
      </w:r>
      <w:r w:rsidR="00492C75" w:rsidRPr="00DB2415">
        <w:rPr>
          <w:u w:val="single"/>
          <w:lang w:val="en-US"/>
        </w:rPr>
        <w:tab/>
      </w:r>
      <w:r w:rsidRPr="00DB2415">
        <w:rPr>
          <w:u w:val="single"/>
          <w:lang w:val="en-US"/>
        </w:rPr>
        <w:t xml:space="preserve">achtervolger </w:t>
      </w:r>
      <w:r w:rsidR="00492C75" w:rsidRPr="00DB2415">
        <w:rPr>
          <w:u w:val="single"/>
          <w:lang w:val="en-US"/>
        </w:rPr>
        <w:tab/>
      </w:r>
      <w:r w:rsidRPr="00DB2415">
        <w:rPr>
          <w:u w:val="single"/>
          <w:lang w:val="en-US"/>
        </w:rPr>
        <w:t>het</w:t>
      </w:r>
      <w:r w:rsidR="00492C75" w:rsidRPr="00DB2415">
        <w:rPr>
          <w:u w:val="single"/>
          <w:lang w:val="en-US"/>
        </w:rPr>
        <w:br/>
      </w:r>
      <w:r w:rsidR="00492C75" w:rsidRPr="00DB2415">
        <w:rPr>
          <w:lang w:val="en-US"/>
        </w:rPr>
        <w:t>Every</w:t>
      </w:r>
      <w:r w:rsidR="00492C75" w:rsidRPr="00DB2415">
        <w:rPr>
          <w:lang w:val="en-US"/>
        </w:rPr>
        <w:tab/>
        <w:t>step</w:t>
      </w:r>
      <w:r w:rsidR="00492C75" w:rsidRPr="00DB2415">
        <w:rPr>
          <w:lang w:val="en-US"/>
        </w:rPr>
        <w:tab/>
        <w:t>has</w:t>
      </w:r>
      <w:r w:rsidR="00492C75" w:rsidRPr="00DB2415">
        <w:rPr>
          <w:lang w:val="en-US"/>
        </w:rPr>
        <w:tab/>
        <w:t>now</w:t>
      </w:r>
      <w:r w:rsidR="00492C75" w:rsidRPr="00DB2415">
        <w:rPr>
          <w:lang w:val="en-US"/>
        </w:rPr>
        <w:tab/>
        <w:t>a</w:t>
      </w:r>
      <w:r w:rsidR="00492C75" w:rsidRPr="00DB2415">
        <w:rPr>
          <w:lang w:val="en-US"/>
        </w:rPr>
        <w:tab/>
      </w:r>
      <w:r w:rsidR="00492C75" w:rsidRPr="00DB2415">
        <w:rPr>
          <w:lang w:val="en-US"/>
        </w:rPr>
        <w:tab/>
        <w:t>clear</w:t>
      </w:r>
      <w:r w:rsidR="00492C75" w:rsidRPr="00DB2415">
        <w:rPr>
          <w:lang w:val="en-US"/>
        </w:rPr>
        <w:tab/>
      </w:r>
      <w:r w:rsidR="00492C75" w:rsidRPr="00DB2415">
        <w:rPr>
          <w:lang w:val="en-US"/>
        </w:rPr>
        <w:tab/>
      </w:r>
      <w:r w:rsidR="00492C75" w:rsidRPr="00DB2415">
        <w:rPr>
          <w:lang w:val="en-US"/>
        </w:rPr>
        <w:tab/>
        <w:t>echo.</w:t>
      </w:r>
      <w:r w:rsidR="00492C75" w:rsidRPr="00DB2415">
        <w:rPr>
          <w:lang w:val="en-US"/>
        </w:rPr>
        <w:tab/>
      </w:r>
      <w:r w:rsidR="00492C75">
        <w:rPr>
          <w:lang w:val="en-US"/>
        </w:rPr>
        <w:tab/>
      </w:r>
      <w:r w:rsidR="00492C75" w:rsidRPr="00DB2415">
        <w:rPr>
          <w:u w:val="single"/>
          <w:lang w:val="nl-BE"/>
        </w:rPr>
        <w:t>As.if</w:t>
      </w:r>
      <w:r w:rsidR="00492C75" w:rsidRPr="00DB2415">
        <w:rPr>
          <w:u w:val="single"/>
          <w:lang w:val="nl-BE"/>
        </w:rPr>
        <w:tab/>
      </w:r>
      <w:r w:rsidR="00492C75" w:rsidRPr="00DB2415">
        <w:rPr>
          <w:u w:val="single"/>
          <w:lang w:val="nl-BE"/>
        </w:rPr>
        <w:tab/>
        <w:t>her</w:t>
      </w:r>
      <w:r w:rsidR="00492C75" w:rsidRPr="00DB2415">
        <w:rPr>
          <w:u w:val="single"/>
          <w:lang w:val="nl-BE"/>
        </w:rPr>
        <w:tab/>
      </w:r>
      <w:r w:rsidR="00492C75">
        <w:rPr>
          <w:u w:val="single"/>
          <w:lang w:val="nl-BE"/>
        </w:rPr>
        <w:t>stalker</w:t>
      </w:r>
      <w:r w:rsidR="00492C75">
        <w:rPr>
          <w:u w:val="single"/>
          <w:lang w:val="nl-BE"/>
        </w:rPr>
        <w:tab/>
      </w:r>
      <w:r w:rsidR="00492C75">
        <w:rPr>
          <w:u w:val="single"/>
          <w:lang w:val="nl-BE"/>
        </w:rPr>
        <w:tab/>
      </w:r>
      <w:r w:rsidR="00492C75">
        <w:rPr>
          <w:u w:val="single"/>
          <w:lang w:val="nl-BE"/>
        </w:rPr>
        <w:tab/>
        <w:t>it</w:t>
      </w:r>
      <w:r w:rsidR="00492C75" w:rsidRPr="00492C75">
        <w:rPr>
          <w:u w:val="single"/>
          <w:lang w:val="nl-BE"/>
        </w:rPr>
        <w:br/>
      </w:r>
      <w:r w:rsidRPr="008F229D">
        <w:rPr>
          <w:u w:val="single"/>
          <w:lang w:val="nl-BE"/>
        </w:rPr>
        <w:lastRenderedPageBreak/>
        <w:t xml:space="preserve">niet </w:t>
      </w:r>
      <w:r w:rsidR="00492C75">
        <w:rPr>
          <w:u w:val="single"/>
          <w:lang w:val="nl-BE"/>
        </w:rPr>
        <w:tab/>
      </w:r>
      <w:r w:rsidRPr="008F229D">
        <w:rPr>
          <w:u w:val="single"/>
          <w:lang w:val="nl-BE"/>
        </w:rPr>
        <w:t xml:space="preserve">langer </w:t>
      </w:r>
      <w:r w:rsidR="00492C75">
        <w:rPr>
          <w:u w:val="single"/>
          <w:lang w:val="nl-BE"/>
        </w:rPr>
        <w:tab/>
      </w:r>
      <w:r w:rsidRPr="008F229D">
        <w:rPr>
          <w:u w:val="single"/>
          <w:lang w:val="nl-BE"/>
        </w:rPr>
        <w:t xml:space="preserve">nodig </w:t>
      </w:r>
      <w:r w:rsidR="00492C75">
        <w:rPr>
          <w:u w:val="single"/>
          <w:lang w:val="nl-BE"/>
        </w:rPr>
        <w:tab/>
      </w:r>
      <w:r w:rsidR="00492C75">
        <w:rPr>
          <w:u w:val="single"/>
          <w:lang w:val="nl-BE"/>
        </w:rPr>
        <w:tab/>
      </w:r>
      <w:r w:rsidRPr="008F229D">
        <w:rPr>
          <w:u w:val="single"/>
          <w:lang w:val="nl-BE"/>
        </w:rPr>
        <w:t xml:space="preserve">vindt </w:t>
      </w:r>
      <w:r w:rsidR="00492C75">
        <w:rPr>
          <w:u w:val="single"/>
          <w:lang w:val="nl-BE"/>
        </w:rPr>
        <w:tab/>
      </w:r>
      <w:r w:rsidR="00492C75">
        <w:rPr>
          <w:u w:val="single"/>
          <w:lang w:val="nl-BE"/>
        </w:rPr>
        <w:tab/>
      </w:r>
      <w:r w:rsidRPr="008F229D">
        <w:rPr>
          <w:u w:val="single"/>
          <w:lang w:val="nl-BE"/>
        </w:rPr>
        <w:t xml:space="preserve">om </w:t>
      </w:r>
      <w:r w:rsidR="00492C75">
        <w:rPr>
          <w:u w:val="single"/>
          <w:lang w:val="nl-BE"/>
        </w:rPr>
        <w:tab/>
      </w:r>
      <w:r w:rsidRPr="008F229D">
        <w:rPr>
          <w:u w:val="single"/>
          <w:lang w:val="nl-BE"/>
        </w:rPr>
        <w:t xml:space="preserve">haar </w:t>
      </w:r>
      <w:r w:rsidR="00492C75">
        <w:rPr>
          <w:u w:val="single"/>
          <w:lang w:val="nl-BE"/>
        </w:rPr>
        <w:tab/>
      </w:r>
      <w:r w:rsidRPr="008F229D">
        <w:rPr>
          <w:u w:val="single"/>
          <w:lang w:val="nl-BE"/>
        </w:rPr>
        <w:t xml:space="preserve">stiekem </w:t>
      </w:r>
      <w:r w:rsidR="00492C75">
        <w:rPr>
          <w:u w:val="single"/>
          <w:lang w:val="nl-BE"/>
        </w:rPr>
        <w:tab/>
      </w:r>
      <w:r w:rsidRPr="008F229D">
        <w:rPr>
          <w:u w:val="single"/>
          <w:lang w:val="nl-BE"/>
        </w:rPr>
        <w:t xml:space="preserve">te </w:t>
      </w:r>
      <w:r w:rsidR="00492C75">
        <w:rPr>
          <w:u w:val="single"/>
          <w:lang w:val="nl-BE"/>
        </w:rPr>
        <w:tab/>
      </w:r>
      <w:r w:rsidRPr="008F229D">
        <w:rPr>
          <w:u w:val="single"/>
          <w:lang w:val="nl-BE"/>
        </w:rPr>
        <w:t>volgen</w:t>
      </w:r>
      <w:r>
        <w:rPr>
          <w:lang w:val="nl-BE"/>
        </w:rPr>
        <w:t xml:space="preserve">. </w:t>
      </w:r>
      <w:r w:rsidRPr="00DB2415">
        <w:rPr>
          <w:lang w:val="en-US"/>
        </w:rPr>
        <w:t>(CGN)</w:t>
      </w:r>
      <w:bookmarkEnd w:id="31"/>
      <w:r w:rsidR="00492C75" w:rsidRPr="00DB2415">
        <w:rPr>
          <w:lang w:val="en-US"/>
        </w:rPr>
        <w:br/>
      </w:r>
      <w:r w:rsidR="00492C75" w:rsidRPr="00DB2415">
        <w:rPr>
          <w:u w:val="single"/>
          <w:lang w:val="en-US"/>
        </w:rPr>
        <w:t>no</w:t>
      </w:r>
      <w:r w:rsidR="00492C75" w:rsidRPr="00DB2415">
        <w:rPr>
          <w:u w:val="single"/>
          <w:lang w:val="en-US"/>
        </w:rPr>
        <w:tab/>
      </w:r>
      <w:r w:rsidR="00492C75" w:rsidRPr="00DB2415">
        <w:rPr>
          <w:u w:val="single"/>
          <w:lang w:val="en-US"/>
        </w:rPr>
        <w:tab/>
        <w:t>longer</w:t>
      </w:r>
      <w:r w:rsidR="00492C75" w:rsidRPr="00DB2415">
        <w:rPr>
          <w:u w:val="single"/>
          <w:lang w:val="en-US"/>
        </w:rPr>
        <w:tab/>
        <w:t>necessary</w:t>
      </w:r>
      <w:r w:rsidR="00492C75" w:rsidRPr="00DB2415">
        <w:rPr>
          <w:u w:val="single"/>
          <w:lang w:val="en-US"/>
        </w:rPr>
        <w:tab/>
        <w:t>finds</w:t>
      </w:r>
      <w:r w:rsidR="00492C75" w:rsidRPr="00DB2415">
        <w:rPr>
          <w:u w:val="single"/>
          <w:lang w:val="en-US"/>
        </w:rPr>
        <w:tab/>
      </w:r>
      <w:r w:rsidR="00492C75" w:rsidRPr="00DB2415">
        <w:rPr>
          <w:u w:val="single"/>
          <w:lang w:val="en-US"/>
        </w:rPr>
        <w:tab/>
        <w:t>to</w:t>
      </w:r>
      <w:r w:rsidR="00492C75" w:rsidRPr="00DB2415">
        <w:rPr>
          <w:u w:val="single"/>
          <w:lang w:val="en-US"/>
        </w:rPr>
        <w:tab/>
      </w:r>
      <w:r w:rsidR="00492C75" w:rsidRPr="00DB2415">
        <w:rPr>
          <w:u w:val="single"/>
          <w:lang w:val="en-US"/>
        </w:rPr>
        <w:tab/>
        <w:t>her</w:t>
      </w:r>
      <w:r w:rsidR="00492C75" w:rsidRPr="00DB2415">
        <w:rPr>
          <w:u w:val="single"/>
          <w:lang w:val="en-US"/>
        </w:rPr>
        <w:tab/>
        <w:t>secretly</w:t>
      </w:r>
      <w:r w:rsidR="00492C75" w:rsidRPr="00DB2415">
        <w:rPr>
          <w:u w:val="single"/>
          <w:lang w:val="en-US"/>
        </w:rPr>
        <w:tab/>
        <w:t>to</w:t>
      </w:r>
      <w:r w:rsidR="00492C75" w:rsidRPr="00DB2415">
        <w:rPr>
          <w:u w:val="single"/>
          <w:lang w:val="en-US"/>
        </w:rPr>
        <w:tab/>
        <w:t>follow</w:t>
      </w:r>
      <w:r w:rsidR="00492C75">
        <w:rPr>
          <w:lang w:val="en-US"/>
        </w:rPr>
        <w:t>.</w:t>
      </w:r>
    </w:p>
    <w:p w14:paraId="5CEA640F" w14:textId="77777777" w:rsidR="00BF7AB7" w:rsidRDefault="00BF7AB7" w:rsidP="00BF7AB7">
      <w:pPr>
        <w:pStyle w:val="ListParagraph"/>
        <w:numPr>
          <w:ilvl w:val="0"/>
          <w:numId w:val="0"/>
        </w:numPr>
        <w:ind w:left="567"/>
      </w:pPr>
      <w:r w:rsidRPr="00B42D75">
        <w:t>‘Every step now has a</w:t>
      </w:r>
      <w:r>
        <w:t xml:space="preserve"> clear echo. </w:t>
      </w:r>
      <w:r w:rsidRPr="0096177B">
        <w:rPr>
          <w:u w:val="single"/>
        </w:rPr>
        <w:t>As if her stalker no longer finds it necessary to follow her secretly.</w:t>
      </w:r>
      <w:r>
        <w:t>’</w:t>
      </w:r>
    </w:p>
    <w:p w14:paraId="270D7382" w14:textId="77777777" w:rsidR="00BF7AB7" w:rsidRDefault="00BF7AB7" w:rsidP="00BF7AB7">
      <w:pPr>
        <w:jc w:val="both"/>
      </w:pPr>
    </w:p>
    <w:p w14:paraId="4A1516D2" w14:textId="3C09D8CE" w:rsidR="00BF7AB7" w:rsidRDefault="00BF7AB7" w:rsidP="00BF7AB7">
      <w:pPr>
        <w:jc w:val="both"/>
      </w:pPr>
      <w:r>
        <w:t xml:space="preserve">Finally, the functional type of ‘denial of assumption’ is found exclusively at the level of syntactic independence, both in English and in Dutch. This function is expressed by </w:t>
      </w:r>
      <w:r w:rsidR="00F065EC">
        <w:t>‘</w:t>
      </w:r>
      <w:r w:rsidR="001C50EB">
        <w:t>stand-alone</w:t>
      </w:r>
      <w:r w:rsidR="00004D47">
        <w:t>’</w:t>
      </w:r>
      <w:r w:rsidR="001C50EB">
        <w:t xml:space="preserve"> </w:t>
      </w:r>
      <w:r>
        <w:t>insubordinate clause</w:t>
      </w:r>
      <w:r w:rsidR="00B75E3F">
        <w:t>s</w:t>
      </w:r>
      <w:r>
        <w:t xml:space="preserve">, e.g., </w:t>
      </w:r>
      <w:r>
        <w:fldChar w:fldCharType="begin"/>
      </w:r>
      <w:r>
        <w:instrText xml:space="preserve"> REF _Ref132737183 \n \h </w:instrText>
      </w:r>
      <w:r>
        <w:fldChar w:fldCharType="separate"/>
      </w:r>
      <w:r w:rsidR="008912AA">
        <w:t>(22)</w:t>
      </w:r>
      <w:r>
        <w:fldChar w:fldCharType="end"/>
      </w:r>
      <w:r>
        <w:t>.</w:t>
      </w:r>
      <w:r w:rsidR="00F065EC">
        <w:t xml:space="preserve"> That is, unlike the other syntactically independent clauses discussed here, these clauses are meaningful in isolation and, hence, do not depend on the surrounding discourse for their interpretation.</w:t>
      </w:r>
    </w:p>
    <w:p w14:paraId="261952E7" w14:textId="77777777" w:rsidR="00BF7AB7" w:rsidRDefault="00BF7AB7" w:rsidP="00BF7AB7">
      <w:pPr>
        <w:jc w:val="both"/>
      </w:pPr>
    </w:p>
    <w:p w14:paraId="06B84429" w14:textId="3B800F03" w:rsidR="00492C75" w:rsidRPr="0096177B" w:rsidRDefault="00BF7AB7" w:rsidP="00DB2415">
      <w:pPr>
        <w:pStyle w:val="ListParagraph"/>
        <w:jc w:val="left"/>
        <w:rPr>
          <w:u w:val="single"/>
          <w:lang w:val="en-US"/>
        </w:rPr>
      </w:pPr>
      <w:bookmarkStart w:id="32" w:name="_Ref132737183"/>
      <w:r w:rsidRPr="0096177B">
        <w:rPr>
          <w:u w:val="single"/>
          <w:lang w:val="nl-BE"/>
        </w:rPr>
        <w:t>Alsof</w:t>
      </w:r>
      <w:r w:rsidR="00492C75" w:rsidRPr="0096177B">
        <w:rPr>
          <w:u w:val="single"/>
          <w:lang w:val="nl-BE"/>
        </w:rPr>
        <w:tab/>
      </w:r>
      <w:r w:rsidR="00492C75" w:rsidRPr="0096177B">
        <w:rPr>
          <w:u w:val="single"/>
          <w:lang w:val="nl-BE"/>
        </w:rPr>
        <w:tab/>
      </w:r>
      <w:r w:rsidRPr="0096177B">
        <w:rPr>
          <w:u w:val="single"/>
          <w:lang w:val="nl-BE"/>
        </w:rPr>
        <w:t>mij</w:t>
      </w:r>
      <w:r w:rsidR="00492C75" w:rsidRPr="0096177B">
        <w:rPr>
          <w:u w:val="single"/>
          <w:lang w:val="nl-BE"/>
        </w:rPr>
        <w:tab/>
      </w:r>
      <w:r w:rsidRPr="0096177B">
        <w:rPr>
          <w:u w:val="single"/>
          <w:lang w:val="nl-BE"/>
        </w:rPr>
        <w:t>dat</w:t>
      </w:r>
      <w:r w:rsidR="00492C75" w:rsidRPr="0096177B">
        <w:rPr>
          <w:u w:val="single"/>
          <w:lang w:val="nl-BE"/>
        </w:rPr>
        <w:tab/>
      </w:r>
      <w:r w:rsidRPr="0096177B">
        <w:rPr>
          <w:u w:val="single"/>
          <w:lang w:val="nl-BE"/>
        </w:rPr>
        <w:t xml:space="preserve">wat </w:t>
      </w:r>
      <w:r w:rsidR="00492C75" w:rsidRPr="0096177B">
        <w:rPr>
          <w:u w:val="single"/>
          <w:lang w:val="nl-BE"/>
        </w:rPr>
        <w:tab/>
      </w:r>
      <w:r w:rsidR="00492C75" w:rsidRPr="0096177B">
        <w:rPr>
          <w:u w:val="single"/>
          <w:lang w:val="nl-BE"/>
        </w:rPr>
        <w:tab/>
      </w:r>
      <w:r w:rsidR="00492C75" w:rsidRPr="0096177B">
        <w:rPr>
          <w:u w:val="single"/>
          <w:lang w:val="nl-BE"/>
        </w:rPr>
        <w:tab/>
      </w:r>
      <w:r w:rsidRPr="0096177B">
        <w:rPr>
          <w:u w:val="single"/>
          <w:lang w:val="nl-BE"/>
        </w:rPr>
        <w:t>uitmaakt.</w:t>
      </w:r>
      <w:r>
        <w:rPr>
          <w:lang w:val="nl-BE"/>
        </w:rPr>
        <w:t xml:space="preserve"> </w:t>
      </w:r>
      <w:r w:rsidRPr="00DB2415">
        <w:rPr>
          <w:lang w:val="en-US"/>
        </w:rPr>
        <w:t>(CGN)</w:t>
      </w:r>
      <w:bookmarkEnd w:id="32"/>
      <w:r w:rsidR="00492C75" w:rsidRPr="00DB2415">
        <w:rPr>
          <w:lang w:val="en-US"/>
        </w:rPr>
        <w:br/>
      </w:r>
      <w:r w:rsidR="00492C75" w:rsidRPr="0096177B">
        <w:rPr>
          <w:u w:val="single"/>
          <w:lang w:val="en-US"/>
        </w:rPr>
        <w:t>As.if</w:t>
      </w:r>
      <w:r w:rsidR="00492C75" w:rsidRPr="0096177B">
        <w:rPr>
          <w:u w:val="single"/>
          <w:lang w:val="en-US"/>
        </w:rPr>
        <w:tab/>
      </w:r>
      <w:r w:rsidR="00492C75" w:rsidRPr="0096177B">
        <w:rPr>
          <w:u w:val="single"/>
          <w:lang w:val="en-US"/>
        </w:rPr>
        <w:tab/>
        <w:t>me</w:t>
      </w:r>
      <w:r w:rsidR="00492C75" w:rsidRPr="0096177B">
        <w:rPr>
          <w:u w:val="single"/>
          <w:lang w:val="en-US"/>
        </w:rPr>
        <w:tab/>
        <w:t>that</w:t>
      </w:r>
      <w:r w:rsidR="00492C75" w:rsidRPr="0096177B">
        <w:rPr>
          <w:u w:val="single"/>
          <w:lang w:val="en-US"/>
        </w:rPr>
        <w:tab/>
        <w:t>something</w:t>
      </w:r>
      <w:r w:rsidR="00492C75" w:rsidRPr="0096177B">
        <w:rPr>
          <w:u w:val="single"/>
          <w:lang w:val="en-US"/>
        </w:rPr>
        <w:tab/>
      </w:r>
      <w:r w:rsidR="006572AA" w:rsidRPr="0096177B">
        <w:rPr>
          <w:u w:val="single"/>
          <w:lang w:val="en-US"/>
        </w:rPr>
        <w:t>matters.</w:t>
      </w:r>
    </w:p>
    <w:p w14:paraId="4DA921BD" w14:textId="77777777" w:rsidR="00BF7AB7" w:rsidRDefault="00BF7AB7" w:rsidP="00BF7AB7">
      <w:pPr>
        <w:ind w:left="567"/>
      </w:pPr>
      <w:r w:rsidRPr="00410B12">
        <w:t>‘</w:t>
      </w:r>
      <w:r w:rsidRPr="0096177B">
        <w:rPr>
          <w:u w:val="single"/>
        </w:rPr>
        <w:t>As if it matters to me.</w:t>
      </w:r>
      <w:r>
        <w:t>’</w:t>
      </w:r>
    </w:p>
    <w:p w14:paraId="68FAC596" w14:textId="777AEACC" w:rsidR="00BF7AB7" w:rsidRDefault="00BF7AB7" w:rsidP="00446752"/>
    <w:p w14:paraId="418E961C" w14:textId="49038C9D" w:rsidR="00BF7AB7" w:rsidRPr="00004D47" w:rsidRDefault="004E2514" w:rsidP="0043672A">
      <w:pPr>
        <w:ind w:firstLine="567"/>
        <w:jc w:val="both"/>
      </w:pPr>
      <w:r>
        <w:t>In sum</w:t>
      </w:r>
      <w:r w:rsidR="000C4562">
        <w:t>mary</w:t>
      </w:r>
      <w:r>
        <w:t xml:space="preserve">, a strong correlation is </w:t>
      </w:r>
      <w:r w:rsidR="000C4562">
        <w:t>observed</w:t>
      </w:r>
      <w:r>
        <w:t xml:space="preserve"> between syntactic </w:t>
      </w:r>
      <w:r w:rsidR="000B5B83">
        <w:t xml:space="preserve">dependence </w:t>
      </w:r>
      <w:r>
        <w:t xml:space="preserve">and </w:t>
      </w:r>
      <w:r w:rsidR="00A9715B">
        <w:t>semantic-</w:t>
      </w:r>
      <w:r>
        <w:t xml:space="preserve">pragmatic function in both English and Dutch. While overall similar tendencies are found in the two languages, Dutch differs from English in two important ways. First, while in English </w:t>
      </w:r>
      <w:r w:rsidR="00EA59CB">
        <w:t>‘</w:t>
      </w:r>
      <w:r>
        <w:t>manner</w:t>
      </w:r>
      <w:r w:rsidR="00EA59CB">
        <w:t>’</w:t>
      </w:r>
      <w:r>
        <w:t xml:space="preserve"> is found almost exclusively with weakly dependent clauses (i.e., </w:t>
      </w:r>
      <w:r w:rsidR="00F913F0">
        <w:t>optional adjuncts</w:t>
      </w:r>
      <w:r>
        <w:t xml:space="preserve">), </w:t>
      </w:r>
      <w:r w:rsidR="007E6A17">
        <w:t xml:space="preserve">Dutch has a considerably higher frequency of strongly dependent clauses expressing </w:t>
      </w:r>
      <w:r w:rsidR="00EA59CB">
        <w:t>‘</w:t>
      </w:r>
      <w:r w:rsidR="007E6A17">
        <w:t>manner</w:t>
      </w:r>
      <w:r w:rsidR="00EA59CB">
        <w:t>’</w:t>
      </w:r>
      <w:r w:rsidR="00004D47">
        <w:t xml:space="preserve"> (namely </w:t>
      </w:r>
      <w:r w:rsidR="00F913F0">
        <w:t>(obligatory) complements/argument</w:t>
      </w:r>
      <w:r w:rsidR="00004D47">
        <w:t>s)</w:t>
      </w:r>
      <w:r>
        <w:t xml:space="preserve">. Second, </w:t>
      </w:r>
      <w:r w:rsidR="00EA59CB">
        <w:t>‘</w:t>
      </w:r>
      <w:r>
        <w:t>denial of assumption</w:t>
      </w:r>
      <w:r w:rsidR="00EA59CB">
        <w:t>’</w:t>
      </w:r>
      <w:r>
        <w:t xml:space="preserve"> is, in both languages, expressed solely through syntactically independent clauses, but the frequency of this function is much higher in Dutch than in English.</w:t>
      </w:r>
      <w:r w:rsidR="002B69B2">
        <w:t xml:space="preserve"> We will come back to this </w:t>
      </w:r>
      <w:r w:rsidR="00A9715B">
        <w:t xml:space="preserve">last </w:t>
      </w:r>
      <w:r w:rsidR="00D746B2">
        <w:t>observation</w:t>
      </w:r>
      <w:r w:rsidR="002B69B2">
        <w:t xml:space="preserve"> in Section </w:t>
      </w:r>
      <w:r w:rsidR="002B69B2">
        <w:fldChar w:fldCharType="begin"/>
      </w:r>
      <w:r w:rsidR="002B69B2">
        <w:instrText xml:space="preserve"> REF _Ref134198981 \r \h </w:instrText>
      </w:r>
      <w:r w:rsidR="002B69B2">
        <w:fldChar w:fldCharType="separate"/>
      </w:r>
      <w:r w:rsidR="008912AA">
        <w:t>4</w:t>
      </w:r>
      <w:r w:rsidR="002B69B2">
        <w:fldChar w:fldCharType="end"/>
      </w:r>
      <w:r w:rsidR="002B69B2">
        <w:t>.</w:t>
      </w:r>
      <w:r>
        <w:t xml:space="preserve"> </w:t>
      </w:r>
    </w:p>
    <w:p w14:paraId="2180B90A" w14:textId="77777777" w:rsidR="004E2514" w:rsidRPr="00A52A16" w:rsidRDefault="004E2514" w:rsidP="00446752"/>
    <w:p w14:paraId="38312C22" w14:textId="6873F581" w:rsidR="00B159C8" w:rsidRDefault="00B159C8" w:rsidP="00DE4D9B">
      <w:pPr>
        <w:pStyle w:val="Heading2"/>
      </w:pPr>
      <w:bookmarkStart w:id="33" w:name="_Ref135657780"/>
      <w:bookmarkStart w:id="34" w:name="_Ref129006346"/>
      <w:r>
        <w:t>Prosodic correlates</w:t>
      </w:r>
      <w:bookmarkEnd w:id="33"/>
    </w:p>
    <w:p w14:paraId="439E3566" w14:textId="36701437" w:rsidR="00B159C8" w:rsidRDefault="00B159C8" w:rsidP="00B159C8"/>
    <w:p w14:paraId="04C44067" w14:textId="73E0024C" w:rsidR="000E00A0" w:rsidRDefault="000E00A0" w:rsidP="00AE7C12">
      <w:pPr>
        <w:jc w:val="both"/>
      </w:pPr>
      <w:r>
        <w:t xml:space="preserve">In this section, we turn to the prosodic realisations of the </w:t>
      </w:r>
      <w:r w:rsidR="00AE7C12">
        <w:t>HM clauses and investigate if the four prosodic factors of interest – i.e., prosodic integration (Section </w:t>
      </w:r>
      <w:r w:rsidR="00AE7C12">
        <w:fldChar w:fldCharType="begin"/>
      </w:r>
      <w:r w:rsidR="00AE7C12">
        <w:instrText xml:space="preserve"> REF _Ref135657945 \n \h </w:instrText>
      </w:r>
      <w:r w:rsidR="00AE7C12">
        <w:fldChar w:fldCharType="separate"/>
      </w:r>
      <w:r w:rsidR="008912AA">
        <w:t>3.2.1</w:t>
      </w:r>
      <w:r w:rsidR="00AE7C12">
        <w:fldChar w:fldCharType="end"/>
      </w:r>
      <w:r w:rsidR="00AE7C12">
        <w:t>), pitch excursion (Section </w:t>
      </w:r>
      <w:r w:rsidR="00AE7C12">
        <w:fldChar w:fldCharType="begin"/>
      </w:r>
      <w:r w:rsidR="00AE7C12">
        <w:instrText xml:space="preserve"> REF _Ref135657949 \n \h </w:instrText>
      </w:r>
      <w:r w:rsidR="00AE7C12">
        <w:fldChar w:fldCharType="separate"/>
      </w:r>
      <w:r w:rsidR="008912AA">
        <w:t>3.2.2</w:t>
      </w:r>
      <w:r w:rsidR="00AE7C12">
        <w:fldChar w:fldCharType="end"/>
      </w:r>
      <w:r w:rsidR="00AE7C12">
        <w:t>), pausing (Section </w:t>
      </w:r>
      <w:r w:rsidR="00AE7C12">
        <w:fldChar w:fldCharType="begin"/>
      </w:r>
      <w:r w:rsidR="00AE7C12">
        <w:instrText xml:space="preserve"> REF _Ref134634972 \n \h </w:instrText>
      </w:r>
      <w:r w:rsidR="00AE7C12">
        <w:fldChar w:fldCharType="separate"/>
      </w:r>
      <w:r w:rsidR="008912AA">
        <w:t>3.2.3</w:t>
      </w:r>
      <w:r w:rsidR="00AE7C12">
        <w:fldChar w:fldCharType="end"/>
      </w:r>
      <w:r w:rsidR="00AE7C12">
        <w:t>)</w:t>
      </w:r>
      <w:r w:rsidR="00DD5A82">
        <w:t xml:space="preserve">, and </w:t>
      </w:r>
      <w:r w:rsidR="00D1421A">
        <w:t>tone</w:t>
      </w:r>
      <w:r w:rsidR="00DD5A82">
        <w:t xml:space="preserve"> (Section </w:t>
      </w:r>
      <w:r w:rsidR="00DD5A82">
        <w:fldChar w:fldCharType="begin"/>
      </w:r>
      <w:r w:rsidR="00DD5A82">
        <w:instrText xml:space="preserve"> REF _Ref135657946 \n \h </w:instrText>
      </w:r>
      <w:r w:rsidR="00DD5A82">
        <w:fldChar w:fldCharType="separate"/>
      </w:r>
      <w:r w:rsidR="008912AA">
        <w:t>3.2.4</w:t>
      </w:r>
      <w:r w:rsidR="00DD5A82">
        <w:fldChar w:fldCharType="end"/>
      </w:r>
      <w:r w:rsidR="00DD5A82">
        <w:t>)</w:t>
      </w:r>
      <w:r w:rsidR="00AE7C12">
        <w:t xml:space="preserve"> – correlate with the syntactic form and/or the </w:t>
      </w:r>
      <w:r w:rsidR="00567AF1">
        <w:t xml:space="preserve">semantic-pragmatic </w:t>
      </w:r>
      <w:r w:rsidR="00AE7C12">
        <w:t>function of the clause.</w:t>
      </w:r>
    </w:p>
    <w:p w14:paraId="008516FE" w14:textId="77777777" w:rsidR="000E00A0" w:rsidRPr="00B159C8" w:rsidRDefault="000E00A0" w:rsidP="00B159C8"/>
    <w:p w14:paraId="5C6B1930" w14:textId="06365530" w:rsidR="00966C3C" w:rsidRPr="00DE4D9B" w:rsidRDefault="0005043B" w:rsidP="007C6429">
      <w:pPr>
        <w:pStyle w:val="Heading3"/>
      </w:pPr>
      <w:bookmarkStart w:id="35" w:name="_Ref135657945"/>
      <w:r w:rsidRPr="00DE4D9B">
        <w:t xml:space="preserve">Prosodic </w:t>
      </w:r>
      <w:bookmarkEnd w:id="34"/>
      <w:r w:rsidR="00956268" w:rsidRPr="00DE4D9B">
        <w:t>integration</w:t>
      </w:r>
      <w:bookmarkEnd w:id="35"/>
    </w:p>
    <w:p w14:paraId="13B21B2F" w14:textId="6FE6E346" w:rsidR="0005043B" w:rsidRDefault="0005043B" w:rsidP="0005043B"/>
    <w:p w14:paraId="07A9E520" w14:textId="14CE78F2" w:rsidR="009F5A96" w:rsidRDefault="009F5A96" w:rsidP="009F5A96">
      <w:pPr>
        <w:jc w:val="both"/>
      </w:pPr>
      <w:r>
        <w:lastRenderedPageBreak/>
        <w:t xml:space="preserve">The first prosodic factor is </w:t>
      </w:r>
      <w:proofErr w:type="gramStart"/>
      <w:r w:rsidR="00956268">
        <w:t>whether or not</w:t>
      </w:r>
      <w:proofErr w:type="gramEnd"/>
      <w:r w:rsidR="00956268">
        <w:t xml:space="preserve"> the HM clause is prosodically integrated with the </w:t>
      </w:r>
      <w:r w:rsidR="00194AB5">
        <w:t>main/previous</w:t>
      </w:r>
      <w:r w:rsidR="00956268">
        <w:t xml:space="preserve"> clause</w:t>
      </w:r>
      <w:r w:rsidR="00E05EAA">
        <w:t>:</w:t>
      </w:r>
      <w:r w:rsidR="00BD4099">
        <w:t xml:space="preserve"> is the HM clause uttered with the main</w:t>
      </w:r>
      <w:r w:rsidR="001422E6">
        <w:t xml:space="preserve">, or previous, </w:t>
      </w:r>
      <w:r w:rsidR="00BD4099">
        <w:t xml:space="preserve">clause as forming one IU? Following the ToBI and ToDI conventions for prosodic transcription of spoken English and Dutch, this boils down to the question </w:t>
      </w:r>
      <w:proofErr w:type="gramStart"/>
      <w:r w:rsidR="00BD4099">
        <w:t>whether or not</w:t>
      </w:r>
      <w:proofErr w:type="gramEnd"/>
      <w:r w:rsidR="00BD4099">
        <w:t xml:space="preserve"> the start of the HM clause coincides with an IU boundary</w:t>
      </w:r>
      <w:r w:rsidR="00BE5088">
        <w:t>.</w:t>
      </w:r>
    </w:p>
    <w:p w14:paraId="434B99A3" w14:textId="59008693" w:rsidR="001D00D7" w:rsidRDefault="00DA2501" w:rsidP="00BE5088">
      <w:pPr>
        <w:tabs>
          <w:tab w:val="left" w:pos="567"/>
        </w:tabs>
        <w:jc w:val="both"/>
      </w:pPr>
      <w:r>
        <w:tab/>
        <w:t xml:space="preserve">Between syntactic dependency levels, we find </w:t>
      </w:r>
      <w:r w:rsidR="006823C5">
        <w:t>consi</w:t>
      </w:r>
      <w:r w:rsidR="00007283">
        <w:t>derable</w:t>
      </w:r>
      <w:r>
        <w:t xml:space="preserve"> differences </w:t>
      </w:r>
      <w:r w:rsidR="008327A8">
        <w:t>in prosodic integration of the HM clause with the previous clause</w:t>
      </w:r>
      <w:r>
        <w:t xml:space="preserve"> in both English </w:t>
      </w:r>
      <w:r w:rsidR="008327A8">
        <w:t>(</w:t>
      </w:r>
      <w:r w:rsidR="008327A8" w:rsidRPr="00205BD3">
        <w:rPr>
          <w:i/>
        </w:rPr>
        <w:t>χ</w:t>
      </w:r>
      <w:r w:rsidR="008327A8">
        <w:t>²(2</w:t>
      </w:r>
      <w:r w:rsidR="00170408">
        <w:t xml:space="preserve">, </w:t>
      </w:r>
      <w:r w:rsidR="00E701F3">
        <w:rPr>
          <w:i/>
        </w:rPr>
        <w:t>N=</w:t>
      </w:r>
      <w:r w:rsidR="00170408">
        <w:t>156</w:t>
      </w:r>
      <w:r w:rsidR="00E701F3">
        <w:t>)=</w:t>
      </w:r>
      <w:r w:rsidR="00AE389D" w:rsidRPr="00AE389D">
        <w:t xml:space="preserve"> </w:t>
      </w:r>
      <w:r w:rsidR="007A2394">
        <w:t>98.824</w:t>
      </w:r>
      <w:r w:rsidR="00AE4361" w:rsidRPr="00AE4361">
        <w:t xml:space="preserve">, </w:t>
      </w:r>
      <w:r w:rsidR="00AE4361" w:rsidRPr="00AE4361">
        <w:rPr>
          <w:i/>
        </w:rPr>
        <w:t>p</w:t>
      </w:r>
      <w:r w:rsidR="00AE4361" w:rsidRPr="00AE4361">
        <w:t xml:space="preserve"> &lt; 0.001</w:t>
      </w:r>
      <w:r w:rsidR="00AE4361">
        <w:t>;</w:t>
      </w:r>
      <w:r w:rsidR="00AE4361" w:rsidRPr="00AE4361">
        <w:t xml:space="preserve"> Cramer’s V: 0.</w:t>
      </w:r>
      <w:r w:rsidR="00D30355">
        <w:t>7</w:t>
      </w:r>
      <w:r w:rsidR="00AE389D">
        <w:t>9</w:t>
      </w:r>
      <w:r w:rsidR="007A2394">
        <w:t>6</w:t>
      </w:r>
      <w:r w:rsidR="008327A8">
        <w:t xml:space="preserve">) </w:t>
      </w:r>
      <w:r w:rsidR="00007283">
        <w:t xml:space="preserve">and Dutch </w:t>
      </w:r>
      <w:r w:rsidR="008327A8">
        <w:t>(</w:t>
      </w:r>
      <w:r w:rsidR="008327A8" w:rsidRPr="003878D8">
        <w:rPr>
          <w:i/>
        </w:rPr>
        <w:t>χ</w:t>
      </w:r>
      <w:r w:rsidR="008327A8" w:rsidRPr="003878D8">
        <w:t>²(2</w:t>
      </w:r>
      <w:r w:rsidR="00170408">
        <w:t xml:space="preserve">, </w:t>
      </w:r>
      <w:r w:rsidR="00E701F3">
        <w:rPr>
          <w:i/>
        </w:rPr>
        <w:t>N=</w:t>
      </w:r>
      <w:r w:rsidR="00170408">
        <w:t>24</w:t>
      </w:r>
      <w:r w:rsidR="00E64825">
        <w:t>7</w:t>
      </w:r>
      <w:r w:rsidR="00E701F3">
        <w:t>)=</w:t>
      </w:r>
      <w:r w:rsidR="00AE4361" w:rsidRPr="00AE4361">
        <w:t>13</w:t>
      </w:r>
      <w:r w:rsidR="00E64825">
        <w:t>0.91</w:t>
      </w:r>
      <w:r w:rsidR="00AE4361">
        <w:t>,</w:t>
      </w:r>
      <w:r w:rsidR="00AE4361" w:rsidRPr="00AE4361">
        <w:t xml:space="preserve"> </w:t>
      </w:r>
      <w:r w:rsidR="00AE4361" w:rsidRPr="00AE4361">
        <w:rPr>
          <w:i/>
        </w:rPr>
        <w:t>p</w:t>
      </w:r>
      <w:r w:rsidR="00AE4361" w:rsidRPr="00AE4361">
        <w:t xml:space="preserve"> &lt; 0.001</w:t>
      </w:r>
      <w:r w:rsidR="00AE4361">
        <w:t>;</w:t>
      </w:r>
      <w:r w:rsidR="00AE4361" w:rsidRPr="00AE4361">
        <w:t xml:space="preserve"> Cramer’s V: 0.72</w:t>
      </w:r>
      <w:r w:rsidR="00E64825">
        <w:t>8</w:t>
      </w:r>
      <w:r w:rsidR="008327A8" w:rsidRPr="003878D8">
        <w:t>)</w:t>
      </w:r>
      <w:r w:rsidR="008327A8">
        <w:t xml:space="preserve"> </w:t>
      </w:r>
      <w:r w:rsidR="00007283">
        <w:t>(</w:t>
      </w:r>
      <w:r w:rsidR="008327A8">
        <w:t xml:space="preserve">see </w:t>
      </w:r>
      <w:r w:rsidR="00007283">
        <w:fldChar w:fldCharType="begin"/>
      </w:r>
      <w:r w:rsidR="00007283">
        <w:instrText xml:space="preserve"> REF _Ref133582273 \h </w:instrText>
      </w:r>
      <w:r w:rsidR="00007283">
        <w:fldChar w:fldCharType="separate"/>
      </w:r>
      <w:r w:rsidR="008912AA">
        <w:t xml:space="preserve">Figure </w:t>
      </w:r>
      <w:r w:rsidR="008912AA">
        <w:rPr>
          <w:noProof/>
        </w:rPr>
        <w:t>4</w:t>
      </w:r>
      <w:r w:rsidR="00007283">
        <w:fldChar w:fldCharType="end"/>
      </w:r>
      <w:r w:rsidR="00007283">
        <w:t>).</w:t>
      </w:r>
      <w:r w:rsidR="00C960EF">
        <w:t xml:space="preserve"> The standardized residuals show that the effect is due, in both languages, to the high frequency of prosodic integration with strongly dependent clauses</w:t>
      </w:r>
      <w:r w:rsidR="009816D6">
        <w:t xml:space="preserve"> (</w:t>
      </w:r>
      <w:r w:rsidR="002922DE">
        <w:t>r=</w:t>
      </w:r>
      <w:r w:rsidR="009816D6">
        <w:t>5.</w:t>
      </w:r>
      <w:r w:rsidR="00AE389D">
        <w:t>67</w:t>
      </w:r>
      <w:r w:rsidR="009816D6">
        <w:t xml:space="preserve"> for English and </w:t>
      </w:r>
      <w:r w:rsidR="002922DE">
        <w:t>r=</w:t>
      </w:r>
      <w:r w:rsidR="009816D6">
        <w:t>6.6</w:t>
      </w:r>
      <w:r w:rsidR="00E64825">
        <w:t>3</w:t>
      </w:r>
      <w:r w:rsidR="009816D6">
        <w:t xml:space="preserve"> for Dutch)</w:t>
      </w:r>
      <w:r w:rsidR="00C960EF">
        <w:t xml:space="preserve"> vs. the high frequency of non-integration with independent ones</w:t>
      </w:r>
      <w:r w:rsidR="009816D6">
        <w:t xml:space="preserve"> (</w:t>
      </w:r>
      <w:r w:rsidR="002922DE">
        <w:t>r=</w:t>
      </w:r>
      <w:r w:rsidR="00AE389D">
        <w:t>4.</w:t>
      </w:r>
      <w:r w:rsidR="007A2394">
        <w:t>16</w:t>
      </w:r>
      <w:r w:rsidR="009816D6">
        <w:t xml:space="preserve"> for English and </w:t>
      </w:r>
      <w:r w:rsidR="002922DE">
        <w:t>r=</w:t>
      </w:r>
      <w:r w:rsidR="009816D6">
        <w:t>4.66 for Dutch)</w:t>
      </w:r>
      <w:r w:rsidR="00C960EF">
        <w:t>.</w:t>
      </w:r>
    </w:p>
    <w:p w14:paraId="4154124B" w14:textId="77777777" w:rsidR="00EC5077" w:rsidRDefault="00EC5077" w:rsidP="00BE5088">
      <w:pPr>
        <w:tabs>
          <w:tab w:val="left" w:pos="567"/>
        </w:tabs>
        <w:jc w:val="both"/>
      </w:pPr>
    </w:p>
    <w:p w14:paraId="27C5082D" w14:textId="71E56E93" w:rsidR="00007283" w:rsidRDefault="001D00D7" w:rsidP="00007283">
      <w:pPr>
        <w:keepNext/>
      </w:pPr>
      <w:r w:rsidRPr="002922DE">
        <w:rPr>
          <w:noProof/>
        </w:rPr>
        <w:lastRenderedPageBreak/>
        <w:drawing>
          <wp:inline distT="0" distB="0" distL="0" distR="0" wp14:anchorId="0278EE62" wp14:editId="1D3A5BCA">
            <wp:extent cx="5676900" cy="2603500"/>
            <wp:effectExtent l="0" t="0" r="0" b="63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rPr>
        <w:drawing>
          <wp:inline distT="0" distB="0" distL="0" distR="0" wp14:anchorId="50F5D393" wp14:editId="1B204275">
            <wp:extent cx="5676900" cy="2603500"/>
            <wp:effectExtent l="0" t="0" r="0" b="63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D2E2026" w14:textId="5B2FBEF9" w:rsidR="001D00D7" w:rsidRDefault="00007283" w:rsidP="001176EB">
      <w:pPr>
        <w:pStyle w:val="Caption"/>
        <w:spacing w:after="0"/>
      </w:pPr>
      <w:bookmarkStart w:id="36" w:name="_Ref133582273"/>
      <w:r>
        <w:t xml:space="preserve">Figure </w:t>
      </w:r>
      <w:r>
        <w:fldChar w:fldCharType="begin"/>
      </w:r>
      <w:r>
        <w:instrText xml:space="preserve"> SEQ Figure \* ARABIC </w:instrText>
      </w:r>
      <w:r>
        <w:fldChar w:fldCharType="separate"/>
      </w:r>
      <w:r w:rsidR="008912AA">
        <w:rPr>
          <w:noProof/>
        </w:rPr>
        <w:t>4</w:t>
      </w:r>
      <w:r>
        <w:fldChar w:fldCharType="end"/>
      </w:r>
      <w:bookmarkEnd w:id="36"/>
      <w:r>
        <w:t xml:space="preserve">. </w:t>
      </w:r>
      <w:r w:rsidR="00C05AC6">
        <w:rPr>
          <w:b w:val="0"/>
          <w:szCs w:val="24"/>
        </w:rPr>
        <w:t xml:space="preserve">Prosodic integration vs. non-integration </w:t>
      </w:r>
      <w:r w:rsidRPr="00007283">
        <w:rPr>
          <w:b w:val="0"/>
        </w:rPr>
        <w:t>per</w:t>
      </w:r>
      <w:r w:rsidR="00C05AC6">
        <w:rPr>
          <w:b w:val="0"/>
        </w:rPr>
        <w:t xml:space="preserve"> syntactic</w:t>
      </w:r>
      <w:r w:rsidRPr="00007283">
        <w:rPr>
          <w:b w:val="0"/>
        </w:rPr>
        <w:t xml:space="preserve"> dependency level</w:t>
      </w:r>
    </w:p>
    <w:p w14:paraId="0D940462" w14:textId="77777777" w:rsidR="001D00D7" w:rsidRDefault="001D00D7" w:rsidP="00C05AC6"/>
    <w:p w14:paraId="41F4969B" w14:textId="2900ECDC" w:rsidR="003916C9" w:rsidRDefault="00E52337" w:rsidP="00086E13">
      <w:pPr>
        <w:tabs>
          <w:tab w:val="left" w:pos="567"/>
        </w:tabs>
        <w:jc w:val="both"/>
      </w:pPr>
      <w:r>
        <w:t>Across</w:t>
      </w:r>
      <w:r w:rsidR="000B5B83">
        <w:t xml:space="preserve"> English and Dutch</w:t>
      </w:r>
      <w:r w:rsidR="00DA2501">
        <w:t xml:space="preserve">, </w:t>
      </w:r>
      <w:r w:rsidR="00F25E95">
        <w:t>there is a clear tendency for strongly dependent clauses to be uttered on the same IU as their main clause, while independent clauses</w:t>
      </w:r>
      <w:r w:rsidR="00C60A4E">
        <w:t xml:space="preserve"> are almost always uttered on a separate IU. In both languages, weakly dependent clauses</w:t>
      </w:r>
      <w:r w:rsidR="003916C9">
        <w:t xml:space="preserve"> (i.e., </w:t>
      </w:r>
      <w:r w:rsidR="00F913F0">
        <w:t>optional adjunct</w:t>
      </w:r>
      <w:r w:rsidR="003916C9">
        <w:t>s)</w:t>
      </w:r>
      <w:r w:rsidR="00C60A4E">
        <w:t xml:space="preserve"> fall in between these two extremes, with the choice between prosodic integration vs. non-integration being more </w:t>
      </w:r>
      <w:r w:rsidR="003916C9">
        <w:t>balanced</w:t>
      </w:r>
      <w:r w:rsidR="00C60A4E">
        <w:t xml:space="preserve">. </w:t>
      </w:r>
      <w:r w:rsidR="003916C9" w:rsidRPr="003916C9">
        <w:t xml:space="preserve">Functionally, this corresponds to </w:t>
      </w:r>
      <w:r w:rsidR="003916C9">
        <w:t xml:space="preserve">what </w:t>
      </w:r>
      <w:r w:rsidR="003916C9" w:rsidRPr="003916C9">
        <w:t xml:space="preserve">Verstraete </w:t>
      </w:r>
      <w:r w:rsidR="003916C9">
        <w:t>(</w:t>
      </w:r>
      <w:r w:rsidR="003916C9" w:rsidRPr="003916C9">
        <w:t>2007)</w:t>
      </w:r>
      <w:r w:rsidR="003916C9">
        <w:t xml:space="preserve"> calls the distinction between ‘bound’ vs. ‘free’ subordination. Bound subordinate clauses are prosodically integrated with their matrix and, hence, are presented as </w:t>
      </w:r>
      <w:r w:rsidR="00F44029">
        <w:t>essential</w:t>
      </w:r>
      <w:r w:rsidR="003916C9">
        <w:t xml:space="preserve"> </w:t>
      </w:r>
      <w:r w:rsidR="00F44029">
        <w:t>– discursively</w:t>
      </w:r>
      <w:r w:rsidR="00747519">
        <w:t>, not grammatically</w:t>
      </w:r>
      <w:r w:rsidR="00F44029">
        <w:t xml:space="preserve"> –</w:t>
      </w:r>
      <w:r w:rsidR="00747519">
        <w:t xml:space="preserve"> </w:t>
      </w:r>
      <w:r w:rsidR="003916C9">
        <w:t xml:space="preserve">to the message </w:t>
      </w:r>
      <w:r w:rsidR="00F44029">
        <w:t xml:space="preserve">in the matrix, with which they form one single unit of information. Free subordinate clauses, by contrast, are uttered on a separate IU from their matrix, so that they are presented as forming a separate information unit (or series of units), adding extra information to the message in the matrix. </w:t>
      </w:r>
    </w:p>
    <w:p w14:paraId="3FEA05F1" w14:textId="34FBF6E9" w:rsidR="005D11ED" w:rsidRDefault="005D11ED" w:rsidP="00086E13">
      <w:pPr>
        <w:tabs>
          <w:tab w:val="left" w:pos="567"/>
        </w:tabs>
        <w:jc w:val="both"/>
      </w:pPr>
      <w:r>
        <w:lastRenderedPageBreak/>
        <w:tab/>
        <w:t>Still, English and Dutch differ in how pronounced these general tendencies are. In Dutch, for instance, the tendency for strongly dependent clauses to be prosodically integrated is weaker (77</w:t>
      </w:r>
      <w:r w:rsidR="00747519">
        <w:t>%</w:t>
      </w:r>
      <w:r>
        <w:t>) than in English (9</w:t>
      </w:r>
      <w:r w:rsidR="00AE389D">
        <w:t>5</w:t>
      </w:r>
      <w:r w:rsidR="00747519">
        <w:t>%</w:t>
      </w:r>
      <w:r>
        <w:t>).</w:t>
      </w:r>
      <w:r w:rsidR="00F36F13" w:rsidRPr="000270DF">
        <w:rPr>
          <w:rStyle w:val="FootnoteReference"/>
        </w:rPr>
        <w:footnoteReference w:id="3"/>
      </w:r>
      <w:r>
        <w:t xml:space="preserve"> Moreover, </w:t>
      </w:r>
      <w:r w:rsidR="00747519">
        <w:t xml:space="preserve">in weakly dependent clauses, </w:t>
      </w:r>
      <w:r>
        <w:t xml:space="preserve">the choice </w:t>
      </w:r>
      <w:r w:rsidR="00747519">
        <w:t>between integration and non-integration</w:t>
      </w:r>
      <w:r>
        <w:t xml:space="preserve"> is more equally divided in Dutch (respectively 45% vs. 55%) than in English (respectively </w:t>
      </w:r>
      <w:r w:rsidR="00EA5BFF">
        <w:t>33</w:t>
      </w:r>
      <w:r>
        <w:t xml:space="preserve">% vs. </w:t>
      </w:r>
      <w:r w:rsidR="00EA5BFF">
        <w:t>67</w:t>
      </w:r>
      <w:r>
        <w:t>%).</w:t>
      </w:r>
      <w:r w:rsidR="00747519">
        <w:t xml:space="preserve"> T</w:t>
      </w:r>
      <w:r>
        <w:t>he likelihood of syntactically independent clauses being uttered on a separate IU</w:t>
      </w:r>
      <w:r w:rsidR="00747519">
        <w:t>, however,</w:t>
      </w:r>
      <w:r>
        <w:t xml:space="preserve"> are roughly equal in English (9</w:t>
      </w:r>
      <w:r w:rsidR="00880A6F">
        <w:t>7</w:t>
      </w:r>
      <w:r>
        <w:t>%) and Dutch (99%).</w:t>
      </w:r>
    </w:p>
    <w:p w14:paraId="2DC473D9" w14:textId="1437F498" w:rsidR="009F5A96" w:rsidRDefault="00BB062A" w:rsidP="009D3068">
      <w:pPr>
        <w:tabs>
          <w:tab w:val="left" w:pos="567"/>
        </w:tabs>
        <w:jc w:val="both"/>
      </w:pPr>
      <w:r>
        <w:tab/>
        <w:t xml:space="preserve">In a second instance, we want to know if the choice between the four </w:t>
      </w:r>
      <w:r w:rsidR="00E05EAA">
        <w:t xml:space="preserve">semantic-pragmatic types </w:t>
      </w:r>
      <w:r>
        <w:t xml:space="preserve">has an influence on the </w:t>
      </w:r>
      <w:r w:rsidR="0092173C">
        <w:t>choice for prosodic integration vs. non-integration</w:t>
      </w:r>
      <w:r w:rsidR="00C05AC6">
        <w:t xml:space="preserve"> (</w:t>
      </w:r>
      <w:r w:rsidR="00747519">
        <w:t xml:space="preserve">cf. </w:t>
      </w:r>
      <w:r w:rsidR="00293B9C">
        <w:fldChar w:fldCharType="begin"/>
      </w:r>
      <w:r w:rsidR="00293B9C">
        <w:instrText xml:space="preserve"> REF _Ref132797149 \h </w:instrText>
      </w:r>
      <w:r w:rsidR="00293B9C">
        <w:fldChar w:fldCharType="separate"/>
      </w:r>
      <w:r w:rsidR="008912AA" w:rsidRPr="007625DC">
        <w:rPr>
          <w:szCs w:val="24"/>
        </w:rPr>
        <w:t xml:space="preserve">Figure </w:t>
      </w:r>
      <w:r w:rsidR="008912AA">
        <w:rPr>
          <w:noProof/>
          <w:szCs w:val="24"/>
        </w:rPr>
        <w:t>5</w:t>
      </w:r>
      <w:r w:rsidR="00293B9C">
        <w:fldChar w:fldCharType="end"/>
      </w:r>
      <w:r w:rsidR="00C05AC6">
        <w:t>)</w:t>
      </w:r>
      <w:r>
        <w:t>.</w:t>
      </w:r>
    </w:p>
    <w:p w14:paraId="66BF7EA4" w14:textId="77777777" w:rsidR="00BB062A" w:rsidRDefault="00BB062A" w:rsidP="00BB062A">
      <w:pPr>
        <w:tabs>
          <w:tab w:val="left" w:pos="567"/>
        </w:tabs>
      </w:pPr>
    </w:p>
    <w:p w14:paraId="3A18F953" w14:textId="478423FB" w:rsidR="001323C6" w:rsidRDefault="009F5A96" w:rsidP="009F5A96">
      <w:r>
        <w:rPr>
          <w:noProof/>
        </w:rPr>
        <w:drawing>
          <wp:inline distT="0" distB="0" distL="0" distR="0" wp14:anchorId="2DE7F0B4" wp14:editId="361D54F8">
            <wp:extent cx="5676900" cy="2603500"/>
            <wp:effectExtent l="0" t="0" r="0" b="63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4B02B21" w14:textId="1C334AFD" w:rsidR="00DD5BE6" w:rsidRDefault="00CB1D17" w:rsidP="0005043B">
      <w:r>
        <w:rPr>
          <w:noProof/>
        </w:rPr>
        <w:drawing>
          <wp:inline distT="0" distB="0" distL="0" distR="0" wp14:anchorId="47ABD3FE" wp14:editId="394B0EFB">
            <wp:extent cx="5676900" cy="2603500"/>
            <wp:effectExtent l="0" t="0" r="0" b="63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44AEF93" w14:textId="10974F1A" w:rsidR="00C05AC6" w:rsidRPr="007625DC" w:rsidRDefault="00C05AC6" w:rsidP="001176EB">
      <w:pPr>
        <w:pStyle w:val="Caption"/>
        <w:spacing w:after="0"/>
        <w:rPr>
          <w:szCs w:val="24"/>
        </w:rPr>
      </w:pPr>
      <w:bookmarkStart w:id="37" w:name="_Ref132797149"/>
      <w:r w:rsidRPr="007625DC">
        <w:rPr>
          <w:szCs w:val="24"/>
        </w:rPr>
        <w:t xml:space="preserve">Figure </w:t>
      </w:r>
      <w:r w:rsidRPr="007625DC">
        <w:rPr>
          <w:szCs w:val="24"/>
        </w:rPr>
        <w:fldChar w:fldCharType="begin"/>
      </w:r>
      <w:r w:rsidRPr="007625DC">
        <w:rPr>
          <w:szCs w:val="24"/>
        </w:rPr>
        <w:instrText xml:space="preserve"> SEQ Figure \* ARABIC </w:instrText>
      </w:r>
      <w:r w:rsidRPr="007625DC">
        <w:rPr>
          <w:szCs w:val="24"/>
        </w:rPr>
        <w:fldChar w:fldCharType="separate"/>
      </w:r>
      <w:r w:rsidR="008912AA">
        <w:rPr>
          <w:noProof/>
          <w:szCs w:val="24"/>
        </w:rPr>
        <w:t>5</w:t>
      </w:r>
      <w:r w:rsidRPr="007625DC">
        <w:rPr>
          <w:szCs w:val="24"/>
        </w:rPr>
        <w:fldChar w:fldCharType="end"/>
      </w:r>
      <w:bookmarkEnd w:id="37"/>
      <w:r>
        <w:rPr>
          <w:szCs w:val="24"/>
        </w:rPr>
        <w:t xml:space="preserve">. </w:t>
      </w:r>
      <w:r>
        <w:rPr>
          <w:b w:val="0"/>
          <w:szCs w:val="24"/>
        </w:rPr>
        <w:t xml:space="preserve">Prosodic integration vs. non-integration per </w:t>
      </w:r>
      <w:r w:rsidR="00FA4E19">
        <w:rPr>
          <w:b w:val="0"/>
          <w:szCs w:val="24"/>
        </w:rPr>
        <w:t>semantic-</w:t>
      </w:r>
      <w:r w:rsidR="006631B9">
        <w:rPr>
          <w:b w:val="0"/>
          <w:szCs w:val="24"/>
        </w:rPr>
        <w:t>pragmatic</w:t>
      </w:r>
      <w:r>
        <w:rPr>
          <w:b w:val="0"/>
          <w:szCs w:val="24"/>
        </w:rPr>
        <w:t xml:space="preserve"> function</w:t>
      </w:r>
    </w:p>
    <w:p w14:paraId="6332ABD8" w14:textId="77777777" w:rsidR="00293B9C" w:rsidRDefault="00293B9C" w:rsidP="0005043B"/>
    <w:p w14:paraId="1938F2E4" w14:textId="669FCB5A" w:rsidR="009B4837" w:rsidRDefault="00293B9C" w:rsidP="00693E82">
      <w:pPr>
        <w:jc w:val="both"/>
      </w:pPr>
      <w:r w:rsidRPr="005D76C3">
        <w:lastRenderedPageBreak/>
        <w:t>In both English (</w:t>
      </w:r>
      <w:r w:rsidRPr="005D76C3">
        <w:rPr>
          <w:i/>
        </w:rPr>
        <w:t>χ</w:t>
      </w:r>
      <w:proofErr w:type="gramStart"/>
      <w:r w:rsidRPr="005D76C3">
        <w:t>²(</w:t>
      </w:r>
      <w:proofErr w:type="gramEnd"/>
      <w:r w:rsidRPr="005D76C3">
        <w:t>3</w:t>
      </w:r>
      <w:r w:rsidR="00D601D3">
        <w:t xml:space="preserve">, </w:t>
      </w:r>
      <w:r w:rsidR="00E701F3">
        <w:rPr>
          <w:i/>
        </w:rPr>
        <w:t>N=</w:t>
      </w:r>
      <w:r w:rsidR="00D601D3">
        <w:t>156</w:t>
      </w:r>
      <w:r w:rsidRPr="005D76C3">
        <w:t>)=</w:t>
      </w:r>
      <w:r w:rsidR="00880A6F">
        <w:t>20.722</w:t>
      </w:r>
      <w:r w:rsidR="00886412" w:rsidRPr="005D76C3">
        <w:t xml:space="preserve">, </w:t>
      </w:r>
      <w:r w:rsidR="00886412" w:rsidRPr="005D76C3">
        <w:rPr>
          <w:i/>
        </w:rPr>
        <w:t>p</w:t>
      </w:r>
      <w:r w:rsidR="00886412" w:rsidRPr="005D76C3">
        <w:t xml:space="preserve"> &lt; 0.001; Cramer’s V: 0.</w:t>
      </w:r>
      <w:r w:rsidR="00A25415" w:rsidRPr="005D76C3">
        <w:t>3</w:t>
      </w:r>
      <w:r w:rsidR="00880A6F">
        <w:t>64</w:t>
      </w:r>
      <w:r w:rsidRPr="005D76C3">
        <w:t>) and Dutch (</w:t>
      </w:r>
      <w:r w:rsidRPr="005D76C3">
        <w:rPr>
          <w:i/>
        </w:rPr>
        <w:t>χ</w:t>
      </w:r>
      <w:r w:rsidRPr="005D76C3">
        <w:t>²(3</w:t>
      </w:r>
      <w:r w:rsidR="00D601D3">
        <w:t xml:space="preserve">, </w:t>
      </w:r>
      <w:r w:rsidR="00E701F3">
        <w:rPr>
          <w:i/>
        </w:rPr>
        <w:t>N=</w:t>
      </w:r>
      <w:r w:rsidR="00D601D3">
        <w:t>24</w:t>
      </w:r>
      <w:r w:rsidR="00017A3C">
        <w:t>7</w:t>
      </w:r>
      <w:r w:rsidR="00E701F3">
        <w:t>)=</w:t>
      </w:r>
      <w:r w:rsidR="00886412" w:rsidRPr="005D76C3">
        <w:t>6</w:t>
      </w:r>
      <w:r w:rsidR="00017A3C">
        <w:t>2.658</w:t>
      </w:r>
      <w:r w:rsidR="00886412" w:rsidRPr="005D76C3">
        <w:t xml:space="preserve">, </w:t>
      </w:r>
      <w:r w:rsidR="00886412" w:rsidRPr="005D76C3">
        <w:rPr>
          <w:i/>
          <w:iCs/>
        </w:rPr>
        <w:t xml:space="preserve">p </w:t>
      </w:r>
      <w:r w:rsidR="00886412" w:rsidRPr="005D76C3">
        <w:t>&lt; 0.001</w:t>
      </w:r>
      <w:r w:rsidR="00103344" w:rsidRPr="005D76C3">
        <w:t xml:space="preserve">; </w:t>
      </w:r>
      <w:r w:rsidR="00886412" w:rsidRPr="005D76C3">
        <w:t>Cramer’s V: 0.50</w:t>
      </w:r>
      <w:r w:rsidR="00017A3C">
        <w:t>4</w:t>
      </w:r>
      <w:r w:rsidRPr="005D76C3">
        <w:t xml:space="preserve">), we do find </w:t>
      </w:r>
      <w:r w:rsidR="00827737">
        <w:t xml:space="preserve">associations </w:t>
      </w:r>
      <w:r w:rsidRPr="005D76C3">
        <w:t xml:space="preserve">between </w:t>
      </w:r>
      <w:r w:rsidR="00194AB5" w:rsidRPr="005D76C3">
        <w:t>semantic-</w:t>
      </w:r>
      <w:r w:rsidR="00F505B2" w:rsidRPr="005D76C3">
        <w:t>pragmatic</w:t>
      </w:r>
      <w:r w:rsidRPr="005D76C3">
        <w:t xml:space="preserve"> function and prosodic </w:t>
      </w:r>
      <w:r w:rsidR="005D11ED" w:rsidRPr="005D76C3">
        <w:t>integration</w:t>
      </w:r>
      <w:r w:rsidRPr="005D76C3">
        <w:t>.</w:t>
      </w:r>
      <w:r>
        <w:t xml:space="preserve"> </w:t>
      </w:r>
      <w:r w:rsidR="00C0500F">
        <w:t>The standardized residuals indicate that the effect is mainly</w:t>
      </w:r>
      <w:r>
        <w:t xml:space="preserve"> </w:t>
      </w:r>
      <w:proofErr w:type="gramStart"/>
      <w:r>
        <w:t>due to the fact that</w:t>
      </w:r>
      <w:proofErr w:type="gramEnd"/>
      <w:r>
        <w:t xml:space="preserve"> clauses expressing ‘denial of assumption’ are always uttered on a separate IU</w:t>
      </w:r>
      <w:r w:rsidR="00693E82">
        <w:t xml:space="preserve"> (</w:t>
      </w:r>
      <w:r w:rsidR="002922DE">
        <w:t>r=</w:t>
      </w:r>
      <w:r w:rsidR="00693E82">
        <w:t>2.</w:t>
      </w:r>
      <w:r w:rsidR="00EA5BFF">
        <w:t>51</w:t>
      </w:r>
      <w:r w:rsidR="00693E82">
        <w:t xml:space="preserve"> for English and </w:t>
      </w:r>
      <w:r w:rsidR="002922DE">
        <w:t>r=</w:t>
      </w:r>
      <w:r w:rsidR="00693E82">
        <w:t>3.45 for Dutch)</w:t>
      </w:r>
      <w:r w:rsidR="00D601D3">
        <w:t xml:space="preserve">. For Dutch, </w:t>
      </w:r>
      <w:r w:rsidR="00693E82">
        <w:t>they</w:t>
      </w:r>
      <w:r w:rsidR="00D601D3">
        <w:t xml:space="preserve"> also point to a particularly high frequency of prosodic integration with ‘manner’ clauses</w:t>
      </w:r>
      <w:r w:rsidR="00693E82">
        <w:t xml:space="preserve"> (</w:t>
      </w:r>
      <w:r w:rsidR="002922DE">
        <w:t>r=</w:t>
      </w:r>
      <w:r w:rsidR="00693E82">
        <w:t>4.30)</w:t>
      </w:r>
      <w:r w:rsidR="00D601D3">
        <w:t>.</w:t>
      </w:r>
      <w:r>
        <w:t xml:space="preserve"> </w:t>
      </w:r>
      <w:r w:rsidR="00D601D3">
        <w:t>In all other cases (i.e., for ‘qualification’ and ‘cause’ in English and Dutch, as well as for ‘manner’ in English), there appears to be no special preference for integration or non-integration.</w:t>
      </w:r>
      <w:r w:rsidR="001D1124">
        <w:t xml:space="preserve"> A likely explanation </w:t>
      </w:r>
      <w:r w:rsidR="00194AB5">
        <w:t>for</w:t>
      </w:r>
      <w:r w:rsidR="001D1124">
        <w:t xml:space="preserve"> these </w:t>
      </w:r>
      <w:r w:rsidR="000B5B83">
        <w:t>inter</w:t>
      </w:r>
      <w:r w:rsidR="001D1124">
        <w:t xml:space="preserve">linguistic differences is that ‘manner’ clauses are more </w:t>
      </w:r>
      <w:r w:rsidR="00194AB5">
        <w:t xml:space="preserve">often </w:t>
      </w:r>
      <w:r w:rsidR="001D1124">
        <w:t>strongly dependent in Dutch (52%) than in English (1</w:t>
      </w:r>
      <w:r w:rsidR="00EA5BFF">
        <w:t>3</w:t>
      </w:r>
      <w:r w:rsidR="001D1124">
        <w:t xml:space="preserve">%). </w:t>
      </w:r>
      <w:r w:rsidR="00194AB5">
        <w:t>In addition</w:t>
      </w:r>
      <w:r w:rsidR="001D1124">
        <w:t xml:space="preserve">, </w:t>
      </w:r>
      <w:r w:rsidR="00194AB5">
        <w:t xml:space="preserve">clauses expressing </w:t>
      </w:r>
      <w:r w:rsidR="001D1124">
        <w:t>‘</w:t>
      </w:r>
      <w:r w:rsidR="00C960EF">
        <w:t>qualification</w:t>
      </w:r>
      <w:r w:rsidR="001D1124">
        <w:t xml:space="preserve">’ </w:t>
      </w:r>
      <w:r w:rsidR="00194AB5">
        <w:t>or</w:t>
      </w:r>
      <w:r w:rsidR="001D1124">
        <w:t xml:space="preserve"> ‘cause’ </w:t>
      </w:r>
      <w:r w:rsidR="00194AB5">
        <w:t>are more often strongly dependent</w:t>
      </w:r>
      <w:r w:rsidR="007716EF">
        <w:t xml:space="preserve"> in English (i.e., 5</w:t>
      </w:r>
      <w:r w:rsidR="007529C6">
        <w:t>7</w:t>
      </w:r>
      <w:r w:rsidR="007716EF">
        <w:t xml:space="preserve">% </w:t>
      </w:r>
      <w:r w:rsidR="007529C6">
        <w:t>and 59% respectively</w:t>
      </w:r>
      <w:r w:rsidR="007716EF">
        <w:t xml:space="preserve">) than in Dutch (i.e., 45% and 47% respectively). </w:t>
      </w:r>
    </w:p>
    <w:p w14:paraId="4798429F" w14:textId="0EEA91EB" w:rsidR="00152C45" w:rsidRDefault="00A04A81" w:rsidP="001D7827">
      <w:pPr>
        <w:tabs>
          <w:tab w:val="left" w:pos="567"/>
        </w:tabs>
        <w:jc w:val="both"/>
      </w:pPr>
      <w:r>
        <w:tab/>
      </w:r>
      <w:r>
        <w:tab/>
      </w:r>
      <w:r w:rsidR="005F4EDA">
        <w:t xml:space="preserve">The importance of syntactic dependency over </w:t>
      </w:r>
      <w:r w:rsidR="00227548">
        <w:t>semantic-pragmatic</w:t>
      </w:r>
      <w:r w:rsidR="005F4EDA">
        <w:t xml:space="preserve"> function is confirmed by a conditional inference tree</w:t>
      </w:r>
      <w:r w:rsidR="00C73DB7">
        <w:t xml:space="preserve"> </w:t>
      </w:r>
      <w:bookmarkStart w:id="38" w:name="_Hlk172019808"/>
      <w:r w:rsidR="00C73DB7">
        <w:t>(Hothorn</w:t>
      </w:r>
      <w:r w:rsidR="00152BE4">
        <w:t xml:space="preserve"> et al.</w:t>
      </w:r>
      <w:r w:rsidR="00C73DB7">
        <w:t xml:space="preserve"> 2006)</w:t>
      </w:r>
      <w:r w:rsidR="005F4EDA">
        <w:t xml:space="preserve"> </w:t>
      </w:r>
      <w:bookmarkEnd w:id="38"/>
      <w:r w:rsidR="00DF38A1">
        <w:t>in which</w:t>
      </w:r>
      <w:r w:rsidR="00152C45">
        <w:t xml:space="preserve"> syntactic </w:t>
      </w:r>
      <w:r w:rsidR="0050326D">
        <w:t>dependency</w:t>
      </w:r>
      <w:r w:rsidR="00152C45">
        <w:t xml:space="preserve">, </w:t>
      </w:r>
      <w:r w:rsidR="00227548">
        <w:t>semantic-pragmatic</w:t>
      </w:r>
      <w:r w:rsidR="00152C45">
        <w:t xml:space="preserve"> function, as well as language (i.e.</w:t>
      </w:r>
      <w:r w:rsidR="007716EF">
        <w:t>,</w:t>
      </w:r>
      <w:r w:rsidR="00152C45">
        <w:t xml:space="preserve"> English vs. Dutch)</w:t>
      </w:r>
      <w:r w:rsidR="00DF38A1">
        <w:t xml:space="preserve"> are all included as possible predictor variables</w:t>
      </w:r>
      <w:r w:rsidR="00137E72">
        <w:t xml:space="preserve"> (cf.</w:t>
      </w:r>
      <w:r w:rsidR="00017A3C">
        <w:t xml:space="preserve"> </w:t>
      </w:r>
      <w:r w:rsidR="00017A3C">
        <w:fldChar w:fldCharType="begin"/>
      </w:r>
      <w:r w:rsidR="00017A3C">
        <w:instrText xml:space="preserve"> REF _Ref152247065 \h </w:instrText>
      </w:r>
      <w:r w:rsidR="00017A3C">
        <w:fldChar w:fldCharType="separate"/>
      </w:r>
      <w:r w:rsidR="008912AA">
        <w:t xml:space="preserve">Figure </w:t>
      </w:r>
      <w:r w:rsidR="008912AA">
        <w:rPr>
          <w:noProof/>
        </w:rPr>
        <w:t>6</w:t>
      </w:r>
      <w:r w:rsidR="00017A3C">
        <w:fldChar w:fldCharType="end"/>
      </w:r>
      <w:r w:rsidR="00137E72">
        <w:t>)</w:t>
      </w:r>
      <w:r w:rsidR="000906CF">
        <w:t>.</w:t>
      </w:r>
    </w:p>
    <w:p w14:paraId="192A94D6" w14:textId="4951B022" w:rsidR="00CD62A6" w:rsidRPr="001D7827" w:rsidRDefault="00CD62A6" w:rsidP="001D7827">
      <w:pPr>
        <w:tabs>
          <w:tab w:val="left" w:pos="567"/>
        </w:tabs>
        <w:jc w:val="both"/>
      </w:pPr>
    </w:p>
    <w:p w14:paraId="7B103EE7" w14:textId="3E087DB2" w:rsidR="005769EC" w:rsidRDefault="00A52AF6" w:rsidP="00A04A81">
      <w:pPr>
        <w:tabs>
          <w:tab w:val="left" w:pos="567"/>
        </w:tabs>
        <w:jc w:val="both"/>
      </w:pPr>
      <w:r w:rsidRPr="00A52AF6">
        <w:rPr>
          <w:noProof/>
        </w:rPr>
        <w:drawing>
          <wp:inline distT="0" distB="0" distL="0" distR="0" wp14:anchorId="66CAF57F" wp14:editId="3469DA0B">
            <wp:extent cx="5746262" cy="3249746"/>
            <wp:effectExtent l="12700" t="12700" r="6985" b="146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5">
                      <a:extLst>
                        <a:ext uri="{28A0092B-C50C-407E-A947-70E740481C1C}">
                          <a14:useLocalDpi xmlns:a14="http://schemas.microsoft.com/office/drawing/2010/main" val="0"/>
                        </a:ext>
                      </a:extLst>
                    </a:blip>
                    <a:srcRect l="144" r="539"/>
                    <a:stretch/>
                  </pic:blipFill>
                  <pic:spPr bwMode="auto">
                    <a:xfrm>
                      <a:off x="0" y="0"/>
                      <a:ext cx="5759943" cy="325748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838FD2A" w14:textId="0ECC8D94" w:rsidR="00017A3C" w:rsidRPr="00017A3C" w:rsidRDefault="00017A3C" w:rsidP="00017A3C">
      <w:pPr>
        <w:pStyle w:val="Caption"/>
        <w:spacing w:after="0"/>
        <w:jc w:val="both"/>
        <w:rPr>
          <w:b w:val="0"/>
        </w:rPr>
      </w:pPr>
      <w:bookmarkStart w:id="39" w:name="_Ref152247065"/>
      <w:r>
        <w:t xml:space="preserve">Figure </w:t>
      </w:r>
      <w:r>
        <w:fldChar w:fldCharType="begin"/>
      </w:r>
      <w:r>
        <w:instrText xml:space="preserve"> SEQ Figure \* ARABIC </w:instrText>
      </w:r>
      <w:r>
        <w:fldChar w:fldCharType="separate"/>
      </w:r>
      <w:r w:rsidR="008912AA">
        <w:rPr>
          <w:noProof/>
        </w:rPr>
        <w:t>6</w:t>
      </w:r>
      <w:r>
        <w:fldChar w:fldCharType="end"/>
      </w:r>
      <w:bookmarkEnd w:id="39"/>
      <w:r>
        <w:t xml:space="preserve">. </w:t>
      </w:r>
      <w:r w:rsidRPr="00017A3C">
        <w:rPr>
          <w:b w:val="0"/>
        </w:rPr>
        <w:t>Conditional inference tree for prosodic integration (yes) vs. non-integration (no)</w:t>
      </w:r>
    </w:p>
    <w:p w14:paraId="715B7753" w14:textId="77777777" w:rsidR="00017A3C" w:rsidRDefault="00017A3C" w:rsidP="00B6605C">
      <w:pPr>
        <w:tabs>
          <w:tab w:val="left" w:pos="567"/>
        </w:tabs>
        <w:jc w:val="both"/>
      </w:pPr>
    </w:p>
    <w:p w14:paraId="4AF1DC6B" w14:textId="29413DB3" w:rsidR="00146A04" w:rsidRDefault="000906CF" w:rsidP="00B6605C">
      <w:pPr>
        <w:tabs>
          <w:tab w:val="left" w:pos="567"/>
        </w:tabs>
        <w:jc w:val="both"/>
      </w:pPr>
      <w:r w:rsidRPr="000906CF">
        <w:t xml:space="preserve">The model in </w:t>
      </w:r>
      <w:r w:rsidR="00761A37">
        <w:fldChar w:fldCharType="begin"/>
      </w:r>
      <w:r w:rsidR="00761A37">
        <w:instrText xml:space="preserve"> REF _Ref152247065 \h </w:instrText>
      </w:r>
      <w:r w:rsidR="00761A37">
        <w:fldChar w:fldCharType="separate"/>
      </w:r>
      <w:r w:rsidR="008912AA">
        <w:t xml:space="preserve">Figure </w:t>
      </w:r>
      <w:r w:rsidR="008912AA">
        <w:rPr>
          <w:noProof/>
        </w:rPr>
        <w:t>6</w:t>
      </w:r>
      <w:r w:rsidR="00761A37">
        <w:fldChar w:fldCharType="end"/>
      </w:r>
      <w:r w:rsidR="00761A37">
        <w:t xml:space="preserve"> </w:t>
      </w:r>
      <w:r w:rsidRPr="000906CF">
        <w:t>allows</w:t>
      </w:r>
      <w:r>
        <w:t xml:space="preserve"> us to draw </w:t>
      </w:r>
      <w:proofErr w:type="gramStart"/>
      <w:r>
        <w:t>a number of</w:t>
      </w:r>
      <w:proofErr w:type="gramEnd"/>
      <w:r>
        <w:t xml:space="preserve"> conclusions. Firstly, it </w:t>
      </w:r>
      <w:r w:rsidR="00137E72">
        <w:t>suggests</w:t>
      </w:r>
      <w:r>
        <w:t xml:space="preserve"> that </w:t>
      </w:r>
      <w:r w:rsidR="00227548">
        <w:t>semantic-pragmatic</w:t>
      </w:r>
      <w:r>
        <w:t xml:space="preserve"> function plays no meaningful role in predicting the choice for prosodic </w:t>
      </w:r>
      <w:r>
        <w:lastRenderedPageBreak/>
        <w:t xml:space="preserve">integration vs. non-integration, which is attributable instead to syntactic dependence. Secondly, the model predicts that the primary distinction, when it comes to prosodic integration, is between strongly dependent clauses – which are most likely to be integrated with the previous clause – and the other dependency statuses. Only in a second instance do we see a further meaningful differentiation between the other two dependency statuses, due to independent clauses being almost exclusively uttered on a separate IU from the previous clause. </w:t>
      </w:r>
      <w:r w:rsidR="00146A04">
        <w:t>Moreover, the model also points to a significant difference between English and Dutch when it comes to the integration of strongly dependent clauses (</w:t>
      </w:r>
      <w:r w:rsidR="00146A04">
        <w:rPr>
          <w:i/>
        </w:rPr>
        <w:t>p</w:t>
      </w:r>
      <w:r w:rsidR="00E701F3">
        <w:t>=</w:t>
      </w:r>
      <w:r w:rsidR="00146A04">
        <w:t>0.0</w:t>
      </w:r>
      <w:r w:rsidR="00CD62A6">
        <w:t>09</w:t>
      </w:r>
      <w:r w:rsidR="00146A04">
        <w:t xml:space="preserve">): while both languages share a tendency for these clauses to be prosodically integrated, the tendency is much more pronounced in English than in Dutch. It is meaningful, however, that the difference between the two languages only comes in a second instance. This means that the conclusions drawn for syntactic dependence, and </w:t>
      </w:r>
      <w:r w:rsidR="00227548">
        <w:t>semantic-pragmatic</w:t>
      </w:r>
      <w:r w:rsidR="00146A04">
        <w:t xml:space="preserve"> function, generalise over English and Dutch.</w:t>
      </w:r>
    </w:p>
    <w:p w14:paraId="2D8AF7E7" w14:textId="77777777" w:rsidR="004D4EE5" w:rsidRPr="00A52A16" w:rsidRDefault="004D4EE5" w:rsidP="00446752"/>
    <w:p w14:paraId="475519CE" w14:textId="4C78ECAA" w:rsidR="00E56A84" w:rsidRPr="00A52A16" w:rsidRDefault="00D27196" w:rsidP="007C6429">
      <w:pPr>
        <w:pStyle w:val="Heading3"/>
      </w:pPr>
      <w:bookmarkStart w:id="40" w:name="_Ref135657949"/>
      <w:r>
        <w:t xml:space="preserve">Pitch </w:t>
      </w:r>
      <w:r w:rsidR="00052A63">
        <w:t xml:space="preserve">onset </w:t>
      </w:r>
      <w:r>
        <w:t>level</w:t>
      </w:r>
      <w:bookmarkEnd w:id="40"/>
    </w:p>
    <w:p w14:paraId="26CBD937" w14:textId="297BF1C4" w:rsidR="00E56A84" w:rsidRDefault="00E56A84" w:rsidP="00E56A84"/>
    <w:p w14:paraId="42AA3C6C" w14:textId="287F7908" w:rsidR="008D3E41" w:rsidRDefault="008D3E41" w:rsidP="00163A6D">
      <w:pPr>
        <w:tabs>
          <w:tab w:val="left" w:pos="709"/>
        </w:tabs>
        <w:jc w:val="both"/>
      </w:pPr>
      <w:r>
        <w:t>In this section, we study the pitch level of the onset of the HM clause</w:t>
      </w:r>
      <w:r w:rsidR="00323B7C">
        <w:t>, more precisely how much it deviates from the pitch level with</w:t>
      </w:r>
      <w:r w:rsidR="00163A6D">
        <w:t xml:space="preserve"> which</w:t>
      </w:r>
      <w:r w:rsidR="00323B7C">
        <w:t xml:space="preserve"> the previous clause, when uttered on a separate IU</w:t>
      </w:r>
      <w:r w:rsidR="003B46A5">
        <w:t xml:space="preserve"> by the same speaker</w:t>
      </w:r>
      <w:r w:rsidR="00323B7C">
        <w:t xml:space="preserve">, ends. This factor, measured in semitones, provides an </w:t>
      </w:r>
      <w:r w:rsidR="004B2A0B">
        <w:t xml:space="preserve">indication </w:t>
      </w:r>
      <w:r w:rsidR="00323B7C">
        <w:t>of whether the HM clause follows the same pitch declination as the previous IU or, instead, starts with a pitch reset or downste</w:t>
      </w:r>
      <w:r w:rsidR="0094468B">
        <w:t>p</w:t>
      </w:r>
      <w:r w:rsidR="00323B7C">
        <w:t>.</w:t>
      </w:r>
      <w:r w:rsidR="00035160">
        <w:t xml:space="preserve"> </w:t>
      </w:r>
      <w:r w:rsidR="00323B7C" w:rsidRPr="004B2A0B">
        <w:t>This factor is</w:t>
      </w:r>
      <w:r w:rsidR="006C0067" w:rsidRPr="004B2A0B">
        <w:t xml:space="preserve"> </w:t>
      </w:r>
      <w:r w:rsidR="00323B7C" w:rsidRPr="004B2A0B">
        <w:t>relevant</w:t>
      </w:r>
      <w:r w:rsidR="006C0067" w:rsidRPr="004B2A0B">
        <w:t xml:space="preserve"> only </w:t>
      </w:r>
      <w:r w:rsidR="00323B7C" w:rsidRPr="004B2A0B">
        <w:t>for</w:t>
      </w:r>
      <w:r w:rsidR="006C0067" w:rsidRPr="004B2A0B">
        <w:t xml:space="preserve"> HM clause</w:t>
      </w:r>
      <w:r w:rsidR="00323B7C" w:rsidRPr="004B2A0B">
        <w:t>s that are not prosodically integrated with a matrix</w:t>
      </w:r>
      <w:r w:rsidR="0094468B" w:rsidRPr="004B2A0B">
        <w:t>, that is, the ones that are uttered on a separate IU (</w:t>
      </w:r>
      <w:r w:rsidR="00E701F3">
        <w:t>n=</w:t>
      </w:r>
      <w:r w:rsidR="00165602">
        <w:t>87</w:t>
      </w:r>
      <w:r w:rsidR="0094468B" w:rsidRPr="004B2A0B">
        <w:t xml:space="preserve"> for English and </w:t>
      </w:r>
      <w:r w:rsidR="00E701F3">
        <w:t>n=</w:t>
      </w:r>
      <w:r w:rsidR="0094468B" w:rsidRPr="004B2A0B">
        <w:t>16</w:t>
      </w:r>
      <w:r w:rsidR="00165602">
        <w:t>0</w:t>
      </w:r>
      <w:r w:rsidR="0094468B" w:rsidRPr="004B2A0B">
        <w:t xml:space="preserve"> for Dutch)</w:t>
      </w:r>
      <w:r w:rsidR="00E12C4F">
        <w:t>, excluding the ones that initiate a new speaker turn (n=16 for English and n=10 for Dutch). Excluding also the examples for which Praat could not read the onset pitch level, we ended up with 69 examples for English and 143 for Dutch.</w:t>
      </w:r>
    </w:p>
    <w:p w14:paraId="63BEF95A" w14:textId="15C4CCEA" w:rsidR="00B32FBC" w:rsidRPr="00A52A16" w:rsidRDefault="00065842" w:rsidP="00440F72">
      <w:pPr>
        <w:tabs>
          <w:tab w:val="left" w:pos="567"/>
        </w:tabs>
        <w:jc w:val="both"/>
      </w:pPr>
      <w:r w:rsidRPr="00A52A16">
        <w:tab/>
      </w:r>
      <w:r w:rsidR="00262751">
        <w:t>First, t</w:t>
      </w:r>
      <w:r w:rsidRPr="00A52A16">
        <w:t xml:space="preserve">he </w:t>
      </w:r>
      <w:r w:rsidR="00440F72" w:rsidRPr="00A52A16">
        <w:t xml:space="preserve">mean pitch differences per </w:t>
      </w:r>
      <w:r w:rsidR="003D0B12">
        <w:t>syntactic dependency level</w:t>
      </w:r>
      <w:r w:rsidR="00440F72" w:rsidRPr="00A52A16">
        <w:t xml:space="preserve"> are given, in semitones, in </w:t>
      </w:r>
      <w:r w:rsidR="003D0B12">
        <w:fldChar w:fldCharType="begin"/>
      </w:r>
      <w:r w:rsidR="003D0B12">
        <w:instrText xml:space="preserve"> REF _Ref133914670 \h </w:instrText>
      </w:r>
      <w:r w:rsidR="003D0B12">
        <w:fldChar w:fldCharType="separate"/>
      </w:r>
      <w:r w:rsidR="008912AA" w:rsidRPr="00A52A16">
        <w:t xml:space="preserve">Table </w:t>
      </w:r>
      <w:r w:rsidR="008912AA">
        <w:rPr>
          <w:noProof/>
        </w:rPr>
        <w:t>5</w:t>
      </w:r>
      <w:r w:rsidR="003D0B12">
        <w:fldChar w:fldCharType="end"/>
      </w:r>
      <w:r w:rsidR="003D0B12">
        <w:t xml:space="preserve"> </w:t>
      </w:r>
      <w:r w:rsidR="00440F72" w:rsidRPr="00A52A16">
        <w:t>for both English and Dutch</w:t>
      </w:r>
      <w:r w:rsidR="00C132E6">
        <w:t>.</w:t>
      </w:r>
      <w:r w:rsidR="0094468B">
        <w:t xml:space="preserve"> </w:t>
      </w:r>
    </w:p>
    <w:p w14:paraId="3070EB88" w14:textId="3C25F52D" w:rsidR="00065842" w:rsidRDefault="00065842" w:rsidP="00065842">
      <w:pPr>
        <w:tabs>
          <w:tab w:val="left" w:pos="567"/>
        </w:tabs>
      </w:pPr>
    </w:p>
    <w:p w14:paraId="65848BB1" w14:textId="1315716A" w:rsidR="005B7D15" w:rsidRPr="00A52A16" w:rsidRDefault="005B7D15" w:rsidP="005B7D15">
      <w:pPr>
        <w:pStyle w:val="Caption"/>
        <w:rPr>
          <w:b w:val="0"/>
        </w:rPr>
      </w:pPr>
      <w:bookmarkStart w:id="41" w:name="_Ref133914670"/>
      <w:r w:rsidRPr="00A52A16">
        <w:lastRenderedPageBreak/>
        <w:t xml:space="preserve">Table </w:t>
      </w:r>
      <w:r w:rsidRPr="00A52A16">
        <w:fldChar w:fldCharType="begin"/>
      </w:r>
      <w:r w:rsidRPr="00A52A16">
        <w:instrText xml:space="preserve"> SEQ Table \* ARABIC </w:instrText>
      </w:r>
      <w:r w:rsidRPr="00A52A16">
        <w:fldChar w:fldCharType="separate"/>
      </w:r>
      <w:r w:rsidR="008B649D">
        <w:rPr>
          <w:noProof/>
        </w:rPr>
        <w:t>5</w:t>
      </w:r>
      <w:r w:rsidRPr="00A52A16">
        <w:fldChar w:fldCharType="end"/>
      </w:r>
      <w:bookmarkEnd w:id="41"/>
      <w:r w:rsidRPr="00A52A16">
        <w:t xml:space="preserve">. </w:t>
      </w:r>
      <w:r w:rsidR="00E05EAA">
        <w:rPr>
          <w:b w:val="0"/>
          <w:bCs/>
        </w:rPr>
        <w:t xml:space="preserve">Average </w:t>
      </w:r>
      <w:r w:rsidR="00E05EAA" w:rsidRPr="00A52A16">
        <w:rPr>
          <w:b w:val="0"/>
        </w:rPr>
        <w:t>difference</w:t>
      </w:r>
      <w:r w:rsidR="00E05EAA">
        <w:rPr>
          <w:b w:val="0"/>
        </w:rPr>
        <w:t xml:space="preserve"> in pitch level</w:t>
      </w:r>
      <w:r w:rsidR="00E05EAA" w:rsidRPr="00A52A16">
        <w:rPr>
          <w:b w:val="0"/>
        </w:rPr>
        <w:t xml:space="preserve"> </w:t>
      </w:r>
      <w:r w:rsidR="002D447E">
        <w:rPr>
          <w:b w:val="0"/>
        </w:rPr>
        <w:t xml:space="preserve">in semitones </w:t>
      </w:r>
      <w:r w:rsidR="00E05EAA" w:rsidRPr="00A52A16">
        <w:rPr>
          <w:b w:val="0"/>
        </w:rPr>
        <w:t xml:space="preserve">between onset </w:t>
      </w:r>
      <w:r w:rsidR="00E05EAA">
        <w:rPr>
          <w:b w:val="0"/>
        </w:rPr>
        <w:t>of HM clause</w:t>
      </w:r>
      <w:r w:rsidR="00E05EAA" w:rsidRPr="00A52A16">
        <w:rPr>
          <w:b w:val="0"/>
        </w:rPr>
        <w:t xml:space="preserve"> and end of previous IU</w:t>
      </w:r>
      <w:r w:rsidR="00E05EAA">
        <w:rPr>
          <w:b w:val="0"/>
        </w:rPr>
        <w:t xml:space="preserve"> per syntactic dependency </w:t>
      </w:r>
      <w:r w:rsidR="0090299C">
        <w:rPr>
          <w:b w:val="0"/>
        </w:rPr>
        <w:t>level</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992"/>
        <w:gridCol w:w="2037"/>
        <w:gridCol w:w="1223"/>
        <w:gridCol w:w="2268"/>
      </w:tblGrid>
      <w:tr w:rsidR="005B7D15" w:rsidRPr="00A52A16" w14:paraId="19011D77" w14:textId="77777777" w:rsidTr="007E17E4">
        <w:trPr>
          <w:trHeight w:val="414"/>
        </w:trPr>
        <w:tc>
          <w:tcPr>
            <w:tcW w:w="2552" w:type="dxa"/>
            <w:tcBorders>
              <w:top w:val="single" w:sz="4" w:space="0" w:color="auto"/>
              <w:bottom w:val="single" w:sz="4" w:space="0" w:color="auto"/>
            </w:tcBorders>
          </w:tcPr>
          <w:p w14:paraId="28EFF911" w14:textId="77777777" w:rsidR="005B7D15" w:rsidRPr="00A52A16" w:rsidRDefault="005B7D15" w:rsidP="007E17E4"/>
        </w:tc>
        <w:tc>
          <w:tcPr>
            <w:tcW w:w="3029" w:type="dxa"/>
            <w:gridSpan w:val="2"/>
            <w:tcBorders>
              <w:top w:val="single" w:sz="4" w:space="0" w:color="auto"/>
              <w:bottom w:val="single" w:sz="4" w:space="0" w:color="auto"/>
            </w:tcBorders>
            <w:vAlign w:val="center"/>
          </w:tcPr>
          <w:p w14:paraId="1932CD02" w14:textId="40A1C5F3" w:rsidR="005B7D15" w:rsidRPr="00A52A16" w:rsidRDefault="005B7D15" w:rsidP="007E17E4">
            <w:pPr>
              <w:jc w:val="center"/>
            </w:pPr>
            <w:r w:rsidRPr="00A52A16">
              <w:t>English</w:t>
            </w:r>
            <w:r w:rsidR="00827737">
              <w:t xml:space="preserve"> (n=</w:t>
            </w:r>
            <w:r w:rsidR="00E12C4F">
              <w:t>69</w:t>
            </w:r>
            <w:r w:rsidR="00827737">
              <w:t>)</w:t>
            </w:r>
          </w:p>
        </w:tc>
        <w:tc>
          <w:tcPr>
            <w:tcW w:w="3491" w:type="dxa"/>
            <w:gridSpan w:val="2"/>
            <w:tcBorders>
              <w:top w:val="single" w:sz="4" w:space="0" w:color="auto"/>
              <w:bottom w:val="single" w:sz="4" w:space="0" w:color="auto"/>
            </w:tcBorders>
            <w:vAlign w:val="center"/>
          </w:tcPr>
          <w:p w14:paraId="4CEF724F" w14:textId="633545E8" w:rsidR="005B7D15" w:rsidRPr="00A52A16" w:rsidRDefault="005B7D15" w:rsidP="007E17E4">
            <w:pPr>
              <w:jc w:val="center"/>
            </w:pPr>
            <w:r w:rsidRPr="00A52A16">
              <w:t>Dutch</w:t>
            </w:r>
            <w:r w:rsidR="00827737">
              <w:t xml:space="preserve"> (n=</w:t>
            </w:r>
            <w:r w:rsidR="00E12C4F">
              <w:t>143</w:t>
            </w:r>
            <w:r w:rsidR="00827737">
              <w:t>)</w:t>
            </w:r>
          </w:p>
        </w:tc>
      </w:tr>
      <w:tr w:rsidR="005B7D15" w:rsidRPr="00A52A16" w14:paraId="045A05C0" w14:textId="77777777" w:rsidTr="00E12C4F">
        <w:trPr>
          <w:trHeight w:val="414"/>
        </w:trPr>
        <w:tc>
          <w:tcPr>
            <w:tcW w:w="2552" w:type="dxa"/>
            <w:tcBorders>
              <w:top w:val="single" w:sz="4" w:space="0" w:color="auto"/>
            </w:tcBorders>
            <w:vAlign w:val="center"/>
          </w:tcPr>
          <w:p w14:paraId="5AD40CC2" w14:textId="5F688C6F" w:rsidR="005B7D15" w:rsidRPr="00A52A16" w:rsidRDefault="005B7D15" w:rsidP="007E17E4">
            <w:r>
              <w:t>Strong dependence</w:t>
            </w:r>
          </w:p>
        </w:tc>
        <w:tc>
          <w:tcPr>
            <w:tcW w:w="992" w:type="dxa"/>
            <w:tcBorders>
              <w:top w:val="single" w:sz="4" w:space="0" w:color="auto"/>
            </w:tcBorders>
            <w:vAlign w:val="center"/>
          </w:tcPr>
          <w:p w14:paraId="13FA66F7" w14:textId="28C97419" w:rsidR="005B7D15" w:rsidRPr="00A403FE" w:rsidRDefault="005B7D15" w:rsidP="007E17E4">
            <w:pPr>
              <w:jc w:val="right"/>
              <w:rPr>
                <w:b/>
              </w:rPr>
            </w:pPr>
            <w:r w:rsidRPr="00A403FE">
              <w:rPr>
                <w:b/>
              </w:rPr>
              <w:t>-</w:t>
            </w:r>
            <w:r w:rsidR="0078371A">
              <w:rPr>
                <w:b/>
              </w:rPr>
              <w:t>2.07</w:t>
            </w:r>
          </w:p>
        </w:tc>
        <w:tc>
          <w:tcPr>
            <w:tcW w:w="2037" w:type="dxa"/>
            <w:tcBorders>
              <w:top w:val="single" w:sz="4" w:space="0" w:color="auto"/>
            </w:tcBorders>
            <w:vAlign w:val="center"/>
          </w:tcPr>
          <w:p w14:paraId="084CC835" w14:textId="0DC7B7BE" w:rsidR="005B7D15" w:rsidRPr="00A52A16" w:rsidRDefault="00EB4DDF" w:rsidP="007E17E4">
            <w:r>
              <w:t>(</w:t>
            </w:r>
            <w:r w:rsidR="00E701F3">
              <w:t>sd=</w:t>
            </w:r>
            <w:r>
              <w:t>3.</w:t>
            </w:r>
            <w:r w:rsidR="00CF2397">
              <w:t>52</w:t>
            </w:r>
            <w:r>
              <w:t xml:space="preserve">, </w:t>
            </w:r>
            <w:r w:rsidR="00E701F3">
              <w:t>n=</w:t>
            </w:r>
            <w:r w:rsidR="0078371A">
              <w:t>3</w:t>
            </w:r>
            <w:r w:rsidR="005B7D15" w:rsidRPr="00A52A16">
              <w:t>)</w:t>
            </w:r>
          </w:p>
        </w:tc>
        <w:tc>
          <w:tcPr>
            <w:tcW w:w="1223" w:type="dxa"/>
            <w:tcBorders>
              <w:top w:val="single" w:sz="4" w:space="0" w:color="auto"/>
            </w:tcBorders>
            <w:vAlign w:val="center"/>
          </w:tcPr>
          <w:p w14:paraId="04A94EC2" w14:textId="2DD64BE2" w:rsidR="005B7D15" w:rsidRPr="00A403FE" w:rsidRDefault="00F305C4" w:rsidP="007E17E4">
            <w:pPr>
              <w:jc w:val="right"/>
              <w:rPr>
                <w:b/>
              </w:rPr>
            </w:pPr>
            <w:r w:rsidRPr="00A403FE">
              <w:rPr>
                <w:b/>
              </w:rPr>
              <w:t>-0.51</w:t>
            </w:r>
          </w:p>
        </w:tc>
        <w:tc>
          <w:tcPr>
            <w:tcW w:w="2268" w:type="dxa"/>
            <w:tcBorders>
              <w:top w:val="single" w:sz="4" w:space="0" w:color="auto"/>
            </w:tcBorders>
            <w:vAlign w:val="center"/>
          </w:tcPr>
          <w:p w14:paraId="6E3F101C" w14:textId="4F4771F2" w:rsidR="005B7D15" w:rsidRPr="00A52A16" w:rsidRDefault="005B7D15" w:rsidP="007E17E4">
            <w:r w:rsidRPr="00A52A16">
              <w:t>(</w:t>
            </w:r>
            <w:r w:rsidR="00E701F3">
              <w:t>sd=</w:t>
            </w:r>
            <w:r w:rsidR="00165602">
              <w:t>2.73</w:t>
            </w:r>
            <w:r w:rsidR="00EB4DDF">
              <w:t xml:space="preserve">, </w:t>
            </w:r>
            <w:r w:rsidR="00E701F3">
              <w:t>n=</w:t>
            </w:r>
            <w:r w:rsidR="00165602">
              <w:t>21</w:t>
            </w:r>
            <w:r w:rsidRPr="00A52A16">
              <w:t>)</w:t>
            </w:r>
          </w:p>
        </w:tc>
      </w:tr>
      <w:tr w:rsidR="005B7D15" w:rsidRPr="00A52A16" w14:paraId="19110A93" w14:textId="77777777" w:rsidTr="00E12C4F">
        <w:trPr>
          <w:trHeight w:val="414"/>
        </w:trPr>
        <w:tc>
          <w:tcPr>
            <w:tcW w:w="2552" w:type="dxa"/>
            <w:vAlign w:val="center"/>
          </w:tcPr>
          <w:p w14:paraId="0C9B48BB" w14:textId="5CACCA48" w:rsidR="005B7D15" w:rsidRPr="00A52A16" w:rsidRDefault="005B7D15" w:rsidP="007E17E4">
            <w:r>
              <w:t>Weak dependence</w:t>
            </w:r>
          </w:p>
        </w:tc>
        <w:tc>
          <w:tcPr>
            <w:tcW w:w="992" w:type="dxa"/>
            <w:vAlign w:val="center"/>
          </w:tcPr>
          <w:p w14:paraId="3C41E754" w14:textId="1B492951" w:rsidR="005B7D15" w:rsidRPr="00A403FE" w:rsidRDefault="005B7D15" w:rsidP="007E17E4">
            <w:pPr>
              <w:jc w:val="right"/>
              <w:rPr>
                <w:b/>
              </w:rPr>
            </w:pPr>
            <w:r w:rsidRPr="00A403FE">
              <w:rPr>
                <w:b/>
              </w:rPr>
              <w:t>0.</w:t>
            </w:r>
            <w:r w:rsidR="00D44370" w:rsidRPr="00A403FE">
              <w:rPr>
                <w:b/>
              </w:rPr>
              <w:t>8</w:t>
            </w:r>
            <w:r w:rsidR="00DD659A">
              <w:rPr>
                <w:b/>
              </w:rPr>
              <w:t>8</w:t>
            </w:r>
          </w:p>
        </w:tc>
        <w:tc>
          <w:tcPr>
            <w:tcW w:w="2037" w:type="dxa"/>
            <w:vAlign w:val="center"/>
          </w:tcPr>
          <w:p w14:paraId="47546099" w14:textId="2DF0CD94" w:rsidR="005B7D15" w:rsidRPr="00A52A16" w:rsidRDefault="005B7D15" w:rsidP="007E17E4">
            <w:r w:rsidRPr="00A52A16">
              <w:t>(</w:t>
            </w:r>
            <w:r w:rsidR="00E701F3">
              <w:t>sd=</w:t>
            </w:r>
            <w:r w:rsidR="00EB4DDF">
              <w:t>3.</w:t>
            </w:r>
            <w:r w:rsidR="00D90430">
              <w:t>1</w:t>
            </w:r>
            <w:r w:rsidR="00785746">
              <w:t>3</w:t>
            </w:r>
            <w:r w:rsidR="00EB4DDF">
              <w:t xml:space="preserve">, </w:t>
            </w:r>
            <w:r w:rsidR="00E701F3">
              <w:t>n=</w:t>
            </w:r>
            <w:r w:rsidR="00CF2397">
              <w:t>2</w:t>
            </w:r>
            <w:r w:rsidR="00785746">
              <w:t>7</w:t>
            </w:r>
            <w:r w:rsidRPr="00A52A16">
              <w:t>)</w:t>
            </w:r>
          </w:p>
        </w:tc>
        <w:tc>
          <w:tcPr>
            <w:tcW w:w="1223" w:type="dxa"/>
            <w:vAlign w:val="center"/>
          </w:tcPr>
          <w:p w14:paraId="0B0ABAAE" w14:textId="545CEEA6" w:rsidR="005B7D15" w:rsidRPr="00A403FE" w:rsidRDefault="005C68AF" w:rsidP="007E17E4">
            <w:pPr>
              <w:jc w:val="right"/>
              <w:rPr>
                <w:b/>
              </w:rPr>
            </w:pPr>
            <w:r w:rsidRPr="00A403FE">
              <w:rPr>
                <w:b/>
              </w:rPr>
              <w:t>-0.</w:t>
            </w:r>
            <w:r w:rsidR="00165602">
              <w:rPr>
                <w:b/>
              </w:rPr>
              <w:t>18</w:t>
            </w:r>
          </w:p>
        </w:tc>
        <w:tc>
          <w:tcPr>
            <w:tcW w:w="2268" w:type="dxa"/>
            <w:vAlign w:val="center"/>
          </w:tcPr>
          <w:p w14:paraId="35A86AAC" w14:textId="50F42F86" w:rsidR="005B7D15" w:rsidRPr="00A52A16" w:rsidRDefault="005B7D15" w:rsidP="007E17E4">
            <w:r w:rsidRPr="00A52A16">
              <w:t>(</w:t>
            </w:r>
            <w:r w:rsidR="00E701F3">
              <w:t>sd=</w:t>
            </w:r>
            <w:r w:rsidR="00165602">
              <w:t>4.22</w:t>
            </w:r>
            <w:r w:rsidR="00EB4DDF">
              <w:t xml:space="preserve">, </w:t>
            </w:r>
            <w:r w:rsidR="00E701F3">
              <w:t>n=</w:t>
            </w:r>
            <w:r w:rsidR="00165602">
              <w:t>19</w:t>
            </w:r>
            <w:r w:rsidRPr="00A52A16">
              <w:t>)</w:t>
            </w:r>
          </w:p>
        </w:tc>
      </w:tr>
      <w:tr w:rsidR="005B7D15" w:rsidRPr="00A52A16" w14:paraId="1ACFE165" w14:textId="77777777" w:rsidTr="00E12C4F">
        <w:trPr>
          <w:trHeight w:val="414"/>
        </w:trPr>
        <w:tc>
          <w:tcPr>
            <w:tcW w:w="2552" w:type="dxa"/>
            <w:tcBorders>
              <w:bottom w:val="single" w:sz="4" w:space="0" w:color="auto"/>
            </w:tcBorders>
            <w:vAlign w:val="center"/>
          </w:tcPr>
          <w:p w14:paraId="3DCF64D2" w14:textId="1FB1B866" w:rsidR="005B7D15" w:rsidRPr="00A52A16" w:rsidRDefault="005B7D15" w:rsidP="007E17E4">
            <w:r>
              <w:t>Independence</w:t>
            </w:r>
          </w:p>
        </w:tc>
        <w:tc>
          <w:tcPr>
            <w:tcW w:w="992" w:type="dxa"/>
            <w:tcBorders>
              <w:bottom w:val="single" w:sz="4" w:space="0" w:color="auto"/>
            </w:tcBorders>
            <w:vAlign w:val="center"/>
          </w:tcPr>
          <w:p w14:paraId="585BA7B3" w14:textId="0A0B64CF" w:rsidR="005B7D15" w:rsidRPr="00A403FE" w:rsidRDefault="00B23E01" w:rsidP="007E17E4">
            <w:pPr>
              <w:jc w:val="right"/>
              <w:rPr>
                <w:b/>
              </w:rPr>
            </w:pPr>
            <w:r w:rsidRPr="00A403FE">
              <w:rPr>
                <w:b/>
              </w:rPr>
              <w:t>2.</w:t>
            </w:r>
            <w:r w:rsidR="00CF2397">
              <w:rPr>
                <w:b/>
              </w:rPr>
              <w:t>7</w:t>
            </w:r>
            <w:r w:rsidR="00DD659A">
              <w:rPr>
                <w:b/>
              </w:rPr>
              <w:t>2</w:t>
            </w:r>
          </w:p>
        </w:tc>
        <w:tc>
          <w:tcPr>
            <w:tcW w:w="2037" w:type="dxa"/>
            <w:tcBorders>
              <w:bottom w:val="single" w:sz="4" w:space="0" w:color="auto"/>
            </w:tcBorders>
            <w:vAlign w:val="center"/>
          </w:tcPr>
          <w:p w14:paraId="4F3D6EF2" w14:textId="42444C16" w:rsidR="005B7D15" w:rsidRPr="00A52A16" w:rsidRDefault="005B7D15" w:rsidP="007E17E4">
            <w:r w:rsidRPr="00A52A16">
              <w:t>(</w:t>
            </w:r>
            <w:r w:rsidR="00E701F3">
              <w:t>sd=</w:t>
            </w:r>
            <w:r w:rsidR="00EB4DDF">
              <w:t>5.</w:t>
            </w:r>
            <w:r w:rsidR="00D90430">
              <w:t>5</w:t>
            </w:r>
            <w:r w:rsidR="00785746">
              <w:t>6</w:t>
            </w:r>
            <w:r w:rsidR="00EB4DDF">
              <w:t xml:space="preserve">, </w:t>
            </w:r>
            <w:r w:rsidR="00E701F3">
              <w:t>n</w:t>
            </w:r>
            <w:r w:rsidR="00785746">
              <w:t>=39</w:t>
            </w:r>
            <w:r w:rsidRPr="00A52A16">
              <w:t>)</w:t>
            </w:r>
          </w:p>
        </w:tc>
        <w:tc>
          <w:tcPr>
            <w:tcW w:w="1223" w:type="dxa"/>
            <w:tcBorders>
              <w:bottom w:val="single" w:sz="4" w:space="0" w:color="auto"/>
            </w:tcBorders>
            <w:vAlign w:val="center"/>
          </w:tcPr>
          <w:p w14:paraId="02D6097E" w14:textId="54A669D0" w:rsidR="005B7D15" w:rsidRPr="00A403FE" w:rsidRDefault="00FC4F0C" w:rsidP="007E17E4">
            <w:pPr>
              <w:jc w:val="right"/>
              <w:rPr>
                <w:b/>
              </w:rPr>
            </w:pPr>
            <w:r w:rsidRPr="00A403FE">
              <w:rPr>
                <w:b/>
              </w:rPr>
              <w:t>3.53</w:t>
            </w:r>
          </w:p>
        </w:tc>
        <w:tc>
          <w:tcPr>
            <w:tcW w:w="2268" w:type="dxa"/>
            <w:tcBorders>
              <w:bottom w:val="single" w:sz="4" w:space="0" w:color="auto"/>
            </w:tcBorders>
            <w:vAlign w:val="center"/>
          </w:tcPr>
          <w:p w14:paraId="6836D680" w14:textId="75B1ACA9" w:rsidR="005B7D15" w:rsidRPr="00A52A16" w:rsidRDefault="005B7D15" w:rsidP="007E17E4">
            <w:r w:rsidRPr="00A52A16">
              <w:t>(</w:t>
            </w:r>
            <w:r w:rsidR="00E701F3">
              <w:t>sd=</w:t>
            </w:r>
            <w:r w:rsidR="00EB4DDF">
              <w:t xml:space="preserve">4.64, </w:t>
            </w:r>
            <w:r w:rsidR="00E701F3">
              <w:t>n=</w:t>
            </w:r>
            <w:r w:rsidR="00FC4F0C">
              <w:t>10</w:t>
            </w:r>
            <w:r w:rsidR="00F305C4">
              <w:t>3</w:t>
            </w:r>
            <w:r w:rsidRPr="00A52A16">
              <w:t>)</w:t>
            </w:r>
          </w:p>
        </w:tc>
      </w:tr>
    </w:tbl>
    <w:p w14:paraId="0EF721BE" w14:textId="77777777" w:rsidR="003F03F5" w:rsidRDefault="003F03F5" w:rsidP="000E3A98">
      <w:pPr>
        <w:tabs>
          <w:tab w:val="left" w:pos="567"/>
        </w:tabs>
        <w:jc w:val="both"/>
      </w:pPr>
    </w:p>
    <w:p w14:paraId="173BA062" w14:textId="2D7A149C" w:rsidR="005B7D15" w:rsidRDefault="007E5BD7" w:rsidP="000E3A98">
      <w:pPr>
        <w:tabs>
          <w:tab w:val="left" w:pos="567"/>
        </w:tabs>
        <w:jc w:val="both"/>
      </w:pPr>
      <w:r w:rsidRPr="00F45464">
        <w:t xml:space="preserve">The averages in </w:t>
      </w:r>
      <w:r w:rsidRPr="00F45464">
        <w:fldChar w:fldCharType="begin"/>
      </w:r>
      <w:r w:rsidRPr="00F45464">
        <w:instrText xml:space="preserve"> REF _Ref133914670 \h </w:instrText>
      </w:r>
      <w:r w:rsidR="00F45464">
        <w:instrText xml:space="preserve"> \* MERGEFORMAT </w:instrText>
      </w:r>
      <w:r w:rsidRPr="00F45464">
        <w:fldChar w:fldCharType="separate"/>
      </w:r>
      <w:r w:rsidR="008912AA" w:rsidRPr="00A52A16">
        <w:t xml:space="preserve">Table </w:t>
      </w:r>
      <w:r w:rsidR="008912AA">
        <w:rPr>
          <w:noProof/>
        </w:rPr>
        <w:t>5</w:t>
      </w:r>
      <w:r w:rsidRPr="00F45464">
        <w:fldChar w:fldCharType="end"/>
      </w:r>
      <w:r w:rsidRPr="00F45464">
        <w:t xml:space="preserve"> suggest that syntactic dependency has an influence on the pitch level of the onset of the HM clause, with independent clauses starting with a pitch res</w:t>
      </w:r>
      <w:r w:rsidR="00827737">
        <w:t>e</w:t>
      </w:r>
      <w:r w:rsidRPr="00F45464">
        <w:t xml:space="preserve">t, while strongly and weakly dependent clauses roughly follow the (declining) pitch of the previous IU. </w:t>
      </w:r>
      <w:r w:rsidR="00BA6AA7" w:rsidRPr="00F45464">
        <w:t xml:space="preserve">For English, however, </w:t>
      </w:r>
      <w:r w:rsidR="00AC6E56">
        <w:t xml:space="preserve">a one-way </w:t>
      </w:r>
      <w:r w:rsidR="00BA6AA7" w:rsidRPr="00F45464">
        <w:t xml:space="preserve">ANOVA did not indicate that there are significant differences between the </w:t>
      </w:r>
      <w:r w:rsidR="00D82FD7" w:rsidRPr="00F45464">
        <w:t>three syntactic dependency levels</w:t>
      </w:r>
      <w:r w:rsidR="00272F2D" w:rsidRPr="00F45464">
        <w:t xml:space="preserve"> (</w:t>
      </w:r>
      <w:proofErr w:type="gramStart"/>
      <w:r w:rsidR="00272F2D" w:rsidRPr="00F45464">
        <w:rPr>
          <w:i/>
        </w:rPr>
        <w:t>F</w:t>
      </w:r>
      <w:r w:rsidR="004B2A0B">
        <w:t>(</w:t>
      </w:r>
      <w:proofErr w:type="gramEnd"/>
      <w:r w:rsidR="004B2A0B">
        <w:t>2,</w:t>
      </w:r>
      <w:r w:rsidR="00EA59CB">
        <w:t xml:space="preserve"> </w:t>
      </w:r>
      <w:r w:rsidR="00D90430">
        <w:t>66</w:t>
      </w:r>
      <w:r w:rsidR="00E701F3">
        <w:t>)=</w:t>
      </w:r>
      <w:r w:rsidR="00D90430">
        <w:t>2.2</w:t>
      </w:r>
      <w:r w:rsidR="00785746">
        <w:t>89</w:t>
      </w:r>
      <w:r w:rsidR="00272F2D" w:rsidRPr="00F45464">
        <w:t xml:space="preserve">, </w:t>
      </w:r>
      <w:r w:rsidR="00272F2D" w:rsidRPr="00F45464">
        <w:rPr>
          <w:i/>
        </w:rPr>
        <w:t>p</w:t>
      </w:r>
      <w:r w:rsidR="00E701F3">
        <w:t>=</w:t>
      </w:r>
      <w:r w:rsidR="00272F2D" w:rsidRPr="00F45464">
        <w:t>0.</w:t>
      </w:r>
      <w:r w:rsidR="00D90430">
        <w:t>1</w:t>
      </w:r>
      <w:r w:rsidR="00785746">
        <w:t>09</w:t>
      </w:r>
      <w:r w:rsidR="00272F2D" w:rsidRPr="00F45464">
        <w:t>)</w:t>
      </w:r>
      <w:r w:rsidR="00D82FD7" w:rsidRPr="00F45464">
        <w:t>, which was confirmed by a Tukey post-hoc test.</w:t>
      </w:r>
      <w:r w:rsidR="00272F2D" w:rsidRPr="00F45464">
        <w:t xml:space="preserve"> For Dutch, by contrast, the ANOVA did reveal significant variation across syntactic dependency levels (</w:t>
      </w:r>
      <w:proofErr w:type="gramStart"/>
      <w:r w:rsidR="00272F2D" w:rsidRPr="00F45464">
        <w:rPr>
          <w:i/>
        </w:rPr>
        <w:t>F</w:t>
      </w:r>
      <w:r w:rsidR="004B2A0B">
        <w:t>(</w:t>
      </w:r>
      <w:proofErr w:type="gramEnd"/>
      <w:r w:rsidR="004B2A0B">
        <w:t xml:space="preserve">2, </w:t>
      </w:r>
      <w:r w:rsidR="00BB2B28">
        <w:t>140</w:t>
      </w:r>
      <w:r w:rsidR="00E701F3">
        <w:t>)=</w:t>
      </w:r>
      <w:r w:rsidR="00BB2B28">
        <w:t>15.16</w:t>
      </w:r>
      <w:r w:rsidR="00272F2D" w:rsidRPr="00F45464">
        <w:t xml:space="preserve">, </w:t>
      </w:r>
      <w:r w:rsidR="00272F2D" w:rsidRPr="00F45464">
        <w:rPr>
          <w:i/>
        </w:rPr>
        <w:t>p</w:t>
      </w:r>
      <w:r w:rsidR="00272F2D" w:rsidRPr="00F45464">
        <w:t xml:space="preserve"> &lt; 0.001). </w:t>
      </w:r>
      <w:r w:rsidR="005C68AF" w:rsidRPr="00F45464">
        <w:t xml:space="preserve">A Tukey post-hoc test revealed that it is particularly syntactic independence that differs from the other two levels (i.e., </w:t>
      </w:r>
      <w:r w:rsidR="005C68AF" w:rsidRPr="00F45464">
        <w:rPr>
          <w:i/>
        </w:rPr>
        <w:t>p</w:t>
      </w:r>
      <w:r w:rsidR="005C68AF" w:rsidRPr="00F45464">
        <w:t xml:space="preserve"> &lt; 0.001 </w:t>
      </w:r>
      <w:r w:rsidR="00BB2B28">
        <w:t xml:space="preserve">for strong dependence vs. independence and </w:t>
      </w:r>
      <w:r w:rsidR="00BB2B28">
        <w:rPr>
          <w:i/>
        </w:rPr>
        <w:t>p</w:t>
      </w:r>
      <w:r w:rsidR="00BB2B28">
        <w:t xml:space="preserve"> = 0.002 for weak dependence vs. indepen</w:t>
      </w:r>
      <w:r w:rsidR="00E12C4F">
        <w:t>d</w:t>
      </w:r>
      <w:r w:rsidR="00BB2B28">
        <w:t>ence</w:t>
      </w:r>
      <w:r w:rsidR="005C68AF" w:rsidRPr="00F45464">
        <w:t>), while between strong and weak dependence no significant difference is found (</w:t>
      </w:r>
      <w:r w:rsidR="005C68AF" w:rsidRPr="00F45464">
        <w:rPr>
          <w:i/>
        </w:rPr>
        <w:t>p</w:t>
      </w:r>
      <w:r w:rsidR="00E701F3">
        <w:t>=</w:t>
      </w:r>
      <w:r w:rsidR="005C68AF" w:rsidRPr="00F45464">
        <w:t>0.</w:t>
      </w:r>
      <w:r w:rsidR="00BB2B28">
        <w:t>60</w:t>
      </w:r>
      <w:r w:rsidR="005C68AF" w:rsidRPr="00F45464">
        <w:t>)</w:t>
      </w:r>
      <w:r w:rsidR="00294D62">
        <w:t>)</w:t>
      </w:r>
      <w:r w:rsidR="005C68AF" w:rsidRPr="00F45464">
        <w:t>.</w:t>
      </w:r>
    </w:p>
    <w:p w14:paraId="53C8A556" w14:textId="4DE17EF8" w:rsidR="001841D8" w:rsidRPr="005C68AF" w:rsidRDefault="001841D8" w:rsidP="000E3A98">
      <w:pPr>
        <w:tabs>
          <w:tab w:val="left" w:pos="567"/>
        </w:tabs>
        <w:jc w:val="both"/>
      </w:pPr>
      <w:r>
        <w:tab/>
        <w:t xml:space="preserve">Similarly, for the </w:t>
      </w:r>
      <w:r w:rsidR="00227548">
        <w:t>semantic-pragmatic</w:t>
      </w:r>
      <w:r>
        <w:t xml:space="preserve"> function of the HM clauses, </w:t>
      </w:r>
      <w:r w:rsidR="00AC6E56">
        <w:t xml:space="preserve">one-way </w:t>
      </w:r>
      <w:r w:rsidR="007358EF">
        <w:t>ANOVAs suggested there was no significant variation for the English data (</w:t>
      </w:r>
      <w:r w:rsidR="007358EF">
        <w:rPr>
          <w:i/>
        </w:rPr>
        <w:t>F</w:t>
      </w:r>
      <w:r w:rsidR="00AC6E56">
        <w:t xml:space="preserve">(3, </w:t>
      </w:r>
      <w:r w:rsidR="000D00E8">
        <w:t>65</w:t>
      </w:r>
      <w:r w:rsidR="00E701F3">
        <w:t>)=</w:t>
      </w:r>
      <w:r w:rsidR="000D00E8">
        <w:t>1.0</w:t>
      </w:r>
      <w:r w:rsidR="00785746">
        <w:t>39</w:t>
      </w:r>
      <w:r w:rsidR="007358EF">
        <w:t xml:space="preserve">, </w:t>
      </w:r>
      <w:r w:rsidR="007358EF">
        <w:rPr>
          <w:i/>
        </w:rPr>
        <w:t>p</w:t>
      </w:r>
      <w:r w:rsidR="00E701F3">
        <w:rPr>
          <w:i/>
        </w:rPr>
        <w:t>=</w:t>
      </w:r>
      <w:r w:rsidR="007358EF">
        <w:t>0.</w:t>
      </w:r>
      <w:r w:rsidR="000D00E8">
        <w:t>3</w:t>
      </w:r>
      <w:r w:rsidR="00785746">
        <w:t>81</w:t>
      </w:r>
      <w:r w:rsidR="007358EF">
        <w:t xml:space="preserve">), whereas the Dutch data did yield a </w:t>
      </w:r>
      <w:r w:rsidR="00165602">
        <w:t>significant result</w:t>
      </w:r>
      <w:r w:rsidR="007358EF">
        <w:t xml:space="preserve"> (</w:t>
      </w:r>
      <w:r w:rsidR="007358EF">
        <w:rPr>
          <w:i/>
        </w:rPr>
        <w:t>F</w:t>
      </w:r>
      <w:r w:rsidR="00AC6E56">
        <w:t xml:space="preserve">(3, </w:t>
      </w:r>
      <w:r w:rsidR="009A5BF7">
        <w:t>139</w:t>
      </w:r>
      <w:r w:rsidR="00E701F3">
        <w:t>)=</w:t>
      </w:r>
      <w:r w:rsidR="009A5BF7">
        <w:t>5.417</w:t>
      </w:r>
      <w:r w:rsidR="007358EF">
        <w:t xml:space="preserve">, </w:t>
      </w:r>
      <w:r w:rsidR="007358EF">
        <w:rPr>
          <w:i/>
        </w:rPr>
        <w:t>p</w:t>
      </w:r>
      <w:r w:rsidR="007358EF">
        <w:t xml:space="preserve"> </w:t>
      </w:r>
      <w:r w:rsidR="009A5BF7">
        <w:t>=</w:t>
      </w:r>
      <w:r w:rsidR="007358EF">
        <w:t xml:space="preserve"> 0.001) (</w:t>
      </w:r>
      <w:r w:rsidR="007358EF">
        <w:fldChar w:fldCharType="begin"/>
      </w:r>
      <w:r w:rsidR="007358EF">
        <w:instrText xml:space="preserve"> REF _Ref129098328 \h </w:instrText>
      </w:r>
      <w:r w:rsidR="007358EF">
        <w:fldChar w:fldCharType="separate"/>
      </w:r>
      <w:r w:rsidR="008B649D" w:rsidRPr="00A52A16">
        <w:t xml:space="preserve">Table </w:t>
      </w:r>
      <w:r w:rsidR="008B649D">
        <w:rPr>
          <w:noProof/>
        </w:rPr>
        <w:t>6</w:t>
      </w:r>
      <w:r w:rsidR="007358EF">
        <w:fldChar w:fldCharType="end"/>
      </w:r>
      <w:r w:rsidR="007358EF">
        <w:t>).</w:t>
      </w:r>
    </w:p>
    <w:p w14:paraId="00F1B269" w14:textId="77777777" w:rsidR="005C68AF" w:rsidRPr="00A52A16" w:rsidRDefault="005C68AF" w:rsidP="000E3A98">
      <w:pPr>
        <w:tabs>
          <w:tab w:val="left" w:pos="567"/>
        </w:tabs>
      </w:pPr>
    </w:p>
    <w:p w14:paraId="77088137" w14:textId="74B4A2CC" w:rsidR="00E56A84" w:rsidRPr="00A52A16" w:rsidRDefault="00E56A84" w:rsidP="00E56A84">
      <w:pPr>
        <w:pStyle w:val="Caption"/>
        <w:rPr>
          <w:b w:val="0"/>
        </w:rPr>
      </w:pPr>
      <w:bookmarkStart w:id="42" w:name="_Ref129098328"/>
      <w:r w:rsidRPr="00A52A16">
        <w:t xml:space="preserve">Table </w:t>
      </w:r>
      <w:r w:rsidRPr="00A52A16">
        <w:fldChar w:fldCharType="begin"/>
      </w:r>
      <w:r w:rsidRPr="00A52A16">
        <w:instrText xml:space="preserve"> SEQ Table \* ARABIC </w:instrText>
      </w:r>
      <w:r w:rsidRPr="00A52A16">
        <w:fldChar w:fldCharType="separate"/>
      </w:r>
      <w:r w:rsidR="008B649D">
        <w:rPr>
          <w:noProof/>
        </w:rPr>
        <w:t>6</w:t>
      </w:r>
      <w:r w:rsidRPr="00A52A16">
        <w:fldChar w:fldCharType="end"/>
      </w:r>
      <w:bookmarkEnd w:id="42"/>
      <w:r w:rsidRPr="00A52A16">
        <w:t>.</w:t>
      </w:r>
      <w:r w:rsidR="00E05EAA">
        <w:t xml:space="preserve"> </w:t>
      </w:r>
      <w:r w:rsidR="00E05EAA">
        <w:rPr>
          <w:b w:val="0"/>
          <w:bCs/>
        </w:rPr>
        <w:t xml:space="preserve">Average </w:t>
      </w:r>
      <w:r w:rsidR="00A4614C" w:rsidRPr="00A52A16">
        <w:rPr>
          <w:b w:val="0"/>
        </w:rPr>
        <w:t>difference</w:t>
      </w:r>
      <w:r w:rsidR="00E05EAA">
        <w:rPr>
          <w:b w:val="0"/>
        </w:rPr>
        <w:t xml:space="preserve"> in pitch level</w:t>
      </w:r>
      <w:r w:rsidR="00A4614C" w:rsidRPr="00A52A16">
        <w:rPr>
          <w:b w:val="0"/>
        </w:rPr>
        <w:t xml:space="preserve"> </w:t>
      </w:r>
      <w:r w:rsidR="002D447E">
        <w:rPr>
          <w:b w:val="0"/>
        </w:rPr>
        <w:t>in semitones</w:t>
      </w:r>
      <w:r w:rsidR="002D447E" w:rsidRPr="00A52A16">
        <w:rPr>
          <w:b w:val="0"/>
        </w:rPr>
        <w:t xml:space="preserve"> </w:t>
      </w:r>
      <w:r w:rsidR="00A4614C" w:rsidRPr="00A52A16">
        <w:rPr>
          <w:b w:val="0"/>
        </w:rPr>
        <w:t xml:space="preserve">between onset </w:t>
      </w:r>
      <w:r w:rsidR="005B7D15">
        <w:rPr>
          <w:b w:val="0"/>
        </w:rPr>
        <w:t>of HM clause</w:t>
      </w:r>
      <w:r w:rsidR="00A4614C" w:rsidRPr="00A52A16">
        <w:rPr>
          <w:b w:val="0"/>
        </w:rPr>
        <w:t xml:space="preserve"> and end of previous IU</w:t>
      </w:r>
      <w:r w:rsidR="005B7D15">
        <w:rPr>
          <w:b w:val="0"/>
        </w:rPr>
        <w:t xml:space="preserve"> per </w:t>
      </w:r>
      <w:r w:rsidR="00227548">
        <w:rPr>
          <w:b w:val="0"/>
        </w:rPr>
        <w:t>semantic-pragmatic</w:t>
      </w:r>
      <w:r w:rsidR="005B7D15">
        <w:rPr>
          <w:b w:val="0"/>
        </w:rPr>
        <w:t xml:space="preserve"> function</w:t>
      </w:r>
    </w:p>
    <w:tbl>
      <w:tblPr>
        <w:tblStyle w:val="TableGrid"/>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134"/>
        <w:gridCol w:w="2126"/>
        <w:gridCol w:w="1134"/>
        <w:gridCol w:w="2126"/>
      </w:tblGrid>
      <w:tr w:rsidR="00947E46" w:rsidRPr="00A52A16" w14:paraId="6DF097E2" w14:textId="77777777" w:rsidTr="00D303E7">
        <w:trPr>
          <w:trHeight w:val="414"/>
        </w:trPr>
        <w:tc>
          <w:tcPr>
            <w:tcW w:w="2552" w:type="dxa"/>
            <w:tcBorders>
              <w:top w:val="single" w:sz="4" w:space="0" w:color="auto"/>
              <w:bottom w:val="single" w:sz="4" w:space="0" w:color="auto"/>
            </w:tcBorders>
          </w:tcPr>
          <w:p w14:paraId="1C521FC2" w14:textId="77777777" w:rsidR="00947E46" w:rsidRPr="00A52A16" w:rsidRDefault="00947E46" w:rsidP="00A4614C"/>
        </w:tc>
        <w:tc>
          <w:tcPr>
            <w:tcW w:w="3260" w:type="dxa"/>
            <w:gridSpan w:val="2"/>
            <w:tcBorders>
              <w:top w:val="single" w:sz="4" w:space="0" w:color="auto"/>
              <w:bottom w:val="single" w:sz="4" w:space="0" w:color="auto"/>
            </w:tcBorders>
            <w:vAlign w:val="center"/>
          </w:tcPr>
          <w:p w14:paraId="159903DC" w14:textId="76C4581E" w:rsidR="00947E46" w:rsidRPr="00A52A16" w:rsidRDefault="00947E46" w:rsidP="00017A3C">
            <w:pPr>
              <w:jc w:val="center"/>
            </w:pPr>
            <w:r w:rsidRPr="00A52A16">
              <w:t>English</w:t>
            </w:r>
            <w:r w:rsidR="004712B9">
              <w:t xml:space="preserve"> (n=</w:t>
            </w:r>
            <w:r w:rsidR="00BB2B28">
              <w:t>69</w:t>
            </w:r>
            <w:r w:rsidR="004712B9">
              <w:t>)</w:t>
            </w:r>
          </w:p>
        </w:tc>
        <w:tc>
          <w:tcPr>
            <w:tcW w:w="3260" w:type="dxa"/>
            <w:gridSpan w:val="2"/>
            <w:tcBorders>
              <w:top w:val="single" w:sz="4" w:space="0" w:color="auto"/>
              <w:bottom w:val="single" w:sz="4" w:space="0" w:color="auto"/>
            </w:tcBorders>
            <w:vAlign w:val="center"/>
          </w:tcPr>
          <w:p w14:paraId="2A35D31C" w14:textId="65756EEE" w:rsidR="00947E46" w:rsidRPr="00A52A16" w:rsidRDefault="00947E46" w:rsidP="00017A3C">
            <w:pPr>
              <w:jc w:val="center"/>
            </w:pPr>
            <w:r w:rsidRPr="00A52A16">
              <w:t>Dutch</w:t>
            </w:r>
            <w:r w:rsidR="004712B9">
              <w:t xml:space="preserve"> (n=</w:t>
            </w:r>
            <w:r w:rsidR="00BB2B28">
              <w:t>143</w:t>
            </w:r>
            <w:r w:rsidR="004712B9">
              <w:t>)</w:t>
            </w:r>
          </w:p>
        </w:tc>
      </w:tr>
      <w:tr w:rsidR="00947E46" w:rsidRPr="00A52A16" w14:paraId="52FE3BA0" w14:textId="77777777" w:rsidTr="00D303E7">
        <w:trPr>
          <w:trHeight w:val="414"/>
        </w:trPr>
        <w:tc>
          <w:tcPr>
            <w:tcW w:w="2552" w:type="dxa"/>
            <w:tcBorders>
              <w:top w:val="single" w:sz="4" w:space="0" w:color="auto"/>
            </w:tcBorders>
            <w:vAlign w:val="center"/>
          </w:tcPr>
          <w:p w14:paraId="41FFBA94" w14:textId="4FD59284" w:rsidR="00947E46" w:rsidRPr="00A52A16" w:rsidRDefault="00A402AE" w:rsidP="00D303E7">
            <w:pPr>
              <w:ind w:left="-108"/>
            </w:pPr>
            <w:r>
              <w:t>Manner</w:t>
            </w:r>
          </w:p>
        </w:tc>
        <w:tc>
          <w:tcPr>
            <w:tcW w:w="1134" w:type="dxa"/>
            <w:tcBorders>
              <w:top w:val="single" w:sz="4" w:space="0" w:color="auto"/>
            </w:tcBorders>
            <w:vAlign w:val="center"/>
          </w:tcPr>
          <w:p w14:paraId="0AA594D0" w14:textId="4C4C3F6F" w:rsidR="00947E46" w:rsidRPr="00D303E7" w:rsidRDefault="00AB4691" w:rsidP="00017A3C">
            <w:pPr>
              <w:jc w:val="right"/>
              <w:rPr>
                <w:b/>
              </w:rPr>
            </w:pPr>
            <w:r w:rsidRPr="00D303E7">
              <w:rPr>
                <w:b/>
              </w:rPr>
              <w:t>1.</w:t>
            </w:r>
            <w:r w:rsidR="003A2C04">
              <w:rPr>
                <w:b/>
              </w:rPr>
              <w:t>2</w:t>
            </w:r>
            <w:r w:rsidR="00517499">
              <w:rPr>
                <w:b/>
              </w:rPr>
              <w:t>8</w:t>
            </w:r>
          </w:p>
        </w:tc>
        <w:tc>
          <w:tcPr>
            <w:tcW w:w="2126" w:type="dxa"/>
            <w:tcBorders>
              <w:top w:val="single" w:sz="4" w:space="0" w:color="auto"/>
            </w:tcBorders>
            <w:vAlign w:val="center"/>
          </w:tcPr>
          <w:p w14:paraId="0D4AA943" w14:textId="0A3DECAA" w:rsidR="00947E46" w:rsidRPr="00A52A16" w:rsidRDefault="00947E46" w:rsidP="00017A3C">
            <w:r w:rsidRPr="00A52A16">
              <w:t>(</w:t>
            </w:r>
            <w:r w:rsidR="00400DA2">
              <w:t>sd=</w:t>
            </w:r>
            <w:r w:rsidR="00E701F3">
              <w:t>3.</w:t>
            </w:r>
            <w:r w:rsidR="00517499">
              <w:t>62</w:t>
            </w:r>
            <w:r w:rsidR="00E701F3">
              <w:t>,</w:t>
            </w:r>
            <w:r w:rsidR="00400DA2">
              <w:t xml:space="preserve"> </w:t>
            </w:r>
            <w:r w:rsidR="00D82FD7">
              <w:t>n</w:t>
            </w:r>
            <w:r w:rsidRPr="00A52A16">
              <w:t>=</w:t>
            </w:r>
            <w:r w:rsidR="00517499">
              <w:t>29</w:t>
            </w:r>
            <w:r w:rsidRPr="00A52A16">
              <w:t>)</w:t>
            </w:r>
          </w:p>
        </w:tc>
        <w:tc>
          <w:tcPr>
            <w:tcW w:w="1134" w:type="dxa"/>
            <w:tcBorders>
              <w:top w:val="single" w:sz="4" w:space="0" w:color="auto"/>
            </w:tcBorders>
            <w:vAlign w:val="center"/>
          </w:tcPr>
          <w:p w14:paraId="044C1D93" w14:textId="4F0D8341" w:rsidR="00947E46" w:rsidRPr="00D303E7" w:rsidRDefault="00A402AE" w:rsidP="00017A3C">
            <w:pPr>
              <w:jc w:val="right"/>
              <w:rPr>
                <w:b/>
              </w:rPr>
            </w:pPr>
            <w:r w:rsidRPr="00D303E7">
              <w:rPr>
                <w:b/>
              </w:rPr>
              <w:t>-0.</w:t>
            </w:r>
            <w:r w:rsidR="00BB2B28">
              <w:rPr>
                <w:b/>
              </w:rPr>
              <w:t>10</w:t>
            </w:r>
          </w:p>
        </w:tc>
        <w:tc>
          <w:tcPr>
            <w:tcW w:w="2126" w:type="dxa"/>
            <w:tcBorders>
              <w:top w:val="single" w:sz="4" w:space="0" w:color="auto"/>
            </w:tcBorders>
            <w:vAlign w:val="center"/>
          </w:tcPr>
          <w:p w14:paraId="771746A6" w14:textId="07C325FD" w:rsidR="00947E46" w:rsidRPr="00A52A16" w:rsidRDefault="00520183" w:rsidP="005D22EB">
            <w:r w:rsidRPr="00A52A16">
              <w:t>(</w:t>
            </w:r>
            <w:r w:rsidR="00E701F3">
              <w:t>sd=</w:t>
            </w:r>
            <w:r w:rsidR="00BB2B28">
              <w:t>5.28</w:t>
            </w:r>
            <w:r w:rsidR="00E701F3">
              <w:t xml:space="preserve">, </w:t>
            </w:r>
            <w:r w:rsidR="00D82FD7">
              <w:t>n</w:t>
            </w:r>
            <w:r w:rsidRPr="00A52A16">
              <w:t>=</w:t>
            </w:r>
            <w:r w:rsidR="00BB2B28">
              <w:t>29</w:t>
            </w:r>
            <w:r w:rsidRPr="00A52A16">
              <w:t>)</w:t>
            </w:r>
          </w:p>
        </w:tc>
      </w:tr>
      <w:tr w:rsidR="00947E46" w:rsidRPr="00A52A16" w14:paraId="6E8E0F67" w14:textId="77777777" w:rsidTr="00D303E7">
        <w:trPr>
          <w:trHeight w:val="414"/>
        </w:trPr>
        <w:tc>
          <w:tcPr>
            <w:tcW w:w="2552" w:type="dxa"/>
            <w:vAlign w:val="center"/>
          </w:tcPr>
          <w:p w14:paraId="7E42438F" w14:textId="28E449AC" w:rsidR="00947E46" w:rsidRPr="00A52A16" w:rsidRDefault="00C960EF" w:rsidP="00D303E7">
            <w:pPr>
              <w:ind w:left="-108"/>
            </w:pPr>
            <w:r>
              <w:t>Qualification</w:t>
            </w:r>
          </w:p>
        </w:tc>
        <w:tc>
          <w:tcPr>
            <w:tcW w:w="1134" w:type="dxa"/>
            <w:vAlign w:val="center"/>
          </w:tcPr>
          <w:p w14:paraId="4F26CE5E" w14:textId="04ACE890" w:rsidR="00947E46" w:rsidRPr="00D303E7" w:rsidRDefault="003A2C04" w:rsidP="00017A3C">
            <w:pPr>
              <w:jc w:val="right"/>
              <w:rPr>
                <w:b/>
              </w:rPr>
            </w:pPr>
            <w:r>
              <w:rPr>
                <w:b/>
              </w:rPr>
              <w:t>0.9</w:t>
            </w:r>
            <w:r w:rsidR="00517499">
              <w:rPr>
                <w:b/>
              </w:rPr>
              <w:t>2</w:t>
            </w:r>
          </w:p>
        </w:tc>
        <w:tc>
          <w:tcPr>
            <w:tcW w:w="2126" w:type="dxa"/>
            <w:vAlign w:val="center"/>
          </w:tcPr>
          <w:p w14:paraId="1EC7CB16" w14:textId="79133FF7" w:rsidR="00947E46" w:rsidRPr="00A52A16" w:rsidRDefault="00947E46" w:rsidP="00017A3C">
            <w:r w:rsidRPr="00A52A16">
              <w:t>(</w:t>
            </w:r>
            <w:r w:rsidR="00E701F3">
              <w:t>sd=</w:t>
            </w:r>
            <w:r w:rsidR="00517499">
              <w:t>4.96</w:t>
            </w:r>
            <w:r w:rsidR="00E701F3">
              <w:t xml:space="preserve">, </w:t>
            </w:r>
            <w:r w:rsidR="00D82FD7">
              <w:t>n</w:t>
            </w:r>
            <w:r w:rsidRPr="00A52A16">
              <w:t>=</w:t>
            </w:r>
            <w:r w:rsidR="00BB2B28">
              <w:t>1</w:t>
            </w:r>
            <w:r w:rsidR="00517499">
              <w:t>8</w:t>
            </w:r>
            <w:r w:rsidRPr="00A52A16">
              <w:t>)</w:t>
            </w:r>
          </w:p>
        </w:tc>
        <w:tc>
          <w:tcPr>
            <w:tcW w:w="1134" w:type="dxa"/>
            <w:vAlign w:val="center"/>
          </w:tcPr>
          <w:p w14:paraId="71C6C3C9" w14:textId="39C40D98" w:rsidR="00947E46" w:rsidRPr="00D303E7" w:rsidRDefault="00BB2B28" w:rsidP="00017A3C">
            <w:pPr>
              <w:jc w:val="right"/>
              <w:rPr>
                <w:b/>
              </w:rPr>
            </w:pPr>
            <w:r>
              <w:rPr>
                <w:b/>
              </w:rPr>
              <w:t>3.04</w:t>
            </w:r>
          </w:p>
        </w:tc>
        <w:tc>
          <w:tcPr>
            <w:tcW w:w="2126" w:type="dxa"/>
            <w:vAlign w:val="center"/>
          </w:tcPr>
          <w:p w14:paraId="7151EA15" w14:textId="219DD1CE" w:rsidR="00947E46" w:rsidRPr="00A52A16" w:rsidRDefault="00520183" w:rsidP="005D22EB">
            <w:r w:rsidRPr="00A52A16">
              <w:t>(</w:t>
            </w:r>
            <w:r w:rsidR="00E701F3">
              <w:t>sd=4.</w:t>
            </w:r>
            <w:r w:rsidR="00BB2B28">
              <w:t>58</w:t>
            </w:r>
            <w:r w:rsidR="00E701F3">
              <w:t xml:space="preserve">, </w:t>
            </w:r>
            <w:r w:rsidR="00D82FD7">
              <w:t>n</w:t>
            </w:r>
            <w:r w:rsidRPr="00A52A16">
              <w:t>=</w:t>
            </w:r>
            <w:r w:rsidR="00BB2B28">
              <w:t>42</w:t>
            </w:r>
            <w:r w:rsidRPr="00A52A16">
              <w:t>)</w:t>
            </w:r>
          </w:p>
        </w:tc>
      </w:tr>
      <w:tr w:rsidR="00947E46" w:rsidRPr="00A52A16" w14:paraId="7855641E" w14:textId="77777777" w:rsidTr="00D303E7">
        <w:trPr>
          <w:trHeight w:val="414"/>
        </w:trPr>
        <w:tc>
          <w:tcPr>
            <w:tcW w:w="2552" w:type="dxa"/>
            <w:vAlign w:val="center"/>
          </w:tcPr>
          <w:p w14:paraId="5AF1D249" w14:textId="39C8BBC2" w:rsidR="00947E46" w:rsidRPr="00A52A16" w:rsidRDefault="000C619F" w:rsidP="00D303E7">
            <w:pPr>
              <w:ind w:left="-108"/>
            </w:pPr>
            <w:r>
              <w:t>Cause</w:t>
            </w:r>
          </w:p>
        </w:tc>
        <w:tc>
          <w:tcPr>
            <w:tcW w:w="1134" w:type="dxa"/>
            <w:vAlign w:val="center"/>
          </w:tcPr>
          <w:p w14:paraId="0A1D1BB5" w14:textId="652210D9" w:rsidR="00947E46" w:rsidRPr="00D303E7" w:rsidRDefault="003A2C04" w:rsidP="00017A3C">
            <w:pPr>
              <w:jc w:val="right"/>
              <w:rPr>
                <w:b/>
              </w:rPr>
            </w:pPr>
            <w:r>
              <w:rPr>
                <w:b/>
              </w:rPr>
              <w:t>2.73</w:t>
            </w:r>
          </w:p>
        </w:tc>
        <w:tc>
          <w:tcPr>
            <w:tcW w:w="2126" w:type="dxa"/>
            <w:vAlign w:val="center"/>
          </w:tcPr>
          <w:p w14:paraId="19BC926C" w14:textId="4C5A7433" w:rsidR="00947E46" w:rsidRPr="00A52A16" w:rsidRDefault="00947E46" w:rsidP="00017A3C">
            <w:r w:rsidRPr="00A52A16">
              <w:t>(</w:t>
            </w:r>
            <w:r w:rsidR="00E701F3">
              <w:t>sd=6.</w:t>
            </w:r>
            <w:r w:rsidR="000D00E8">
              <w:t>64</w:t>
            </w:r>
            <w:r w:rsidR="00E701F3">
              <w:t xml:space="preserve">, </w:t>
            </w:r>
            <w:r w:rsidR="00D82FD7">
              <w:t>n</w:t>
            </w:r>
            <w:r w:rsidRPr="00A52A16">
              <w:t>=</w:t>
            </w:r>
            <w:r w:rsidR="00A402AE">
              <w:t>1</w:t>
            </w:r>
            <w:r w:rsidR="00BB2B28">
              <w:t>3</w:t>
            </w:r>
            <w:r w:rsidRPr="00A52A16">
              <w:t>)</w:t>
            </w:r>
          </w:p>
        </w:tc>
        <w:tc>
          <w:tcPr>
            <w:tcW w:w="1134" w:type="dxa"/>
            <w:vAlign w:val="center"/>
          </w:tcPr>
          <w:p w14:paraId="7249FE64" w14:textId="137B329D" w:rsidR="00947E46" w:rsidRPr="00D303E7" w:rsidRDefault="00A402AE" w:rsidP="00017A3C">
            <w:pPr>
              <w:jc w:val="right"/>
              <w:rPr>
                <w:b/>
              </w:rPr>
            </w:pPr>
            <w:r w:rsidRPr="00D303E7">
              <w:rPr>
                <w:b/>
              </w:rPr>
              <w:t>0.</w:t>
            </w:r>
            <w:r w:rsidR="00BB2B28">
              <w:rPr>
                <w:b/>
              </w:rPr>
              <w:t>87</w:t>
            </w:r>
          </w:p>
        </w:tc>
        <w:tc>
          <w:tcPr>
            <w:tcW w:w="2126" w:type="dxa"/>
            <w:vAlign w:val="center"/>
          </w:tcPr>
          <w:p w14:paraId="1BB13545" w14:textId="132A7C39" w:rsidR="00947E46" w:rsidRPr="00A52A16" w:rsidRDefault="00E701F3" w:rsidP="005D22EB">
            <w:r>
              <w:t>(sd=3.3</w:t>
            </w:r>
            <w:r w:rsidR="00BB2B28">
              <w:t>9</w:t>
            </w:r>
            <w:r>
              <w:t xml:space="preserve">, </w:t>
            </w:r>
            <w:r w:rsidR="00D82FD7">
              <w:t>n</w:t>
            </w:r>
            <w:r w:rsidR="00520183" w:rsidRPr="00A52A16">
              <w:t>=</w:t>
            </w:r>
            <w:r w:rsidR="00BB2B28">
              <w:t>23</w:t>
            </w:r>
            <w:r w:rsidR="00520183" w:rsidRPr="00A52A16">
              <w:t>)</w:t>
            </w:r>
          </w:p>
        </w:tc>
      </w:tr>
      <w:tr w:rsidR="00947E46" w:rsidRPr="00A52A16" w14:paraId="7FE38A6B" w14:textId="77777777" w:rsidTr="00D303E7">
        <w:trPr>
          <w:trHeight w:val="414"/>
        </w:trPr>
        <w:tc>
          <w:tcPr>
            <w:tcW w:w="2552" w:type="dxa"/>
            <w:tcBorders>
              <w:bottom w:val="single" w:sz="4" w:space="0" w:color="auto"/>
            </w:tcBorders>
            <w:vAlign w:val="center"/>
          </w:tcPr>
          <w:p w14:paraId="7EEEBABF" w14:textId="7D384F50" w:rsidR="00947E46" w:rsidRPr="00A52A16" w:rsidRDefault="000C619F" w:rsidP="00D303E7">
            <w:pPr>
              <w:ind w:left="-108"/>
            </w:pPr>
            <w:r>
              <w:t>Denial of Assumption</w:t>
            </w:r>
          </w:p>
        </w:tc>
        <w:tc>
          <w:tcPr>
            <w:tcW w:w="1134" w:type="dxa"/>
            <w:tcBorders>
              <w:bottom w:val="single" w:sz="4" w:space="0" w:color="auto"/>
            </w:tcBorders>
            <w:vAlign w:val="center"/>
          </w:tcPr>
          <w:p w14:paraId="277F284D" w14:textId="090189EB" w:rsidR="00947E46" w:rsidRPr="00D303E7" w:rsidRDefault="00AB4691" w:rsidP="00017A3C">
            <w:pPr>
              <w:jc w:val="right"/>
              <w:rPr>
                <w:b/>
              </w:rPr>
            </w:pPr>
            <w:r w:rsidRPr="00D303E7">
              <w:rPr>
                <w:b/>
              </w:rPr>
              <w:t>3</w:t>
            </w:r>
            <w:r w:rsidR="00A402AE" w:rsidRPr="00D303E7">
              <w:rPr>
                <w:b/>
              </w:rPr>
              <w:t>.</w:t>
            </w:r>
            <w:r w:rsidR="00670FD5" w:rsidRPr="00D303E7">
              <w:rPr>
                <w:b/>
              </w:rPr>
              <w:t>86</w:t>
            </w:r>
          </w:p>
        </w:tc>
        <w:tc>
          <w:tcPr>
            <w:tcW w:w="2126" w:type="dxa"/>
            <w:tcBorders>
              <w:bottom w:val="single" w:sz="4" w:space="0" w:color="auto"/>
            </w:tcBorders>
            <w:vAlign w:val="center"/>
          </w:tcPr>
          <w:p w14:paraId="5439CFA3" w14:textId="32B90BEF" w:rsidR="00947E46" w:rsidRPr="00A52A16" w:rsidRDefault="00947E46" w:rsidP="00017A3C">
            <w:r w:rsidRPr="00A52A16">
              <w:t>(</w:t>
            </w:r>
            <w:r w:rsidR="00E701F3">
              <w:t xml:space="preserve">sd=4.65, </w:t>
            </w:r>
            <w:r w:rsidR="00D82FD7">
              <w:t>n</w:t>
            </w:r>
            <w:r w:rsidRPr="00A52A16">
              <w:t>=</w:t>
            </w:r>
            <w:r w:rsidR="00670FD5">
              <w:t>9</w:t>
            </w:r>
            <w:r w:rsidRPr="00A52A16">
              <w:t>)</w:t>
            </w:r>
          </w:p>
        </w:tc>
        <w:tc>
          <w:tcPr>
            <w:tcW w:w="1134" w:type="dxa"/>
            <w:tcBorders>
              <w:bottom w:val="single" w:sz="4" w:space="0" w:color="auto"/>
            </w:tcBorders>
            <w:vAlign w:val="center"/>
          </w:tcPr>
          <w:p w14:paraId="48DF8CDC" w14:textId="1784FA80" w:rsidR="00947E46" w:rsidRPr="00D303E7" w:rsidRDefault="00FC4F0C" w:rsidP="00017A3C">
            <w:pPr>
              <w:jc w:val="right"/>
              <w:rPr>
                <w:b/>
              </w:rPr>
            </w:pPr>
            <w:r w:rsidRPr="00D303E7">
              <w:rPr>
                <w:b/>
              </w:rPr>
              <w:t>3.75</w:t>
            </w:r>
          </w:p>
        </w:tc>
        <w:tc>
          <w:tcPr>
            <w:tcW w:w="2126" w:type="dxa"/>
            <w:tcBorders>
              <w:bottom w:val="single" w:sz="4" w:space="0" w:color="auto"/>
            </w:tcBorders>
            <w:vAlign w:val="center"/>
          </w:tcPr>
          <w:p w14:paraId="432BBC4C" w14:textId="6C22FF88" w:rsidR="00947E46" w:rsidRPr="00A52A16" w:rsidRDefault="00520183" w:rsidP="005D22EB">
            <w:r w:rsidRPr="00A52A16">
              <w:t>(</w:t>
            </w:r>
            <w:r w:rsidR="00E701F3">
              <w:t xml:space="preserve">sd=4.59, </w:t>
            </w:r>
            <w:r w:rsidR="00D82FD7">
              <w:t>n</w:t>
            </w:r>
            <w:r w:rsidRPr="00A52A16">
              <w:t>=</w:t>
            </w:r>
            <w:r w:rsidR="00FC4F0C">
              <w:t>49</w:t>
            </w:r>
            <w:r w:rsidRPr="00A52A16">
              <w:t>)</w:t>
            </w:r>
          </w:p>
        </w:tc>
      </w:tr>
    </w:tbl>
    <w:p w14:paraId="782F91B9" w14:textId="77777777" w:rsidR="00CA4E15" w:rsidRDefault="00CA4E15" w:rsidP="008A75B3">
      <w:pPr>
        <w:tabs>
          <w:tab w:val="left" w:pos="567"/>
        </w:tabs>
        <w:jc w:val="both"/>
      </w:pPr>
    </w:p>
    <w:p w14:paraId="6D4E27E4" w14:textId="7ABC6B82" w:rsidR="00CB3448" w:rsidRDefault="00B713B3" w:rsidP="00877179">
      <w:pPr>
        <w:tabs>
          <w:tab w:val="left" w:pos="567"/>
        </w:tabs>
        <w:jc w:val="both"/>
      </w:pPr>
      <w:r>
        <w:t>A</w:t>
      </w:r>
      <w:r w:rsidR="00A55108">
        <w:t xml:space="preserve">s we can see in </w:t>
      </w:r>
      <w:r w:rsidR="00A55108">
        <w:fldChar w:fldCharType="begin"/>
      </w:r>
      <w:r w:rsidR="00A55108">
        <w:instrText xml:space="preserve"> REF _Ref129098328 \h </w:instrText>
      </w:r>
      <w:r w:rsidR="00A55108">
        <w:fldChar w:fldCharType="separate"/>
      </w:r>
      <w:r w:rsidR="008912AA" w:rsidRPr="00A52A16">
        <w:t xml:space="preserve">Table </w:t>
      </w:r>
      <w:r w:rsidR="008912AA">
        <w:rPr>
          <w:noProof/>
        </w:rPr>
        <w:t>6</w:t>
      </w:r>
      <w:r w:rsidR="00A55108">
        <w:fldChar w:fldCharType="end"/>
      </w:r>
      <w:r w:rsidR="00A55108">
        <w:t xml:space="preserve">, there is a much higher pitch reset for the clauses expressing ‘denial of assumption’ than for the other functions in both English and Dutch. </w:t>
      </w:r>
      <w:r w:rsidR="00435211">
        <w:t xml:space="preserve">For the English data, the </w:t>
      </w:r>
      <w:r w:rsidR="00435211">
        <w:rPr>
          <w:i/>
        </w:rPr>
        <w:t>p</w:t>
      </w:r>
      <w:r w:rsidR="00435211">
        <w:t>-value for the ANOVA (</w:t>
      </w:r>
      <w:r w:rsidR="00435211">
        <w:rPr>
          <w:i/>
        </w:rPr>
        <w:t>p</w:t>
      </w:r>
      <w:r w:rsidR="00E701F3">
        <w:rPr>
          <w:i/>
        </w:rPr>
        <w:t>=</w:t>
      </w:r>
      <w:r w:rsidR="00435211">
        <w:t>0.</w:t>
      </w:r>
      <w:r w:rsidR="0096036B">
        <w:t>3</w:t>
      </w:r>
      <w:r w:rsidR="00517499">
        <w:t>81</w:t>
      </w:r>
      <w:r w:rsidR="00435211">
        <w:t xml:space="preserve">) </w:t>
      </w:r>
      <w:r w:rsidR="00435211" w:rsidRPr="00877179">
        <w:t>indicate</w:t>
      </w:r>
      <w:r w:rsidR="00FA5A49">
        <w:t>s</w:t>
      </w:r>
      <w:r w:rsidR="00435211">
        <w:t xml:space="preserve"> that it cannot be ruled out that the observed </w:t>
      </w:r>
      <w:r w:rsidR="00435211">
        <w:lastRenderedPageBreak/>
        <w:t xml:space="preserve">average pitch reset with ‘denial’ clauses is due to chance (given their low numbers, i.e., </w:t>
      </w:r>
      <w:r w:rsidR="00E701F3">
        <w:t>n=</w:t>
      </w:r>
      <w:r w:rsidR="00435211">
        <w:t>9). For Dutch, the results are more convincing: the significant results from the ANOVA are confirmed by a Tukey post-hoc test, which</w:t>
      </w:r>
      <w:r w:rsidR="001910C4" w:rsidRPr="00A52A16">
        <w:t xml:space="preserve"> found that the relevant differences are</w:t>
      </w:r>
      <w:r w:rsidR="008772A3">
        <w:t xml:space="preserve"> between the functions of manner, on the one hand, and </w:t>
      </w:r>
      <w:r w:rsidR="00C960EF">
        <w:t>qualification</w:t>
      </w:r>
      <w:r w:rsidR="008772A3">
        <w:t xml:space="preserve"> (</w:t>
      </w:r>
      <w:r w:rsidR="008772A3">
        <w:rPr>
          <w:i/>
        </w:rPr>
        <w:t>p</w:t>
      </w:r>
      <w:r w:rsidR="00E701F3">
        <w:t>=</w:t>
      </w:r>
      <w:r w:rsidR="008772A3">
        <w:t>0.0</w:t>
      </w:r>
      <w:r w:rsidR="0096036B">
        <w:t>26</w:t>
      </w:r>
      <w:r w:rsidR="008772A3">
        <w:t>) and denial of assumption (</w:t>
      </w:r>
      <w:r w:rsidR="008772A3">
        <w:rPr>
          <w:i/>
        </w:rPr>
        <w:t>p</w:t>
      </w:r>
      <w:r w:rsidR="0096036B">
        <w:t>=</w:t>
      </w:r>
      <w:r w:rsidR="008772A3">
        <w:t>0.00</w:t>
      </w:r>
      <w:r w:rsidR="0096036B">
        <w:t>3</w:t>
      </w:r>
      <w:r w:rsidR="008772A3">
        <w:t xml:space="preserve">), on the other hand. </w:t>
      </w:r>
      <w:r w:rsidR="0096036B">
        <w:t>Other one-to-one differences between the functions were not significant.</w:t>
      </w:r>
    </w:p>
    <w:p w14:paraId="4BAF3963" w14:textId="3F584BE4" w:rsidR="003A77EA" w:rsidRDefault="00CB3448" w:rsidP="00CB3448">
      <w:pPr>
        <w:tabs>
          <w:tab w:val="left" w:pos="567"/>
        </w:tabs>
        <w:jc w:val="both"/>
      </w:pPr>
      <w:r>
        <w:tab/>
      </w:r>
      <w:r w:rsidR="008D000F">
        <w:t>A</w:t>
      </w:r>
      <w:r>
        <w:t xml:space="preserve"> conditional inference tree </w:t>
      </w:r>
      <w:r w:rsidR="008D000F">
        <w:t xml:space="preserve">certifies, however, </w:t>
      </w:r>
      <w:r>
        <w:t xml:space="preserve">that only syntactic dependency status, but not </w:t>
      </w:r>
      <w:r w:rsidR="00227548">
        <w:t>semantic-pragmatic</w:t>
      </w:r>
      <w:r>
        <w:t xml:space="preserve"> function or language-specific differences, is a meaningful predictor of pitch reset (</w:t>
      </w:r>
      <w:r>
        <w:fldChar w:fldCharType="begin"/>
      </w:r>
      <w:r>
        <w:instrText xml:space="preserve"> REF _Ref134717515 \h </w:instrText>
      </w:r>
      <w:r>
        <w:fldChar w:fldCharType="separate"/>
      </w:r>
      <w:r w:rsidR="008912AA">
        <w:t xml:space="preserve">Figure </w:t>
      </w:r>
      <w:r w:rsidR="008912AA">
        <w:rPr>
          <w:noProof/>
        </w:rPr>
        <w:t>7</w:t>
      </w:r>
      <w:r>
        <w:fldChar w:fldCharType="end"/>
      </w:r>
      <w:r>
        <w:t xml:space="preserve">). </w:t>
      </w:r>
    </w:p>
    <w:p w14:paraId="786CB065" w14:textId="1AD1B4C8" w:rsidR="00CB3448" w:rsidRDefault="00CB3448" w:rsidP="00CB3448">
      <w:pPr>
        <w:tabs>
          <w:tab w:val="left" w:pos="567"/>
        </w:tabs>
        <w:jc w:val="both"/>
      </w:pPr>
    </w:p>
    <w:p w14:paraId="7A111EAA" w14:textId="56B3D933" w:rsidR="00DA3724" w:rsidRDefault="00DA3724" w:rsidP="00CB3448">
      <w:pPr>
        <w:tabs>
          <w:tab w:val="left" w:pos="567"/>
        </w:tabs>
        <w:jc w:val="both"/>
      </w:pPr>
      <w:r w:rsidRPr="00DA3724">
        <w:rPr>
          <w:noProof/>
        </w:rPr>
        <w:drawing>
          <wp:inline distT="0" distB="0" distL="0" distR="0" wp14:anchorId="4CA05F81" wp14:editId="7EF6790B">
            <wp:extent cx="5711825" cy="3824658"/>
            <wp:effectExtent l="12700" t="12700" r="15875" b="1079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6">
                      <a:extLst>
                        <a:ext uri="{28A0092B-C50C-407E-A947-70E740481C1C}">
                          <a14:useLocalDpi xmlns:a14="http://schemas.microsoft.com/office/drawing/2010/main" val="0"/>
                        </a:ext>
                      </a:extLst>
                    </a:blip>
                    <a:stretch>
                      <a:fillRect/>
                    </a:stretch>
                  </pic:blipFill>
                  <pic:spPr>
                    <a:xfrm>
                      <a:off x="0" y="0"/>
                      <a:ext cx="5719386" cy="3829721"/>
                    </a:xfrm>
                    <a:prstGeom prst="rect">
                      <a:avLst/>
                    </a:prstGeom>
                    <a:ln>
                      <a:solidFill>
                        <a:schemeClr val="tx1"/>
                      </a:solidFill>
                    </a:ln>
                  </pic:spPr>
                </pic:pic>
              </a:graphicData>
            </a:graphic>
          </wp:inline>
        </w:drawing>
      </w:r>
    </w:p>
    <w:p w14:paraId="322B3195" w14:textId="1AFCF81F" w:rsidR="00CB3448" w:rsidRDefault="00CB3448" w:rsidP="00EB4776">
      <w:pPr>
        <w:pStyle w:val="Caption"/>
        <w:spacing w:after="0"/>
        <w:jc w:val="both"/>
      </w:pPr>
      <w:bookmarkStart w:id="43" w:name="_Ref134717515"/>
      <w:r>
        <w:t xml:space="preserve">Figure </w:t>
      </w:r>
      <w:r>
        <w:fldChar w:fldCharType="begin"/>
      </w:r>
      <w:r>
        <w:instrText xml:space="preserve"> SEQ Figure \* ARABIC </w:instrText>
      </w:r>
      <w:r>
        <w:fldChar w:fldCharType="separate"/>
      </w:r>
      <w:r w:rsidR="008912AA">
        <w:rPr>
          <w:noProof/>
        </w:rPr>
        <w:t>7</w:t>
      </w:r>
      <w:r>
        <w:fldChar w:fldCharType="end"/>
      </w:r>
      <w:bookmarkEnd w:id="43"/>
      <w:r>
        <w:t xml:space="preserve">. </w:t>
      </w:r>
      <w:r>
        <w:rPr>
          <w:b w:val="0"/>
        </w:rPr>
        <w:t>Conditional inference tree for the difference in pitch level</w:t>
      </w:r>
      <w:r w:rsidR="00D07337">
        <w:rPr>
          <w:b w:val="0"/>
        </w:rPr>
        <w:t xml:space="preserve"> (in semitones)</w:t>
      </w:r>
    </w:p>
    <w:p w14:paraId="6056462C" w14:textId="77777777" w:rsidR="00744486" w:rsidRDefault="00744486" w:rsidP="005771AD">
      <w:pPr>
        <w:tabs>
          <w:tab w:val="left" w:pos="567"/>
        </w:tabs>
        <w:jc w:val="both"/>
      </w:pPr>
    </w:p>
    <w:p w14:paraId="25ED1A9A" w14:textId="68E3AFC6" w:rsidR="00E56A84" w:rsidRDefault="0098763B" w:rsidP="0098763B">
      <w:pPr>
        <w:jc w:val="both"/>
      </w:pPr>
      <w:r>
        <w:t xml:space="preserve">The </w:t>
      </w:r>
      <w:r w:rsidR="008D000F">
        <w:t xml:space="preserve">absence of semantic-pragmatic function in the conditional inference tree suggests </w:t>
      </w:r>
      <w:r>
        <w:t xml:space="preserve">that </w:t>
      </w:r>
      <w:r w:rsidR="008D000F">
        <w:t xml:space="preserve">its observed </w:t>
      </w:r>
      <w:r>
        <w:t>effect</w:t>
      </w:r>
      <w:r w:rsidR="008D000F">
        <w:t xml:space="preserve"> in Dutch</w:t>
      </w:r>
      <w:r>
        <w:t xml:space="preserve"> </w:t>
      </w:r>
      <w:r w:rsidR="00C82D6E">
        <w:t xml:space="preserve">(see Table </w:t>
      </w:r>
      <w:r w:rsidR="00580FE0">
        <w:t>6</w:t>
      </w:r>
      <w:r w:rsidR="00C82D6E">
        <w:t xml:space="preserve">) </w:t>
      </w:r>
      <w:r>
        <w:t xml:space="preserve">is </w:t>
      </w:r>
      <w:r w:rsidR="00534AED">
        <w:t>probably</w:t>
      </w:r>
      <w:r>
        <w:t xml:space="preserve"> due to its correlation with syntactic dependency status</w:t>
      </w:r>
      <w:r w:rsidR="008D000F">
        <w:t xml:space="preserve">. The model further indicates </w:t>
      </w:r>
      <w:r>
        <w:t>that the meaningful difference</w:t>
      </w:r>
      <w:r w:rsidR="008D000F">
        <w:t xml:space="preserve"> for syntactic dependency</w:t>
      </w:r>
      <w:r>
        <w:t xml:space="preserve"> is between independent vs. dependent clauses only. This is the case </w:t>
      </w:r>
      <w:r w:rsidR="000D7EDF">
        <w:t>across the two languages studied</w:t>
      </w:r>
      <w:r>
        <w:t>, with no meaningful differences found between English and Dutch.</w:t>
      </w:r>
    </w:p>
    <w:p w14:paraId="30572B54" w14:textId="77777777" w:rsidR="0098763B" w:rsidRDefault="0098763B" w:rsidP="00446752"/>
    <w:p w14:paraId="7266C88E" w14:textId="532AB57C" w:rsidR="006E64AF" w:rsidRDefault="006E64AF" w:rsidP="007C6429">
      <w:pPr>
        <w:pStyle w:val="Heading3"/>
      </w:pPr>
      <w:bookmarkStart w:id="44" w:name="_Ref134634972"/>
      <w:r>
        <w:lastRenderedPageBreak/>
        <w:t>Pauses</w:t>
      </w:r>
      <w:bookmarkEnd w:id="44"/>
    </w:p>
    <w:p w14:paraId="7678813E" w14:textId="08030D94" w:rsidR="006E64AF" w:rsidRDefault="006E64AF" w:rsidP="006E64AF"/>
    <w:p w14:paraId="2B8D60C5" w14:textId="6F2B0B79" w:rsidR="00803311" w:rsidRDefault="007C5A15" w:rsidP="00803311">
      <w:pPr>
        <w:tabs>
          <w:tab w:val="left" w:pos="567"/>
        </w:tabs>
        <w:jc w:val="both"/>
      </w:pPr>
      <w:r>
        <w:t xml:space="preserve">The </w:t>
      </w:r>
      <w:r w:rsidR="00714420">
        <w:t>third</w:t>
      </w:r>
      <w:r>
        <w:t xml:space="preserve"> factor of interest is the amount of time that passes between the beginning of the HM clause and the end of the previous clause (whether produced by the same or another speaker). In other words, is there a pause between the HM clause and the previous clause, and if so, what is the average length of the pause? </w:t>
      </w:r>
      <w:r w:rsidR="001567EE">
        <w:t>For simplicity, we will henceforth use the shorthand ‘pre-onset pausing’ when discussing this factor.</w:t>
      </w:r>
    </w:p>
    <w:p w14:paraId="0731411C" w14:textId="3B5DB927" w:rsidR="007C5A15" w:rsidRPr="00BC5487" w:rsidRDefault="00803311" w:rsidP="00803311">
      <w:pPr>
        <w:tabs>
          <w:tab w:val="left" w:pos="567"/>
        </w:tabs>
        <w:jc w:val="both"/>
      </w:pPr>
      <w:r>
        <w:tab/>
        <w:t xml:space="preserve">As shown in </w:t>
      </w:r>
      <w:r>
        <w:fldChar w:fldCharType="begin"/>
      </w:r>
      <w:r>
        <w:instrText xml:space="preserve"> REF _Ref132982042 \h </w:instrText>
      </w:r>
      <w:r>
        <w:fldChar w:fldCharType="separate"/>
      </w:r>
      <w:r w:rsidR="008912AA" w:rsidRPr="00A52A16">
        <w:t xml:space="preserve">Table </w:t>
      </w:r>
      <w:r w:rsidR="008912AA">
        <w:rPr>
          <w:noProof/>
        </w:rPr>
        <w:t>7</w:t>
      </w:r>
      <w:r>
        <w:fldChar w:fldCharType="end"/>
      </w:r>
      <w:r>
        <w:t xml:space="preserve">, in both English and Dutch, average </w:t>
      </w:r>
      <w:r w:rsidR="001567EE">
        <w:t>pre-onset pausing</w:t>
      </w:r>
      <w:r>
        <w:t xml:space="preserve"> increases as the level of syntactic dependence decreases. </w:t>
      </w:r>
      <w:r w:rsidR="007038B7">
        <w:t>One-way</w:t>
      </w:r>
      <w:r>
        <w:t xml:space="preserve"> ANOVA</w:t>
      </w:r>
      <w:r w:rsidR="007038B7">
        <w:t>s</w:t>
      </w:r>
      <w:r>
        <w:t xml:space="preserve"> for each language revealed that the variation in the length of the pauses </w:t>
      </w:r>
      <w:r w:rsidR="00827737">
        <w:t xml:space="preserve">(in ms) </w:t>
      </w:r>
      <w:r>
        <w:t xml:space="preserve">is significant in both English </w:t>
      </w:r>
      <w:r w:rsidR="00BC5487">
        <w:t>(</w:t>
      </w:r>
      <w:proofErr w:type="gramStart"/>
      <w:r w:rsidR="00BC5487">
        <w:rPr>
          <w:i/>
        </w:rPr>
        <w:t>F</w:t>
      </w:r>
      <w:r w:rsidR="00EE62ED">
        <w:t>(</w:t>
      </w:r>
      <w:proofErr w:type="gramEnd"/>
      <w:r w:rsidR="00EE62ED">
        <w:t>2, 153</w:t>
      </w:r>
      <w:r w:rsidR="00E701F3">
        <w:t>)=</w:t>
      </w:r>
      <w:r w:rsidR="002E0F29">
        <w:t>1</w:t>
      </w:r>
      <w:r w:rsidR="001A53F2">
        <w:t>4.46</w:t>
      </w:r>
      <w:r w:rsidR="00BC5487">
        <w:t xml:space="preserve">, </w:t>
      </w:r>
      <w:r w:rsidR="00BC5487">
        <w:rPr>
          <w:i/>
        </w:rPr>
        <w:t>p</w:t>
      </w:r>
      <w:r w:rsidR="00BC5487">
        <w:t xml:space="preserve"> &lt; 0.001)</w:t>
      </w:r>
      <w:r>
        <w:t xml:space="preserve"> and Dutch (</w:t>
      </w:r>
      <w:r>
        <w:rPr>
          <w:i/>
        </w:rPr>
        <w:t>F</w:t>
      </w:r>
      <w:r w:rsidR="00EE62ED">
        <w:t>(2, 244)</w:t>
      </w:r>
      <w:r>
        <w:t>=</w:t>
      </w:r>
      <w:r w:rsidR="00867D99">
        <w:t>4</w:t>
      </w:r>
      <w:r w:rsidR="007038B7">
        <w:t>7.</w:t>
      </w:r>
      <w:r w:rsidR="002E0F29">
        <w:t>08</w:t>
      </w:r>
      <w:r w:rsidR="007038B7">
        <w:t xml:space="preserve">, </w:t>
      </w:r>
      <w:r>
        <w:rPr>
          <w:i/>
        </w:rPr>
        <w:t>p</w:t>
      </w:r>
      <w:r>
        <w:t xml:space="preserve"> &lt; 0.001). Tukey post-hoc tests </w:t>
      </w:r>
      <w:r w:rsidR="00867D99">
        <w:t>indicate</w:t>
      </w:r>
      <w:r>
        <w:t xml:space="preserve"> that it is particularly the syntactically independent clauses that differ significantly from the other two clause types, in both languages (with </w:t>
      </w:r>
      <w:r>
        <w:rPr>
          <w:i/>
        </w:rPr>
        <w:t>p</w:t>
      </w:r>
      <w:r>
        <w:t xml:space="preserve"> &lt; 0.001 in all cases). </w:t>
      </w:r>
      <w:r w:rsidR="00BC5487">
        <w:t>Between strongly and weakly dependent clauses, no significant difference was found, neither in English (</w:t>
      </w:r>
      <w:r w:rsidR="00BC5487">
        <w:rPr>
          <w:i/>
        </w:rPr>
        <w:t>p</w:t>
      </w:r>
      <w:r w:rsidR="00E701F3">
        <w:t>=</w:t>
      </w:r>
      <w:r w:rsidR="00BC5487">
        <w:t>0.9</w:t>
      </w:r>
      <w:r w:rsidR="001A53F2">
        <w:t>6</w:t>
      </w:r>
      <w:r w:rsidR="00BC5487">
        <w:t>) nor in Dutch (</w:t>
      </w:r>
      <w:r w:rsidR="00C3080A">
        <w:rPr>
          <w:i/>
        </w:rPr>
        <w:t>p</w:t>
      </w:r>
      <w:r w:rsidR="00E701F3">
        <w:t>=</w:t>
      </w:r>
      <w:r w:rsidR="00C3080A">
        <w:t>0.</w:t>
      </w:r>
      <w:r w:rsidR="00867D99">
        <w:t>4</w:t>
      </w:r>
      <w:r w:rsidR="002E0F29">
        <w:t>4</w:t>
      </w:r>
      <w:r w:rsidR="00BC5487">
        <w:t>)</w:t>
      </w:r>
      <w:r w:rsidR="000F644D">
        <w:t>.</w:t>
      </w:r>
    </w:p>
    <w:p w14:paraId="33BE1E0E" w14:textId="77777777" w:rsidR="00803311" w:rsidRDefault="00803311" w:rsidP="006E64AF">
      <w:pPr>
        <w:tabs>
          <w:tab w:val="left" w:pos="567"/>
        </w:tabs>
      </w:pPr>
    </w:p>
    <w:p w14:paraId="30EFBF23" w14:textId="11BB977C" w:rsidR="006E64AF" w:rsidRPr="00A52A16" w:rsidRDefault="006E64AF" w:rsidP="00C961B0">
      <w:pPr>
        <w:pStyle w:val="Caption"/>
        <w:jc w:val="both"/>
        <w:rPr>
          <w:b w:val="0"/>
        </w:rPr>
      </w:pPr>
      <w:bookmarkStart w:id="45" w:name="_Ref132982042"/>
      <w:r w:rsidRPr="00A52A16">
        <w:t xml:space="preserve">Table </w:t>
      </w:r>
      <w:r w:rsidRPr="00A52A16">
        <w:fldChar w:fldCharType="begin"/>
      </w:r>
      <w:r w:rsidRPr="00A52A16">
        <w:instrText xml:space="preserve"> SEQ Table \* ARABIC </w:instrText>
      </w:r>
      <w:r w:rsidRPr="00A52A16">
        <w:fldChar w:fldCharType="separate"/>
      </w:r>
      <w:r w:rsidR="008B649D">
        <w:rPr>
          <w:noProof/>
        </w:rPr>
        <w:t>7</w:t>
      </w:r>
      <w:r w:rsidRPr="00A52A16">
        <w:fldChar w:fldCharType="end"/>
      </w:r>
      <w:bookmarkEnd w:id="45"/>
      <w:r w:rsidRPr="00A52A16">
        <w:t xml:space="preserve">. </w:t>
      </w:r>
      <w:r w:rsidR="00ED530A">
        <w:rPr>
          <w:b w:val="0"/>
        </w:rPr>
        <w:t>Time interval</w:t>
      </w:r>
      <w:r w:rsidR="00C05EDE">
        <w:rPr>
          <w:b w:val="0"/>
        </w:rPr>
        <w:t xml:space="preserve"> (ms)</w:t>
      </w:r>
      <w:r w:rsidR="00ED530A">
        <w:rPr>
          <w:b w:val="0"/>
        </w:rPr>
        <w:t xml:space="preserve"> between </w:t>
      </w:r>
      <w:r>
        <w:rPr>
          <w:b w:val="0"/>
        </w:rPr>
        <w:t>HM clause</w:t>
      </w:r>
      <w:r w:rsidR="00C05EDE">
        <w:rPr>
          <w:b w:val="0"/>
        </w:rPr>
        <w:t xml:space="preserve"> and </w:t>
      </w:r>
      <w:r w:rsidR="00EA3B2A">
        <w:rPr>
          <w:b w:val="0"/>
        </w:rPr>
        <w:t xml:space="preserve">previous </w:t>
      </w:r>
      <w:r w:rsidR="00C05EDE">
        <w:rPr>
          <w:b w:val="0"/>
        </w:rPr>
        <w:t>clause</w:t>
      </w:r>
      <w:r w:rsidRPr="00A52A16">
        <w:rPr>
          <w:b w:val="0"/>
        </w:rPr>
        <w:t xml:space="preserve"> </w:t>
      </w:r>
      <w:r w:rsidR="008D3448">
        <w:rPr>
          <w:b w:val="0"/>
        </w:rPr>
        <w:t xml:space="preserve">per </w:t>
      </w:r>
      <w:r w:rsidR="00ED530A">
        <w:rPr>
          <w:b w:val="0"/>
        </w:rPr>
        <w:t>syntactic dependency</w:t>
      </w:r>
      <w:r w:rsidR="008D3448">
        <w:rPr>
          <w:b w:val="0"/>
        </w:rPr>
        <w:t xml:space="preserve"> </w:t>
      </w:r>
      <w:r w:rsidR="0090299C">
        <w:rPr>
          <w:b w:val="0"/>
        </w:rPr>
        <w:t>level</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189"/>
        <w:gridCol w:w="3189"/>
      </w:tblGrid>
      <w:tr w:rsidR="00400DA2" w:rsidRPr="00A52A16" w14:paraId="336C5626" w14:textId="77777777" w:rsidTr="00457E4D">
        <w:trPr>
          <w:trHeight w:val="414"/>
        </w:trPr>
        <w:tc>
          <w:tcPr>
            <w:tcW w:w="2694" w:type="dxa"/>
            <w:tcBorders>
              <w:top w:val="single" w:sz="4" w:space="0" w:color="auto"/>
              <w:bottom w:val="single" w:sz="4" w:space="0" w:color="auto"/>
            </w:tcBorders>
          </w:tcPr>
          <w:p w14:paraId="78847003" w14:textId="77777777" w:rsidR="006E64AF" w:rsidRPr="00A52A16" w:rsidRDefault="006E64AF" w:rsidP="00987840"/>
        </w:tc>
        <w:tc>
          <w:tcPr>
            <w:tcW w:w="3189" w:type="dxa"/>
            <w:tcBorders>
              <w:top w:val="single" w:sz="4" w:space="0" w:color="auto"/>
              <w:bottom w:val="single" w:sz="4" w:space="0" w:color="auto"/>
            </w:tcBorders>
            <w:vAlign w:val="center"/>
          </w:tcPr>
          <w:p w14:paraId="0BCA1C2D" w14:textId="45F55464" w:rsidR="006E64AF" w:rsidRPr="005946E1" w:rsidRDefault="006E64AF" w:rsidP="00457E4D">
            <w:pPr>
              <w:rPr>
                <w:iCs/>
              </w:rPr>
            </w:pPr>
            <w:r w:rsidRPr="00A52A16">
              <w:t xml:space="preserve">English </w:t>
            </w:r>
            <w:r w:rsidRPr="00A52A16">
              <w:rPr>
                <w:i/>
              </w:rPr>
              <w:t>as if</w:t>
            </w:r>
            <w:r w:rsidR="005946E1">
              <w:rPr>
                <w:i/>
              </w:rPr>
              <w:t xml:space="preserve"> </w:t>
            </w:r>
            <w:r w:rsidR="005946E1">
              <w:rPr>
                <w:iCs/>
              </w:rPr>
              <w:t>(</w:t>
            </w:r>
            <w:r w:rsidR="00E701F3">
              <w:rPr>
                <w:iCs/>
              </w:rPr>
              <w:t>n=</w:t>
            </w:r>
            <w:r w:rsidR="005161B0">
              <w:rPr>
                <w:iCs/>
              </w:rPr>
              <w:t>156</w:t>
            </w:r>
            <w:r w:rsidR="005946E1">
              <w:rPr>
                <w:iCs/>
              </w:rPr>
              <w:t>)</w:t>
            </w:r>
          </w:p>
        </w:tc>
        <w:tc>
          <w:tcPr>
            <w:tcW w:w="3189" w:type="dxa"/>
            <w:tcBorders>
              <w:top w:val="single" w:sz="4" w:space="0" w:color="auto"/>
              <w:bottom w:val="single" w:sz="4" w:space="0" w:color="auto"/>
            </w:tcBorders>
            <w:vAlign w:val="center"/>
          </w:tcPr>
          <w:p w14:paraId="63A7B234" w14:textId="6FB34B1B" w:rsidR="006E64AF" w:rsidRPr="00A52A16" w:rsidRDefault="006E64AF" w:rsidP="00457E4D">
            <w:r w:rsidRPr="00A52A16">
              <w:t xml:space="preserve">Dutch </w:t>
            </w:r>
            <w:r w:rsidRPr="00A52A16">
              <w:rPr>
                <w:i/>
              </w:rPr>
              <w:t>alsof</w:t>
            </w:r>
            <w:r w:rsidR="005946E1">
              <w:rPr>
                <w:i/>
              </w:rPr>
              <w:t xml:space="preserve"> </w:t>
            </w:r>
            <w:r w:rsidR="005946E1">
              <w:rPr>
                <w:iCs/>
              </w:rPr>
              <w:t>(</w:t>
            </w:r>
            <w:r w:rsidR="00E701F3">
              <w:rPr>
                <w:iCs/>
              </w:rPr>
              <w:t>n=</w:t>
            </w:r>
            <w:r w:rsidR="005161B0">
              <w:rPr>
                <w:iCs/>
              </w:rPr>
              <w:t>24</w:t>
            </w:r>
            <w:r w:rsidR="00DA3724">
              <w:rPr>
                <w:iCs/>
              </w:rPr>
              <w:t>7</w:t>
            </w:r>
            <w:r w:rsidR="005946E1">
              <w:rPr>
                <w:iCs/>
              </w:rPr>
              <w:t>)</w:t>
            </w:r>
          </w:p>
        </w:tc>
      </w:tr>
      <w:tr w:rsidR="00400DA2" w:rsidRPr="00A52A16" w14:paraId="358BF7E0" w14:textId="77777777" w:rsidTr="00B928D0">
        <w:trPr>
          <w:trHeight w:val="414"/>
        </w:trPr>
        <w:tc>
          <w:tcPr>
            <w:tcW w:w="2694" w:type="dxa"/>
            <w:tcBorders>
              <w:top w:val="single" w:sz="4" w:space="0" w:color="auto"/>
            </w:tcBorders>
            <w:vAlign w:val="center"/>
          </w:tcPr>
          <w:p w14:paraId="5E31C0CD" w14:textId="77777777" w:rsidR="00400DA2" w:rsidRPr="00A52A16" w:rsidRDefault="00400DA2" w:rsidP="00457E4D">
            <w:pPr>
              <w:ind w:left="-108"/>
            </w:pPr>
            <w:r>
              <w:t>Strong dependence</w:t>
            </w:r>
          </w:p>
        </w:tc>
        <w:tc>
          <w:tcPr>
            <w:tcW w:w="3189" w:type="dxa"/>
            <w:tcBorders>
              <w:top w:val="single" w:sz="4" w:space="0" w:color="auto"/>
            </w:tcBorders>
            <w:vAlign w:val="center"/>
          </w:tcPr>
          <w:p w14:paraId="6370E153" w14:textId="726C2A91" w:rsidR="00400DA2" w:rsidRPr="00457E4D" w:rsidRDefault="00EB7899" w:rsidP="00017A3C">
            <w:pPr>
              <w:rPr>
                <w:b/>
              </w:rPr>
            </w:pPr>
            <w:r>
              <w:rPr>
                <w:b/>
              </w:rPr>
              <w:t>49.</w:t>
            </w:r>
            <w:r w:rsidR="00CF6262">
              <w:rPr>
                <w:b/>
              </w:rPr>
              <w:t>45</w:t>
            </w:r>
            <w:r w:rsidR="00400DA2" w:rsidRPr="00B928D0">
              <w:rPr>
                <w:b/>
              </w:rPr>
              <w:t xml:space="preserve"> </w:t>
            </w:r>
            <w:r w:rsidR="00400DA2" w:rsidRPr="00017A3C">
              <w:t>(</w:t>
            </w:r>
            <w:r w:rsidR="00E701F3">
              <w:t>sd=</w:t>
            </w:r>
            <w:r w:rsidR="00CF6262">
              <w:t>219</w:t>
            </w:r>
            <w:r w:rsidR="00400DA2" w:rsidRPr="00017A3C">
              <w:t xml:space="preserve">, </w:t>
            </w:r>
            <w:r w:rsidR="00E701F3">
              <w:t>n=</w:t>
            </w:r>
            <w:r w:rsidR="00400DA2" w:rsidRPr="00017A3C">
              <w:t>5</w:t>
            </w:r>
            <w:r w:rsidR="00CF6262">
              <w:t>6</w:t>
            </w:r>
            <w:r w:rsidR="00400DA2" w:rsidRPr="00017A3C">
              <w:t>)</w:t>
            </w:r>
          </w:p>
        </w:tc>
        <w:tc>
          <w:tcPr>
            <w:tcW w:w="3189" w:type="dxa"/>
            <w:tcBorders>
              <w:top w:val="single" w:sz="4" w:space="0" w:color="auto"/>
            </w:tcBorders>
            <w:vAlign w:val="center"/>
          </w:tcPr>
          <w:p w14:paraId="00180BDE" w14:textId="5E4095FE" w:rsidR="00400DA2" w:rsidRPr="00457E4D" w:rsidRDefault="00400DA2" w:rsidP="00017A3C">
            <w:pPr>
              <w:rPr>
                <w:b/>
              </w:rPr>
            </w:pPr>
            <w:r w:rsidRPr="00B928D0">
              <w:rPr>
                <w:b/>
              </w:rPr>
              <w:t xml:space="preserve">18.42 </w:t>
            </w:r>
            <w:r w:rsidRPr="00017A3C">
              <w:t>(</w:t>
            </w:r>
            <w:r w:rsidR="00E701F3">
              <w:t>sd=</w:t>
            </w:r>
            <w:r w:rsidRPr="00017A3C">
              <w:t xml:space="preserve">80, </w:t>
            </w:r>
            <w:r w:rsidR="00E701F3">
              <w:t>n=</w:t>
            </w:r>
            <w:r w:rsidR="00FB26A6">
              <w:t>90</w:t>
            </w:r>
            <w:r w:rsidRPr="00017A3C">
              <w:t>)</w:t>
            </w:r>
          </w:p>
        </w:tc>
      </w:tr>
      <w:tr w:rsidR="00400DA2" w:rsidRPr="00A52A16" w14:paraId="0810C913" w14:textId="77777777" w:rsidTr="00B928D0">
        <w:trPr>
          <w:trHeight w:val="414"/>
        </w:trPr>
        <w:tc>
          <w:tcPr>
            <w:tcW w:w="2694" w:type="dxa"/>
            <w:vAlign w:val="center"/>
          </w:tcPr>
          <w:p w14:paraId="55B11701" w14:textId="77777777" w:rsidR="00400DA2" w:rsidRPr="00A52A16" w:rsidRDefault="00400DA2" w:rsidP="00457E4D">
            <w:pPr>
              <w:ind w:left="-108"/>
            </w:pPr>
            <w:r>
              <w:t>Weak dependence</w:t>
            </w:r>
          </w:p>
        </w:tc>
        <w:tc>
          <w:tcPr>
            <w:tcW w:w="3189" w:type="dxa"/>
            <w:vAlign w:val="center"/>
          </w:tcPr>
          <w:p w14:paraId="0D6059B8" w14:textId="4C19268D" w:rsidR="00400DA2" w:rsidRPr="00457E4D" w:rsidRDefault="000E6FC3" w:rsidP="00017A3C">
            <w:pPr>
              <w:rPr>
                <w:b/>
              </w:rPr>
            </w:pPr>
            <w:r>
              <w:rPr>
                <w:b/>
              </w:rPr>
              <w:t>93.30</w:t>
            </w:r>
            <w:r w:rsidR="00400DA2" w:rsidRPr="00B928D0">
              <w:rPr>
                <w:b/>
              </w:rPr>
              <w:t xml:space="preserve"> </w:t>
            </w:r>
            <w:r w:rsidR="00400DA2" w:rsidRPr="00017A3C">
              <w:t>(</w:t>
            </w:r>
            <w:r w:rsidR="00E701F3">
              <w:t>sd=</w:t>
            </w:r>
            <w:r w:rsidR="00400DA2" w:rsidRPr="00017A3C">
              <w:t>2</w:t>
            </w:r>
            <w:r w:rsidR="00CF6262">
              <w:t>4</w:t>
            </w:r>
            <w:r>
              <w:t>1</w:t>
            </w:r>
            <w:r w:rsidR="00400DA2" w:rsidRPr="00017A3C">
              <w:t xml:space="preserve">, </w:t>
            </w:r>
            <w:r w:rsidR="00E701F3">
              <w:t>n=</w:t>
            </w:r>
            <w:r w:rsidR="00400DA2" w:rsidRPr="00017A3C">
              <w:t>4</w:t>
            </w:r>
            <w:r>
              <w:t>2</w:t>
            </w:r>
            <w:r w:rsidR="00400DA2" w:rsidRPr="00017A3C">
              <w:t>)</w:t>
            </w:r>
          </w:p>
        </w:tc>
        <w:tc>
          <w:tcPr>
            <w:tcW w:w="3189" w:type="dxa"/>
            <w:vAlign w:val="center"/>
          </w:tcPr>
          <w:p w14:paraId="7D6ADF98" w14:textId="64D9EB04" w:rsidR="00400DA2" w:rsidRPr="00457E4D" w:rsidRDefault="00400DA2" w:rsidP="00017A3C">
            <w:pPr>
              <w:rPr>
                <w:b/>
              </w:rPr>
            </w:pPr>
            <w:r w:rsidRPr="00B928D0">
              <w:rPr>
                <w:b/>
              </w:rPr>
              <w:t>12</w:t>
            </w:r>
            <w:r w:rsidR="00CF6262">
              <w:rPr>
                <w:b/>
              </w:rPr>
              <w:t>6</w:t>
            </w:r>
            <w:r w:rsidRPr="00B928D0">
              <w:rPr>
                <w:b/>
              </w:rPr>
              <w:t>.</w:t>
            </w:r>
            <w:r w:rsidR="00CF6262">
              <w:rPr>
                <w:b/>
              </w:rPr>
              <w:t>05</w:t>
            </w:r>
            <w:r w:rsidRPr="00B928D0">
              <w:rPr>
                <w:b/>
              </w:rPr>
              <w:t xml:space="preserve"> </w:t>
            </w:r>
            <w:r w:rsidRPr="00017A3C">
              <w:t>(</w:t>
            </w:r>
            <w:r w:rsidR="00E701F3">
              <w:t>sd=</w:t>
            </w:r>
            <w:r w:rsidRPr="00017A3C">
              <w:t>2</w:t>
            </w:r>
            <w:r w:rsidR="00CF6262">
              <w:t>29</w:t>
            </w:r>
            <w:r w:rsidRPr="00017A3C">
              <w:t xml:space="preserve">, </w:t>
            </w:r>
            <w:r w:rsidR="00E701F3">
              <w:t>n=</w:t>
            </w:r>
            <w:r w:rsidR="00FB26A6">
              <w:t>38</w:t>
            </w:r>
            <w:r w:rsidRPr="00017A3C">
              <w:t>)</w:t>
            </w:r>
          </w:p>
        </w:tc>
      </w:tr>
      <w:tr w:rsidR="00400DA2" w:rsidRPr="00A52A16" w14:paraId="6341B6CF" w14:textId="77777777" w:rsidTr="00B928D0">
        <w:trPr>
          <w:trHeight w:val="414"/>
        </w:trPr>
        <w:tc>
          <w:tcPr>
            <w:tcW w:w="2694" w:type="dxa"/>
            <w:tcBorders>
              <w:bottom w:val="single" w:sz="4" w:space="0" w:color="auto"/>
            </w:tcBorders>
            <w:vAlign w:val="center"/>
          </w:tcPr>
          <w:p w14:paraId="06FEA550" w14:textId="77777777" w:rsidR="00400DA2" w:rsidRPr="00A52A16" w:rsidRDefault="00400DA2" w:rsidP="00457E4D">
            <w:pPr>
              <w:ind w:left="-108"/>
            </w:pPr>
            <w:r>
              <w:t>Independence</w:t>
            </w:r>
          </w:p>
        </w:tc>
        <w:tc>
          <w:tcPr>
            <w:tcW w:w="3189" w:type="dxa"/>
            <w:tcBorders>
              <w:bottom w:val="single" w:sz="4" w:space="0" w:color="auto"/>
            </w:tcBorders>
            <w:vAlign w:val="center"/>
          </w:tcPr>
          <w:p w14:paraId="369255F4" w14:textId="49468E65" w:rsidR="00400DA2" w:rsidRPr="00A52A16" w:rsidRDefault="00400DA2" w:rsidP="00017A3C">
            <w:r w:rsidRPr="00B928D0">
              <w:rPr>
                <w:b/>
              </w:rPr>
              <w:t>7</w:t>
            </w:r>
            <w:r w:rsidR="000E6FC3">
              <w:rPr>
                <w:b/>
              </w:rPr>
              <w:t>68.90</w:t>
            </w:r>
            <w:r w:rsidRPr="00B928D0">
              <w:rPr>
                <w:b/>
              </w:rPr>
              <w:t xml:space="preserve"> </w:t>
            </w:r>
            <w:r w:rsidRPr="00017A3C">
              <w:t>(</w:t>
            </w:r>
            <w:r w:rsidR="00E701F3">
              <w:t>sd=</w:t>
            </w:r>
            <w:r w:rsidRPr="005D22EB">
              <w:t>1,2</w:t>
            </w:r>
            <w:r w:rsidR="000E6FC3">
              <w:t>55</w:t>
            </w:r>
            <w:r w:rsidRPr="005D22EB">
              <w:t xml:space="preserve">, </w:t>
            </w:r>
            <w:r w:rsidR="00E701F3">
              <w:t>n=</w:t>
            </w:r>
            <w:r w:rsidR="000E6FC3">
              <w:t>58</w:t>
            </w:r>
            <w:r w:rsidRPr="005D22EB">
              <w:t>)</w:t>
            </w:r>
          </w:p>
        </w:tc>
        <w:tc>
          <w:tcPr>
            <w:tcW w:w="3189" w:type="dxa"/>
            <w:tcBorders>
              <w:bottom w:val="single" w:sz="4" w:space="0" w:color="auto"/>
            </w:tcBorders>
            <w:vAlign w:val="center"/>
          </w:tcPr>
          <w:p w14:paraId="1A69ADEA" w14:textId="0CE8E22A" w:rsidR="00400DA2" w:rsidRPr="00457E4D" w:rsidRDefault="00400DA2" w:rsidP="00017A3C">
            <w:pPr>
              <w:rPr>
                <w:b/>
              </w:rPr>
            </w:pPr>
            <w:r w:rsidRPr="00B928D0">
              <w:rPr>
                <w:b/>
              </w:rPr>
              <w:t xml:space="preserve">603.86 </w:t>
            </w:r>
            <w:r w:rsidRPr="00017A3C">
              <w:t>(</w:t>
            </w:r>
            <w:r w:rsidR="00E701F3">
              <w:t>sd=</w:t>
            </w:r>
            <w:r w:rsidRPr="00017A3C">
              <w:t xml:space="preserve">633, </w:t>
            </w:r>
            <w:r w:rsidR="00E701F3">
              <w:t>n=</w:t>
            </w:r>
            <w:r w:rsidRPr="00017A3C">
              <w:t>1</w:t>
            </w:r>
            <w:r w:rsidR="00FB26A6">
              <w:t>19</w:t>
            </w:r>
            <w:r w:rsidRPr="005D22EB">
              <w:t>)</w:t>
            </w:r>
          </w:p>
        </w:tc>
      </w:tr>
    </w:tbl>
    <w:p w14:paraId="1A8FB9ED" w14:textId="77777777" w:rsidR="00A95F9C" w:rsidRDefault="00A95F9C" w:rsidP="001176EB">
      <w:pPr>
        <w:tabs>
          <w:tab w:val="left" w:pos="567"/>
        </w:tabs>
        <w:jc w:val="both"/>
      </w:pPr>
    </w:p>
    <w:p w14:paraId="78E0EA6C" w14:textId="5AD6A32A" w:rsidR="004479E9" w:rsidRDefault="00803311" w:rsidP="001176EB">
      <w:pPr>
        <w:pStyle w:val="Caption"/>
        <w:tabs>
          <w:tab w:val="left" w:pos="567"/>
        </w:tabs>
        <w:spacing w:after="0"/>
        <w:jc w:val="both"/>
        <w:rPr>
          <w:b w:val="0"/>
        </w:rPr>
      </w:pPr>
      <w:r w:rsidRPr="001176EB">
        <w:rPr>
          <w:b w:val="0"/>
        </w:rPr>
        <w:tab/>
      </w:r>
      <w:r w:rsidR="001176EB">
        <w:rPr>
          <w:b w:val="0"/>
        </w:rPr>
        <w:tab/>
      </w:r>
      <w:r w:rsidRPr="001176EB">
        <w:rPr>
          <w:b w:val="0"/>
        </w:rPr>
        <w:t xml:space="preserve">Across the four functional types, we also find significant differences in </w:t>
      </w:r>
      <w:r w:rsidR="001567EE">
        <w:rPr>
          <w:b w:val="0"/>
        </w:rPr>
        <w:t>pre-onset pausing</w:t>
      </w:r>
      <w:r w:rsidRPr="001176EB">
        <w:rPr>
          <w:b w:val="0"/>
        </w:rPr>
        <w:t xml:space="preserve">. </w:t>
      </w:r>
      <w:r w:rsidR="004479E9" w:rsidRPr="001176EB">
        <w:rPr>
          <w:b w:val="0"/>
        </w:rPr>
        <w:t>Two tendencies stand out in</w:t>
      </w:r>
      <w:r w:rsidR="001176EB">
        <w:rPr>
          <w:b w:val="0"/>
        </w:rPr>
        <w:t xml:space="preserve"> </w:t>
      </w:r>
      <w:r w:rsidR="001176EB" w:rsidRPr="001176EB">
        <w:rPr>
          <w:b w:val="0"/>
        </w:rPr>
        <w:fldChar w:fldCharType="begin"/>
      </w:r>
      <w:r w:rsidR="001176EB" w:rsidRPr="001176EB">
        <w:rPr>
          <w:b w:val="0"/>
        </w:rPr>
        <w:instrText xml:space="preserve"> REF _Ref132984567 \h  \* MERGEFORMAT </w:instrText>
      </w:r>
      <w:r w:rsidR="001176EB" w:rsidRPr="001176EB">
        <w:rPr>
          <w:b w:val="0"/>
        </w:rPr>
      </w:r>
      <w:r w:rsidR="001176EB" w:rsidRPr="001176EB">
        <w:rPr>
          <w:b w:val="0"/>
        </w:rPr>
        <w:fldChar w:fldCharType="separate"/>
      </w:r>
      <w:r w:rsidR="008912AA" w:rsidRPr="008912AA">
        <w:rPr>
          <w:b w:val="0"/>
        </w:rPr>
        <w:t xml:space="preserve">Table </w:t>
      </w:r>
      <w:r w:rsidR="008912AA" w:rsidRPr="008912AA">
        <w:rPr>
          <w:b w:val="0"/>
          <w:noProof/>
        </w:rPr>
        <w:t>8</w:t>
      </w:r>
      <w:r w:rsidR="001176EB" w:rsidRPr="001176EB">
        <w:rPr>
          <w:b w:val="0"/>
        </w:rPr>
        <w:fldChar w:fldCharType="end"/>
      </w:r>
      <w:r w:rsidR="004479E9" w:rsidRPr="001176EB">
        <w:rPr>
          <w:b w:val="0"/>
        </w:rPr>
        <w:t>: on the one hand, clauses expressing</w:t>
      </w:r>
      <w:r w:rsidRPr="001176EB">
        <w:rPr>
          <w:b w:val="0"/>
        </w:rPr>
        <w:t xml:space="preserve"> ‘denial of assumption’</w:t>
      </w:r>
      <w:r w:rsidR="008F3E76" w:rsidRPr="001176EB">
        <w:rPr>
          <w:b w:val="0"/>
        </w:rPr>
        <w:t xml:space="preserve"> </w:t>
      </w:r>
      <w:r w:rsidR="00EA0DE3">
        <w:rPr>
          <w:b w:val="0"/>
        </w:rPr>
        <w:t>have</w:t>
      </w:r>
      <w:r w:rsidR="008F3E76" w:rsidRPr="001176EB">
        <w:rPr>
          <w:b w:val="0"/>
        </w:rPr>
        <w:t xml:space="preserve"> a much longer </w:t>
      </w:r>
      <w:r w:rsidR="00EA0DE3">
        <w:rPr>
          <w:b w:val="0"/>
        </w:rPr>
        <w:t>pre-onset</w:t>
      </w:r>
      <w:r w:rsidR="008F3E76" w:rsidRPr="001176EB">
        <w:rPr>
          <w:b w:val="0"/>
        </w:rPr>
        <w:t xml:space="preserve"> pause than other clauses</w:t>
      </w:r>
      <w:r w:rsidR="004479E9" w:rsidRPr="001176EB">
        <w:rPr>
          <w:b w:val="0"/>
        </w:rPr>
        <w:t xml:space="preserve">; on the other hand, clauses expressing ‘manner’ tend to start almost immediately after the </w:t>
      </w:r>
      <w:r w:rsidR="00EA0DE3">
        <w:rPr>
          <w:b w:val="0"/>
        </w:rPr>
        <w:t>main/</w:t>
      </w:r>
      <w:r w:rsidR="004479E9" w:rsidRPr="001176EB">
        <w:rPr>
          <w:b w:val="0"/>
        </w:rPr>
        <w:t xml:space="preserve">previous clause, leaving only a very small average </w:t>
      </w:r>
      <w:r w:rsidR="00EA0DE3">
        <w:rPr>
          <w:b w:val="0"/>
        </w:rPr>
        <w:t xml:space="preserve">pre-onset </w:t>
      </w:r>
      <w:r w:rsidR="004479E9" w:rsidRPr="001176EB">
        <w:rPr>
          <w:b w:val="0"/>
        </w:rPr>
        <w:t>pause.</w:t>
      </w:r>
    </w:p>
    <w:p w14:paraId="28A2429E" w14:textId="77777777" w:rsidR="001176EB" w:rsidRPr="001176EB" w:rsidRDefault="001176EB" w:rsidP="001176EB"/>
    <w:p w14:paraId="017413A3" w14:textId="5DB7903D" w:rsidR="006E64AF" w:rsidRPr="00A52A16" w:rsidRDefault="006E64AF" w:rsidP="001176EB">
      <w:pPr>
        <w:pStyle w:val="Caption"/>
        <w:rPr>
          <w:b w:val="0"/>
        </w:rPr>
      </w:pPr>
      <w:bookmarkStart w:id="46" w:name="_Ref132984567"/>
      <w:r w:rsidRPr="00A52A16">
        <w:lastRenderedPageBreak/>
        <w:t xml:space="preserve">Table </w:t>
      </w:r>
      <w:r w:rsidRPr="00A52A16">
        <w:fldChar w:fldCharType="begin"/>
      </w:r>
      <w:r w:rsidRPr="00A52A16">
        <w:instrText xml:space="preserve"> SEQ Table \* ARABIC </w:instrText>
      </w:r>
      <w:r w:rsidRPr="00A52A16">
        <w:fldChar w:fldCharType="separate"/>
      </w:r>
      <w:r w:rsidR="008B649D">
        <w:rPr>
          <w:noProof/>
        </w:rPr>
        <w:t>8</w:t>
      </w:r>
      <w:r w:rsidRPr="00A52A16">
        <w:fldChar w:fldCharType="end"/>
      </w:r>
      <w:bookmarkEnd w:id="46"/>
      <w:r w:rsidRPr="00A52A16">
        <w:t xml:space="preserve">. </w:t>
      </w:r>
      <w:r w:rsidR="00ED530A">
        <w:rPr>
          <w:b w:val="0"/>
        </w:rPr>
        <w:t>Time interval</w:t>
      </w:r>
      <w:r w:rsidR="00EB30EC">
        <w:rPr>
          <w:b w:val="0"/>
        </w:rPr>
        <w:t xml:space="preserve"> (ms)</w:t>
      </w:r>
      <w:r w:rsidR="00ED530A">
        <w:rPr>
          <w:b w:val="0"/>
        </w:rPr>
        <w:t xml:space="preserve"> between HM clause</w:t>
      </w:r>
      <w:r w:rsidR="00ED530A" w:rsidRPr="00A52A16">
        <w:rPr>
          <w:b w:val="0"/>
        </w:rPr>
        <w:t xml:space="preserve"> and previous </w:t>
      </w:r>
      <w:r w:rsidR="00EA3B2A">
        <w:rPr>
          <w:b w:val="0"/>
        </w:rPr>
        <w:t xml:space="preserve">clause </w:t>
      </w:r>
      <w:r w:rsidR="00ED530A">
        <w:rPr>
          <w:b w:val="0"/>
        </w:rPr>
        <w:t xml:space="preserve">per </w:t>
      </w:r>
      <w:r w:rsidR="00FB3D78">
        <w:rPr>
          <w:b w:val="0"/>
        </w:rPr>
        <w:t xml:space="preserve">semantic-pragmatic </w:t>
      </w:r>
      <w:r w:rsidR="001C492A">
        <w:rPr>
          <w:b w:val="0"/>
        </w:rPr>
        <w:t>function</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3006"/>
        <w:gridCol w:w="3464"/>
      </w:tblGrid>
      <w:tr w:rsidR="006E64AF" w:rsidRPr="00A52A16" w14:paraId="7AF6503E" w14:textId="77777777" w:rsidTr="00264E60">
        <w:trPr>
          <w:trHeight w:val="414"/>
        </w:trPr>
        <w:tc>
          <w:tcPr>
            <w:tcW w:w="2602" w:type="dxa"/>
            <w:tcBorders>
              <w:top w:val="single" w:sz="4" w:space="0" w:color="auto"/>
              <w:bottom w:val="single" w:sz="4" w:space="0" w:color="auto"/>
            </w:tcBorders>
          </w:tcPr>
          <w:p w14:paraId="5D21FF86" w14:textId="77777777" w:rsidR="006E64AF" w:rsidRPr="00A52A16" w:rsidRDefault="006E64AF" w:rsidP="00987840"/>
        </w:tc>
        <w:tc>
          <w:tcPr>
            <w:tcW w:w="3006" w:type="dxa"/>
            <w:tcBorders>
              <w:top w:val="single" w:sz="4" w:space="0" w:color="auto"/>
              <w:bottom w:val="single" w:sz="4" w:space="0" w:color="auto"/>
            </w:tcBorders>
            <w:vAlign w:val="center"/>
          </w:tcPr>
          <w:p w14:paraId="7C549111" w14:textId="4AFC6BAB" w:rsidR="006E64AF" w:rsidRPr="00A52A16" w:rsidRDefault="006E64AF" w:rsidP="00264E60">
            <w:r w:rsidRPr="00A52A16">
              <w:t xml:space="preserve">English </w:t>
            </w:r>
            <w:r w:rsidRPr="00A52A16">
              <w:rPr>
                <w:i/>
              </w:rPr>
              <w:t>as if</w:t>
            </w:r>
            <w:r w:rsidR="008E2F2D">
              <w:rPr>
                <w:i/>
              </w:rPr>
              <w:t xml:space="preserve"> </w:t>
            </w:r>
            <w:r w:rsidR="008E2F2D">
              <w:rPr>
                <w:iCs/>
              </w:rPr>
              <w:t>(</w:t>
            </w:r>
            <w:r w:rsidR="00E701F3">
              <w:rPr>
                <w:iCs/>
              </w:rPr>
              <w:t>n=</w:t>
            </w:r>
            <w:r w:rsidR="00877179">
              <w:rPr>
                <w:iCs/>
              </w:rPr>
              <w:t>156</w:t>
            </w:r>
            <w:r w:rsidR="008E2F2D">
              <w:rPr>
                <w:iCs/>
              </w:rPr>
              <w:t>)</w:t>
            </w:r>
          </w:p>
        </w:tc>
        <w:tc>
          <w:tcPr>
            <w:tcW w:w="3464" w:type="dxa"/>
            <w:tcBorders>
              <w:top w:val="single" w:sz="4" w:space="0" w:color="auto"/>
              <w:bottom w:val="single" w:sz="4" w:space="0" w:color="auto"/>
            </w:tcBorders>
            <w:vAlign w:val="center"/>
          </w:tcPr>
          <w:p w14:paraId="534E393A" w14:textId="40D769F1" w:rsidR="006E64AF" w:rsidRPr="00A52A16" w:rsidRDefault="006E64AF" w:rsidP="00264E60">
            <w:r w:rsidRPr="00A52A16">
              <w:t xml:space="preserve">Dutch </w:t>
            </w:r>
            <w:r w:rsidRPr="00A52A16">
              <w:rPr>
                <w:i/>
              </w:rPr>
              <w:t>alsof</w:t>
            </w:r>
            <w:r w:rsidR="008E2F2D">
              <w:rPr>
                <w:i/>
              </w:rPr>
              <w:t xml:space="preserve"> </w:t>
            </w:r>
            <w:r w:rsidR="008E2F2D">
              <w:rPr>
                <w:iCs/>
              </w:rPr>
              <w:t>(</w:t>
            </w:r>
            <w:r w:rsidR="00E701F3">
              <w:rPr>
                <w:iCs/>
              </w:rPr>
              <w:t>n=</w:t>
            </w:r>
            <w:r w:rsidR="00877179">
              <w:rPr>
                <w:iCs/>
              </w:rPr>
              <w:t>24</w:t>
            </w:r>
            <w:r w:rsidR="00017A3C">
              <w:rPr>
                <w:iCs/>
              </w:rPr>
              <w:t>7</w:t>
            </w:r>
            <w:r w:rsidR="008E2F2D">
              <w:rPr>
                <w:iCs/>
              </w:rPr>
              <w:t>)</w:t>
            </w:r>
          </w:p>
        </w:tc>
      </w:tr>
      <w:tr w:rsidR="00EB30EC" w:rsidRPr="00A52A16" w14:paraId="4BE0FE08" w14:textId="77777777" w:rsidTr="00264E60">
        <w:trPr>
          <w:trHeight w:val="414"/>
        </w:trPr>
        <w:tc>
          <w:tcPr>
            <w:tcW w:w="2602" w:type="dxa"/>
            <w:vAlign w:val="center"/>
          </w:tcPr>
          <w:p w14:paraId="1EB593C2" w14:textId="4F62AA98" w:rsidR="00EB30EC" w:rsidRPr="00A52A16" w:rsidRDefault="00EB30EC" w:rsidP="00457E4D">
            <w:pPr>
              <w:ind w:left="-108"/>
            </w:pPr>
            <w:r>
              <w:t>Manner</w:t>
            </w:r>
          </w:p>
        </w:tc>
        <w:tc>
          <w:tcPr>
            <w:tcW w:w="3006" w:type="dxa"/>
            <w:vAlign w:val="center"/>
          </w:tcPr>
          <w:p w14:paraId="0642C0D4" w14:textId="3BDA3F54" w:rsidR="00EB30EC" w:rsidRPr="00545A88" w:rsidRDefault="001A53F2" w:rsidP="00017A3C">
            <w:r>
              <w:rPr>
                <w:b/>
              </w:rPr>
              <w:t>99.27</w:t>
            </w:r>
            <w:r w:rsidR="00EB30EC">
              <w:rPr>
                <w:b/>
              </w:rPr>
              <w:t xml:space="preserve"> </w:t>
            </w:r>
            <w:r w:rsidR="00EB30EC" w:rsidRPr="00017A3C">
              <w:t>(</w:t>
            </w:r>
            <w:r w:rsidR="00E701F3">
              <w:t>sd=</w:t>
            </w:r>
            <w:r w:rsidR="00EB30EC" w:rsidRPr="005D22EB">
              <w:t>27</w:t>
            </w:r>
            <w:r>
              <w:t>4</w:t>
            </w:r>
            <w:r w:rsidR="00EB30EC" w:rsidRPr="005D22EB">
              <w:t xml:space="preserve">, </w:t>
            </w:r>
            <w:r w:rsidR="00E701F3">
              <w:t>n=</w:t>
            </w:r>
            <w:r w:rsidR="00EB30EC" w:rsidRPr="005D22EB">
              <w:t>5</w:t>
            </w:r>
            <w:r>
              <w:t>4</w:t>
            </w:r>
            <w:r w:rsidR="00EB30EC" w:rsidRPr="005D22EB">
              <w:t>)</w:t>
            </w:r>
          </w:p>
        </w:tc>
        <w:tc>
          <w:tcPr>
            <w:tcW w:w="3464" w:type="dxa"/>
            <w:vAlign w:val="center"/>
          </w:tcPr>
          <w:p w14:paraId="091A2A9A" w14:textId="16C570B3" w:rsidR="00EB30EC" w:rsidRPr="00A52A16" w:rsidRDefault="00CF6262" w:rsidP="00017A3C">
            <w:r>
              <w:rPr>
                <w:b/>
              </w:rPr>
              <w:t>71.73</w:t>
            </w:r>
            <w:r w:rsidR="00ED2609">
              <w:rPr>
                <w:b/>
              </w:rPr>
              <w:t xml:space="preserve"> </w:t>
            </w:r>
            <w:r w:rsidR="00EB30EC" w:rsidRPr="00A52A16">
              <w:t>(</w:t>
            </w:r>
            <w:r w:rsidR="00E701F3">
              <w:t>sd=</w:t>
            </w:r>
            <w:r w:rsidR="00EB30EC">
              <w:t xml:space="preserve">173, </w:t>
            </w:r>
            <w:r w:rsidR="00E701F3">
              <w:t>n=</w:t>
            </w:r>
            <w:r w:rsidR="00EB30EC">
              <w:t>84</w:t>
            </w:r>
            <w:r w:rsidR="00EB30EC" w:rsidRPr="00A52A16">
              <w:t>)</w:t>
            </w:r>
          </w:p>
        </w:tc>
      </w:tr>
      <w:tr w:rsidR="00EB30EC" w:rsidRPr="00A52A16" w14:paraId="1EF87099" w14:textId="77777777" w:rsidTr="00264E60">
        <w:trPr>
          <w:trHeight w:val="414"/>
        </w:trPr>
        <w:tc>
          <w:tcPr>
            <w:tcW w:w="2602" w:type="dxa"/>
            <w:vAlign w:val="center"/>
          </w:tcPr>
          <w:p w14:paraId="3BC686C0" w14:textId="2522B3D8" w:rsidR="00EB30EC" w:rsidRDefault="00EB30EC" w:rsidP="00B928D0">
            <w:pPr>
              <w:ind w:left="-108"/>
            </w:pPr>
            <w:r>
              <w:t>Qualification</w:t>
            </w:r>
          </w:p>
        </w:tc>
        <w:tc>
          <w:tcPr>
            <w:tcW w:w="3006" w:type="dxa"/>
            <w:vAlign w:val="center"/>
          </w:tcPr>
          <w:p w14:paraId="1DA16573" w14:textId="5B3F17FD" w:rsidR="00EB30EC" w:rsidRPr="00457E4D" w:rsidRDefault="00EB30EC" w:rsidP="00017A3C">
            <w:pPr>
              <w:rPr>
                <w:b/>
              </w:rPr>
            </w:pPr>
            <w:r w:rsidRPr="00264E60">
              <w:rPr>
                <w:b/>
              </w:rPr>
              <w:t>2</w:t>
            </w:r>
            <w:r w:rsidR="00CF6262">
              <w:rPr>
                <w:b/>
              </w:rPr>
              <w:t>3</w:t>
            </w:r>
            <w:r w:rsidR="001A53F2">
              <w:rPr>
                <w:b/>
              </w:rPr>
              <w:t>9</w:t>
            </w:r>
            <w:r w:rsidR="00CF6262">
              <w:rPr>
                <w:b/>
              </w:rPr>
              <w:t>.</w:t>
            </w:r>
            <w:r w:rsidR="001A53F2">
              <w:rPr>
                <w:b/>
              </w:rPr>
              <w:t>8</w:t>
            </w:r>
            <w:r w:rsidR="00CF6262">
              <w:rPr>
                <w:b/>
              </w:rPr>
              <w:t>0</w:t>
            </w:r>
            <w:r w:rsidRPr="00264E60">
              <w:rPr>
                <w:b/>
              </w:rPr>
              <w:t xml:space="preserve"> </w:t>
            </w:r>
            <w:r w:rsidRPr="00017A3C">
              <w:t>(</w:t>
            </w:r>
            <w:r w:rsidR="00E701F3">
              <w:t>sd</w:t>
            </w:r>
            <w:r w:rsidR="00CF6262">
              <w:t>=49</w:t>
            </w:r>
            <w:r w:rsidR="001A53F2">
              <w:t>6</w:t>
            </w:r>
            <w:r w:rsidRPr="00017A3C">
              <w:t xml:space="preserve">, </w:t>
            </w:r>
            <w:r w:rsidR="00E701F3">
              <w:t>n=</w:t>
            </w:r>
            <w:r w:rsidRPr="00017A3C">
              <w:t>4</w:t>
            </w:r>
            <w:r w:rsidR="001A53F2">
              <w:t>7</w:t>
            </w:r>
            <w:r w:rsidRPr="00017A3C">
              <w:t>)</w:t>
            </w:r>
          </w:p>
        </w:tc>
        <w:tc>
          <w:tcPr>
            <w:tcW w:w="3464" w:type="dxa"/>
            <w:vAlign w:val="center"/>
          </w:tcPr>
          <w:p w14:paraId="31121D3D" w14:textId="0C9C17D6" w:rsidR="00EB30EC" w:rsidRPr="00A52A16" w:rsidRDefault="00EB30EC" w:rsidP="00017A3C">
            <w:r w:rsidRPr="00264E60">
              <w:rPr>
                <w:b/>
              </w:rPr>
              <w:t>316.30</w:t>
            </w:r>
            <w:r>
              <w:t xml:space="preserve"> </w:t>
            </w:r>
            <w:r w:rsidRPr="00A52A16">
              <w:t>(</w:t>
            </w:r>
            <w:r w:rsidR="00E701F3">
              <w:t>sd=</w:t>
            </w:r>
            <w:r>
              <w:t xml:space="preserve">513, </w:t>
            </w:r>
            <w:r w:rsidR="00E701F3">
              <w:t>n=</w:t>
            </w:r>
            <w:r>
              <w:t>6</w:t>
            </w:r>
            <w:r w:rsidR="00FB26A6">
              <w:t>5</w:t>
            </w:r>
            <w:r w:rsidRPr="00A52A16">
              <w:t>)</w:t>
            </w:r>
          </w:p>
        </w:tc>
      </w:tr>
      <w:tr w:rsidR="00EB30EC" w:rsidRPr="00A52A16" w14:paraId="4D417C2F" w14:textId="77777777" w:rsidTr="00264E60">
        <w:trPr>
          <w:trHeight w:val="414"/>
        </w:trPr>
        <w:tc>
          <w:tcPr>
            <w:tcW w:w="2602" w:type="dxa"/>
            <w:vAlign w:val="center"/>
          </w:tcPr>
          <w:p w14:paraId="117E5991" w14:textId="51305CF3" w:rsidR="00EB30EC" w:rsidRPr="00A52A16" w:rsidRDefault="00EB30EC" w:rsidP="00457E4D">
            <w:pPr>
              <w:ind w:left="-108"/>
            </w:pPr>
            <w:r>
              <w:t>Cause</w:t>
            </w:r>
          </w:p>
        </w:tc>
        <w:tc>
          <w:tcPr>
            <w:tcW w:w="3006" w:type="dxa"/>
            <w:vAlign w:val="center"/>
          </w:tcPr>
          <w:p w14:paraId="7FA32BE3" w14:textId="55C523E7" w:rsidR="00EB30EC" w:rsidRPr="00457E4D" w:rsidRDefault="00CF6262" w:rsidP="00017A3C">
            <w:pPr>
              <w:rPr>
                <w:b/>
              </w:rPr>
            </w:pPr>
            <w:r>
              <w:rPr>
                <w:b/>
              </w:rPr>
              <w:t>498.18</w:t>
            </w:r>
            <w:r w:rsidR="00EB30EC" w:rsidRPr="00264E60">
              <w:rPr>
                <w:b/>
              </w:rPr>
              <w:t xml:space="preserve"> </w:t>
            </w:r>
            <w:r w:rsidR="00EB30EC" w:rsidRPr="00017A3C">
              <w:t>(</w:t>
            </w:r>
            <w:r w:rsidR="00E701F3">
              <w:t>sd=</w:t>
            </w:r>
            <w:r w:rsidR="00EB30EC" w:rsidRPr="00017A3C">
              <w:t>1,</w:t>
            </w:r>
            <w:r>
              <w:t>313</w:t>
            </w:r>
            <w:r w:rsidR="00EB30EC" w:rsidRPr="00017A3C">
              <w:t xml:space="preserve">, </w:t>
            </w:r>
            <w:r w:rsidR="00E701F3">
              <w:t>n=</w:t>
            </w:r>
            <w:r w:rsidR="00EB30EC" w:rsidRPr="00017A3C">
              <w:t>37)</w:t>
            </w:r>
          </w:p>
        </w:tc>
        <w:tc>
          <w:tcPr>
            <w:tcW w:w="3464" w:type="dxa"/>
            <w:vAlign w:val="center"/>
          </w:tcPr>
          <w:p w14:paraId="364D4449" w14:textId="6D3C6936" w:rsidR="00EB30EC" w:rsidRPr="00A52A16" w:rsidRDefault="00EB30EC" w:rsidP="00017A3C">
            <w:r w:rsidRPr="00264E60">
              <w:rPr>
                <w:b/>
              </w:rPr>
              <w:t>263.43</w:t>
            </w:r>
            <w:r>
              <w:t xml:space="preserve"> </w:t>
            </w:r>
            <w:r w:rsidRPr="00A52A16">
              <w:t>(</w:t>
            </w:r>
            <w:r w:rsidR="00E701F3">
              <w:t>sd=</w:t>
            </w:r>
            <w:r>
              <w:t xml:space="preserve">430, </w:t>
            </w:r>
            <w:r w:rsidR="00E701F3">
              <w:t>n=</w:t>
            </w:r>
            <w:r>
              <w:t>3</w:t>
            </w:r>
            <w:r w:rsidR="00FB26A6">
              <w:t>6</w:t>
            </w:r>
            <w:r w:rsidRPr="00A52A16">
              <w:t>)</w:t>
            </w:r>
          </w:p>
        </w:tc>
      </w:tr>
      <w:tr w:rsidR="00EB30EC" w:rsidRPr="00A52A16" w14:paraId="609BC4A4" w14:textId="77777777" w:rsidTr="00264E60">
        <w:trPr>
          <w:trHeight w:val="414"/>
        </w:trPr>
        <w:tc>
          <w:tcPr>
            <w:tcW w:w="2602" w:type="dxa"/>
            <w:tcBorders>
              <w:bottom w:val="single" w:sz="4" w:space="0" w:color="auto"/>
            </w:tcBorders>
            <w:vAlign w:val="center"/>
          </w:tcPr>
          <w:p w14:paraId="644604D8" w14:textId="77777777" w:rsidR="00EB30EC" w:rsidRPr="00A52A16" w:rsidRDefault="00EB30EC" w:rsidP="00457E4D">
            <w:pPr>
              <w:ind w:left="-108"/>
            </w:pPr>
            <w:r>
              <w:t>Denial of Assumption</w:t>
            </w:r>
          </w:p>
        </w:tc>
        <w:tc>
          <w:tcPr>
            <w:tcW w:w="3006" w:type="dxa"/>
            <w:tcBorders>
              <w:bottom w:val="single" w:sz="4" w:space="0" w:color="auto"/>
            </w:tcBorders>
            <w:vAlign w:val="center"/>
          </w:tcPr>
          <w:p w14:paraId="195B7D85" w14:textId="086DFBA9" w:rsidR="00EB30EC" w:rsidRPr="00457E4D" w:rsidRDefault="00EB30EC" w:rsidP="00017A3C">
            <w:pPr>
              <w:rPr>
                <w:b/>
              </w:rPr>
            </w:pPr>
            <w:r w:rsidRPr="00264E60">
              <w:rPr>
                <w:b/>
              </w:rPr>
              <w:t xml:space="preserve">901.13 </w:t>
            </w:r>
            <w:r w:rsidRPr="00017A3C">
              <w:t>(</w:t>
            </w:r>
            <w:r w:rsidR="00E701F3">
              <w:t>sd=</w:t>
            </w:r>
            <w:r w:rsidRPr="00017A3C">
              <w:t xml:space="preserve">1,220, </w:t>
            </w:r>
            <w:r w:rsidR="00E701F3">
              <w:t>n=</w:t>
            </w:r>
            <w:r w:rsidRPr="00017A3C">
              <w:t>18)</w:t>
            </w:r>
          </w:p>
        </w:tc>
        <w:tc>
          <w:tcPr>
            <w:tcW w:w="3464" w:type="dxa"/>
            <w:tcBorders>
              <w:bottom w:val="single" w:sz="4" w:space="0" w:color="auto"/>
            </w:tcBorders>
            <w:vAlign w:val="center"/>
          </w:tcPr>
          <w:p w14:paraId="06BECBC4" w14:textId="447BA0C5" w:rsidR="00EB30EC" w:rsidRPr="00A52A16" w:rsidRDefault="00EB30EC" w:rsidP="00017A3C">
            <w:r w:rsidRPr="00264E60">
              <w:rPr>
                <w:b/>
              </w:rPr>
              <w:t>681.26</w:t>
            </w:r>
            <w:r>
              <w:t xml:space="preserve"> </w:t>
            </w:r>
            <w:r w:rsidRPr="00A52A16">
              <w:t>(</w:t>
            </w:r>
            <w:r w:rsidR="00E701F3">
              <w:t>sd=</w:t>
            </w:r>
            <w:r>
              <w:t xml:space="preserve">699, </w:t>
            </w:r>
            <w:r w:rsidR="00E701F3">
              <w:t>n=</w:t>
            </w:r>
            <w:r>
              <w:t>62</w:t>
            </w:r>
            <w:r w:rsidRPr="00A52A16">
              <w:t>)</w:t>
            </w:r>
          </w:p>
        </w:tc>
      </w:tr>
    </w:tbl>
    <w:p w14:paraId="6A6A5E30" w14:textId="5436EE06" w:rsidR="00D02DD5" w:rsidRDefault="00D02DD5" w:rsidP="00D02DD5">
      <w:pPr>
        <w:pStyle w:val="Caption"/>
        <w:spacing w:after="0"/>
        <w:jc w:val="both"/>
      </w:pPr>
    </w:p>
    <w:p w14:paraId="21BC793B" w14:textId="30D55490" w:rsidR="00EB4776" w:rsidRDefault="004479E9" w:rsidP="004479E9">
      <w:pPr>
        <w:tabs>
          <w:tab w:val="left" w:pos="567"/>
        </w:tabs>
        <w:jc w:val="both"/>
      </w:pPr>
      <w:r>
        <w:t>But while ANOVAs suggested that the variation between the functions is significant in English (</w:t>
      </w:r>
      <w:r>
        <w:rPr>
          <w:i/>
        </w:rPr>
        <w:t>F</w:t>
      </w:r>
      <w:r>
        <w:t xml:space="preserve"> </w:t>
      </w:r>
      <w:r w:rsidR="00EB30EC">
        <w:t>(3, 152</w:t>
      </w:r>
      <w:r w:rsidR="00E701F3">
        <w:t>)=</w:t>
      </w:r>
      <w:r w:rsidR="002E0F29">
        <w:t>5.0</w:t>
      </w:r>
      <w:r w:rsidR="001A53F2">
        <w:t>21</w:t>
      </w:r>
      <w:r>
        <w:t xml:space="preserve">, </w:t>
      </w:r>
      <w:r>
        <w:rPr>
          <w:i/>
        </w:rPr>
        <w:t>p</w:t>
      </w:r>
      <w:r w:rsidR="00E701F3">
        <w:t>=</w:t>
      </w:r>
      <w:r>
        <w:t>0.00</w:t>
      </w:r>
      <w:r w:rsidR="002E0F29">
        <w:t>2</w:t>
      </w:r>
      <w:r>
        <w:t>) and Dutch (</w:t>
      </w:r>
      <w:r>
        <w:rPr>
          <w:i/>
        </w:rPr>
        <w:t>F</w:t>
      </w:r>
      <w:r>
        <w:t xml:space="preserve"> </w:t>
      </w:r>
      <w:r w:rsidR="00EB30EC">
        <w:t>(3, 243</w:t>
      </w:r>
      <w:r w:rsidR="00E701F3">
        <w:t>)=</w:t>
      </w:r>
      <w:r w:rsidR="00D47CC3">
        <w:t>19.</w:t>
      </w:r>
      <w:r w:rsidR="002E0F29">
        <w:t>51</w:t>
      </w:r>
      <w:r>
        <w:t xml:space="preserve">, </w:t>
      </w:r>
      <w:r>
        <w:rPr>
          <w:i/>
        </w:rPr>
        <w:t>p</w:t>
      </w:r>
      <w:r>
        <w:t xml:space="preserve"> &lt; 0.001)</w:t>
      </w:r>
      <w:r w:rsidRPr="000270DF">
        <w:rPr>
          <w:rStyle w:val="FootnoteReference"/>
        </w:rPr>
        <w:footnoteReference w:id="4"/>
      </w:r>
      <w:r w:rsidR="00EB4776">
        <w:t xml:space="preserve">, the effect of </w:t>
      </w:r>
      <w:r w:rsidR="00227548">
        <w:t>semantic-pragmatic</w:t>
      </w:r>
      <w:r w:rsidR="00EB4776">
        <w:t xml:space="preserve"> function </w:t>
      </w:r>
      <w:r w:rsidR="001B5F7B">
        <w:t>was, again, not</w:t>
      </w:r>
      <w:r w:rsidR="00EB4776">
        <w:t xml:space="preserve"> confirmed by the findings from the conditional inference tree (</w:t>
      </w:r>
      <w:r w:rsidR="00DA3724">
        <w:fldChar w:fldCharType="begin"/>
      </w:r>
      <w:r w:rsidR="00DA3724">
        <w:instrText xml:space="preserve"> REF _Ref152249172 \h </w:instrText>
      </w:r>
      <w:r w:rsidR="00DA3724">
        <w:fldChar w:fldCharType="separate"/>
      </w:r>
      <w:r w:rsidR="008912AA">
        <w:t xml:space="preserve">Figure </w:t>
      </w:r>
      <w:r w:rsidR="008912AA">
        <w:rPr>
          <w:noProof/>
        </w:rPr>
        <w:t>8</w:t>
      </w:r>
      <w:r w:rsidR="00DA3724">
        <w:fldChar w:fldCharType="end"/>
      </w:r>
      <w:r w:rsidR="00196167">
        <w:t>)</w:t>
      </w:r>
      <w:r>
        <w:t>.</w:t>
      </w:r>
      <w:r w:rsidR="0063322A">
        <w:t xml:space="preserve"> </w:t>
      </w:r>
    </w:p>
    <w:p w14:paraId="7BE83C1D" w14:textId="4DDB32DA" w:rsidR="00EB4776" w:rsidRDefault="00EB4776" w:rsidP="004479E9">
      <w:pPr>
        <w:tabs>
          <w:tab w:val="left" w:pos="567"/>
        </w:tabs>
        <w:jc w:val="both"/>
      </w:pPr>
    </w:p>
    <w:p w14:paraId="7AE13287" w14:textId="77777777" w:rsidR="00DA3724" w:rsidRDefault="00DA3724" w:rsidP="00DA3724">
      <w:pPr>
        <w:keepNext/>
        <w:tabs>
          <w:tab w:val="left" w:pos="567"/>
        </w:tabs>
        <w:jc w:val="both"/>
      </w:pPr>
      <w:r w:rsidRPr="00DA3724">
        <w:rPr>
          <w:noProof/>
        </w:rPr>
        <w:drawing>
          <wp:inline distT="0" distB="0" distL="0" distR="0" wp14:anchorId="59FD34D9" wp14:editId="2987CE4D">
            <wp:extent cx="5699656" cy="3692525"/>
            <wp:effectExtent l="12700" t="12700" r="15875" b="158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17">
                      <a:extLst>
                        <a:ext uri="{28A0092B-C50C-407E-A947-70E740481C1C}">
                          <a14:useLocalDpi xmlns:a14="http://schemas.microsoft.com/office/drawing/2010/main" val="0"/>
                        </a:ext>
                      </a:extLst>
                    </a:blip>
                    <a:srcRect r="11539"/>
                    <a:stretch/>
                  </pic:blipFill>
                  <pic:spPr bwMode="auto">
                    <a:xfrm>
                      <a:off x="0" y="0"/>
                      <a:ext cx="5704070" cy="369538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789E4C5" w14:textId="61930749" w:rsidR="00EB30EC" w:rsidRDefault="00DA3724" w:rsidP="00DA3724">
      <w:pPr>
        <w:pStyle w:val="Caption"/>
        <w:jc w:val="both"/>
      </w:pPr>
      <w:bookmarkStart w:id="47" w:name="_Ref152249172"/>
      <w:r>
        <w:t xml:space="preserve">Figure </w:t>
      </w:r>
      <w:r>
        <w:fldChar w:fldCharType="begin"/>
      </w:r>
      <w:r>
        <w:instrText xml:space="preserve"> SEQ Figure \* ARABIC </w:instrText>
      </w:r>
      <w:r>
        <w:fldChar w:fldCharType="separate"/>
      </w:r>
      <w:r w:rsidR="008912AA">
        <w:rPr>
          <w:noProof/>
        </w:rPr>
        <w:t>8</w:t>
      </w:r>
      <w:r>
        <w:fldChar w:fldCharType="end"/>
      </w:r>
      <w:bookmarkEnd w:id="47"/>
      <w:r>
        <w:t>.</w:t>
      </w:r>
      <w:r w:rsidRPr="00A67997">
        <w:rPr>
          <w:b w:val="0"/>
        </w:rPr>
        <w:t xml:space="preserve"> Conditional inference tree for average pause (in ms) before HM clau</w:t>
      </w:r>
      <w:r w:rsidRPr="00DA3724">
        <w:rPr>
          <w:b w:val="0"/>
        </w:rPr>
        <w:t>ses</w:t>
      </w:r>
    </w:p>
    <w:p w14:paraId="2A432501" w14:textId="699887D1" w:rsidR="00CD0894" w:rsidRDefault="00CD0894" w:rsidP="00BA4309">
      <w:pPr>
        <w:tabs>
          <w:tab w:val="left" w:pos="567"/>
        </w:tabs>
        <w:jc w:val="both"/>
      </w:pPr>
    </w:p>
    <w:p w14:paraId="5699263F" w14:textId="1768355F" w:rsidR="00F63A5D" w:rsidRDefault="004C20DE" w:rsidP="00BA4309">
      <w:pPr>
        <w:tabs>
          <w:tab w:val="left" w:pos="567"/>
        </w:tabs>
        <w:jc w:val="both"/>
      </w:pPr>
      <w:r>
        <w:lastRenderedPageBreak/>
        <w:t xml:space="preserve">Instead, as for prosodic integration and for pitch reset, the only meaningful predictor of average pause length is syntactic dependency. The model confirms the </w:t>
      </w:r>
      <w:r w:rsidR="00A248DA">
        <w:t xml:space="preserve">significance of the </w:t>
      </w:r>
      <w:r>
        <w:t xml:space="preserve">distinction between independent clauses, on the one hand, and dependent clauses, on the other. </w:t>
      </w:r>
      <w:r w:rsidR="003450C6">
        <w:t xml:space="preserve">Together with the findings in Section </w:t>
      </w:r>
      <w:r w:rsidR="003450C6">
        <w:fldChar w:fldCharType="begin"/>
      </w:r>
      <w:r w:rsidR="003450C6">
        <w:instrText xml:space="preserve"> REF _Ref135657949 \n \h </w:instrText>
      </w:r>
      <w:r w:rsidR="003450C6">
        <w:fldChar w:fldCharType="separate"/>
      </w:r>
      <w:r w:rsidR="008912AA">
        <w:t>3.2.2</w:t>
      </w:r>
      <w:r w:rsidR="003450C6">
        <w:fldChar w:fldCharType="end"/>
      </w:r>
      <w:r w:rsidR="003450C6">
        <w:t xml:space="preserve">, this leads </w:t>
      </w:r>
      <w:r w:rsidR="00BA285D">
        <w:t xml:space="preserve">us </w:t>
      </w:r>
      <w:r w:rsidR="003450C6">
        <w:t xml:space="preserve">to conclude that pitch onset level and pre-onset pausing </w:t>
      </w:r>
      <w:r w:rsidR="00F63A5D">
        <w:t xml:space="preserve">point to a binary distinction between syntactically dependent vs. independent clauses, whereas prosodic integration (Section 3.2.1) pointed to syntactic dependency as a scalar category. We will come back to the implications of these findings in Section </w:t>
      </w:r>
      <w:r w:rsidR="00F63A5D">
        <w:fldChar w:fldCharType="begin"/>
      </w:r>
      <w:r w:rsidR="00F63A5D">
        <w:instrText xml:space="preserve"> REF _Ref134198981 \n \h </w:instrText>
      </w:r>
      <w:r w:rsidR="00F63A5D">
        <w:fldChar w:fldCharType="separate"/>
      </w:r>
      <w:r w:rsidR="008912AA">
        <w:t>4</w:t>
      </w:r>
      <w:r w:rsidR="00F63A5D">
        <w:fldChar w:fldCharType="end"/>
      </w:r>
      <w:r w:rsidR="00F63A5D">
        <w:t>.</w:t>
      </w:r>
    </w:p>
    <w:p w14:paraId="7A6CBF93" w14:textId="56BAEC5E" w:rsidR="006E64AF" w:rsidRDefault="006E64AF" w:rsidP="00446752"/>
    <w:p w14:paraId="5A78D120" w14:textId="1F52AAD1" w:rsidR="00DD5A82" w:rsidRPr="00A52A16" w:rsidRDefault="00DD5A82" w:rsidP="007C6429">
      <w:pPr>
        <w:pStyle w:val="Heading3"/>
      </w:pPr>
      <w:bookmarkStart w:id="48" w:name="_Ref135657946"/>
      <w:r w:rsidRPr="00A52A16">
        <w:t>Pitch contour</w:t>
      </w:r>
      <w:bookmarkEnd w:id="48"/>
    </w:p>
    <w:p w14:paraId="67FBA75E" w14:textId="40185E46" w:rsidR="00DD5A82" w:rsidRDefault="00DD5A82" w:rsidP="00DD5A82"/>
    <w:p w14:paraId="3C50ACD2" w14:textId="68784062" w:rsidR="00DD5A82" w:rsidRDefault="00925F33" w:rsidP="007D631A">
      <w:pPr>
        <w:jc w:val="both"/>
      </w:pPr>
      <w:r>
        <w:t>Finally, while the previous three prosodic factors all provided some indication of the intonational separation (or absence thereof) of the HM clause vis-à-vis the preceding clause, the fourth factor – pitch contour – provides some measure of the status that the speaker assigns to the information in the IU. Tone (or pitch contour) being polyfunctional, this can be in terms of epistemic status (e.g., with falls signalling certainty vs. rise</w:t>
      </w:r>
      <w:r w:rsidR="003854A7">
        <w:t>s</w:t>
      </w:r>
      <w:r>
        <w:t xml:space="preserve"> uncertainty)</w:t>
      </w:r>
      <w:r w:rsidR="00222CC4">
        <w:t xml:space="preserve"> (e.g., </w:t>
      </w:r>
      <w:r w:rsidR="00222CC4" w:rsidRPr="009E2938">
        <w:rPr>
          <w:szCs w:val="24"/>
        </w:rPr>
        <w:t>Halliday 1967: 40–47</w:t>
      </w:r>
      <w:r w:rsidR="00222CC4">
        <w:rPr>
          <w:szCs w:val="24"/>
        </w:rPr>
        <w:t>)</w:t>
      </w:r>
      <w:r>
        <w:t>, speaker attitude (e.g.,</w:t>
      </w:r>
      <w:r w:rsidR="001F7621">
        <w:t xml:space="preserve"> English</w:t>
      </w:r>
      <w:r>
        <w:t xml:space="preserve"> rise-falls </w:t>
      </w:r>
      <w:r w:rsidR="009B2777">
        <w:t xml:space="preserve">signalling ‘challenges’ and ‘impressedness’, </w:t>
      </w:r>
      <w:r w:rsidR="001F7621">
        <w:t xml:space="preserve">English and Dutch </w:t>
      </w:r>
      <w:r w:rsidR="009B2777">
        <w:t>fall-rises ‘contrastiveness’</w:t>
      </w:r>
      <w:r w:rsidR="001F7621">
        <w:t xml:space="preserve"> and ‘disagreement’</w:t>
      </w:r>
      <w:r w:rsidR="00222CC4">
        <w:t xml:space="preserve">, see for instance Collins </w:t>
      </w:r>
      <w:r w:rsidR="00152BE4">
        <w:t>and</w:t>
      </w:r>
      <w:r w:rsidR="00222CC4">
        <w:t xml:space="preserve"> Mees 2003: 247</w:t>
      </w:r>
      <w:r w:rsidR="009B2777">
        <w:t xml:space="preserve">), or </w:t>
      </w:r>
      <w:r w:rsidR="001F7621">
        <w:t>discourse</w:t>
      </w:r>
      <w:r w:rsidR="009B2777">
        <w:t xml:space="preserve"> status (e.g.,</w:t>
      </w:r>
      <w:r w:rsidR="001F7621">
        <w:t xml:space="preserve"> falls signal finality, rises non-finality, incompleteness</w:t>
      </w:r>
      <w:r w:rsidR="00222CC4">
        <w:t xml:space="preserve">, see for instance Halliday 1967 and Collins </w:t>
      </w:r>
      <w:r w:rsidR="00152BE4">
        <w:t>and</w:t>
      </w:r>
      <w:r w:rsidR="00222CC4">
        <w:t xml:space="preserve"> Mees 2003</w:t>
      </w:r>
      <w:r w:rsidR="001F7621">
        <w:t>)</w:t>
      </w:r>
      <w:r w:rsidR="009B2777">
        <w:t xml:space="preserve">. </w:t>
      </w:r>
    </w:p>
    <w:p w14:paraId="7E02CECD" w14:textId="6BAFF801" w:rsidR="00DD5A82" w:rsidRDefault="00DD5A82" w:rsidP="00DD5A82">
      <w:pPr>
        <w:tabs>
          <w:tab w:val="left" w:pos="567"/>
        </w:tabs>
        <w:jc w:val="both"/>
      </w:pPr>
      <w:r>
        <w:tab/>
      </w:r>
      <w:r w:rsidR="007D631A">
        <w:t>W</w:t>
      </w:r>
      <w:r>
        <w:t>hen it comes to the tone with which the HM clause is uttered</w:t>
      </w:r>
      <w:r w:rsidR="00C2702B">
        <w:t>,</w:t>
      </w:r>
      <w:r w:rsidR="00070466" w:rsidRPr="000270DF">
        <w:rPr>
          <w:rStyle w:val="FootnoteReference"/>
        </w:rPr>
        <w:footnoteReference w:id="5"/>
      </w:r>
      <w:r>
        <w:t xml:space="preserve"> we do indeed find some variation between the different levels of syntactic dependency</w:t>
      </w:r>
      <w:r w:rsidR="007D631A">
        <w:t xml:space="preserve"> </w:t>
      </w:r>
      <w:r>
        <w:t>(</w:t>
      </w:r>
      <w:r w:rsidR="004513F3">
        <w:t xml:space="preserve">cf. </w:t>
      </w:r>
      <w:r>
        <w:fldChar w:fldCharType="begin"/>
      </w:r>
      <w:r>
        <w:instrText xml:space="preserve"> REF _Ref132804115 \h </w:instrText>
      </w:r>
      <w:r>
        <w:fldChar w:fldCharType="separate"/>
      </w:r>
      <w:r w:rsidR="008912AA" w:rsidRPr="007625DC">
        <w:rPr>
          <w:szCs w:val="24"/>
        </w:rPr>
        <w:t xml:space="preserve">Figure </w:t>
      </w:r>
      <w:r w:rsidR="008912AA">
        <w:rPr>
          <w:noProof/>
          <w:szCs w:val="24"/>
        </w:rPr>
        <w:t>9</w:t>
      </w:r>
      <w:r>
        <w:fldChar w:fldCharType="end"/>
      </w:r>
      <w:r>
        <w:t xml:space="preserve">). </w:t>
      </w:r>
    </w:p>
    <w:p w14:paraId="4CC4787F" w14:textId="77777777" w:rsidR="00DD5A82" w:rsidRDefault="00DD5A82" w:rsidP="00DD5A82"/>
    <w:p w14:paraId="284F7AE0" w14:textId="27CB7AAF" w:rsidR="00DD5A82" w:rsidRDefault="00DD5A82" w:rsidP="00DD5A82">
      <w:r>
        <w:rPr>
          <w:noProof/>
        </w:rPr>
        <w:lastRenderedPageBreak/>
        <w:drawing>
          <wp:inline distT="0" distB="0" distL="0" distR="0" wp14:anchorId="3D42478F" wp14:editId="784F3D75">
            <wp:extent cx="5676900" cy="2603500"/>
            <wp:effectExtent l="0" t="0" r="0" b="63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C29BBF2" w14:textId="33CCFADE" w:rsidR="00DD5A82" w:rsidRDefault="00DD5A82" w:rsidP="00DD5A82">
      <w:r>
        <w:rPr>
          <w:noProof/>
        </w:rPr>
        <w:drawing>
          <wp:inline distT="0" distB="0" distL="0" distR="0" wp14:anchorId="0B111E6A" wp14:editId="2E1084E2">
            <wp:extent cx="5676900" cy="2603500"/>
            <wp:effectExtent l="0" t="0" r="0" b="63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81BDADA" w14:textId="64279A38" w:rsidR="00DD5A82" w:rsidRPr="007625DC" w:rsidRDefault="00DD5A82" w:rsidP="00DD5A82">
      <w:pPr>
        <w:pStyle w:val="Caption"/>
        <w:spacing w:after="0"/>
        <w:rPr>
          <w:szCs w:val="24"/>
        </w:rPr>
      </w:pPr>
      <w:bookmarkStart w:id="49" w:name="_Ref132804115"/>
      <w:r w:rsidRPr="007625DC">
        <w:rPr>
          <w:szCs w:val="24"/>
        </w:rPr>
        <w:t xml:space="preserve">Figure </w:t>
      </w:r>
      <w:r w:rsidRPr="007625DC">
        <w:rPr>
          <w:szCs w:val="24"/>
        </w:rPr>
        <w:fldChar w:fldCharType="begin"/>
      </w:r>
      <w:r w:rsidRPr="007625DC">
        <w:rPr>
          <w:szCs w:val="24"/>
        </w:rPr>
        <w:instrText xml:space="preserve"> SEQ Figure \* ARABIC </w:instrText>
      </w:r>
      <w:r w:rsidRPr="007625DC">
        <w:rPr>
          <w:szCs w:val="24"/>
        </w:rPr>
        <w:fldChar w:fldCharType="separate"/>
      </w:r>
      <w:r w:rsidR="008912AA">
        <w:rPr>
          <w:noProof/>
          <w:szCs w:val="24"/>
        </w:rPr>
        <w:t>9</w:t>
      </w:r>
      <w:r w:rsidRPr="007625DC">
        <w:rPr>
          <w:szCs w:val="24"/>
        </w:rPr>
        <w:fldChar w:fldCharType="end"/>
      </w:r>
      <w:bookmarkEnd w:id="49"/>
      <w:r>
        <w:rPr>
          <w:szCs w:val="24"/>
        </w:rPr>
        <w:t xml:space="preserve">. </w:t>
      </w:r>
      <w:r>
        <w:rPr>
          <w:b w:val="0"/>
          <w:szCs w:val="24"/>
        </w:rPr>
        <w:t>The choice of tone contour of the HM clause per syntactic dependency level</w:t>
      </w:r>
    </w:p>
    <w:p w14:paraId="1FA7AFEB" w14:textId="77777777" w:rsidR="00DD5A82" w:rsidRPr="00A52A16" w:rsidRDefault="00DD5A82" w:rsidP="00DD5A82"/>
    <w:p w14:paraId="028EB3D5" w14:textId="57DD0B81" w:rsidR="001F7621" w:rsidRDefault="00DD5A82" w:rsidP="00017A3C">
      <w:pPr>
        <w:tabs>
          <w:tab w:val="left" w:pos="567"/>
        </w:tabs>
        <w:jc w:val="both"/>
      </w:pPr>
      <w:r>
        <w:t xml:space="preserve">As can be seen in </w:t>
      </w:r>
      <w:r>
        <w:fldChar w:fldCharType="begin"/>
      </w:r>
      <w:r>
        <w:instrText xml:space="preserve"> REF _Ref132804115 \h </w:instrText>
      </w:r>
      <w:r>
        <w:fldChar w:fldCharType="separate"/>
      </w:r>
      <w:r w:rsidR="008912AA" w:rsidRPr="007625DC">
        <w:rPr>
          <w:szCs w:val="24"/>
        </w:rPr>
        <w:t xml:space="preserve">Figure </w:t>
      </w:r>
      <w:r w:rsidR="008912AA">
        <w:rPr>
          <w:noProof/>
          <w:szCs w:val="24"/>
        </w:rPr>
        <w:t>9</w:t>
      </w:r>
      <w:r>
        <w:fldChar w:fldCharType="end"/>
      </w:r>
      <w:r>
        <w:t xml:space="preserve">, the results differ somewhat between English and Dutch. </w:t>
      </w:r>
      <w:r w:rsidR="008179F7">
        <w:t>A distinction between four tones yielded a significant result for English (</w:t>
      </w:r>
      <w:r w:rsidR="008179F7">
        <w:rPr>
          <w:i/>
        </w:rPr>
        <w:t>p</w:t>
      </w:r>
      <w:r w:rsidR="00E701F3">
        <w:t>=</w:t>
      </w:r>
      <w:r w:rsidR="008179F7">
        <w:t>0.00</w:t>
      </w:r>
      <w:r w:rsidR="00A93834">
        <w:t>4</w:t>
      </w:r>
      <w:r w:rsidR="008179F7">
        <w:t>, Fisher Exact Test)</w:t>
      </w:r>
      <w:r w:rsidR="008179F7" w:rsidRPr="000270DF">
        <w:rPr>
          <w:rStyle w:val="FootnoteReference"/>
        </w:rPr>
        <w:footnoteReference w:id="6"/>
      </w:r>
      <w:r w:rsidR="008179F7">
        <w:t xml:space="preserve"> but not for Dutch (</w:t>
      </w:r>
      <w:r w:rsidR="008179F7">
        <w:rPr>
          <w:i/>
        </w:rPr>
        <w:t>p</w:t>
      </w:r>
      <w:r w:rsidR="00E701F3">
        <w:t>=</w:t>
      </w:r>
      <w:r w:rsidR="008179F7">
        <w:t xml:space="preserve">0.05, Fisher Exact Test), even if the </w:t>
      </w:r>
      <w:r w:rsidR="008179F7">
        <w:rPr>
          <w:i/>
        </w:rPr>
        <w:t>p</w:t>
      </w:r>
      <w:r w:rsidR="008179F7">
        <w:t>-value for the Dutch data was just above the threshold for significance. At a more general level, a binary contrast between falling and rising tones (i.e.,</w:t>
      </w:r>
      <w:r w:rsidR="00D47590">
        <w:t xml:space="preserve"> (delayed)</w:t>
      </w:r>
      <w:r w:rsidR="008179F7">
        <w:t xml:space="preserve"> falls and</w:t>
      </w:r>
      <w:r w:rsidR="00D47590">
        <w:t xml:space="preserve">/or </w:t>
      </w:r>
      <w:r w:rsidR="008179F7">
        <w:t xml:space="preserve">rise-falls, on the one hand, and rises and fall-rises, on the other hand) did point to significant variation across syntactic levels in both languages. </w:t>
      </w:r>
      <w:r w:rsidR="00AC369A">
        <w:t>In English (</w:t>
      </w:r>
      <w:r w:rsidR="00AC369A">
        <w:rPr>
          <w:i/>
        </w:rPr>
        <w:t>χ</w:t>
      </w:r>
      <w:proofErr w:type="gramStart"/>
      <w:r w:rsidR="00AC369A">
        <w:t>²(</w:t>
      </w:r>
      <w:proofErr w:type="gramEnd"/>
      <w:r w:rsidR="00AC369A">
        <w:t>2</w:t>
      </w:r>
      <w:r w:rsidR="008179F7">
        <w:t xml:space="preserve">, </w:t>
      </w:r>
      <w:r w:rsidR="00E701F3" w:rsidRPr="00761A37">
        <w:rPr>
          <w:i/>
        </w:rPr>
        <w:t>N</w:t>
      </w:r>
      <w:r w:rsidR="00E701F3">
        <w:t>=</w:t>
      </w:r>
      <w:r w:rsidR="008179F7">
        <w:t>15</w:t>
      </w:r>
      <w:r w:rsidR="00900539">
        <w:t>6</w:t>
      </w:r>
      <w:r w:rsidR="00E701F3">
        <w:t>)=</w:t>
      </w:r>
      <w:r w:rsidR="00086838">
        <w:t>8.1324</w:t>
      </w:r>
      <w:r w:rsidR="00AC369A">
        <w:t xml:space="preserve">, </w:t>
      </w:r>
      <w:r w:rsidR="00AC369A">
        <w:rPr>
          <w:i/>
        </w:rPr>
        <w:t>p</w:t>
      </w:r>
      <w:r w:rsidR="00E701F3">
        <w:t>=</w:t>
      </w:r>
      <w:r w:rsidR="00AC369A">
        <w:t>0.0</w:t>
      </w:r>
      <w:r w:rsidR="00086838">
        <w:t>1714</w:t>
      </w:r>
      <w:r w:rsidR="00AC369A">
        <w:t>; Cramer’s V: 0.</w:t>
      </w:r>
      <w:r w:rsidR="00A304CE">
        <w:t>2</w:t>
      </w:r>
      <w:r w:rsidR="00E715D8">
        <w:t>2</w:t>
      </w:r>
      <w:r w:rsidR="00086838">
        <w:t>8</w:t>
      </w:r>
      <w:r w:rsidR="00AC369A">
        <w:t xml:space="preserve">), </w:t>
      </w:r>
      <w:r w:rsidR="00013EFE">
        <w:t xml:space="preserve">the frequency of rising tones increases as the level of syntactic </w:t>
      </w:r>
      <w:r w:rsidR="003419B6">
        <w:t xml:space="preserve">dependency </w:t>
      </w:r>
      <w:r w:rsidR="00013EFE">
        <w:t xml:space="preserve">decreases. </w:t>
      </w:r>
      <w:r w:rsidR="00D92A63">
        <w:t xml:space="preserve">The standardised residuals indicate that the strength of the difference between observed and expected values is small (as </w:t>
      </w:r>
      <w:r w:rsidR="00D92A63">
        <w:lastRenderedPageBreak/>
        <w:t xml:space="preserve">they do not go below -2 or beyond 2), and that the effect is due entirely to the sparseness of rises with strongly dependent clauses and to the relatively high frequency of rises with independent clauses. The latter is, in turn, due to the </w:t>
      </w:r>
      <w:proofErr w:type="gramStart"/>
      <w:r w:rsidR="00D92A63">
        <w:t>particular frequency</w:t>
      </w:r>
      <w:proofErr w:type="gramEnd"/>
      <w:r w:rsidR="00D92A63">
        <w:t xml:space="preserve"> of fall-rises, as shown in </w:t>
      </w:r>
      <w:r w:rsidR="00D92A63">
        <w:fldChar w:fldCharType="begin"/>
      </w:r>
      <w:r w:rsidR="00D92A63">
        <w:instrText xml:space="preserve"> REF _Ref132804115 \h </w:instrText>
      </w:r>
      <w:r w:rsidR="00D92A63">
        <w:fldChar w:fldCharType="separate"/>
      </w:r>
      <w:r w:rsidR="008912AA" w:rsidRPr="007625DC">
        <w:rPr>
          <w:szCs w:val="24"/>
        </w:rPr>
        <w:t xml:space="preserve">Figure </w:t>
      </w:r>
      <w:r w:rsidR="008912AA">
        <w:rPr>
          <w:noProof/>
          <w:szCs w:val="24"/>
        </w:rPr>
        <w:t>9</w:t>
      </w:r>
      <w:r w:rsidR="00D92A63">
        <w:fldChar w:fldCharType="end"/>
      </w:r>
      <w:r w:rsidR="00D92A63">
        <w:t xml:space="preserve">. </w:t>
      </w:r>
      <w:r w:rsidR="00013EFE">
        <w:t>In Dutch (χ</w:t>
      </w:r>
      <w:proofErr w:type="gramStart"/>
      <w:r w:rsidR="00013EFE">
        <w:t>²(</w:t>
      </w:r>
      <w:proofErr w:type="gramEnd"/>
      <w:r w:rsidR="00013EFE">
        <w:t>2</w:t>
      </w:r>
      <w:r w:rsidR="007F397F">
        <w:t xml:space="preserve">, </w:t>
      </w:r>
      <w:r w:rsidR="00E701F3" w:rsidRPr="00761A37">
        <w:rPr>
          <w:i/>
        </w:rPr>
        <w:t>N</w:t>
      </w:r>
      <w:r w:rsidR="00E701F3">
        <w:t>=</w:t>
      </w:r>
      <w:r w:rsidR="007F397F">
        <w:t>247</w:t>
      </w:r>
      <w:r w:rsidR="00E701F3">
        <w:t>)=</w:t>
      </w:r>
      <w:r w:rsidR="00013EFE">
        <w:t xml:space="preserve">10.884, </w:t>
      </w:r>
      <w:r w:rsidR="00013EFE">
        <w:rPr>
          <w:i/>
        </w:rPr>
        <w:t>p</w:t>
      </w:r>
      <w:r w:rsidR="00E701F3">
        <w:t>=</w:t>
      </w:r>
      <w:r w:rsidR="00013EFE">
        <w:t>0.004; Cramer’s V: 0.21), by contrast, the opposite happens: as clauses become syntactically more independent, their preference for falling tones becomes more pronounced.</w:t>
      </w:r>
      <w:r w:rsidR="008F2C83">
        <w:t xml:space="preserve"> </w:t>
      </w:r>
      <w:r w:rsidR="00D92A63">
        <w:t>The standardised residuals specify that the effect is, again, due to the frequency of rises, which is higher than expected with strongly dependent clauses (</w:t>
      </w:r>
      <w:r w:rsidR="002922DE">
        <w:t>r=</w:t>
      </w:r>
      <w:r w:rsidR="00D92A63">
        <w:t>2.06) vs. lower with independent clauses (</w:t>
      </w:r>
      <w:r w:rsidR="002922DE">
        <w:t>r=</w:t>
      </w:r>
      <w:r w:rsidR="00D92A63">
        <w:t xml:space="preserve">2.06). Together, these findings suggest that, in Dutch, the frequency of rising tones is genuinely influenced by the syntactic dependency status of the </w:t>
      </w:r>
      <w:proofErr w:type="gramStart"/>
      <w:r w:rsidR="00D92A63">
        <w:t>clause;</w:t>
      </w:r>
      <w:proofErr w:type="gramEnd"/>
      <w:r w:rsidR="00D92A63">
        <w:t xml:space="preserve"> whereas, in English, the significant findings are likely due to the unexpectedly high frequency of fall-rises with independent clauses.</w:t>
      </w:r>
    </w:p>
    <w:p w14:paraId="0A8C13AB" w14:textId="5B5C6DC6" w:rsidR="00DD5A82" w:rsidRPr="00364490" w:rsidRDefault="00DD5A82" w:rsidP="00DD5A82">
      <w:pPr>
        <w:tabs>
          <w:tab w:val="left" w:pos="567"/>
        </w:tabs>
        <w:jc w:val="both"/>
      </w:pPr>
      <w:r>
        <w:tab/>
      </w:r>
      <w:r w:rsidR="009F5C9B">
        <w:t>A</w:t>
      </w:r>
      <w:r>
        <w:t xml:space="preserve">cross the four </w:t>
      </w:r>
      <w:r w:rsidR="00227548">
        <w:t>semantic-pragmatic</w:t>
      </w:r>
      <w:r>
        <w:t xml:space="preserve"> functions, significant differences in the choice for falling </w:t>
      </w:r>
      <w:r w:rsidR="00D5223F">
        <w:t>vs.</w:t>
      </w:r>
      <w:r>
        <w:t xml:space="preserve"> rising tones are found</w:t>
      </w:r>
      <w:r w:rsidR="00D5223F">
        <w:t xml:space="preserve"> as well</w:t>
      </w:r>
      <w:r>
        <w:t xml:space="preserve">, </w:t>
      </w:r>
      <w:r w:rsidR="00727EAB">
        <w:t>both for</w:t>
      </w:r>
      <w:r>
        <w:t xml:space="preserve"> </w:t>
      </w:r>
      <w:r w:rsidR="00727EAB">
        <w:t>English (</w:t>
      </w:r>
      <w:r w:rsidR="00727EAB">
        <w:rPr>
          <w:i/>
        </w:rPr>
        <w:t>p</w:t>
      </w:r>
      <w:r w:rsidR="00E701F3">
        <w:t>=</w:t>
      </w:r>
      <w:r w:rsidR="00A304CE">
        <w:t>0.02</w:t>
      </w:r>
      <w:r w:rsidR="00086838">
        <w:t>3</w:t>
      </w:r>
      <w:r w:rsidR="00727EAB">
        <w:t>, Fisher Exact Test)</w:t>
      </w:r>
      <w:r w:rsidR="00727EAB" w:rsidRPr="000270DF">
        <w:rPr>
          <w:rStyle w:val="FootnoteReference"/>
        </w:rPr>
        <w:footnoteReference w:id="7"/>
      </w:r>
      <w:r w:rsidR="00727EAB">
        <w:t xml:space="preserve"> and</w:t>
      </w:r>
      <w:r w:rsidR="00D5223F">
        <w:t xml:space="preserve"> for</w:t>
      </w:r>
      <w:r w:rsidR="00727EAB">
        <w:t xml:space="preserve"> </w:t>
      </w:r>
      <w:r>
        <w:t>Dutch (</w:t>
      </w:r>
      <w:r w:rsidRPr="00364490">
        <w:rPr>
          <w:i/>
        </w:rPr>
        <w:t>χ</w:t>
      </w:r>
      <w:r>
        <w:t>²(</w:t>
      </w:r>
      <w:r w:rsidR="00D15BC9">
        <w:t>3</w:t>
      </w:r>
      <w:r w:rsidR="00761A37">
        <w:t xml:space="preserve">, </w:t>
      </w:r>
      <w:r w:rsidR="00761A37">
        <w:rPr>
          <w:i/>
        </w:rPr>
        <w:t>N=</w:t>
      </w:r>
      <w:r w:rsidR="00155DFC">
        <w:t>247</w:t>
      </w:r>
      <w:r w:rsidR="00E701F3">
        <w:t>)=</w:t>
      </w:r>
      <w:r>
        <w:t>12.</w:t>
      </w:r>
      <w:r w:rsidR="00F61211">
        <w:t>383</w:t>
      </w:r>
      <w:r>
        <w:t xml:space="preserve">, </w:t>
      </w:r>
      <w:r>
        <w:rPr>
          <w:i/>
        </w:rPr>
        <w:t>p</w:t>
      </w:r>
      <w:r w:rsidR="00E701F3">
        <w:rPr>
          <w:i/>
        </w:rPr>
        <w:t>=</w:t>
      </w:r>
      <w:r>
        <w:t>0.006; Cramer’s V: 0.224) (</w:t>
      </w:r>
      <w:r w:rsidR="00C864FF">
        <w:t xml:space="preserve">cf. </w:t>
      </w:r>
      <w:r>
        <w:fldChar w:fldCharType="begin"/>
      </w:r>
      <w:r>
        <w:instrText xml:space="preserve"> REF _Ref132812115 \h </w:instrText>
      </w:r>
      <w:r>
        <w:fldChar w:fldCharType="separate"/>
      </w:r>
      <w:r w:rsidR="008912AA" w:rsidRPr="007625DC">
        <w:rPr>
          <w:szCs w:val="24"/>
        </w:rPr>
        <w:t xml:space="preserve">Figure </w:t>
      </w:r>
      <w:r w:rsidR="008912AA">
        <w:rPr>
          <w:noProof/>
          <w:szCs w:val="24"/>
        </w:rPr>
        <w:t>10</w:t>
      </w:r>
      <w:r>
        <w:fldChar w:fldCharType="end"/>
      </w:r>
      <w:r>
        <w:t>).</w:t>
      </w:r>
      <w:r w:rsidR="00E31430">
        <w:t xml:space="preserve"> (The numbers for the four specific tones, across the </w:t>
      </w:r>
      <w:r w:rsidR="003D55E5">
        <w:t>semantic-</w:t>
      </w:r>
      <w:r w:rsidR="00E31430">
        <w:t>pragmatic functions, were too small</w:t>
      </w:r>
      <w:r w:rsidR="00765D13">
        <w:t xml:space="preserve"> for a reliable statistical test</w:t>
      </w:r>
      <w:r w:rsidR="00E31430">
        <w:t>.</w:t>
      </w:r>
      <w:r w:rsidR="00E07EDB">
        <w:t>)</w:t>
      </w:r>
    </w:p>
    <w:p w14:paraId="3ADB2FBC" w14:textId="77777777" w:rsidR="00DD5A82" w:rsidRDefault="00DD5A82" w:rsidP="00DD5A82"/>
    <w:p w14:paraId="05C30403" w14:textId="241DBCD7" w:rsidR="00DD5A82" w:rsidRDefault="00DD5A82" w:rsidP="00DD5A82">
      <w:r>
        <w:rPr>
          <w:noProof/>
        </w:rPr>
        <w:drawing>
          <wp:inline distT="0" distB="0" distL="0" distR="0" wp14:anchorId="6A6E4B84" wp14:editId="526F4A02">
            <wp:extent cx="5730240" cy="2603500"/>
            <wp:effectExtent l="0" t="0" r="3810" b="635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57D89DC" w14:textId="4A334D47" w:rsidR="00DD5A82" w:rsidRDefault="00DD5A82" w:rsidP="00DD5A82">
      <w:r>
        <w:rPr>
          <w:noProof/>
        </w:rPr>
        <w:lastRenderedPageBreak/>
        <w:drawing>
          <wp:inline distT="0" distB="0" distL="0" distR="0" wp14:anchorId="43985E40" wp14:editId="5F34C748">
            <wp:extent cx="5730240" cy="2603500"/>
            <wp:effectExtent l="0" t="0" r="3810" b="63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1E7B30" w14:textId="3AA8B337" w:rsidR="00DD5A82" w:rsidRPr="007625DC" w:rsidRDefault="00DD5A82" w:rsidP="00DD5A82">
      <w:pPr>
        <w:pStyle w:val="Caption"/>
        <w:spacing w:after="0"/>
        <w:rPr>
          <w:szCs w:val="24"/>
        </w:rPr>
      </w:pPr>
      <w:bookmarkStart w:id="50" w:name="_Ref132812115"/>
      <w:r w:rsidRPr="007625DC">
        <w:rPr>
          <w:szCs w:val="24"/>
        </w:rPr>
        <w:t xml:space="preserve">Figure </w:t>
      </w:r>
      <w:r w:rsidRPr="007625DC">
        <w:rPr>
          <w:szCs w:val="24"/>
        </w:rPr>
        <w:fldChar w:fldCharType="begin"/>
      </w:r>
      <w:r w:rsidRPr="007625DC">
        <w:rPr>
          <w:szCs w:val="24"/>
        </w:rPr>
        <w:instrText xml:space="preserve"> SEQ Figure \* ARABIC </w:instrText>
      </w:r>
      <w:r w:rsidRPr="007625DC">
        <w:rPr>
          <w:szCs w:val="24"/>
        </w:rPr>
        <w:fldChar w:fldCharType="separate"/>
      </w:r>
      <w:r w:rsidR="008912AA">
        <w:rPr>
          <w:noProof/>
          <w:szCs w:val="24"/>
        </w:rPr>
        <w:t>10</w:t>
      </w:r>
      <w:r w:rsidRPr="007625DC">
        <w:rPr>
          <w:szCs w:val="24"/>
        </w:rPr>
        <w:fldChar w:fldCharType="end"/>
      </w:r>
      <w:bookmarkEnd w:id="50"/>
      <w:r>
        <w:rPr>
          <w:szCs w:val="24"/>
        </w:rPr>
        <w:t xml:space="preserve">. </w:t>
      </w:r>
      <w:r>
        <w:rPr>
          <w:b w:val="0"/>
          <w:szCs w:val="24"/>
        </w:rPr>
        <w:t xml:space="preserve">The choice of tone contour of the HM clause per </w:t>
      </w:r>
      <w:r w:rsidR="00227548">
        <w:rPr>
          <w:b w:val="0"/>
          <w:szCs w:val="24"/>
        </w:rPr>
        <w:t>semantic-pragmatic</w:t>
      </w:r>
      <w:r>
        <w:rPr>
          <w:b w:val="0"/>
          <w:szCs w:val="24"/>
        </w:rPr>
        <w:t xml:space="preserve"> function</w:t>
      </w:r>
    </w:p>
    <w:p w14:paraId="1868B81B" w14:textId="77777777" w:rsidR="00DD5A82" w:rsidRPr="00A52A16" w:rsidRDefault="00DD5A82" w:rsidP="00DD5A82"/>
    <w:p w14:paraId="046BAB38" w14:textId="587E5BF9" w:rsidR="00DD5A82" w:rsidRDefault="00DD5A82">
      <w:pPr>
        <w:tabs>
          <w:tab w:val="left" w:pos="567"/>
        </w:tabs>
        <w:jc w:val="both"/>
      </w:pPr>
      <w:r>
        <w:t>In English, the difference is entirely due to clauses expressing ‘denial of assumption’ being significantly more likely than the other functional types to be uttered with a final fall-ris</w:t>
      </w:r>
      <w:r w:rsidR="00B55004">
        <w:t>e</w:t>
      </w:r>
      <w:r>
        <w:t xml:space="preserve"> (44%) (even though the small numbers for ‘denial of assumption’ caution against drawing firm conclusions). ‘Denial of assumption’ being exclusively expressed by independent (insubordinate) clauses, this explains why we saw a higher incidence of rising tones with syntactically independent clauses in English. These findings tentatively suggest that English insubordinate </w:t>
      </w:r>
      <w:r w:rsidR="009F5C9B">
        <w:t>‘denial’</w:t>
      </w:r>
      <w:r>
        <w:t xml:space="preserve"> clauses seem to attract a particular tonal contour, namely fall-rises. Their meaning potential of signalling ‘contradiction’ </w:t>
      </w:r>
      <w:r w:rsidRPr="005F4F2E">
        <w:t xml:space="preserve">(Liberman </w:t>
      </w:r>
      <w:r w:rsidR="007948AE">
        <w:t>and</w:t>
      </w:r>
      <w:r w:rsidRPr="005F4F2E">
        <w:t xml:space="preserve"> Sag 1974)</w:t>
      </w:r>
      <w:r>
        <w:t xml:space="preserve"> and ‘</w:t>
      </w:r>
      <w:r w:rsidR="009F5C9B">
        <w:t xml:space="preserve">doubt, correction, appeal to the listener to reconsider’ </w:t>
      </w:r>
      <w:r w:rsidR="009F5C9B">
        <w:fldChar w:fldCharType="begin"/>
      </w:r>
      <w:r w:rsidR="009F5C9B">
        <w:instrText xml:space="preserve"> ADDIN ZOTERO_ITEM CSL_CITATION {"citationID":"cFyY6DaU","properties":{"formattedCitation":"(Collins &amp; Mees 2003: 257)","plainCitation":"(Collins &amp; Mees 2003: 257)","noteIndex":0},"citationItems":[{"id":2110,"uris":["http://zotero.org/users/5024743/items/6VL57A8S"],"itemData":{"id":2110,"type":"book","event-place":"London","publisher":"Brill","publisher-place":"London","title":"The Phonetics of English and Dutch","author":[{"family":"Collins","given":"Beverley"},{"family":"Mees","given":"Inger M."}],"issued":{"date-parts":[["2003"]]}},"locator":"257","label":"page"}],"schema":"https://github.com/citation-style-language/schema/raw/master/csl-citation.json"} </w:instrText>
      </w:r>
      <w:r w:rsidR="009F5C9B">
        <w:fldChar w:fldCharType="separate"/>
      </w:r>
      <w:r w:rsidR="009F5C9B" w:rsidRPr="009F5C9B">
        <w:t xml:space="preserve">(Collins </w:t>
      </w:r>
      <w:r w:rsidR="007948AE">
        <w:t>and</w:t>
      </w:r>
      <w:r w:rsidR="009F5C9B" w:rsidRPr="009F5C9B">
        <w:t xml:space="preserve"> Mees 2003: 257)</w:t>
      </w:r>
      <w:r w:rsidR="009F5C9B">
        <w:fldChar w:fldCharType="end"/>
      </w:r>
      <w:r>
        <w:t xml:space="preserve"> aligns, indeed, with the function of ‘denial of assumption’</w:t>
      </w:r>
      <w:r w:rsidR="006B5531">
        <w:t>, which</w:t>
      </w:r>
      <w:r w:rsidR="00BB5494">
        <w:t xml:space="preserve">, in addition to its meaning of refutation, has been associated with </w:t>
      </w:r>
      <w:r w:rsidR="00934C4F">
        <w:t xml:space="preserve">an ‘exclamative-evaluative’ function (Brinton 2014) and even ‘sarcasm’ </w:t>
      </w:r>
      <w:r w:rsidR="00934C4F" w:rsidRPr="00934C4F">
        <w:t xml:space="preserve">(Bledin </w:t>
      </w:r>
      <w:r w:rsidR="007948AE">
        <w:t>and</w:t>
      </w:r>
      <w:r w:rsidR="00934C4F" w:rsidRPr="00934C4F">
        <w:t xml:space="preserve"> </w:t>
      </w:r>
      <w:r w:rsidR="00934C4F" w:rsidRPr="00F862C3">
        <w:t>Srinivas 2020: 86)</w:t>
      </w:r>
      <w:r w:rsidRPr="00F862C3">
        <w:t xml:space="preserve">. In Dutch, by contrast, ‘denial of assumption’ </w:t>
      </w:r>
      <w:r w:rsidR="00FB0FA7" w:rsidRPr="00F862C3">
        <w:t xml:space="preserve">does not have as </w:t>
      </w:r>
      <w:r w:rsidR="00D26ABD" w:rsidRPr="00F862C3">
        <w:t xml:space="preserve">clear </w:t>
      </w:r>
      <w:r w:rsidR="00FB0FA7" w:rsidRPr="00F862C3">
        <w:t xml:space="preserve">a preference for a particular tonal contour, </w:t>
      </w:r>
      <w:r w:rsidR="00B55004" w:rsidRPr="00F862C3">
        <w:t>though</w:t>
      </w:r>
      <w:r w:rsidR="00FB0FA7" w:rsidRPr="00F862C3">
        <w:t xml:space="preserve"> we do see </w:t>
      </w:r>
      <w:r w:rsidR="00D26ABD" w:rsidRPr="00F862C3">
        <w:t>high frequencies of both falls (58%) and</w:t>
      </w:r>
      <w:r w:rsidR="00FB0FA7" w:rsidRPr="00F862C3">
        <w:t xml:space="preserve"> </w:t>
      </w:r>
      <w:r w:rsidR="00D47590" w:rsidRPr="00F862C3">
        <w:t>delayed falls</w:t>
      </w:r>
      <w:r w:rsidR="008913B6" w:rsidRPr="00F862C3">
        <w:t xml:space="preserve"> (32%). </w:t>
      </w:r>
      <w:r w:rsidR="00D47590" w:rsidRPr="00F862C3">
        <w:t xml:space="preserve">The meaning associated with delayed falls has, to the best of our knowledge, not been described. </w:t>
      </w:r>
      <w:r w:rsidR="001F43C8" w:rsidRPr="00F862C3">
        <w:fldChar w:fldCharType="begin"/>
      </w:r>
      <w:r w:rsidR="001F43C8" w:rsidRPr="00F862C3">
        <w:instrText xml:space="preserve"> ADDIN ZOTERO_ITEM CSL_CITATION {"citationID":"NU7ZCe8T","properties":{"formattedCitation":"(Collins &amp; Mees 2003: 278\\uc0\\u8211{}279)","plainCitation":"(Collins &amp; Mees 2003: 278–279)","noteIndex":0},"citationItems":[{"id":2110,"uris":["http://zotero.org/users/5024743/items/6VL57A8S"],"itemData":{"id":2110,"type":"book","event-place":"London","publisher":"Brill","publisher-place":"London","title":"The Phonetics of English and Dutch","author":[{"family":"Collins","given":"Beverley"},{"family":"Mees","given":"Inger M."}],"issued":{"date-parts":[["2003"]]}},"locator":"278-279","label":"page"}],"schema":"https://github.com/citation-style-language/schema/raw/master/csl-citation.json"} </w:instrText>
      </w:r>
      <w:r w:rsidR="001F43C8" w:rsidRPr="00F862C3">
        <w:fldChar w:fldCharType="separate"/>
      </w:r>
      <w:r w:rsidR="001F43C8" w:rsidRPr="00F862C3">
        <w:rPr>
          <w:szCs w:val="24"/>
        </w:rPr>
        <w:t xml:space="preserve">Collins </w:t>
      </w:r>
      <w:r w:rsidR="007948AE" w:rsidRPr="00F862C3">
        <w:rPr>
          <w:szCs w:val="24"/>
        </w:rPr>
        <w:t>and</w:t>
      </w:r>
      <w:r w:rsidR="001F43C8" w:rsidRPr="00F862C3">
        <w:rPr>
          <w:szCs w:val="24"/>
        </w:rPr>
        <w:t xml:space="preserve"> Mees (2003: 278–279)</w:t>
      </w:r>
      <w:r w:rsidR="001F43C8" w:rsidRPr="00F862C3">
        <w:fldChar w:fldCharType="end"/>
      </w:r>
      <w:r w:rsidR="001F43C8">
        <w:t xml:space="preserve">, however, describe two prosodic patterns for Dutch that </w:t>
      </w:r>
      <w:r w:rsidR="00D26ABD">
        <w:t>can be found with both falls and</w:t>
      </w:r>
      <w:r w:rsidR="001F43C8">
        <w:t xml:space="preserve"> delayed falls. First, </w:t>
      </w:r>
      <w:r w:rsidR="00D26ABD">
        <w:t>(delayed) falls can combine with a</w:t>
      </w:r>
      <w:r w:rsidR="001F43C8">
        <w:t xml:space="preserve"> so-called ‘climbing head’</w:t>
      </w:r>
      <w:r w:rsidR="00D26ABD">
        <w:t>,</w:t>
      </w:r>
      <w:r w:rsidR="001F43C8">
        <w:t xml:space="preserve"> in which each stressed syllable following the onset </w:t>
      </w:r>
      <w:r w:rsidR="00616B3D">
        <w:t>marks a</w:t>
      </w:r>
      <w:r w:rsidR="003A40F2">
        <w:t>n</w:t>
      </w:r>
      <w:r w:rsidR="00616B3D">
        <w:t xml:space="preserve"> upward step in </w:t>
      </w:r>
      <w:r w:rsidR="00B31D3A">
        <w:t>pitch</w:t>
      </w:r>
      <w:r w:rsidR="00616B3D">
        <w:t xml:space="preserve"> </w:t>
      </w:r>
      <w:r w:rsidR="00B31D3A">
        <w:t xml:space="preserve">‘climbing’ </w:t>
      </w:r>
      <w:r w:rsidR="00616B3D">
        <w:t>towards the nuclear accent</w:t>
      </w:r>
      <w:r w:rsidR="00D26ABD">
        <w:t xml:space="preserve">: this pattern </w:t>
      </w:r>
      <w:r w:rsidR="00B31D3A">
        <w:t>“</w:t>
      </w:r>
      <w:r w:rsidR="00B31D3A" w:rsidRPr="00B31D3A">
        <w:t>is emotively marked, and may be associated with impatience, surprise, etc.</w:t>
      </w:r>
      <w:r w:rsidR="00B31D3A">
        <w:t xml:space="preserve">” (Collins </w:t>
      </w:r>
      <w:r w:rsidR="007948AE">
        <w:t>and</w:t>
      </w:r>
      <w:r w:rsidR="00B31D3A">
        <w:t xml:space="preserve"> Mees 2003: 279)</w:t>
      </w:r>
      <w:r w:rsidR="001F43C8">
        <w:t>.</w:t>
      </w:r>
      <w:r w:rsidR="005E37B8">
        <w:t xml:space="preserve"> Second, </w:t>
      </w:r>
      <w:r w:rsidR="00D26ABD">
        <w:t>(delayed) falls</w:t>
      </w:r>
      <w:r w:rsidR="005E37B8">
        <w:t xml:space="preserve"> can be realised as ‘sharp drops’</w:t>
      </w:r>
      <w:r w:rsidR="003A40F2">
        <w:t xml:space="preserve"> (i.e., from high immediately to low)</w:t>
      </w:r>
      <w:r w:rsidR="00D26ABD">
        <w:t xml:space="preserve">, which are </w:t>
      </w:r>
      <w:r w:rsidR="005E37B8">
        <w:t xml:space="preserve">associated with “exasperation, irritation, correction, impatience” </w:t>
      </w:r>
      <w:r w:rsidR="005E37B8">
        <w:fldChar w:fldCharType="begin"/>
      </w:r>
      <w:r w:rsidR="005E37B8">
        <w:instrText xml:space="preserve"> ADDIN ZOTERO_ITEM CSL_CITATION {"citationID":"tPmy0gdK","properties":{"formattedCitation":"(Collins &amp; Mees 2003: 278)","plainCitation":"(Collins &amp; Mees 2003: 278)","noteIndex":0},"citationItems":[{"id":2110,"uris":["http://zotero.org/users/5024743/items/6VL57A8S"],"itemData":{"id":2110,"type":"book","event-place":"London","publisher":"Brill","publisher-place":"London","title":"The Phonetics of English and Dutch","author":[{"family":"Collins","given":"Beverley"},{"family":"Mees","given":"Inger M."}],"issued":{"date-parts":[["2003"]]}},"locator":"278","label":"page"}],"schema":"https://github.com/citation-style-language/schema/raw/master/csl-citation.json"} </w:instrText>
      </w:r>
      <w:r w:rsidR="005E37B8">
        <w:fldChar w:fldCharType="separate"/>
      </w:r>
      <w:r w:rsidR="005E37B8" w:rsidRPr="005E37B8">
        <w:t xml:space="preserve">(Collins </w:t>
      </w:r>
      <w:r w:rsidR="007948AE">
        <w:lastRenderedPageBreak/>
        <w:t>and</w:t>
      </w:r>
      <w:r w:rsidR="005E37B8" w:rsidRPr="005E37B8">
        <w:t xml:space="preserve"> Mees 2003: 278)</w:t>
      </w:r>
      <w:r w:rsidR="005E37B8">
        <w:fldChar w:fldCharType="end"/>
      </w:r>
      <w:r w:rsidR="005E37B8">
        <w:t>.</w:t>
      </w:r>
      <w:r w:rsidR="00D26ABD">
        <w:t xml:space="preserve"> It could be that the function of ‘denial’ </w:t>
      </w:r>
      <w:r w:rsidR="002929E7">
        <w:t>invites such expressions of impatience/irritation, though further research into the realisation of the falls with ‘denial’ is needed to confirm this.</w:t>
      </w:r>
    </w:p>
    <w:p w14:paraId="1245DC46" w14:textId="649F4D9E" w:rsidR="007B33A5" w:rsidRDefault="00DD5A82" w:rsidP="00DD5A82">
      <w:pPr>
        <w:tabs>
          <w:tab w:val="left" w:pos="567"/>
        </w:tabs>
        <w:jc w:val="both"/>
      </w:pPr>
      <w:r>
        <w:tab/>
        <w:t xml:space="preserve">To weigh the predictive value of syntactic dependency and </w:t>
      </w:r>
      <w:r w:rsidR="00227548">
        <w:t>semantic-pragmatic</w:t>
      </w:r>
      <w:r>
        <w:t xml:space="preserve"> function</w:t>
      </w:r>
      <w:r w:rsidR="007B33A5">
        <w:t xml:space="preserve"> in English and Dutch, we </w:t>
      </w:r>
      <w:r w:rsidR="006E7BFB">
        <w:t>fed the two variables into two conditional inferences trees, one per language. This is because tonal choices signal different meanings in different languages, and while the tone contours may be similar in the two languages, they</w:t>
      </w:r>
      <w:r w:rsidR="004406E3">
        <w:t xml:space="preserve"> may</w:t>
      </w:r>
      <w:r w:rsidR="006E7BFB">
        <w:t xml:space="preserve"> function differently. </w:t>
      </w:r>
      <w:r w:rsidR="00C223ED">
        <w:t xml:space="preserve">The two models are given in </w:t>
      </w:r>
      <w:r w:rsidR="00B9687F">
        <w:t xml:space="preserve">Figure </w:t>
      </w:r>
      <w:r w:rsidR="00F862C3">
        <w:t xml:space="preserve">11 </w:t>
      </w:r>
      <w:r w:rsidR="00C223ED">
        <w:t xml:space="preserve">for English and </w:t>
      </w:r>
      <w:r w:rsidR="00A53CCB">
        <w:fldChar w:fldCharType="begin"/>
      </w:r>
      <w:r w:rsidR="00A53CCB">
        <w:instrText xml:space="preserve"> REF _Ref152412888 \h </w:instrText>
      </w:r>
      <w:r w:rsidR="00A53CCB">
        <w:fldChar w:fldCharType="separate"/>
      </w:r>
      <w:r w:rsidR="008912AA">
        <w:t xml:space="preserve">Figure </w:t>
      </w:r>
      <w:r w:rsidR="008912AA">
        <w:rPr>
          <w:noProof/>
        </w:rPr>
        <w:t>12</w:t>
      </w:r>
      <w:r w:rsidR="00A53CCB">
        <w:fldChar w:fldCharType="end"/>
      </w:r>
      <w:r w:rsidR="00A53CCB">
        <w:t xml:space="preserve"> </w:t>
      </w:r>
      <w:r w:rsidR="00C223ED">
        <w:t>for Dutch.</w:t>
      </w:r>
    </w:p>
    <w:p w14:paraId="58D70033" w14:textId="77777777" w:rsidR="00B9687F" w:rsidRDefault="00B9687F" w:rsidP="00DD5A82">
      <w:pPr>
        <w:tabs>
          <w:tab w:val="left" w:pos="567"/>
        </w:tabs>
        <w:jc w:val="both"/>
      </w:pPr>
    </w:p>
    <w:p w14:paraId="2CD434BE" w14:textId="69354AC5" w:rsidR="00B9687F" w:rsidRDefault="00155DFC" w:rsidP="00B9687F">
      <w:pPr>
        <w:keepNext/>
        <w:tabs>
          <w:tab w:val="left" w:pos="567"/>
        </w:tabs>
        <w:jc w:val="both"/>
      </w:pPr>
      <w:r w:rsidRPr="00155DFC">
        <w:rPr>
          <w:noProof/>
        </w:rPr>
        <w:lastRenderedPageBreak/>
        <w:drawing>
          <wp:inline distT="0" distB="0" distL="0" distR="0" wp14:anchorId="3C8267B2" wp14:editId="00E93C9B">
            <wp:extent cx="5711190" cy="3108414"/>
            <wp:effectExtent l="0" t="0" r="381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rotWithShape="1">
                    <a:blip r:embed="rId22">
                      <a:extLst>
                        <a:ext uri="{28A0092B-C50C-407E-A947-70E740481C1C}">
                          <a14:useLocalDpi xmlns:a14="http://schemas.microsoft.com/office/drawing/2010/main" val="0"/>
                        </a:ext>
                      </a:extLst>
                    </a:blip>
                    <a:srcRect r="11681"/>
                    <a:stretch/>
                  </pic:blipFill>
                  <pic:spPr bwMode="auto">
                    <a:xfrm>
                      <a:off x="0" y="0"/>
                      <a:ext cx="5732963" cy="3120264"/>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5D14427" w14:textId="6BEF71D7" w:rsidR="006E7BFB" w:rsidRDefault="00B9687F" w:rsidP="00B9687F">
      <w:pPr>
        <w:pStyle w:val="Caption"/>
        <w:jc w:val="both"/>
        <w:rPr>
          <w:b w:val="0"/>
        </w:rPr>
      </w:pPr>
      <w:bookmarkStart w:id="51" w:name="_Ref149057699"/>
      <w:r>
        <w:t xml:space="preserve">Figure </w:t>
      </w:r>
      <w:r>
        <w:fldChar w:fldCharType="begin"/>
      </w:r>
      <w:r>
        <w:instrText xml:space="preserve"> SEQ Figure \* ARABIC </w:instrText>
      </w:r>
      <w:r>
        <w:fldChar w:fldCharType="separate"/>
      </w:r>
      <w:r w:rsidR="008912AA">
        <w:rPr>
          <w:noProof/>
        </w:rPr>
        <w:t>11</w:t>
      </w:r>
      <w:r>
        <w:fldChar w:fldCharType="end"/>
      </w:r>
      <w:bookmarkEnd w:id="51"/>
      <w:r>
        <w:t xml:space="preserve">. </w:t>
      </w:r>
      <w:r w:rsidRPr="00B9687F">
        <w:rPr>
          <w:b w:val="0"/>
        </w:rPr>
        <w:t>Conditional inference tree for tonal choices in English</w:t>
      </w:r>
    </w:p>
    <w:p w14:paraId="46699A7F" w14:textId="77777777" w:rsidR="00085D70" w:rsidRDefault="00085D70" w:rsidP="00085D70">
      <w:pPr>
        <w:keepNext/>
      </w:pPr>
      <w:r w:rsidRPr="00085D70">
        <w:rPr>
          <w:noProof/>
        </w:rPr>
        <w:drawing>
          <wp:inline distT="0" distB="0" distL="0" distR="0" wp14:anchorId="4D83F8D1" wp14:editId="40594170">
            <wp:extent cx="5728970" cy="334095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3">
                      <a:extLst>
                        <a:ext uri="{28A0092B-C50C-407E-A947-70E740481C1C}">
                          <a14:useLocalDpi xmlns:a14="http://schemas.microsoft.com/office/drawing/2010/main" val="0"/>
                        </a:ext>
                      </a:extLst>
                    </a:blip>
                    <a:srcRect r="10925"/>
                    <a:stretch/>
                  </pic:blipFill>
                  <pic:spPr bwMode="auto">
                    <a:xfrm>
                      <a:off x="0" y="0"/>
                      <a:ext cx="5748638" cy="3352423"/>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FBF8D5C" w14:textId="4F2E4963" w:rsidR="00155DFC" w:rsidRPr="00155DFC" w:rsidRDefault="00085D70" w:rsidP="00C961B0">
      <w:pPr>
        <w:pStyle w:val="Caption"/>
        <w:spacing w:after="0"/>
      </w:pPr>
      <w:bookmarkStart w:id="52" w:name="_Ref152412888"/>
      <w:r>
        <w:t xml:space="preserve">Figure </w:t>
      </w:r>
      <w:r>
        <w:fldChar w:fldCharType="begin"/>
      </w:r>
      <w:r>
        <w:instrText xml:space="preserve"> SEQ Figure \* ARABIC </w:instrText>
      </w:r>
      <w:r>
        <w:fldChar w:fldCharType="separate"/>
      </w:r>
      <w:r w:rsidR="008912AA">
        <w:rPr>
          <w:noProof/>
        </w:rPr>
        <w:t>12</w:t>
      </w:r>
      <w:r>
        <w:fldChar w:fldCharType="end"/>
      </w:r>
      <w:bookmarkEnd w:id="52"/>
      <w:r>
        <w:t xml:space="preserve">. </w:t>
      </w:r>
      <w:r>
        <w:rPr>
          <w:b w:val="0"/>
        </w:rPr>
        <w:t>Conditional inference tree for tonal choices in Dutch</w:t>
      </w:r>
    </w:p>
    <w:p w14:paraId="087B1160" w14:textId="77777777" w:rsidR="00A4600F" w:rsidRDefault="00A4600F" w:rsidP="00DD5A82">
      <w:pPr>
        <w:tabs>
          <w:tab w:val="left" w:pos="567"/>
        </w:tabs>
        <w:jc w:val="both"/>
      </w:pPr>
    </w:p>
    <w:p w14:paraId="5DCD7871" w14:textId="72D6B67D" w:rsidR="00C223ED" w:rsidRDefault="00DD5A82" w:rsidP="00DD5A82">
      <w:pPr>
        <w:tabs>
          <w:tab w:val="left" w:pos="567"/>
        </w:tabs>
        <w:jc w:val="both"/>
      </w:pPr>
      <w:r w:rsidRPr="00DD16E2">
        <w:t>The mode</w:t>
      </w:r>
      <w:r w:rsidR="00C223ED">
        <w:t xml:space="preserve">ls in </w:t>
      </w:r>
      <w:r w:rsidR="00AB6B31">
        <w:fldChar w:fldCharType="begin"/>
      </w:r>
      <w:r w:rsidR="00AB6B31">
        <w:instrText xml:space="preserve"> REF _Ref149057699 \h </w:instrText>
      </w:r>
      <w:r w:rsidR="00AB6B31">
        <w:fldChar w:fldCharType="separate"/>
      </w:r>
      <w:r w:rsidR="008912AA">
        <w:t xml:space="preserve">Figure </w:t>
      </w:r>
      <w:r w:rsidR="008912AA">
        <w:rPr>
          <w:noProof/>
        </w:rPr>
        <w:t>11</w:t>
      </w:r>
      <w:r w:rsidR="00AB6B31">
        <w:fldChar w:fldCharType="end"/>
      </w:r>
      <w:r w:rsidR="00AB6B31">
        <w:t xml:space="preserve"> </w:t>
      </w:r>
      <w:r w:rsidR="00C223ED">
        <w:t xml:space="preserve">and </w:t>
      </w:r>
      <w:r w:rsidR="00085D70">
        <w:fldChar w:fldCharType="begin"/>
      </w:r>
      <w:r w:rsidR="00085D70">
        <w:instrText xml:space="preserve"> REF _Ref152412888 \h </w:instrText>
      </w:r>
      <w:r w:rsidR="00085D70">
        <w:fldChar w:fldCharType="separate"/>
      </w:r>
      <w:r w:rsidR="008912AA">
        <w:t xml:space="preserve">Figure </w:t>
      </w:r>
      <w:r w:rsidR="008912AA">
        <w:rPr>
          <w:noProof/>
        </w:rPr>
        <w:t>12</w:t>
      </w:r>
      <w:r w:rsidR="00085D70">
        <w:fldChar w:fldCharType="end"/>
      </w:r>
      <w:r w:rsidR="00085D70">
        <w:t xml:space="preserve"> </w:t>
      </w:r>
      <w:r w:rsidR="00A4600F">
        <w:t xml:space="preserve">indicate that, for choice of tone, </w:t>
      </w:r>
      <w:r w:rsidR="00227548">
        <w:t>semantic-pragmatic</w:t>
      </w:r>
      <w:r w:rsidR="00A4600F">
        <w:t xml:space="preserve"> function is the main predictor</w:t>
      </w:r>
      <w:r w:rsidR="00C223ED">
        <w:t xml:space="preserve"> in both languages, weighing heavier than the effect of </w:t>
      </w:r>
      <w:r w:rsidR="000047A1">
        <w:t>syntactic dependency</w:t>
      </w:r>
      <w:r w:rsidR="00C223ED">
        <w:t xml:space="preserve">, which does not figure in either model. For English, there is a neat distinction between denial and the other functions, due to the first using fall-rises </w:t>
      </w:r>
      <w:r w:rsidR="006E1996">
        <w:t>significantly more</w:t>
      </w:r>
      <w:r w:rsidR="00C223ED">
        <w:t xml:space="preserve"> frequently</w:t>
      </w:r>
      <w:r w:rsidR="006E1996">
        <w:t xml:space="preserve"> than the other functions.</w:t>
      </w:r>
      <w:r w:rsidR="00C223ED">
        <w:t xml:space="preserve"> For Dutch, the picture is </w:t>
      </w:r>
      <w:r w:rsidR="00155DFC">
        <w:t>more complex</w:t>
      </w:r>
      <w:r w:rsidR="00C223ED">
        <w:t xml:space="preserve">. First, </w:t>
      </w:r>
      <w:r w:rsidR="00C960EF">
        <w:t>qualification</w:t>
      </w:r>
      <w:r w:rsidR="00C223ED">
        <w:t xml:space="preserve"> </w:t>
      </w:r>
      <w:r w:rsidR="00C223ED">
        <w:lastRenderedPageBreak/>
        <w:t xml:space="preserve">stands out from the other functions for its strong preference for falls. Second, manner is </w:t>
      </w:r>
      <w:r w:rsidR="00C751B5">
        <w:t>separated from cause and denial based on minor but significant variations (</w:t>
      </w:r>
      <w:r w:rsidR="00C751B5">
        <w:rPr>
          <w:i/>
        </w:rPr>
        <w:t>p</w:t>
      </w:r>
      <w:r w:rsidR="00E701F3">
        <w:t>=</w:t>
      </w:r>
      <w:r w:rsidR="00C751B5">
        <w:t xml:space="preserve">0.034): with manner, rises are slightly more frequent, while </w:t>
      </w:r>
      <w:r w:rsidR="00085D70">
        <w:t xml:space="preserve">delayed </w:t>
      </w:r>
      <w:r w:rsidR="00C751B5">
        <w:t xml:space="preserve">falls are more frequently used with denial (and cause). Between cause and denial, the differences – such as the more frequent use of </w:t>
      </w:r>
      <w:r w:rsidR="00085D70">
        <w:t xml:space="preserve">delayed </w:t>
      </w:r>
      <w:r w:rsidR="00C751B5">
        <w:t>falls with denial – are not significant.</w:t>
      </w:r>
    </w:p>
    <w:p w14:paraId="73195AAA" w14:textId="280E75AA" w:rsidR="00D271FD" w:rsidRDefault="00DD5A82" w:rsidP="00D271FD">
      <w:pPr>
        <w:jc w:val="both"/>
      </w:pPr>
      <w:r w:rsidRPr="00DD16E2">
        <w:tab/>
      </w:r>
      <w:r w:rsidR="00D271FD">
        <w:tab/>
      </w:r>
      <w:r>
        <w:t xml:space="preserve">In </w:t>
      </w:r>
      <w:r w:rsidR="00D271FD">
        <w:t>consequence</w:t>
      </w:r>
      <w:r>
        <w:t xml:space="preserve">, the analysis of </w:t>
      </w:r>
      <w:r w:rsidR="00D271FD">
        <w:t>tonal choices</w:t>
      </w:r>
      <w:r>
        <w:t xml:space="preserve"> yielded mixed results. While we found an effect, in </w:t>
      </w:r>
      <w:r w:rsidR="00F73A64">
        <w:t>both languages</w:t>
      </w:r>
      <w:r>
        <w:t>, for the interaction between syntactic dependency status and the choice between falling vs. rising tones</w:t>
      </w:r>
      <w:r w:rsidR="000B5156">
        <w:t>,</w:t>
      </w:r>
      <w:r>
        <w:t xml:space="preserve"> the evidence that syntactic status is a meaningful predictor of tonal choices was weak, at least in our data. Instead, </w:t>
      </w:r>
      <w:r w:rsidR="00227548">
        <w:t>semantic-pragmatic</w:t>
      </w:r>
      <w:r>
        <w:t xml:space="preserve"> function </w:t>
      </w:r>
      <w:r w:rsidR="00132F88">
        <w:t>yielded more compelling findings. In English</w:t>
      </w:r>
      <w:proofErr w:type="gramStart"/>
      <w:r w:rsidR="00132F88">
        <w:t>, in particular, it</w:t>
      </w:r>
      <w:proofErr w:type="gramEnd"/>
      <w:r w:rsidR="00132F88">
        <w:t xml:space="preserve"> appears that the function of ‘denial’ attracts fall-rises, even if the unmarked tonal choice, namely falls, was used slightly more frequently. Th</w:t>
      </w:r>
      <w:r w:rsidR="00265EAA">
        <w:t>e</w:t>
      </w:r>
      <w:r w:rsidR="00132F88">
        <w:t xml:space="preserve"> other </w:t>
      </w:r>
      <w:r w:rsidR="00227548">
        <w:t>semantic-pragmatic</w:t>
      </w:r>
      <w:r w:rsidR="00132F88">
        <w:t xml:space="preserve"> functions in English </w:t>
      </w:r>
      <w:r w:rsidR="00265EAA">
        <w:t>all favour falls</w:t>
      </w:r>
      <w:r w:rsidR="00132F88">
        <w:t>.</w:t>
      </w:r>
      <w:r w:rsidR="00E53020">
        <w:t xml:space="preserve"> In Dutch, </w:t>
      </w:r>
      <w:r w:rsidR="007D6374">
        <w:t xml:space="preserve">all functions have a general preference for falls as well. The variations we did find were minor (e.g., slightly higher frequency of rises with ‘manner’, and a weak attraction of ‘denial’ to </w:t>
      </w:r>
      <w:r w:rsidR="001B75AF">
        <w:t>delayed falls</w:t>
      </w:r>
      <w:r w:rsidR="007D6374">
        <w:t xml:space="preserve">). All in all, the findings indicate that, </w:t>
      </w:r>
      <w:proofErr w:type="gramStart"/>
      <w:r w:rsidR="007D6374">
        <w:t>in all likelihood</w:t>
      </w:r>
      <w:proofErr w:type="gramEnd"/>
      <w:r w:rsidR="007D6374">
        <w:t xml:space="preserve">, tonal choices are the product of a complex interplay of various factors, of which </w:t>
      </w:r>
      <w:r w:rsidR="00227548">
        <w:t>semantic-pragmatic</w:t>
      </w:r>
      <w:r w:rsidR="007D6374">
        <w:t xml:space="preserve"> function is only one. The results were most convincing for the function of ‘denial’, the meaning of which seems to accord, more or less, with the meaning(s) expressed by a particular tonal contour in each language, namely fall-rises in English and </w:t>
      </w:r>
      <w:r w:rsidR="002C4528">
        <w:t>delayed falls</w:t>
      </w:r>
      <w:r w:rsidR="007D6374">
        <w:t xml:space="preserve"> in Dutch.</w:t>
      </w:r>
    </w:p>
    <w:p w14:paraId="6ED19136" w14:textId="78BCB9A7" w:rsidR="00925F33" w:rsidRDefault="00925F33" w:rsidP="00DD5A82"/>
    <w:p w14:paraId="43123DDD" w14:textId="202D1E27" w:rsidR="00925F33" w:rsidRDefault="00925F33" w:rsidP="00925F33">
      <w:pPr>
        <w:tabs>
          <w:tab w:val="left" w:pos="567"/>
        </w:tabs>
        <w:jc w:val="both"/>
      </w:pPr>
      <w:r>
        <w:t>To sum up the findings from Section</w:t>
      </w:r>
      <w:r w:rsidR="000B5B83">
        <w:t xml:space="preserve"> 3</w:t>
      </w:r>
      <w:r>
        <w:t xml:space="preserve">, we found a strong influence of syntactic dependency status on prosodic integration, </w:t>
      </w:r>
      <w:r w:rsidR="000C4559">
        <w:t xml:space="preserve">the </w:t>
      </w:r>
      <w:r>
        <w:t xml:space="preserve">pitch level </w:t>
      </w:r>
      <w:r w:rsidR="000C4559">
        <w:t>of the onset of the HM clause</w:t>
      </w:r>
      <w:r>
        <w:t xml:space="preserve">, and the average </w:t>
      </w:r>
      <w:r w:rsidR="00013764">
        <w:t>pre-onset pausing</w:t>
      </w:r>
      <w:r>
        <w:t xml:space="preserve">. While the first factor distinguished primarily between strong dependence and the other levels, the second and third factor were affected mainly by the difference between independent and dependent clauses. Finally, given the correlations between syntactic dependency and </w:t>
      </w:r>
      <w:r w:rsidR="00227548">
        <w:t>semantic-pragmatic</w:t>
      </w:r>
      <w:r>
        <w:t xml:space="preserve"> function, the effects found for </w:t>
      </w:r>
      <w:r w:rsidR="00227548">
        <w:t>semantic-pragmatic</w:t>
      </w:r>
      <w:r>
        <w:t xml:space="preserve"> function were largely attributable to the syntactic pattern through which they were expressed. The only exception was the tone choices, with ‘denial of assumption’ having a special preference for fall-rises in English and</w:t>
      </w:r>
      <w:r w:rsidR="000C4559">
        <w:t xml:space="preserve">, to a lesser degree, for </w:t>
      </w:r>
      <w:r w:rsidR="002C4528">
        <w:t>delayed falls</w:t>
      </w:r>
      <w:r>
        <w:t xml:space="preserve"> in Dutch. The implications of these results will be discussed in Section </w:t>
      </w:r>
      <w:r>
        <w:fldChar w:fldCharType="begin"/>
      </w:r>
      <w:r>
        <w:instrText xml:space="preserve"> REF _Ref134198981 \n \h </w:instrText>
      </w:r>
      <w:r>
        <w:fldChar w:fldCharType="separate"/>
      </w:r>
      <w:r w:rsidR="008912AA">
        <w:t>4</w:t>
      </w:r>
      <w:r>
        <w:fldChar w:fldCharType="end"/>
      </w:r>
      <w:r w:rsidR="000C4559">
        <w:t>.</w:t>
      </w:r>
    </w:p>
    <w:p w14:paraId="28F49E8E" w14:textId="77777777" w:rsidR="00DD5A82" w:rsidRPr="00A52A16" w:rsidRDefault="00DD5A82" w:rsidP="00446752"/>
    <w:p w14:paraId="1422597E" w14:textId="696F2EDF" w:rsidR="00446752" w:rsidRPr="00A52A16" w:rsidRDefault="00446752" w:rsidP="00446752">
      <w:pPr>
        <w:pStyle w:val="Heading1"/>
      </w:pPr>
      <w:bookmarkStart w:id="53" w:name="_Ref134198981"/>
      <w:r w:rsidRPr="00A52A16">
        <w:t>Discussion</w:t>
      </w:r>
      <w:bookmarkEnd w:id="53"/>
    </w:p>
    <w:p w14:paraId="04CFFE8F" w14:textId="77777777" w:rsidR="00446752" w:rsidRDefault="00446752" w:rsidP="00446752"/>
    <w:p w14:paraId="243EFDF2" w14:textId="2AE6EDEE" w:rsidR="004E7EA7" w:rsidRDefault="00C833D5" w:rsidP="00C833D5">
      <w:pPr>
        <w:jc w:val="both"/>
      </w:pPr>
      <w:r>
        <w:lastRenderedPageBreak/>
        <w:t xml:space="preserve">In this section, we argue that the results from the prosodic analyses of HM clauses in English and Dutch demonstrate that, in the two languages, </w:t>
      </w:r>
      <w:r w:rsidR="003600FB">
        <w:t xml:space="preserve">prosody </w:t>
      </w:r>
      <w:r w:rsidR="004E7EA7">
        <w:t>serves as a cue for the dependency status of these clauses. The findings show that prosodic integration, more specific</w:t>
      </w:r>
      <w:r w:rsidR="00C5083F">
        <w:t>ally</w:t>
      </w:r>
      <w:r w:rsidR="004E7EA7">
        <w:t xml:space="preserve"> IU segmentation, correlates with a multilevel classification of syntactic dependency, thus standing out as the main prosodic predictor of a dependency cline. While pitch reset and pre-onset pausing also correlated with syntactic dependency, these factors only differentiated between dependent vs. independent clauses</w:t>
      </w:r>
      <w:r w:rsidR="00CB1C47">
        <w:t xml:space="preserve">, thus highlighting this distinction as the most meaningful one on the </w:t>
      </w:r>
      <w:r w:rsidR="004C4EF5">
        <w:t>dependency cline</w:t>
      </w:r>
      <w:r w:rsidR="004E7EA7">
        <w:t>. Finally, in line with previous findings</w:t>
      </w:r>
      <w:r w:rsidR="003D0498">
        <w:t xml:space="preserve"> (e.g., </w:t>
      </w:r>
      <w:r w:rsidR="003D0498" w:rsidRPr="003D0498">
        <w:rPr>
          <w:szCs w:val="24"/>
        </w:rPr>
        <w:t>Elvira-García</w:t>
      </w:r>
      <w:r w:rsidR="003D0498">
        <w:rPr>
          <w:szCs w:val="24"/>
        </w:rPr>
        <w:t xml:space="preserve"> et al. </w:t>
      </w:r>
      <w:r w:rsidR="003D0498" w:rsidRPr="003D0498">
        <w:rPr>
          <w:szCs w:val="24"/>
        </w:rPr>
        <w:t>2017)</w:t>
      </w:r>
      <w:r w:rsidR="004E7EA7">
        <w:t xml:space="preserve">, we found that tonal choices </w:t>
      </w:r>
      <w:r w:rsidR="003D0498">
        <w:t>can provide cues for distinguishing ‘stand-</w:t>
      </w:r>
      <w:r w:rsidR="00C5083F">
        <w:t xml:space="preserve">alone’ </w:t>
      </w:r>
      <w:r w:rsidR="003D0498">
        <w:t>insubordinate clauses from other (semi-)independent clauses.</w:t>
      </w:r>
    </w:p>
    <w:p w14:paraId="091B9604" w14:textId="281361B9" w:rsidR="00FB0FA8" w:rsidRDefault="00FB0FA8" w:rsidP="00E54CE5">
      <w:pPr>
        <w:tabs>
          <w:tab w:val="left" w:pos="567"/>
        </w:tabs>
        <w:jc w:val="both"/>
      </w:pPr>
      <w:r>
        <w:tab/>
        <w:t xml:space="preserve">First, </w:t>
      </w:r>
      <w:r w:rsidR="007B5234">
        <w:t>i</w:t>
      </w:r>
      <w:r w:rsidR="00E354FF">
        <w:t xml:space="preserve">n both English and Dutch, prosodic </w:t>
      </w:r>
      <w:r w:rsidR="004920C9">
        <w:t>integration</w:t>
      </w:r>
      <w:r w:rsidR="00E354FF">
        <w:t xml:space="preserve"> </w:t>
      </w:r>
      <w:r w:rsidR="007B5234">
        <w:t>stands</w:t>
      </w:r>
      <w:r w:rsidR="00E354FF">
        <w:t xml:space="preserve"> out as a clear index of the syntactic integration of the HM clause in </w:t>
      </w:r>
      <w:r w:rsidR="000B52B9">
        <w:t>the</w:t>
      </w:r>
      <w:r w:rsidR="00E354FF">
        <w:t xml:space="preserve"> main clause. </w:t>
      </w:r>
      <w:r w:rsidR="007B5234">
        <w:t xml:space="preserve">It is the sole factor that testifies to a </w:t>
      </w:r>
      <w:r w:rsidR="007B5234">
        <w:rPr>
          <w:i/>
        </w:rPr>
        <w:t>cline</w:t>
      </w:r>
      <w:r w:rsidR="007B5234">
        <w:t xml:space="preserve"> of syntactic dependency, distinguishing not just between dependent and independent clauses but also between strongly and weakly dependent ones</w:t>
      </w:r>
      <w:r w:rsidR="004920C9">
        <w:t>.</w:t>
      </w:r>
      <w:r w:rsidR="008E10B8">
        <w:t xml:space="preserve"> Th</w:t>
      </w:r>
      <w:r w:rsidR="007B5234">
        <w:t>e findings</w:t>
      </w:r>
      <w:r w:rsidR="008E10B8">
        <w:t xml:space="preserve"> suggest that, at the opposite ends of the </w:t>
      </w:r>
      <w:r w:rsidR="001F6C84">
        <w:t>cline</w:t>
      </w:r>
      <w:r w:rsidR="008E10B8">
        <w:t>, the syntactic status of strongly dependent clauses and of independent ones</w:t>
      </w:r>
      <w:r w:rsidR="004536E8">
        <w:t xml:space="preserve"> both</w:t>
      </w:r>
      <w:r w:rsidR="008E10B8">
        <w:t xml:space="preserve"> </w:t>
      </w:r>
      <w:r w:rsidR="004536E8">
        <w:t>entail a particular information status</w:t>
      </w:r>
      <w:r w:rsidR="008E10B8">
        <w:t xml:space="preserve">. That is, </w:t>
      </w:r>
      <w:r w:rsidR="004536E8">
        <w:t>the grammatical function of strongly dependent clauses is such that it makes the information in the clause essential to the message conveyed in the matrix. This is coded prosodically by the integration of the HM clause in the same IU as the matrix. By contrast,</w:t>
      </w:r>
      <w:r w:rsidR="00A31CD9">
        <w:t xml:space="preserve"> since</w:t>
      </w:r>
      <w:r w:rsidR="004536E8">
        <w:t xml:space="preserve"> independent clauses serv</w:t>
      </w:r>
      <w:r w:rsidR="00A31CD9">
        <w:t xml:space="preserve">e </w:t>
      </w:r>
      <w:r w:rsidR="004536E8">
        <w:t xml:space="preserve">no grammatical function in another clause, they also do not contribute essential information to that clause. </w:t>
      </w:r>
      <w:r w:rsidR="00206BB0">
        <w:t xml:space="preserve">This is reflected in their forming a separate IU, indicating that they </w:t>
      </w:r>
      <w:r w:rsidR="0033440D">
        <w:t>constitute a distinct unit of information</w:t>
      </w:r>
      <w:r w:rsidR="004536E8">
        <w:t>.</w:t>
      </w:r>
      <w:r w:rsidR="008950DF">
        <w:t xml:space="preserve"> The fact that weakly dependent clauses allow for a freer choice between prosodic integration vs. non-integration</w:t>
      </w:r>
      <w:r w:rsidR="00192F7F">
        <w:t xml:space="preserve"> signals that their information status is ambivalent.</w:t>
      </w:r>
      <w:r w:rsidR="002F49D6">
        <w:t xml:space="preserve"> </w:t>
      </w:r>
      <w:r w:rsidR="008E5CAF">
        <w:t xml:space="preserve">This </w:t>
      </w:r>
      <w:r w:rsidR="00FB3D78">
        <w:t>corroborates</w:t>
      </w:r>
      <w:r w:rsidR="008E5CAF">
        <w:t xml:space="preserve"> </w:t>
      </w:r>
      <w:r w:rsidR="008E5CAF" w:rsidRPr="008E5CAF">
        <w:t>Verstraete</w:t>
      </w:r>
      <w:r w:rsidR="008E5CAF">
        <w:t>’s</w:t>
      </w:r>
      <w:r w:rsidR="008E5CAF" w:rsidRPr="008E5CAF">
        <w:t xml:space="preserve"> </w:t>
      </w:r>
      <w:r w:rsidR="008E5CAF">
        <w:t>(</w:t>
      </w:r>
      <w:r w:rsidR="008E5CAF" w:rsidRPr="008E5CAF">
        <w:t>2007)</w:t>
      </w:r>
      <w:r w:rsidR="008E5CAF">
        <w:t xml:space="preserve"> point that the meaning potential of </w:t>
      </w:r>
      <w:r w:rsidR="002F49D6">
        <w:t>these</w:t>
      </w:r>
      <w:r w:rsidR="008E5CAF">
        <w:t xml:space="preserve"> clauses </w:t>
      </w:r>
      <w:r w:rsidR="002F49D6">
        <w:t>includes</w:t>
      </w:r>
      <w:r w:rsidR="008E5CAF">
        <w:t xml:space="preserve"> two forms of subordination, namely ‘bound’ </w:t>
      </w:r>
      <w:r w:rsidR="002F49D6">
        <w:t>and</w:t>
      </w:r>
      <w:r w:rsidR="008E5CAF">
        <w:t xml:space="preserve"> ‘free’ subordination.</w:t>
      </w:r>
      <w:r w:rsidR="00A2043A">
        <w:t xml:space="preserve"> This distinction coincides, Verstraete (2007) argues, with the choice between prosodic integration vs. non-integration respectively. The prosodic integration of bound subordinate clauses with their matrix signal</w:t>
      </w:r>
      <w:r w:rsidR="00257A2F">
        <w:t>s</w:t>
      </w:r>
      <w:r w:rsidR="00A2043A">
        <w:t xml:space="preserve"> that they fall within the scope of the </w:t>
      </w:r>
      <w:r w:rsidR="00803F4C">
        <w:t xml:space="preserve">interpersonal </w:t>
      </w:r>
      <w:r w:rsidR="00782E0D">
        <w:t>elements</w:t>
      </w:r>
      <w:r w:rsidR="00803F4C">
        <w:t xml:space="preserve"> of the </w:t>
      </w:r>
      <w:r w:rsidR="00A2043A">
        <w:t xml:space="preserve">main clause. That is, despite being grammatically </w:t>
      </w:r>
      <w:r w:rsidR="00F913F0">
        <w:t>optional</w:t>
      </w:r>
      <w:r w:rsidR="00A2043A">
        <w:t xml:space="preserve">, the speaker signals that the adverbial clause is essential for the validity of the </w:t>
      </w:r>
      <w:r w:rsidR="00A01862">
        <w:t xml:space="preserve">proposition </w:t>
      </w:r>
      <w:r w:rsidR="00A2043A">
        <w:t>in the matrix</w:t>
      </w:r>
      <w:r w:rsidR="00CB762D">
        <w:t xml:space="preserve">, and it </w:t>
      </w:r>
      <w:r w:rsidR="00803F4C">
        <w:t>can</w:t>
      </w:r>
      <w:r w:rsidR="00CB762D">
        <w:t xml:space="preserve"> even</w:t>
      </w:r>
      <w:r w:rsidR="00803F4C">
        <w:t xml:space="preserve"> serve as the information focus of</w:t>
      </w:r>
      <w:r w:rsidR="003314D6">
        <w:t xml:space="preserve"> </w:t>
      </w:r>
      <w:r w:rsidR="00CB762D">
        <w:t xml:space="preserve">that </w:t>
      </w:r>
      <w:r w:rsidR="00A01862">
        <w:t>proposition</w:t>
      </w:r>
      <w:r w:rsidR="00CB762D">
        <w:t xml:space="preserve"> (Verstraete 2007: Chapter 3)</w:t>
      </w:r>
      <w:r w:rsidR="00803F4C">
        <w:t xml:space="preserve">. </w:t>
      </w:r>
      <w:r w:rsidR="003A1D71">
        <w:t>For instance, in</w:t>
      </w:r>
      <w:r w:rsidR="007F7A5A">
        <w:t xml:space="preserve"> </w:t>
      </w:r>
      <w:r w:rsidR="003A1D71">
        <w:fldChar w:fldCharType="begin"/>
      </w:r>
      <w:r w:rsidR="003A1D71">
        <w:instrText xml:space="preserve"> REF _Ref134460365 \r \h </w:instrText>
      </w:r>
      <w:r w:rsidR="003A1D71">
        <w:fldChar w:fldCharType="separate"/>
      </w:r>
      <w:r w:rsidR="008912AA">
        <w:t>(23)</w:t>
      </w:r>
      <w:r w:rsidR="003A1D71">
        <w:fldChar w:fldCharType="end"/>
      </w:r>
      <w:r w:rsidR="003A1D71">
        <w:t xml:space="preserve">, the speaker does not just mean to say that ‘you just fucking carry on’ but more importantly that this is done ‘as if nothing had happened’. </w:t>
      </w:r>
    </w:p>
    <w:p w14:paraId="17D09D80" w14:textId="3936F46B" w:rsidR="007F7A5A" w:rsidRDefault="007F7A5A" w:rsidP="00FB0FA8">
      <w:pPr>
        <w:tabs>
          <w:tab w:val="left" w:pos="567"/>
        </w:tabs>
        <w:jc w:val="both"/>
      </w:pPr>
    </w:p>
    <w:p w14:paraId="0C4B7A33" w14:textId="0A3E4761" w:rsidR="007F7A5A" w:rsidRPr="00C833D5" w:rsidRDefault="007F7A5A" w:rsidP="007F7A5A">
      <w:pPr>
        <w:pStyle w:val="ListParagraph"/>
      </w:pPr>
      <w:bookmarkStart w:id="54" w:name="_Ref134460365"/>
      <w:r>
        <w:lastRenderedPageBreak/>
        <w:t xml:space="preserve">you just fucking carry on </w:t>
      </w:r>
      <w:r w:rsidRPr="00EF33F3">
        <w:rPr>
          <w:u w:val="single"/>
        </w:rPr>
        <w:t xml:space="preserve">as if nothing had </w:t>
      </w:r>
      <w:r w:rsidRPr="00DF339C">
        <w:rPr>
          <w:b/>
          <w:u w:val="single"/>
        </w:rPr>
        <w:t>ha</w:t>
      </w:r>
      <w:r w:rsidRPr="00EF33F3">
        <w:rPr>
          <w:u w:val="single"/>
        </w:rPr>
        <w:t>ppened</w:t>
      </w:r>
      <w:r>
        <w:t>#</w:t>
      </w:r>
      <w:r w:rsidR="00DF339C" w:rsidRPr="000270DF">
        <w:rPr>
          <w:rStyle w:val="FootnoteReference"/>
        </w:rPr>
        <w:footnoteReference w:id="8"/>
      </w:r>
      <w:r>
        <w:t xml:space="preserve"> (BNC)</w:t>
      </w:r>
      <w:bookmarkEnd w:id="54"/>
    </w:p>
    <w:p w14:paraId="6BA196D2" w14:textId="1DAE38F9" w:rsidR="003A1D71" w:rsidRDefault="003A1D71" w:rsidP="00285CE0">
      <w:pPr>
        <w:tabs>
          <w:tab w:val="left" w:pos="567"/>
        </w:tabs>
      </w:pPr>
    </w:p>
    <w:p w14:paraId="3FCC684C" w14:textId="234FAF96" w:rsidR="00684573" w:rsidRDefault="00684573" w:rsidP="004A439C">
      <w:pPr>
        <w:tabs>
          <w:tab w:val="left" w:pos="567"/>
        </w:tabs>
        <w:jc w:val="both"/>
      </w:pPr>
      <w:r>
        <w:t>With free subordination, by contrast,</w:t>
      </w:r>
      <w:r w:rsidR="005F2EAB">
        <w:t xml:space="preserve"> </w:t>
      </w:r>
      <w:r w:rsidR="00206D43">
        <w:t xml:space="preserve">the </w:t>
      </w:r>
      <w:r w:rsidR="005D7D6B">
        <w:t xml:space="preserve">proposition </w:t>
      </w:r>
      <w:r w:rsidR="00206D43">
        <w:t xml:space="preserve">in the matrix is </w:t>
      </w:r>
      <w:r w:rsidR="00AF6DDF">
        <w:t xml:space="preserve">truth-valued </w:t>
      </w:r>
      <w:r w:rsidR="00206D43">
        <w:t xml:space="preserve">regardless of </w:t>
      </w:r>
      <w:r w:rsidR="005F2EAB">
        <w:t xml:space="preserve">the </w:t>
      </w:r>
      <w:r w:rsidR="00206D43">
        <w:t xml:space="preserve">information in the </w:t>
      </w:r>
      <w:r w:rsidR="005F2EAB">
        <w:t>adverbial clause</w:t>
      </w:r>
      <w:r w:rsidR="00206D43">
        <w:t xml:space="preserve">, e.g., </w:t>
      </w:r>
      <w:r w:rsidR="00206D43">
        <w:fldChar w:fldCharType="begin"/>
      </w:r>
      <w:r w:rsidR="00206D43">
        <w:instrText xml:space="preserve"> REF _Ref148624639 \n \h </w:instrText>
      </w:r>
      <w:r w:rsidR="00206D43">
        <w:fldChar w:fldCharType="separate"/>
      </w:r>
      <w:r w:rsidR="008912AA">
        <w:t>(24)</w:t>
      </w:r>
      <w:r w:rsidR="00206D43">
        <w:fldChar w:fldCharType="end"/>
      </w:r>
      <w:r w:rsidR="004A439C">
        <w:t xml:space="preserve">. From a discursive viewpoint, the HM clause </w:t>
      </w:r>
      <w:r w:rsidR="0035552C">
        <w:t>enhances</w:t>
      </w:r>
      <w:r w:rsidR="004A439C">
        <w:t xml:space="preserve"> the message in the main clause</w:t>
      </w:r>
      <w:r w:rsidR="009540C1">
        <w:t>, adding noteworthy but supplementary detail.</w:t>
      </w:r>
    </w:p>
    <w:p w14:paraId="5F4ED17E" w14:textId="30733DDF" w:rsidR="00570B30" w:rsidRDefault="00570B30" w:rsidP="00285CE0">
      <w:pPr>
        <w:tabs>
          <w:tab w:val="left" w:pos="567"/>
        </w:tabs>
      </w:pPr>
    </w:p>
    <w:p w14:paraId="501956B2" w14:textId="4BDB4A9B" w:rsidR="00684573" w:rsidRDefault="00684573" w:rsidP="00684573">
      <w:pPr>
        <w:pStyle w:val="ListParagraph"/>
      </w:pPr>
      <w:bookmarkStart w:id="55" w:name="_Ref148624639"/>
      <w:r>
        <w:t>y</w:t>
      </w:r>
      <w:r w:rsidRPr="00684573">
        <w:t xml:space="preserve">ou make commitments for </w:t>
      </w:r>
      <w:r w:rsidRPr="007B3DE4">
        <w:rPr>
          <w:b/>
        </w:rPr>
        <w:t>next</w:t>
      </w:r>
      <w:r w:rsidRPr="00684573">
        <w:t xml:space="preserve"> year</w:t>
      </w:r>
      <w:r>
        <w:t>#</w:t>
      </w:r>
      <w:r w:rsidRPr="00684573">
        <w:t xml:space="preserve"> </w:t>
      </w:r>
      <w:r w:rsidRPr="00EF33F3">
        <w:rPr>
          <w:u w:val="single"/>
        </w:rPr>
        <w:t>as</w:t>
      </w:r>
      <w:r w:rsidR="00C863A9" w:rsidRPr="00EF33F3">
        <w:rPr>
          <w:u w:val="single"/>
        </w:rPr>
        <w:t xml:space="preserve"> </w:t>
      </w:r>
      <w:r w:rsidRPr="00EF33F3">
        <w:rPr>
          <w:u w:val="single"/>
        </w:rPr>
        <w:t xml:space="preserve">if money had gonna be no </w:t>
      </w:r>
      <w:r w:rsidRPr="007B3DE4">
        <w:rPr>
          <w:b/>
          <w:u w:val="single"/>
        </w:rPr>
        <w:t>ob</w:t>
      </w:r>
      <w:r w:rsidRPr="00EF33F3">
        <w:rPr>
          <w:u w:val="single"/>
        </w:rPr>
        <w:t>ject</w:t>
      </w:r>
      <w:r>
        <w:t># (BNC)</w:t>
      </w:r>
      <w:bookmarkEnd w:id="55"/>
    </w:p>
    <w:p w14:paraId="09D4EA4E" w14:textId="7723080F" w:rsidR="00684573" w:rsidRDefault="00684573" w:rsidP="00285CE0">
      <w:pPr>
        <w:tabs>
          <w:tab w:val="left" w:pos="567"/>
        </w:tabs>
      </w:pPr>
    </w:p>
    <w:p w14:paraId="15F92123" w14:textId="5002E967" w:rsidR="00F967D4" w:rsidRPr="00052A63" w:rsidRDefault="002C084A" w:rsidP="002C084A">
      <w:pPr>
        <w:tabs>
          <w:tab w:val="left" w:pos="567"/>
          <w:tab w:val="left" w:pos="4253"/>
        </w:tabs>
        <w:jc w:val="both"/>
      </w:pPr>
      <w:r>
        <w:t>However, evidence from our data suggest</w:t>
      </w:r>
      <w:r w:rsidR="00C863A9">
        <w:t>s</w:t>
      </w:r>
      <w:r>
        <w:t xml:space="preserve"> </w:t>
      </w:r>
      <w:proofErr w:type="gramStart"/>
      <w:r>
        <w:t>that,</w:t>
      </w:r>
      <w:proofErr w:type="gramEnd"/>
      <w:r>
        <w:t xml:space="preserve"> contra </w:t>
      </w:r>
      <w:r w:rsidRPr="002C084A">
        <w:t xml:space="preserve">Verstraete </w:t>
      </w:r>
      <w:r>
        <w:t>(</w:t>
      </w:r>
      <w:r w:rsidRPr="002C084A">
        <w:t>2007)</w:t>
      </w:r>
      <w:r>
        <w:t>, the distinction between bound and free subordination cannot be made to rest solely and entirely on prosodic integration.</w:t>
      </w:r>
      <w:r w:rsidR="00A46A6A">
        <w:t xml:space="preserve"> </w:t>
      </w:r>
      <w:r w:rsidR="00A46A6A" w:rsidRPr="00052A63">
        <w:t xml:space="preserve">This is demonstrated </w:t>
      </w:r>
      <w:r w:rsidR="009A3E0D" w:rsidRPr="00052A63">
        <w:t>by the example in</w:t>
      </w:r>
      <w:r w:rsidR="007B5234">
        <w:t xml:space="preserve"> </w:t>
      </w:r>
      <w:r w:rsidR="007B5234">
        <w:fldChar w:fldCharType="begin"/>
      </w:r>
      <w:r w:rsidR="007B5234">
        <w:instrText xml:space="preserve"> REF _Ref149063350 \n \h </w:instrText>
      </w:r>
      <w:r w:rsidR="007B5234">
        <w:fldChar w:fldCharType="separate"/>
      </w:r>
      <w:r w:rsidR="008912AA">
        <w:t>(25)</w:t>
      </w:r>
      <w:r w:rsidR="007B5234">
        <w:fldChar w:fldCharType="end"/>
      </w:r>
      <w:r w:rsidR="009A3E0D" w:rsidRPr="00052A63">
        <w:t xml:space="preserve">. </w:t>
      </w:r>
      <w:r w:rsidR="00157E82" w:rsidRPr="00052A63">
        <w:t xml:space="preserve"> </w:t>
      </w:r>
    </w:p>
    <w:p w14:paraId="4487E2CC" w14:textId="2C1477DD" w:rsidR="00ED4B33" w:rsidRPr="005F2C04" w:rsidRDefault="00ED4B33" w:rsidP="00ED4B33">
      <w:pPr>
        <w:tabs>
          <w:tab w:val="left" w:pos="567"/>
        </w:tabs>
        <w:jc w:val="both"/>
      </w:pPr>
    </w:p>
    <w:p w14:paraId="0E8D132B" w14:textId="585EF0FC" w:rsidR="002C084A" w:rsidRPr="00DB2415" w:rsidRDefault="006572AA" w:rsidP="005F2C04">
      <w:pPr>
        <w:pStyle w:val="ListParagraph"/>
        <w:jc w:val="left"/>
      </w:pPr>
      <w:bookmarkStart w:id="56" w:name="_Ref134513978"/>
      <w:r w:rsidRPr="00DB2415">
        <w:t>G</w:t>
      </w:r>
      <w:r w:rsidR="002C084A" w:rsidRPr="00DB2415">
        <w:t>e</w:t>
      </w:r>
      <w:r w:rsidRPr="00DB2415">
        <w:tab/>
      </w:r>
      <w:r w:rsidRPr="00DB2415">
        <w:tab/>
      </w:r>
      <w:r w:rsidR="002C084A" w:rsidRPr="00DB2415">
        <w:t>moet</w:t>
      </w:r>
      <w:r w:rsidR="003B4D26" w:rsidRPr="00DB2415">
        <w:t xml:space="preserve"> </w:t>
      </w:r>
      <w:r w:rsidRPr="00DB2415">
        <w:tab/>
      </w:r>
      <w:r w:rsidR="002C084A" w:rsidRPr="00DB2415">
        <w:t>he</w:t>
      </w:r>
      <w:r w:rsidR="003B4D26" w:rsidRPr="00DB2415">
        <w:t xml:space="preserve">t </w:t>
      </w:r>
      <w:r w:rsidRPr="00DB2415">
        <w:tab/>
      </w:r>
      <w:r w:rsidR="002C084A" w:rsidRPr="00DB2415">
        <w:t>ook</w:t>
      </w:r>
      <w:r w:rsidR="003B4D26" w:rsidRPr="00DB2415">
        <w:t xml:space="preserve"> </w:t>
      </w:r>
      <w:r w:rsidRPr="00DB2415">
        <w:tab/>
      </w:r>
      <w:r w:rsidR="002C084A" w:rsidRPr="00DB2415">
        <w:t>niet</w:t>
      </w:r>
      <w:r w:rsidR="003B4D26" w:rsidRPr="00DB2415">
        <w:t xml:space="preserve"> </w:t>
      </w:r>
      <w:r w:rsidRPr="00DB2415">
        <w:tab/>
      </w:r>
      <w:r w:rsidR="002C084A" w:rsidRPr="00DB2415">
        <w:rPr>
          <w:b/>
        </w:rPr>
        <w:t>zien</w:t>
      </w:r>
      <w:r w:rsidR="002C084A" w:rsidRPr="00DB2415">
        <w:t>#</w:t>
      </w:r>
      <w:r w:rsidR="003B4D26" w:rsidRPr="00DB2415">
        <w:t xml:space="preserve"> </w:t>
      </w:r>
      <w:r w:rsidRPr="00DB2415">
        <w:tab/>
      </w:r>
      <w:r w:rsidR="002C084A" w:rsidRPr="00DB2415">
        <w:rPr>
          <w:u w:val="single"/>
        </w:rPr>
        <w:t>alsof</w:t>
      </w:r>
      <w:r w:rsidR="003B4D26" w:rsidRPr="00DB2415">
        <w:rPr>
          <w:u w:val="single"/>
        </w:rPr>
        <w:t xml:space="preserve"> </w:t>
      </w:r>
      <w:r w:rsidRPr="00DB2415">
        <w:rPr>
          <w:u w:val="single"/>
        </w:rPr>
        <w:tab/>
      </w:r>
      <w:r w:rsidR="002C084A" w:rsidRPr="00DB2415">
        <w:rPr>
          <w:u w:val="single"/>
        </w:rPr>
        <w:t>dat</w:t>
      </w:r>
      <w:r w:rsidR="003B4D26" w:rsidRPr="00DB2415">
        <w:rPr>
          <w:u w:val="single"/>
        </w:rPr>
        <w:t xml:space="preserve"> </w:t>
      </w:r>
      <w:r w:rsidRPr="00DB2415">
        <w:rPr>
          <w:u w:val="single"/>
        </w:rPr>
        <w:tab/>
      </w:r>
      <w:r w:rsidR="002C084A" w:rsidRPr="00DB2415">
        <w:rPr>
          <w:b/>
          <w:u w:val="single"/>
        </w:rPr>
        <w:t>gij</w:t>
      </w:r>
      <w:r w:rsidR="007B5234" w:rsidRPr="00DB2415">
        <w:rPr>
          <w:u w:val="single"/>
        </w:rPr>
        <w:t>#</w:t>
      </w:r>
      <w:r w:rsidR="003B4D26" w:rsidRPr="00DB2415">
        <w:rPr>
          <w:u w:val="single"/>
        </w:rPr>
        <w:t xml:space="preserve"> </w:t>
      </w:r>
      <w:r w:rsidRPr="00DB2415">
        <w:rPr>
          <w:u w:val="single"/>
        </w:rPr>
        <w:tab/>
      </w:r>
      <w:r w:rsidR="002C084A" w:rsidRPr="00DB2415">
        <w:rPr>
          <w:u w:val="single"/>
        </w:rPr>
        <w:t>alleen</w:t>
      </w:r>
      <w:r w:rsidR="003B4D26" w:rsidRPr="00DB2415">
        <w:rPr>
          <w:u w:val="single"/>
        </w:rPr>
        <w:t xml:space="preserve"> </w:t>
      </w:r>
      <w:r w:rsidRPr="00DB2415">
        <w:rPr>
          <w:u w:val="single"/>
        </w:rPr>
        <w:tab/>
      </w:r>
      <w:r w:rsidR="002C084A" w:rsidRPr="00DB2415">
        <w:rPr>
          <w:u w:val="single"/>
        </w:rPr>
        <w:t>die</w:t>
      </w:r>
      <w:r w:rsidR="003B4D26" w:rsidRPr="00DB2415">
        <w:rPr>
          <w:u w:val="single"/>
        </w:rPr>
        <w:t xml:space="preserve"> </w:t>
      </w:r>
      <w:r w:rsidRPr="00DB2415">
        <w:rPr>
          <w:u w:val="single"/>
        </w:rPr>
        <w:tab/>
      </w:r>
      <w:r w:rsidR="002C084A" w:rsidRPr="00DB2415">
        <w:rPr>
          <w:u w:val="single"/>
        </w:rPr>
        <w:t>wijn</w:t>
      </w:r>
      <w:r w:rsidR="003B4D26" w:rsidRPr="00DB2415">
        <w:rPr>
          <w:u w:val="single"/>
        </w:rPr>
        <w:t xml:space="preserve"> </w:t>
      </w:r>
      <w:r w:rsidRPr="00DB2415">
        <w:rPr>
          <w:u w:val="single"/>
        </w:rPr>
        <w:tab/>
      </w:r>
      <w:r w:rsidR="002C084A" w:rsidRPr="00DB2415">
        <w:rPr>
          <w:u w:val="single"/>
        </w:rPr>
        <w:t>moet</w:t>
      </w:r>
      <w:r w:rsidRPr="00DB2415">
        <w:rPr>
          <w:u w:val="single"/>
        </w:rPr>
        <w:tab/>
        <w:t>gaan</w:t>
      </w:r>
      <w:r w:rsidRPr="00DB2415">
        <w:rPr>
          <w:u w:val="single"/>
        </w:rPr>
        <w:br/>
      </w:r>
      <w:r w:rsidRPr="00DB2415">
        <w:t xml:space="preserve">You </w:t>
      </w:r>
      <w:r w:rsidRPr="00DB2415">
        <w:tab/>
        <w:t>must</w:t>
      </w:r>
      <w:r w:rsidRPr="00DB2415">
        <w:tab/>
        <w:t>it</w:t>
      </w:r>
      <w:r w:rsidRPr="00DB2415">
        <w:tab/>
      </w:r>
      <w:r w:rsidRPr="00DB2415">
        <w:tab/>
        <w:t>also</w:t>
      </w:r>
      <w:r w:rsidRPr="00DB2415">
        <w:tab/>
        <w:t>not</w:t>
      </w:r>
      <w:r w:rsidRPr="00DB2415">
        <w:tab/>
        <w:t>see#</w:t>
      </w:r>
      <w:r w:rsidRPr="00DB2415">
        <w:tab/>
      </w:r>
      <w:r w:rsidRPr="00DB2415">
        <w:tab/>
      </w:r>
      <w:proofErr w:type="gramStart"/>
      <w:r w:rsidRPr="00DB2415">
        <w:rPr>
          <w:u w:val="single"/>
        </w:rPr>
        <w:t>as.if</w:t>
      </w:r>
      <w:proofErr w:type="gramEnd"/>
      <w:r w:rsidRPr="00DB2415">
        <w:rPr>
          <w:u w:val="single"/>
        </w:rPr>
        <w:tab/>
        <w:t>that</w:t>
      </w:r>
      <w:r w:rsidRPr="00DB2415">
        <w:rPr>
          <w:u w:val="single"/>
        </w:rPr>
        <w:tab/>
        <w:t>you#</w:t>
      </w:r>
      <w:r w:rsidRPr="00DB2415">
        <w:rPr>
          <w:u w:val="single"/>
        </w:rPr>
        <w:tab/>
        <w:t>alone</w:t>
      </w:r>
      <w:r w:rsidRPr="00DB2415">
        <w:rPr>
          <w:u w:val="single"/>
        </w:rPr>
        <w:tab/>
      </w:r>
      <w:r w:rsidRPr="00DB2415">
        <w:rPr>
          <w:u w:val="single"/>
        </w:rPr>
        <w:tab/>
        <w:t>that</w:t>
      </w:r>
      <w:r w:rsidRPr="00DB2415">
        <w:rPr>
          <w:u w:val="single"/>
        </w:rPr>
        <w:tab/>
        <w:t>wine</w:t>
      </w:r>
      <w:r w:rsidRPr="00DB2415">
        <w:rPr>
          <w:u w:val="single"/>
        </w:rPr>
        <w:tab/>
        <w:t>must</w:t>
      </w:r>
      <w:r w:rsidRPr="00DB2415">
        <w:rPr>
          <w:u w:val="single"/>
        </w:rPr>
        <w:tab/>
        <w:t>go</w:t>
      </w:r>
      <w:r w:rsidRPr="00DB2415">
        <w:rPr>
          <w:u w:val="single"/>
        </w:rPr>
        <w:br/>
      </w:r>
      <w:bookmarkStart w:id="57" w:name="_Ref149063350"/>
      <w:bookmarkEnd w:id="56"/>
      <w:r w:rsidR="002C084A" w:rsidRPr="00DB2415">
        <w:rPr>
          <w:u w:val="single"/>
        </w:rPr>
        <w:t>produ</w:t>
      </w:r>
      <w:r w:rsidR="002C084A" w:rsidRPr="00DB2415">
        <w:rPr>
          <w:b/>
          <w:u w:val="single"/>
        </w:rPr>
        <w:t>ce</w:t>
      </w:r>
      <w:r w:rsidR="002C084A" w:rsidRPr="00DB2415">
        <w:rPr>
          <w:u w:val="single"/>
        </w:rPr>
        <w:t>ren</w:t>
      </w:r>
      <w:r w:rsidR="007B5234" w:rsidRPr="00DB2415">
        <w:rPr>
          <w:u w:val="single"/>
        </w:rPr>
        <w:t>#</w:t>
      </w:r>
      <w:r w:rsidR="003B4D26" w:rsidRPr="00DB2415">
        <w:rPr>
          <w:u w:val="single"/>
        </w:rPr>
        <w:t xml:space="preserve"> </w:t>
      </w:r>
      <w:r>
        <w:rPr>
          <w:u w:val="single"/>
        </w:rPr>
        <w:tab/>
      </w:r>
      <w:r w:rsidR="002C084A" w:rsidRPr="00DB2415">
        <w:rPr>
          <w:u w:val="single"/>
        </w:rPr>
        <w:t>voor</w:t>
      </w:r>
      <w:r w:rsidR="003B4D26" w:rsidRPr="00DB2415">
        <w:rPr>
          <w:u w:val="single"/>
        </w:rPr>
        <w:t xml:space="preserve"> </w:t>
      </w:r>
      <w:r>
        <w:rPr>
          <w:u w:val="single"/>
        </w:rPr>
        <w:tab/>
      </w:r>
      <w:r w:rsidR="002C084A" w:rsidRPr="00DB2415">
        <w:rPr>
          <w:u w:val="single"/>
        </w:rPr>
        <w:t>u</w:t>
      </w:r>
      <w:r w:rsidR="002C084A" w:rsidRPr="00DB2415">
        <w:rPr>
          <w:b/>
          <w:u w:val="single"/>
        </w:rPr>
        <w:t>zelf</w:t>
      </w:r>
      <w:r w:rsidR="003B4D26" w:rsidRPr="00DB2415">
        <w:rPr>
          <w:u w:val="single"/>
        </w:rPr>
        <w:t xml:space="preserve"> </w:t>
      </w:r>
      <w:r>
        <w:rPr>
          <w:u w:val="single"/>
        </w:rPr>
        <w:tab/>
      </w:r>
      <w:r>
        <w:rPr>
          <w:u w:val="single"/>
        </w:rPr>
        <w:tab/>
      </w:r>
      <w:r w:rsidR="002C084A" w:rsidRPr="00DB2415">
        <w:rPr>
          <w:u w:val="single"/>
        </w:rPr>
        <w:t>alleen</w:t>
      </w:r>
      <w:r w:rsidR="003B4D26" w:rsidRPr="00DB2415">
        <w:rPr>
          <w:u w:val="single"/>
        </w:rPr>
        <w:t xml:space="preserve"> </w:t>
      </w:r>
      <w:r>
        <w:rPr>
          <w:u w:val="single"/>
        </w:rPr>
        <w:tab/>
      </w:r>
      <w:r w:rsidR="002C084A" w:rsidRPr="00DB2415">
        <w:rPr>
          <w:b/>
          <w:u w:val="single"/>
        </w:rPr>
        <w:t>he</w:t>
      </w:r>
      <w:r w:rsidR="00A46A6A" w:rsidRPr="00DB2415">
        <w:rPr>
          <w:u w:val="single"/>
        </w:rPr>
        <w:t>#</w:t>
      </w:r>
      <w:bookmarkEnd w:id="57"/>
      <w:r w:rsidR="00372D5C" w:rsidRPr="00DB2415">
        <w:rPr>
          <w:u w:val="single"/>
        </w:rPr>
        <w:t xml:space="preserve"> (CGN)</w:t>
      </w:r>
      <w:r>
        <w:rPr>
          <w:u w:val="single"/>
        </w:rPr>
        <w:br/>
      </w:r>
      <w:r w:rsidRPr="00DB2415">
        <w:rPr>
          <w:u w:val="single"/>
        </w:rPr>
        <w:t>produce</w:t>
      </w:r>
      <w:r>
        <w:rPr>
          <w:u w:val="single"/>
        </w:rPr>
        <w:t>#</w:t>
      </w:r>
      <w:r>
        <w:rPr>
          <w:u w:val="single"/>
        </w:rPr>
        <w:tab/>
      </w:r>
      <w:r>
        <w:rPr>
          <w:u w:val="single"/>
        </w:rPr>
        <w:tab/>
        <w:t>for</w:t>
      </w:r>
      <w:r>
        <w:rPr>
          <w:u w:val="single"/>
        </w:rPr>
        <w:tab/>
      </w:r>
      <w:r>
        <w:rPr>
          <w:u w:val="single"/>
        </w:rPr>
        <w:tab/>
        <w:t>yourself</w:t>
      </w:r>
      <w:r>
        <w:rPr>
          <w:u w:val="single"/>
        </w:rPr>
        <w:tab/>
        <w:t>alone</w:t>
      </w:r>
      <w:r>
        <w:rPr>
          <w:u w:val="single"/>
        </w:rPr>
        <w:tab/>
      </w:r>
      <w:r>
        <w:rPr>
          <w:u w:val="single"/>
        </w:rPr>
        <w:tab/>
        <w:t>hey#</w:t>
      </w:r>
    </w:p>
    <w:p w14:paraId="49D1F37F" w14:textId="261AA5C0" w:rsidR="002C084A" w:rsidRDefault="002C084A" w:rsidP="002C084A">
      <w:pPr>
        <w:pStyle w:val="ListParagraph"/>
        <w:numPr>
          <w:ilvl w:val="0"/>
          <w:numId w:val="0"/>
        </w:numPr>
        <w:ind w:left="567"/>
      </w:pPr>
      <w:r>
        <w:t>‘</w:t>
      </w:r>
      <w:r w:rsidR="006572AA">
        <w:t>Y</w:t>
      </w:r>
      <w:r>
        <w:t xml:space="preserve">ou also shouldn’t look at it </w:t>
      </w:r>
      <w:r w:rsidRPr="00DB2415">
        <w:rPr>
          <w:u w:val="single"/>
        </w:rPr>
        <w:t>as if you alone will have to produce that wine only for yourself</w:t>
      </w:r>
      <w:r>
        <w:t>, you know’</w:t>
      </w:r>
    </w:p>
    <w:p w14:paraId="5A275FCD" w14:textId="53EE4322" w:rsidR="00A46A6A" w:rsidRDefault="00A46A6A" w:rsidP="00A46A6A">
      <w:pPr>
        <w:ind w:left="567" w:hanging="567"/>
      </w:pPr>
    </w:p>
    <w:p w14:paraId="7692630A" w14:textId="74FA3D3C" w:rsidR="00A46A6A" w:rsidRPr="00536550" w:rsidRDefault="00C863A9" w:rsidP="001D2788">
      <w:pPr>
        <w:jc w:val="both"/>
      </w:pPr>
      <w:r w:rsidRPr="00ED59F1">
        <w:t>Here, the HM clause and its matrix are segmented into separate (series</w:t>
      </w:r>
      <w:r>
        <w:t xml:space="preserve"> of) IUs. The scope of the negation in the matrix, however, indicates that the HM clause nonetheless provides information that is judged to be essential for the validity of the assertion: the speaker does not mean to say that the hearer ‘shouldn’t look at it’ but rather that they shouldn’t look at it in the manner described in the HM clause.</w:t>
      </w:r>
      <w:r w:rsidR="00A02F31">
        <w:t xml:space="preserve"> </w:t>
      </w:r>
      <w:r w:rsidR="001D2788">
        <w:t>While syntactic dependency is an important factor, IU</w:t>
      </w:r>
      <w:r w:rsidR="00A02F31">
        <w:t xml:space="preserve"> segmentation </w:t>
      </w:r>
      <w:r w:rsidR="001D2788">
        <w:t>may also</w:t>
      </w:r>
      <w:r w:rsidR="00A02F31">
        <w:t xml:space="preserve"> be motivated by other factors, for instance</w:t>
      </w:r>
      <w:r w:rsidR="00283EB5">
        <w:t xml:space="preserve"> production phenomena or</w:t>
      </w:r>
      <w:r w:rsidR="00A02F31">
        <w:t xml:space="preserve"> rhetorical effect.</w:t>
      </w:r>
      <w:r w:rsidR="00A02F31" w:rsidRPr="000270DF">
        <w:rPr>
          <w:rStyle w:val="FootnoteReference"/>
        </w:rPr>
        <w:footnoteReference w:id="9"/>
      </w:r>
      <w:r w:rsidR="00DF060C">
        <w:t xml:space="preserve"> </w:t>
      </w:r>
      <w:r w:rsidR="001D2788">
        <w:t xml:space="preserve">This also explains why some non-typical prosodic behaviour is found with strongly dependent clauses, as well as independent ones. </w:t>
      </w:r>
      <w:r w:rsidR="008A0361">
        <w:t xml:space="preserve">For instance, in </w:t>
      </w:r>
      <w:r w:rsidR="008A0361">
        <w:fldChar w:fldCharType="begin"/>
      </w:r>
      <w:r w:rsidR="008A0361">
        <w:instrText xml:space="preserve"> REF _Ref134530157 \r \h </w:instrText>
      </w:r>
      <w:r w:rsidR="008A0361">
        <w:fldChar w:fldCharType="separate"/>
      </w:r>
      <w:r w:rsidR="008912AA">
        <w:t>(26)</w:t>
      </w:r>
      <w:r w:rsidR="008A0361">
        <w:fldChar w:fldCharType="end"/>
      </w:r>
      <w:r w:rsidR="008A0361">
        <w:t xml:space="preserve">, </w:t>
      </w:r>
      <w:r w:rsidR="001D2788">
        <w:t xml:space="preserve">the strongly dependent HM clause is uttered on two separate </w:t>
      </w:r>
      <w:r w:rsidR="00ED59F1">
        <w:t>IUs</w:t>
      </w:r>
      <w:r w:rsidR="001D2788">
        <w:t xml:space="preserve">, each of which contributes information essential to the assertion being made. </w:t>
      </w:r>
      <w:r w:rsidR="00644EEF">
        <w:t xml:space="preserve">The choice to place the subordinate clause in a separate </w:t>
      </w:r>
      <w:r w:rsidR="00644EEF">
        <w:lastRenderedPageBreak/>
        <w:t xml:space="preserve">(series of) </w:t>
      </w:r>
      <w:r w:rsidR="00ED59F1">
        <w:t xml:space="preserve">IUs </w:t>
      </w:r>
      <w:r w:rsidR="00644EEF">
        <w:t>allows the speaker to bring into focus th</w:t>
      </w:r>
      <w:r w:rsidR="00536550">
        <w:t>at what is expressed in the HM clause is merely appearance (</w:t>
      </w:r>
      <w:r w:rsidR="00536550">
        <w:rPr>
          <w:i/>
        </w:rPr>
        <w:t>lijkt</w:t>
      </w:r>
      <w:r w:rsidR="00536550">
        <w:t>, ‘seems’), not fact.</w:t>
      </w:r>
    </w:p>
    <w:p w14:paraId="149FDD02" w14:textId="77777777" w:rsidR="00A46A6A" w:rsidRPr="002C084A" w:rsidRDefault="00A46A6A" w:rsidP="00A46A6A">
      <w:pPr>
        <w:ind w:left="567" w:hanging="567"/>
      </w:pPr>
    </w:p>
    <w:p w14:paraId="23B077E5" w14:textId="55381B89" w:rsidR="00DC7705" w:rsidRPr="00DB2415" w:rsidRDefault="006572AA" w:rsidP="00DC7705">
      <w:pPr>
        <w:pStyle w:val="ListParagraph"/>
        <w:jc w:val="left"/>
      </w:pPr>
      <w:bookmarkStart w:id="58" w:name="_Ref134530157"/>
      <w:r w:rsidRPr="00DB2415">
        <w:t>D</w:t>
      </w:r>
      <w:r w:rsidR="00DC7705" w:rsidRPr="00DB2415">
        <w:t xml:space="preserve">an </w:t>
      </w:r>
      <w:r w:rsidRPr="00DB2415">
        <w:tab/>
      </w:r>
      <w:r w:rsidR="00DC7705" w:rsidRPr="00DB2415">
        <w:rPr>
          <w:b/>
        </w:rPr>
        <w:t>lijkt</w:t>
      </w:r>
      <w:r w:rsidR="003B4D26" w:rsidRPr="00DB2415">
        <w:t xml:space="preserve"> </w:t>
      </w:r>
      <w:r w:rsidRPr="00DB2415">
        <w:tab/>
      </w:r>
      <w:r w:rsidRPr="00DB2415">
        <w:tab/>
      </w:r>
      <w:r w:rsidR="00DC7705" w:rsidRPr="00DB2415">
        <w:t>het#</w:t>
      </w:r>
      <w:r w:rsidR="003B4D26" w:rsidRPr="00DB2415">
        <w:t xml:space="preserve"> </w:t>
      </w:r>
      <w:r w:rsidRPr="00DB2415">
        <w:tab/>
      </w:r>
      <w:r w:rsidR="00DC7705" w:rsidRPr="00DB2415">
        <w:rPr>
          <w:u w:val="single"/>
        </w:rPr>
        <w:t>alsof</w:t>
      </w:r>
      <w:r w:rsidR="003B4D26" w:rsidRPr="00DB2415">
        <w:rPr>
          <w:u w:val="single"/>
        </w:rPr>
        <w:t xml:space="preserve"> </w:t>
      </w:r>
      <w:r w:rsidRPr="00DB2415">
        <w:rPr>
          <w:u w:val="single"/>
        </w:rPr>
        <w:tab/>
      </w:r>
      <w:r w:rsidR="00DC7705" w:rsidRPr="00DB2415">
        <w:rPr>
          <w:u w:val="single"/>
        </w:rPr>
        <w:t>er</w:t>
      </w:r>
      <w:r w:rsidR="003B4D26" w:rsidRPr="00DB2415">
        <w:rPr>
          <w:u w:val="single"/>
        </w:rPr>
        <w:t xml:space="preserve"> </w:t>
      </w:r>
      <w:r w:rsidRPr="00DB2415">
        <w:rPr>
          <w:u w:val="single"/>
        </w:rPr>
        <w:tab/>
      </w:r>
      <w:r w:rsidRPr="00DB2415">
        <w:rPr>
          <w:u w:val="single"/>
        </w:rPr>
        <w:tab/>
      </w:r>
      <w:r w:rsidR="00DC7705" w:rsidRPr="00DB2415">
        <w:rPr>
          <w:u w:val="single"/>
        </w:rPr>
        <w:t>die</w:t>
      </w:r>
      <w:r w:rsidR="003B4D26" w:rsidRPr="00DB2415">
        <w:rPr>
          <w:u w:val="single"/>
        </w:rPr>
        <w:t xml:space="preserve"> </w:t>
      </w:r>
      <w:r w:rsidRPr="00DB2415">
        <w:rPr>
          <w:u w:val="single"/>
        </w:rPr>
        <w:tab/>
      </w:r>
      <w:r w:rsidR="00DC7705" w:rsidRPr="00DB2415">
        <w:rPr>
          <w:b/>
          <w:u w:val="single"/>
        </w:rPr>
        <w:t>o</w:t>
      </w:r>
      <w:r w:rsidR="00DC7705" w:rsidRPr="00DB2415">
        <w:rPr>
          <w:u w:val="single"/>
        </w:rPr>
        <w:t>penheid#</w:t>
      </w:r>
      <w:r w:rsidR="003B4D26" w:rsidRPr="00DB2415">
        <w:rPr>
          <w:u w:val="single"/>
        </w:rPr>
        <w:t xml:space="preserve"> - </w:t>
      </w:r>
      <w:r w:rsidRPr="00DB2415">
        <w:rPr>
          <w:u w:val="single"/>
        </w:rPr>
        <w:tab/>
      </w:r>
      <w:r w:rsidR="00DC7705" w:rsidRPr="00DB2415">
        <w:rPr>
          <w:u w:val="single"/>
        </w:rPr>
        <w:t>nie</w:t>
      </w:r>
      <w:r w:rsidR="003B4D26" w:rsidRPr="00DB2415">
        <w:rPr>
          <w:u w:val="single"/>
        </w:rPr>
        <w:t xml:space="preserve"> </w:t>
      </w:r>
      <w:r w:rsidRPr="00DB2415">
        <w:rPr>
          <w:u w:val="single"/>
        </w:rPr>
        <w:tab/>
      </w:r>
      <w:r w:rsidR="00DC7705" w:rsidRPr="00DB2415">
        <w:rPr>
          <w:b/>
          <w:u w:val="single"/>
        </w:rPr>
        <w:t>mag</w:t>
      </w:r>
      <w:r w:rsidR="003B4D26" w:rsidRPr="00DB2415">
        <w:rPr>
          <w:u w:val="single"/>
        </w:rPr>
        <w:t xml:space="preserve"> </w:t>
      </w:r>
      <w:r w:rsidRPr="00DB2415">
        <w:rPr>
          <w:u w:val="single"/>
        </w:rPr>
        <w:tab/>
      </w:r>
      <w:r w:rsidR="00DC7705" w:rsidRPr="00DB2415">
        <w:rPr>
          <w:u w:val="single"/>
        </w:rPr>
        <w:t>zijn#</w:t>
      </w:r>
      <w:r w:rsidR="00DC7705" w:rsidRPr="00DB2415">
        <w:t xml:space="preserve"> (CGN)</w:t>
      </w:r>
      <w:bookmarkEnd w:id="58"/>
      <w:r w:rsidRPr="00DB2415">
        <w:br/>
        <w:t>Then</w:t>
      </w:r>
      <w:r w:rsidRPr="00DB2415">
        <w:tab/>
        <w:t>seems</w:t>
      </w:r>
      <w:r w:rsidRPr="00DB2415">
        <w:tab/>
        <w:t>it#</w:t>
      </w:r>
      <w:r w:rsidRPr="00DB2415">
        <w:tab/>
      </w:r>
      <w:r w:rsidRPr="00DB2415">
        <w:tab/>
      </w:r>
      <w:proofErr w:type="gramStart"/>
      <w:r w:rsidRPr="00DB2415">
        <w:rPr>
          <w:u w:val="single"/>
        </w:rPr>
        <w:t>as.if</w:t>
      </w:r>
      <w:proofErr w:type="gramEnd"/>
      <w:r w:rsidRPr="00DB2415">
        <w:rPr>
          <w:u w:val="single"/>
        </w:rPr>
        <w:tab/>
        <w:t>there</w:t>
      </w:r>
      <w:r w:rsidRPr="00DB2415">
        <w:rPr>
          <w:u w:val="single"/>
        </w:rPr>
        <w:tab/>
        <w:t>that</w:t>
      </w:r>
      <w:r w:rsidRPr="00DB2415">
        <w:rPr>
          <w:u w:val="single"/>
        </w:rPr>
        <w:tab/>
        <w:t xml:space="preserve">openness# - </w:t>
      </w:r>
      <w:r w:rsidRPr="00DB2415">
        <w:rPr>
          <w:u w:val="single"/>
        </w:rPr>
        <w:tab/>
        <w:t>not</w:t>
      </w:r>
      <w:r w:rsidRPr="00DB2415">
        <w:rPr>
          <w:u w:val="single"/>
        </w:rPr>
        <w:tab/>
        <w:t>can</w:t>
      </w:r>
      <w:r w:rsidRPr="00DB2415">
        <w:rPr>
          <w:u w:val="single"/>
        </w:rPr>
        <w:tab/>
        <w:t>be</w:t>
      </w:r>
      <w:r>
        <w:rPr>
          <w:u w:val="single"/>
        </w:rPr>
        <w:t>#</w:t>
      </w:r>
    </w:p>
    <w:p w14:paraId="61BA1F79" w14:textId="5F48AE9A" w:rsidR="00867867" w:rsidRPr="00867867" w:rsidRDefault="00867867" w:rsidP="00867867">
      <w:pPr>
        <w:pStyle w:val="ListParagraph"/>
        <w:numPr>
          <w:ilvl w:val="0"/>
          <w:numId w:val="0"/>
        </w:numPr>
        <w:ind w:left="567"/>
        <w:jc w:val="left"/>
      </w:pPr>
      <w:r>
        <w:t xml:space="preserve">‘It seems then </w:t>
      </w:r>
      <w:r w:rsidRPr="00DB2415">
        <w:rPr>
          <w:u w:val="single"/>
        </w:rPr>
        <w:t>as if there can’t be that openness</w:t>
      </w:r>
      <w:r>
        <w:t>.’</w:t>
      </w:r>
    </w:p>
    <w:p w14:paraId="55C11F86" w14:textId="77777777" w:rsidR="00BA1F2D" w:rsidRDefault="00BA1F2D" w:rsidP="00446752"/>
    <w:p w14:paraId="2BDA1339" w14:textId="3ACF3985" w:rsidR="006C3CCA" w:rsidRPr="0055013D" w:rsidRDefault="00497726" w:rsidP="00EE7ACA">
      <w:pPr>
        <w:jc w:val="both"/>
      </w:pPr>
      <w:r w:rsidRPr="0055013D">
        <w:t xml:space="preserve">Therefore, </w:t>
      </w:r>
      <w:r w:rsidR="001D2788" w:rsidRPr="0055013D">
        <w:t xml:space="preserve">while IU segmentation correlates with syntactic dependency, prosodic integration does not code syntactic integration. Instead, syntactic dependency </w:t>
      </w:r>
      <w:r w:rsidR="00AE26AB" w:rsidRPr="0055013D">
        <w:t xml:space="preserve">influences the likelihood of prosodic integration of a </w:t>
      </w:r>
      <w:r w:rsidR="00592866" w:rsidRPr="0055013D">
        <w:t xml:space="preserve">dependent </w:t>
      </w:r>
      <w:r w:rsidR="00AE26AB" w:rsidRPr="0055013D">
        <w:t xml:space="preserve">clause with its matrix, but it is ultimately the speaker who decides </w:t>
      </w:r>
      <w:r w:rsidR="00605532" w:rsidRPr="0055013D">
        <w:t>how</w:t>
      </w:r>
      <w:r w:rsidR="00AE26AB" w:rsidRPr="0055013D">
        <w:t xml:space="preserve"> </w:t>
      </w:r>
      <w:r w:rsidR="00605532" w:rsidRPr="0055013D">
        <w:t xml:space="preserve">to </w:t>
      </w:r>
      <w:r w:rsidR="00AE26AB" w:rsidRPr="0055013D">
        <w:t>segment an utterance into IUs</w:t>
      </w:r>
      <w:r w:rsidR="00605532" w:rsidRPr="0055013D">
        <w:t>. This is</w:t>
      </w:r>
      <w:r w:rsidR="00AE26AB" w:rsidRPr="0055013D">
        <w:t xml:space="preserve"> based on </w:t>
      </w:r>
      <w:r w:rsidR="00DC2D69" w:rsidRPr="0055013D">
        <w:t>their</w:t>
      </w:r>
      <w:r w:rsidR="00AE26AB" w:rsidRPr="0055013D">
        <w:t xml:space="preserve"> assessment of the communicative import of the information in the utterance to the development of the discourse. </w:t>
      </w:r>
      <w:r w:rsidR="00605532" w:rsidRPr="0055013D">
        <w:t xml:space="preserve">The information status of the </w:t>
      </w:r>
      <w:r w:rsidR="00E15D9F" w:rsidRPr="0055013D">
        <w:t xml:space="preserve">dependent </w:t>
      </w:r>
      <w:r w:rsidR="00605532" w:rsidRPr="0055013D">
        <w:t xml:space="preserve">clause vis-à-vis its matrix (i.e., contributing essential vs. non-essential information) may set preferences for prosodic integration or non-integration, but these can be overridden for special purposes, such as the speaker’s wish to highlight not one but multiple pieces of information in the sentence (e.g. </w:t>
      </w:r>
      <w:r w:rsidR="00605532" w:rsidRPr="0055013D">
        <w:rPr>
          <w:i/>
        </w:rPr>
        <w:t>lijkt</w:t>
      </w:r>
      <w:r w:rsidR="00605532" w:rsidRPr="0055013D">
        <w:t xml:space="preserve"> ‘seems’, </w:t>
      </w:r>
      <w:r w:rsidR="00605532" w:rsidRPr="0055013D">
        <w:rPr>
          <w:i/>
        </w:rPr>
        <w:t>openheid</w:t>
      </w:r>
      <w:r w:rsidR="00605532" w:rsidRPr="0055013D">
        <w:t xml:space="preserve"> ‘openness’, and </w:t>
      </w:r>
      <w:r w:rsidR="00605532" w:rsidRPr="0055013D">
        <w:rPr>
          <w:i/>
        </w:rPr>
        <w:t>mag</w:t>
      </w:r>
      <w:r w:rsidR="00605532" w:rsidRPr="0055013D">
        <w:t xml:space="preserve"> ‘can’ in [26]).</w:t>
      </w:r>
      <w:r w:rsidR="00B56868" w:rsidRPr="0055013D">
        <w:t xml:space="preserve"> However, </w:t>
      </w:r>
      <w:r w:rsidR="00DE3BB2" w:rsidRPr="0055013D">
        <w:t>this overrid</w:t>
      </w:r>
      <w:r w:rsidR="002C45B8" w:rsidRPr="0055013D">
        <w:t>e</w:t>
      </w:r>
      <w:r w:rsidR="00DE3BB2" w:rsidRPr="0055013D">
        <w:t xml:space="preserve"> only works in one direction, illustrated in </w:t>
      </w:r>
      <w:r w:rsidR="002C45B8" w:rsidRPr="0055013D">
        <w:t>(</w:t>
      </w:r>
      <w:r w:rsidR="00DE3BB2" w:rsidRPr="0055013D">
        <w:t xml:space="preserve">25) and (26); </w:t>
      </w:r>
      <w:r w:rsidR="00B56868" w:rsidRPr="0055013D">
        <w:t xml:space="preserve">information deemed non-essential to the speech act realized by the main clause is never conveyed in prosodically integrated clauses. </w:t>
      </w:r>
    </w:p>
    <w:p w14:paraId="097CBDBB" w14:textId="36FCCE55" w:rsidR="00BF2A1C" w:rsidRDefault="00EE7ACA" w:rsidP="00D118BD">
      <w:pPr>
        <w:jc w:val="both"/>
      </w:pPr>
      <w:r w:rsidRPr="0055013D">
        <w:tab/>
      </w:r>
      <w:r w:rsidRPr="0055013D">
        <w:tab/>
      </w:r>
      <w:r w:rsidR="0050166E" w:rsidRPr="0055013D">
        <w:t>Second</w:t>
      </w:r>
      <w:r w:rsidRPr="0055013D">
        <w:t xml:space="preserve">, </w:t>
      </w:r>
      <w:r w:rsidR="0050166E" w:rsidRPr="0055013D">
        <w:t xml:space="preserve">the findings for pitch </w:t>
      </w:r>
      <w:r w:rsidR="00820A0A" w:rsidRPr="0055013D">
        <w:t>onset level</w:t>
      </w:r>
      <w:r w:rsidR="0050166E" w:rsidRPr="0055013D">
        <w:t xml:space="preserve"> and</w:t>
      </w:r>
      <w:r w:rsidR="0050166E">
        <w:t xml:space="preserve"> pre-onset pausing </w:t>
      </w:r>
      <w:r w:rsidR="00DF6FF1">
        <w:t>show</w:t>
      </w:r>
      <w:r w:rsidR="000A5660">
        <w:t xml:space="preserve">, </w:t>
      </w:r>
      <w:r w:rsidR="0050166E">
        <w:t xml:space="preserve">we argue, </w:t>
      </w:r>
      <w:r w:rsidR="008468AD">
        <w:t>that the most salient distinction on the cline of syntactic dependency is that between syntactically independent and dependent clauses</w:t>
      </w:r>
      <w:r w:rsidR="00C54E9F">
        <w:t>, which show distinct discursive profiles</w:t>
      </w:r>
      <w:r w:rsidR="008468AD">
        <w:t>.</w:t>
      </w:r>
      <w:r w:rsidR="00310A47">
        <w:t xml:space="preserve"> </w:t>
      </w:r>
      <w:r w:rsidR="00E46FA5">
        <w:t>E</w:t>
      </w:r>
      <w:r w:rsidR="00FD49A5">
        <w:t xml:space="preserve">vidence from the data </w:t>
      </w:r>
      <w:r w:rsidR="00E46FA5">
        <w:t>indicates</w:t>
      </w:r>
      <w:r w:rsidR="00FD49A5">
        <w:t xml:space="preserve"> that independent clauses </w:t>
      </w:r>
      <w:r w:rsidR="00E46FA5">
        <w:t>are typically</w:t>
      </w:r>
      <w:r w:rsidR="00FD49A5">
        <w:t xml:space="preserve"> uttered with a pitch reset at the start of the clause. As </w:t>
      </w:r>
      <w:r w:rsidR="008E7309">
        <w:t>is well-known</w:t>
      </w:r>
      <w:r w:rsidR="00FD49A5">
        <w:t xml:space="preserve">, </w:t>
      </w:r>
      <w:r w:rsidR="00B92ED5">
        <w:t>pitch resets are used to signal topic-shifts, or ‘fresh starts’</w:t>
      </w:r>
      <w:r w:rsidR="008E7309">
        <w:t xml:space="preserve"> – which is attested in a range of languages, including English and Dutch (see, for instance,</w:t>
      </w:r>
      <w:r w:rsidR="008E7309" w:rsidRPr="00545A88">
        <w:rPr>
          <w:szCs w:val="24"/>
        </w:rPr>
        <w:t xml:space="preserve"> </w:t>
      </w:r>
      <w:r w:rsidR="008E7309">
        <w:rPr>
          <w:szCs w:val="24"/>
        </w:rPr>
        <w:fldChar w:fldCharType="begin"/>
      </w:r>
      <w:r w:rsidR="001F43C8">
        <w:rPr>
          <w:szCs w:val="24"/>
        </w:rPr>
        <w:instrText xml:space="preserve"> ADDIN ZOTERO_ITEM CSL_CITATION {"citationID":"O1TT9FPu","properties":{"formattedCitation":"(Sluijter &amp; Terken 1993)","plainCitation":"(Sluijter &amp; Terken 1993)","dontUpdate":true,"noteIndex":0},"citationItems":[{"id":2112,"uris":["http://zotero.org/users/5024743/items/H6QNTV4J"],"itemData":{"id":2112,"type":"article-journal","abstract":"The present research aims at a partial model for synthesized text intonation, restricted to utterances consisting of a single intonation phrase. Intonational characteristics of short utterances in different positions within a paragraph are investigated. The effects of position in the paragraph on sentence prosody are mainly located in the beginning of the utterance. A model is formulated to capture the main findings. The model is then perceptually evaluated. The results indicate that the model can be used to improve the naturalness of rule-based intonation in a system for automatic text-to-speech conversion.","container-title":"Phonetica","DOI":"10.1159/000261938","ISSN":"0031-8388","issue":"3","journalAbbreviation":"Phonetica","language":"eng","note":"PMID: 8295926","page":"180-188","source":"PubMed","title":"Beyond sentence prosody: paragraph intonation in Dutch","title-short":"Beyond sentence prosody","volume":"50","author":[{"family":"Sluijter","given":"A. M."},{"family":"Terken","given":"J. M."}],"issued":{"date-parts":[["1993"]]}}}],"schema":"https://github.com/citation-style-language/schema/raw/master/csl-citation.json"} </w:instrText>
      </w:r>
      <w:r w:rsidR="008E7309">
        <w:rPr>
          <w:szCs w:val="24"/>
        </w:rPr>
        <w:fldChar w:fldCharType="separate"/>
      </w:r>
      <w:r w:rsidR="008E7309" w:rsidRPr="00545A88">
        <w:t xml:space="preserve">Sluijter </w:t>
      </w:r>
      <w:r w:rsidR="007948AE">
        <w:t>and</w:t>
      </w:r>
      <w:r w:rsidR="008E7309" w:rsidRPr="00545A88">
        <w:t xml:space="preserve"> Terken 1993</w:t>
      </w:r>
      <w:r w:rsidR="008E7309">
        <w:t>;</w:t>
      </w:r>
      <w:r w:rsidR="008E7309">
        <w:rPr>
          <w:szCs w:val="24"/>
        </w:rPr>
        <w:fldChar w:fldCharType="end"/>
      </w:r>
      <w:r w:rsidR="008E7309">
        <w:t xml:space="preserve"> </w:t>
      </w:r>
      <w:r w:rsidR="008E7309" w:rsidRPr="00FD49A5">
        <w:rPr>
          <w:szCs w:val="24"/>
        </w:rPr>
        <w:t>Wichmann 2000: 105; O’Grady 2017: 201–202)</w:t>
      </w:r>
      <w:r w:rsidR="008E7309">
        <w:rPr>
          <w:szCs w:val="24"/>
        </w:rPr>
        <w:t xml:space="preserve"> </w:t>
      </w:r>
      <w:r w:rsidR="008E7309">
        <w:t>–</w:t>
      </w:r>
      <w:r w:rsidR="00B92ED5">
        <w:t xml:space="preserve"> whereas mid-register pitch is interpreted as “the addition of information within a pre-established frame” </w:t>
      </w:r>
      <w:r w:rsidR="00B92ED5" w:rsidRPr="00B92ED5">
        <w:rPr>
          <w:szCs w:val="24"/>
        </w:rPr>
        <w:t>(O’Grady 2017: 202)</w:t>
      </w:r>
      <w:r w:rsidR="00B92ED5">
        <w:t>.</w:t>
      </w:r>
      <w:r w:rsidR="00BB24AC">
        <w:t xml:space="preserve"> </w:t>
      </w:r>
      <w:r w:rsidR="00266BC3">
        <w:t xml:space="preserve">Therefore, </w:t>
      </w:r>
      <w:r w:rsidR="00833EF7">
        <w:t xml:space="preserve">the reset with which syntactically independent clauses begin can be seen as initiating a new discourse segment, marking a departure from </w:t>
      </w:r>
      <w:r w:rsidR="00085C32">
        <w:t>what was said before.</w:t>
      </w:r>
      <w:r w:rsidR="005C4A2F">
        <w:t xml:space="preserve"> This is visualised in </w:t>
      </w:r>
      <w:r w:rsidR="00BF2A1C">
        <w:t xml:space="preserve">the </w:t>
      </w:r>
      <w:r w:rsidR="00521BE8">
        <w:t>ToDI transcription</w:t>
      </w:r>
      <w:r w:rsidR="00BF2A1C">
        <w:t xml:space="preserve"> in </w:t>
      </w:r>
      <w:r w:rsidR="005C4A2F">
        <w:fldChar w:fldCharType="begin"/>
      </w:r>
      <w:r w:rsidR="005C4A2F">
        <w:instrText xml:space="preserve"> REF _Ref134604611 \h </w:instrText>
      </w:r>
      <w:r w:rsidR="005C4A2F">
        <w:fldChar w:fldCharType="separate"/>
      </w:r>
      <w:r w:rsidR="008912AA">
        <w:t xml:space="preserve">Figure </w:t>
      </w:r>
      <w:r w:rsidR="008912AA">
        <w:rPr>
          <w:noProof/>
        </w:rPr>
        <w:t>13</w:t>
      </w:r>
      <w:r w:rsidR="005C4A2F">
        <w:fldChar w:fldCharType="end"/>
      </w:r>
      <w:r w:rsidR="005C4A2F">
        <w:t xml:space="preserve">, </w:t>
      </w:r>
      <w:r w:rsidR="00BF2A1C">
        <w:t>which gives the pitch curve</w:t>
      </w:r>
      <w:r w:rsidR="000F6F21">
        <w:t xml:space="preserve"> </w:t>
      </w:r>
      <w:r w:rsidR="00E1509E">
        <w:t>in the spectrogram below</w:t>
      </w:r>
      <w:r w:rsidR="00BF2A1C">
        <w:t xml:space="preserve">, and </w:t>
      </w:r>
      <w:r w:rsidR="004617A6">
        <w:t xml:space="preserve">a visualisation of the </w:t>
      </w:r>
      <w:r w:rsidR="00BF2A1C">
        <w:t>intensity</w:t>
      </w:r>
      <w:r w:rsidR="004617A6">
        <w:t xml:space="preserve"> (loudness)</w:t>
      </w:r>
      <w:r w:rsidR="00BF2A1C">
        <w:t xml:space="preserve"> </w:t>
      </w:r>
      <w:r w:rsidR="00E1509E">
        <w:t>in the oscillogram on top</w:t>
      </w:r>
      <w:r w:rsidR="00BF2A1C">
        <w:t>, of the syntactically independent</w:t>
      </w:r>
      <w:r w:rsidR="00E46FA5">
        <w:t xml:space="preserve"> </w:t>
      </w:r>
      <w:r w:rsidR="00BF2A1C">
        <w:t xml:space="preserve">clause in </w:t>
      </w:r>
      <w:r w:rsidR="00BF2A1C">
        <w:fldChar w:fldCharType="begin"/>
      </w:r>
      <w:r w:rsidR="00BF2A1C">
        <w:instrText xml:space="preserve"> REF _Ref134604508 \n \h </w:instrText>
      </w:r>
      <w:r w:rsidR="00BF2A1C">
        <w:fldChar w:fldCharType="separate"/>
      </w:r>
      <w:r w:rsidR="008912AA">
        <w:t>(27)</w:t>
      </w:r>
      <w:r w:rsidR="00BF2A1C">
        <w:fldChar w:fldCharType="end"/>
      </w:r>
      <w:r w:rsidR="00BF2A1C">
        <w:t>.</w:t>
      </w:r>
    </w:p>
    <w:p w14:paraId="7176CA0A" w14:textId="3A9BE3BE" w:rsidR="005C4A2F" w:rsidRDefault="005C4A2F" w:rsidP="00BF2A1C">
      <w:pPr>
        <w:tabs>
          <w:tab w:val="left" w:pos="567"/>
        </w:tabs>
        <w:jc w:val="both"/>
        <w:rPr>
          <w:noProof/>
        </w:rPr>
      </w:pPr>
      <w:r>
        <w:rPr>
          <w:noProof/>
        </w:rPr>
        <w:t xml:space="preserve"> </w:t>
      </w:r>
    </w:p>
    <w:p w14:paraId="02D14656" w14:textId="421CC726" w:rsidR="005C4A2F" w:rsidRPr="005C4A2F" w:rsidRDefault="006572AA" w:rsidP="00DB2415">
      <w:pPr>
        <w:pStyle w:val="ListParagraph"/>
        <w:jc w:val="left"/>
        <w:rPr>
          <w:noProof/>
        </w:rPr>
      </w:pPr>
      <w:bookmarkStart w:id="59" w:name="_Ref134604508"/>
      <w:r w:rsidRPr="003E23F4">
        <w:rPr>
          <w:noProof/>
        </w:rPr>
        <w:lastRenderedPageBreak/>
        <w:t>L</w:t>
      </w:r>
      <w:r w:rsidR="005C4A2F" w:rsidRPr="003E23F4">
        <w:rPr>
          <w:noProof/>
        </w:rPr>
        <w:t>aa</w:t>
      </w:r>
      <w:r w:rsidRPr="003E23F4">
        <w:rPr>
          <w:noProof/>
        </w:rPr>
        <w:t>t</w:t>
      </w:r>
      <w:r w:rsidRPr="003E23F4">
        <w:rPr>
          <w:noProof/>
        </w:rPr>
        <w:tab/>
      </w:r>
      <w:r w:rsidR="005C4A2F" w:rsidRPr="003E23F4">
        <w:rPr>
          <w:noProof/>
        </w:rPr>
        <w:t>maa</w:t>
      </w:r>
      <w:r w:rsidR="003B4D26" w:rsidRPr="003E23F4">
        <w:rPr>
          <w:noProof/>
        </w:rPr>
        <w:t xml:space="preserve">r </w:t>
      </w:r>
      <w:r w:rsidRPr="003E23F4">
        <w:rPr>
          <w:noProof/>
        </w:rPr>
        <w:tab/>
      </w:r>
      <w:r w:rsidR="005C4A2F" w:rsidRPr="003E23F4">
        <w:rPr>
          <w:b/>
          <w:noProof/>
        </w:rPr>
        <w:t>zi</w:t>
      </w:r>
      <w:r w:rsidR="005C4A2F" w:rsidRPr="003E23F4">
        <w:rPr>
          <w:noProof/>
        </w:rPr>
        <w:t>tten#</w:t>
      </w:r>
      <w:r w:rsidR="003B4D26" w:rsidRPr="003E23F4">
        <w:rPr>
          <w:noProof/>
        </w:rPr>
        <w:t xml:space="preserve"> </w:t>
      </w:r>
      <w:r w:rsidRPr="003E23F4">
        <w:rPr>
          <w:noProof/>
        </w:rPr>
        <w:tab/>
      </w:r>
      <w:r w:rsidR="005C4A2F" w:rsidRPr="003E23F4">
        <w:rPr>
          <w:noProof/>
          <w:u w:val="single"/>
        </w:rPr>
        <w:t>alsof</w:t>
      </w:r>
      <w:r w:rsidR="003B4D26" w:rsidRPr="003E23F4">
        <w:rPr>
          <w:noProof/>
          <w:u w:val="single"/>
        </w:rPr>
        <w:t xml:space="preserve"> </w:t>
      </w:r>
      <w:r w:rsidRPr="003E23F4">
        <w:rPr>
          <w:noProof/>
          <w:u w:val="single"/>
        </w:rPr>
        <w:tab/>
      </w:r>
      <w:r w:rsidR="005C4A2F" w:rsidRPr="003E23F4">
        <w:rPr>
          <w:noProof/>
          <w:u w:val="single"/>
        </w:rPr>
        <w:t>ik</w:t>
      </w:r>
      <w:r w:rsidR="003B4D26" w:rsidRPr="003E23F4">
        <w:rPr>
          <w:noProof/>
          <w:u w:val="single"/>
        </w:rPr>
        <w:t xml:space="preserve"> </w:t>
      </w:r>
      <w:r w:rsidRPr="003E23F4">
        <w:rPr>
          <w:noProof/>
          <w:u w:val="single"/>
        </w:rPr>
        <w:tab/>
      </w:r>
      <w:r w:rsidR="005C4A2F" w:rsidRPr="003E23F4">
        <w:rPr>
          <w:noProof/>
          <w:u w:val="single"/>
        </w:rPr>
        <w:t>zoveel</w:t>
      </w:r>
      <w:r w:rsidR="003B4D26" w:rsidRPr="003E23F4">
        <w:rPr>
          <w:noProof/>
          <w:u w:val="single"/>
        </w:rPr>
        <w:t xml:space="preserve"> </w:t>
      </w:r>
      <w:r w:rsidRPr="003E23F4">
        <w:rPr>
          <w:noProof/>
          <w:u w:val="single"/>
        </w:rPr>
        <w:tab/>
      </w:r>
      <w:r w:rsidR="005C4A2F" w:rsidRPr="003E23F4">
        <w:rPr>
          <w:noProof/>
          <w:u w:val="single"/>
        </w:rPr>
        <w:t>vrij</w:t>
      </w:r>
      <w:r w:rsidR="003B4D26" w:rsidRPr="003E23F4">
        <w:rPr>
          <w:noProof/>
          <w:u w:val="single"/>
        </w:rPr>
        <w:t xml:space="preserve">e </w:t>
      </w:r>
      <w:r w:rsidRPr="003E23F4">
        <w:rPr>
          <w:noProof/>
          <w:u w:val="single"/>
        </w:rPr>
        <w:tab/>
      </w:r>
      <w:r w:rsidR="005C4A2F" w:rsidRPr="003E23F4">
        <w:rPr>
          <w:b/>
          <w:noProof/>
          <w:u w:val="single"/>
        </w:rPr>
        <w:t>tijd</w:t>
      </w:r>
      <w:r w:rsidR="003B4D26" w:rsidRPr="003E23F4">
        <w:rPr>
          <w:noProof/>
          <w:u w:val="single"/>
        </w:rPr>
        <w:t xml:space="preserve"> </w:t>
      </w:r>
      <w:r w:rsidRPr="003E23F4">
        <w:rPr>
          <w:noProof/>
          <w:u w:val="single"/>
        </w:rPr>
        <w:tab/>
      </w:r>
      <w:r w:rsidR="005C4A2F" w:rsidRPr="003E23F4">
        <w:rPr>
          <w:noProof/>
          <w:u w:val="single"/>
        </w:rPr>
        <w:t>heb#</w:t>
      </w:r>
      <w:r w:rsidR="003B4D26" w:rsidRPr="003E23F4">
        <w:rPr>
          <w:noProof/>
        </w:rPr>
        <w:t xml:space="preserve"> </w:t>
      </w:r>
      <w:r w:rsidR="005C4A2F" w:rsidRPr="003E23F4">
        <w:rPr>
          <w:noProof/>
        </w:rPr>
        <w:t>(CGN)</w:t>
      </w:r>
      <w:bookmarkEnd w:id="59"/>
      <w:r w:rsidRPr="003E23F4">
        <w:rPr>
          <w:noProof/>
        </w:rPr>
        <w:br/>
        <w:t>Let</w:t>
      </w:r>
      <w:r w:rsidRPr="003E23F4">
        <w:rPr>
          <w:noProof/>
        </w:rPr>
        <w:tab/>
        <w:t>but</w:t>
      </w:r>
      <w:r w:rsidRPr="003E23F4">
        <w:rPr>
          <w:noProof/>
        </w:rPr>
        <w:tab/>
        <w:t>sit#</w:t>
      </w:r>
      <w:r w:rsidRPr="003E23F4">
        <w:rPr>
          <w:noProof/>
        </w:rPr>
        <w:tab/>
      </w:r>
      <w:r w:rsidRPr="003E23F4">
        <w:rPr>
          <w:noProof/>
        </w:rPr>
        <w:tab/>
      </w:r>
      <w:r w:rsidRPr="003E23F4">
        <w:rPr>
          <w:noProof/>
          <w:u w:val="single"/>
        </w:rPr>
        <w:t>as.if</w:t>
      </w:r>
      <w:r w:rsidRPr="003E23F4">
        <w:rPr>
          <w:noProof/>
          <w:u w:val="single"/>
        </w:rPr>
        <w:tab/>
        <w:t>I</w:t>
      </w:r>
      <w:r w:rsidRPr="003E23F4">
        <w:rPr>
          <w:noProof/>
          <w:u w:val="single"/>
        </w:rPr>
        <w:tab/>
        <w:t>so.much</w:t>
      </w:r>
      <w:r w:rsidRPr="003E23F4">
        <w:rPr>
          <w:noProof/>
          <w:u w:val="single"/>
        </w:rPr>
        <w:tab/>
        <w:t>free</w:t>
      </w:r>
      <w:r w:rsidRPr="003E23F4">
        <w:rPr>
          <w:noProof/>
          <w:u w:val="single"/>
        </w:rPr>
        <w:tab/>
        <w:t>time</w:t>
      </w:r>
      <w:r w:rsidRPr="003E23F4">
        <w:rPr>
          <w:noProof/>
          <w:u w:val="single"/>
        </w:rPr>
        <w:tab/>
        <w:t>have#</w:t>
      </w:r>
      <w:r w:rsidRPr="003E23F4">
        <w:rPr>
          <w:noProof/>
        </w:rPr>
        <w:br/>
      </w:r>
      <w:r w:rsidR="005C4A2F">
        <w:rPr>
          <w:noProof/>
        </w:rPr>
        <w:t xml:space="preserve">‘Never mind. </w:t>
      </w:r>
      <w:r w:rsidR="005C4A2F" w:rsidRPr="0096177B">
        <w:rPr>
          <w:noProof/>
          <w:u w:val="single"/>
        </w:rPr>
        <w:t>As if I’ve got so much spare time.</w:t>
      </w:r>
      <w:r w:rsidR="005C4A2F">
        <w:rPr>
          <w:noProof/>
        </w:rPr>
        <w:t>’</w:t>
      </w:r>
    </w:p>
    <w:p w14:paraId="583A7876" w14:textId="11A8B720" w:rsidR="00FD4AE2" w:rsidRDefault="00FD4AE2" w:rsidP="00446752">
      <w:pPr>
        <w:rPr>
          <w:noProof/>
        </w:rPr>
      </w:pPr>
      <w:r>
        <w:rPr>
          <w:noProof/>
        </w:rPr>
        <mc:AlternateContent>
          <mc:Choice Requires="wps">
            <w:drawing>
              <wp:anchor distT="0" distB="0" distL="114300" distR="114300" simplePos="0" relativeHeight="251654144" behindDoc="0" locked="0" layoutInCell="1" allowOverlap="1" wp14:anchorId="6475E6FB" wp14:editId="11EFA805">
                <wp:simplePos x="0" y="0"/>
                <wp:positionH relativeFrom="column">
                  <wp:posOffset>-8255</wp:posOffset>
                </wp:positionH>
                <wp:positionV relativeFrom="paragraph">
                  <wp:posOffset>4372242</wp:posOffset>
                </wp:positionV>
                <wp:extent cx="5867400" cy="262890"/>
                <wp:effectExtent l="0" t="0" r="0" b="0"/>
                <wp:wrapTopAndBottom/>
                <wp:docPr id="194530316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7400" cy="262890"/>
                        </a:xfrm>
                        <a:prstGeom prst="rect">
                          <a:avLst/>
                        </a:prstGeom>
                        <a:solidFill>
                          <a:prstClr val="white"/>
                        </a:solidFill>
                        <a:ln>
                          <a:noFill/>
                        </a:ln>
                      </wps:spPr>
                      <wps:txbx>
                        <w:txbxContent>
                          <w:p w14:paraId="797A4B74" w14:textId="296FFE27" w:rsidR="00BD7F04" w:rsidRPr="001C49B4" w:rsidRDefault="00BD7F04" w:rsidP="006B1B8D">
                            <w:pPr>
                              <w:pStyle w:val="Caption"/>
                              <w:spacing w:after="0"/>
                              <w:rPr>
                                <w:noProof/>
                              </w:rPr>
                            </w:pPr>
                            <w:bookmarkStart w:id="60" w:name="_Ref134604611"/>
                            <w:r>
                              <w:t xml:space="preserve">Figure </w:t>
                            </w:r>
                            <w:r>
                              <w:fldChar w:fldCharType="begin"/>
                            </w:r>
                            <w:r>
                              <w:instrText xml:space="preserve"> SEQ Figure \* ARABIC </w:instrText>
                            </w:r>
                            <w:r>
                              <w:fldChar w:fldCharType="separate"/>
                            </w:r>
                            <w:r w:rsidR="008912AA">
                              <w:rPr>
                                <w:noProof/>
                              </w:rPr>
                              <w:t>13</w:t>
                            </w:r>
                            <w:r>
                              <w:fldChar w:fldCharType="end"/>
                            </w:r>
                            <w:bookmarkEnd w:id="60"/>
                            <w:r>
                              <w:t xml:space="preserve">. </w:t>
                            </w:r>
                            <w:r w:rsidR="00521BE8">
                              <w:rPr>
                                <w:b w:val="0"/>
                              </w:rPr>
                              <w:t xml:space="preserve">ToDI transcription, </w:t>
                            </w:r>
                            <w:r w:rsidR="00D3634E">
                              <w:rPr>
                                <w:b w:val="0"/>
                              </w:rPr>
                              <w:t>with the</w:t>
                            </w:r>
                            <w:r>
                              <w:rPr>
                                <w:b w:val="0"/>
                              </w:rPr>
                              <w:t xml:space="preserve"> pitch curve</w:t>
                            </w:r>
                            <w:r w:rsidR="00D3634E">
                              <w:rPr>
                                <w:b w:val="0"/>
                              </w:rPr>
                              <w:t xml:space="preserve"> (in blue),</w:t>
                            </w:r>
                            <w:r>
                              <w:rPr>
                                <w:b w:val="0"/>
                              </w:rPr>
                              <w:t xml:space="preserve"> for example </w:t>
                            </w:r>
                            <w:r>
                              <w:rPr>
                                <w:b w:val="0"/>
                              </w:rPr>
                              <w:fldChar w:fldCharType="begin"/>
                            </w:r>
                            <w:r>
                              <w:rPr>
                                <w:b w:val="0"/>
                              </w:rPr>
                              <w:instrText xml:space="preserve"> REF _Ref134604508 \n \h </w:instrText>
                            </w:r>
                            <w:r>
                              <w:rPr>
                                <w:b w:val="0"/>
                              </w:rPr>
                            </w:r>
                            <w:r>
                              <w:rPr>
                                <w:b w:val="0"/>
                              </w:rPr>
                              <w:fldChar w:fldCharType="separate"/>
                            </w:r>
                            <w:r w:rsidR="008912AA">
                              <w:rPr>
                                <w:b w:val="0"/>
                              </w:rPr>
                              <w:t>(27)</w:t>
                            </w:r>
                            <w:r>
                              <w:rPr>
                                <w:b w:val="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6475E6FB" id="Text Box 1" o:spid="_x0000_s1028" type="#_x0000_t202" style="position:absolute;margin-left:-.65pt;margin-top:344.25pt;width:462pt;height:20.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y6hkLAIAAFsEAAAOAAAAZHJzL2Uyb0RvYy54bWysVE2P2jAQvVfqf7B8LwHUUjbasKKsqCqh&#13;&#10;3ZXYas/GcYhVx+OODQn99R2bBNptT1Uvztjz5ffeOLd3XWPYUaHXYAs+GY05U1ZCqe2+4F+f1+/m&#13;&#10;nPkgbCkMWFXwk/L8bvH2zW3rcjWFGkypkFER6/PWFbwOweVZ5mWtGuFH4JQlZwXYiEBb3Gclipaq&#13;&#10;NyabjsezrAUsHYJU3tPp/dnJF6l+VSkZHqvKq8BMweluIa2Y1l1cs8WtyPcoXK1lfw3xD7dohLbU&#13;&#10;9FLqXgTBDqj/KNVoieChCiMJTQZVpaVKGAjNZPwKzbYWTiUsRI53F5r8/ysrH45b94QsdJ+gIwET&#13;&#10;CO82IL954iZrnc/7mMipzz1FR6BdhU38EgRGicTt6cKn6gKTdPhhPvv4fkwuSb7pbDq/SYRn12yH&#13;&#10;PnxW0LBoFBxJr3QDcdz4EPuLfAiJzTwYXa61MXETHSuD7ChI27bWQUU1KeO3KGNjrIWYdXbHk4Tr&#13;&#10;DCWCCt2uY7qkS8YS8WQH5YloQThPjHdyranfRvjwJJBGhFDR2IdHWioDbcGhtzirAX/87TzGk3Lk&#13;&#10;5aylkSu4/34QqDgzXyxpGudzMHAwdoNhD80KCOmEHpSTyaQEDGYwK4TmhV7DMnYhl7CSehU8DOYq&#13;&#10;nAefXpNUy2UKoil0Imzs1slB/cjrc/ci0PWqBNLzAYZhFPkrcc6xSR63PARiOil3ZbGnmyY4ydO/&#13;&#10;tvhEft2nqOs/YfETAAD//wMAUEsDBBQABgAIAAAAIQBup1WA5QAAAA8BAAAPAAAAZHJzL2Rvd25y&#13;&#10;ZXYueG1sTE/PT8IwFL6b+D80z8SLgY6BYxvrCEE94IU4uHAr62Odru3SdjD/e+tJLy/58r6fxXpU&#13;&#10;Hbmida3RDGbTCAjq2ohWNwyOh7dJCsR5rgXvjEYG3+hgXd7fFTwX5qY/8Fr5hgQT7XLOQHrf55S6&#13;&#10;WqLibmp61OF3MVZxH6BtqLD8FsxVR+MoSqjirQ4Jkve4lVh/VYNisF+c9vJpuLy+bxZzuzsO2+Sz&#13;&#10;qRh7fBhfVuFsVkA8jv5PAb8bQn8oQ7GzGbRwpGMwmc0Dk0GSps9AAiGL4yWQM4NlnGVAy4L+31H+&#13;&#10;AAAA//8DAFBLAQItABQABgAIAAAAIQC2gziS/gAAAOEBAAATAAAAAAAAAAAAAAAAAAAAAABbQ29u&#13;&#10;dGVudF9UeXBlc10ueG1sUEsBAi0AFAAGAAgAAAAhADj9If/WAAAAlAEAAAsAAAAAAAAAAAAAAAAA&#13;&#10;LwEAAF9yZWxzLy5yZWxzUEsBAi0AFAAGAAgAAAAhAGXLqGQsAgAAWwQAAA4AAAAAAAAAAAAAAAAA&#13;&#10;LgIAAGRycy9lMm9Eb2MueG1sUEsBAi0AFAAGAAgAAAAhAG6nVYDlAAAADwEAAA8AAAAAAAAAAAAA&#13;&#10;AAAAhgQAAGRycy9kb3ducmV2LnhtbFBLBQYAAAAABAAEAPMAAACYBQAAAAA=&#13;&#10;" stroked="f">
                <v:textbox style="mso-fit-shape-to-text:t" inset="0,0,0,0">
                  <w:txbxContent>
                    <w:p w14:paraId="797A4B74" w14:textId="296FFE27" w:rsidR="00BD7F04" w:rsidRPr="001C49B4" w:rsidRDefault="00BD7F04" w:rsidP="006B1B8D">
                      <w:pPr>
                        <w:pStyle w:val="Caption"/>
                        <w:spacing w:after="0"/>
                        <w:rPr>
                          <w:noProof/>
                        </w:rPr>
                      </w:pPr>
                      <w:bookmarkStart w:id="61" w:name="_Ref134604611"/>
                      <w:r>
                        <w:t xml:space="preserve">Figure </w:t>
                      </w:r>
                      <w:r>
                        <w:fldChar w:fldCharType="begin"/>
                      </w:r>
                      <w:r>
                        <w:instrText xml:space="preserve"> SEQ Figure \* ARABIC </w:instrText>
                      </w:r>
                      <w:r>
                        <w:fldChar w:fldCharType="separate"/>
                      </w:r>
                      <w:r w:rsidR="008912AA">
                        <w:rPr>
                          <w:noProof/>
                        </w:rPr>
                        <w:t>13</w:t>
                      </w:r>
                      <w:r>
                        <w:fldChar w:fldCharType="end"/>
                      </w:r>
                      <w:bookmarkEnd w:id="61"/>
                      <w:r>
                        <w:t xml:space="preserve">. </w:t>
                      </w:r>
                      <w:r w:rsidR="00521BE8">
                        <w:rPr>
                          <w:b w:val="0"/>
                        </w:rPr>
                        <w:t xml:space="preserve">ToDI transcription, </w:t>
                      </w:r>
                      <w:r w:rsidR="00D3634E">
                        <w:rPr>
                          <w:b w:val="0"/>
                        </w:rPr>
                        <w:t>with the</w:t>
                      </w:r>
                      <w:r>
                        <w:rPr>
                          <w:b w:val="0"/>
                        </w:rPr>
                        <w:t xml:space="preserve"> pitch curve</w:t>
                      </w:r>
                      <w:r w:rsidR="00D3634E">
                        <w:rPr>
                          <w:b w:val="0"/>
                        </w:rPr>
                        <w:t xml:space="preserve"> (in blue),</w:t>
                      </w:r>
                      <w:r>
                        <w:rPr>
                          <w:b w:val="0"/>
                        </w:rPr>
                        <w:t xml:space="preserve"> for example </w:t>
                      </w:r>
                      <w:r>
                        <w:rPr>
                          <w:b w:val="0"/>
                        </w:rPr>
                        <w:fldChar w:fldCharType="begin"/>
                      </w:r>
                      <w:r>
                        <w:rPr>
                          <w:b w:val="0"/>
                        </w:rPr>
                        <w:instrText xml:space="preserve"> REF _Ref134604508 \n \h </w:instrText>
                      </w:r>
                      <w:r>
                        <w:rPr>
                          <w:b w:val="0"/>
                        </w:rPr>
                      </w:r>
                      <w:r>
                        <w:rPr>
                          <w:b w:val="0"/>
                        </w:rPr>
                        <w:fldChar w:fldCharType="separate"/>
                      </w:r>
                      <w:r w:rsidR="008912AA">
                        <w:rPr>
                          <w:b w:val="0"/>
                        </w:rPr>
                        <w:t>(27)</w:t>
                      </w:r>
                      <w:r>
                        <w:rPr>
                          <w:b w:val="0"/>
                        </w:rPr>
                        <w:fldChar w:fldCharType="end"/>
                      </w:r>
                    </w:p>
                  </w:txbxContent>
                </v:textbox>
                <w10:wrap type="topAndBottom"/>
              </v:shape>
            </w:pict>
          </mc:Fallback>
        </mc:AlternateContent>
      </w:r>
      <w:r>
        <w:rPr>
          <w:noProof/>
        </w:rPr>
        <w:drawing>
          <wp:anchor distT="0" distB="0" distL="114300" distR="114300" simplePos="0" relativeHeight="251652096" behindDoc="0" locked="0" layoutInCell="1" allowOverlap="1" wp14:anchorId="5BA34F5E" wp14:editId="1D962B9C">
            <wp:simplePos x="0" y="0"/>
            <wp:positionH relativeFrom="column">
              <wp:posOffset>-9525</wp:posOffset>
            </wp:positionH>
            <wp:positionV relativeFrom="paragraph">
              <wp:posOffset>272047</wp:posOffset>
            </wp:positionV>
            <wp:extent cx="5726430" cy="4034790"/>
            <wp:effectExtent l="0" t="0" r="1270" b="381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24" cstate="print">
                      <a:extLst>
                        <a:ext uri="{28A0092B-C50C-407E-A947-70E740481C1C}">
                          <a14:useLocalDpi xmlns:a14="http://schemas.microsoft.com/office/drawing/2010/main" val="0"/>
                        </a:ext>
                      </a:extLst>
                    </a:blip>
                    <a:srcRect r="2770"/>
                    <a:stretch/>
                  </pic:blipFill>
                  <pic:spPr bwMode="auto">
                    <a:xfrm>
                      <a:off x="0" y="0"/>
                      <a:ext cx="5726430" cy="4034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806660" w14:textId="55BEBEC0" w:rsidR="005C4A2F" w:rsidRDefault="005C4A2F" w:rsidP="00446752">
      <w:pPr>
        <w:rPr>
          <w:noProof/>
        </w:rPr>
      </w:pPr>
    </w:p>
    <w:p w14:paraId="74041079" w14:textId="53467AF9" w:rsidR="006B1B8D" w:rsidRPr="00CC6E9E" w:rsidRDefault="006B1B8D" w:rsidP="00484115">
      <w:pPr>
        <w:jc w:val="both"/>
        <w:rPr>
          <w:i/>
        </w:rPr>
      </w:pPr>
      <w:r>
        <w:t xml:space="preserve">The shift in the </w:t>
      </w:r>
      <w:r w:rsidR="00E46FA5">
        <w:t xml:space="preserve">discourse </w:t>
      </w:r>
      <w:r>
        <w:t xml:space="preserve">development </w:t>
      </w:r>
      <w:r w:rsidR="00484115">
        <w:t>at the start of independent clauses can be contrasted not just with strongly dependent clauses but also with weakly dependent clauses. The fact that the pitch level at the onset of syntactically dependent clauses hooks up with the pitch level of the previous IU is indicative of the discourse dependence of these clauses on their matrix.</w:t>
      </w:r>
      <w:r w:rsidR="00BA6926">
        <w:t xml:space="preserve"> Rather than marking a ‘fresh start’, dependent clauses elaborate on the information in the matrix, </w:t>
      </w:r>
      <w:r w:rsidR="005B3F88">
        <w:t>on which they are not only syntactically but also discursively dependent.</w:t>
      </w:r>
      <w:r w:rsidR="00784039">
        <w:t xml:space="preserve"> </w:t>
      </w:r>
      <w:r w:rsidR="00565F59">
        <w:t xml:space="preserve">The </w:t>
      </w:r>
      <w:r w:rsidR="00F913F0">
        <w:t>optional adjunct</w:t>
      </w:r>
      <w:r w:rsidR="00565F59">
        <w:t xml:space="preserve"> clause in</w:t>
      </w:r>
      <w:r w:rsidR="00E87AFC">
        <w:t xml:space="preserve"> </w:t>
      </w:r>
      <w:r w:rsidR="00E87AFC">
        <w:fldChar w:fldCharType="begin"/>
      </w:r>
      <w:r w:rsidR="00E87AFC">
        <w:instrText xml:space="preserve"> REF _Ref149067042 \n \h </w:instrText>
      </w:r>
      <w:r w:rsidR="00E87AFC">
        <w:fldChar w:fldCharType="separate"/>
      </w:r>
      <w:r w:rsidR="008912AA">
        <w:t>(28)</w:t>
      </w:r>
      <w:r w:rsidR="00E87AFC">
        <w:fldChar w:fldCharType="end"/>
      </w:r>
      <w:r w:rsidR="00565F59">
        <w:t xml:space="preserve"> illustrates this, with </w:t>
      </w:r>
      <w:r w:rsidR="00CC6E9E">
        <w:t xml:space="preserve">the onset of the clause being uttered on approximately the same pitch level as the end of the previous IU, as can be seen from the pitch curve (in blue) in the </w:t>
      </w:r>
      <w:r w:rsidR="0058682B">
        <w:t>spectrogram</w:t>
      </w:r>
      <w:r w:rsidR="00CC6E9E">
        <w:t xml:space="preserve"> in</w:t>
      </w:r>
      <w:r w:rsidR="00052A63">
        <w:t xml:space="preserve"> </w:t>
      </w:r>
      <w:r w:rsidR="00052A63">
        <w:fldChar w:fldCharType="begin"/>
      </w:r>
      <w:r w:rsidR="00052A63">
        <w:instrText xml:space="preserve"> REF _Ref149067178 \h </w:instrText>
      </w:r>
      <w:r w:rsidR="00052A63">
        <w:fldChar w:fldCharType="separate"/>
      </w:r>
      <w:r w:rsidR="008912AA">
        <w:t xml:space="preserve">Figure </w:t>
      </w:r>
      <w:r w:rsidR="008912AA">
        <w:rPr>
          <w:noProof/>
        </w:rPr>
        <w:t>14</w:t>
      </w:r>
      <w:r w:rsidR="00052A63">
        <w:fldChar w:fldCharType="end"/>
      </w:r>
      <w:r w:rsidR="00CC6E9E">
        <w:t>.</w:t>
      </w:r>
    </w:p>
    <w:p w14:paraId="735BF64D" w14:textId="6F850E83" w:rsidR="005B3F88" w:rsidRDefault="005B3F88" w:rsidP="00484115">
      <w:pPr>
        <w:jc w:val="both"/>
      </w:pPr>
    </w:p>
    <w:p w14:paraId="78C3FD02" w14:textId="207A3F89" w:rsidR="00213F08" w:rsidRPr="00213F08" w:rsidRDefault="005A244B" w:rsidP="00DB2415">
      <w:pPr>
        <w:pStyle w:val="ListParagraph"/>
        <w:jc w:val="left"/>
      </w:pPr>
      <w:bookmarkStart w:id="62" w:name="_Ref134632752"/>
      <w:r w:rsidRPr="00DB2415">
        <w:t>Ulla Werbrouck</w:t>
      </w:r>
      <w:r w:rsidR="003B4D26" w:rsidRPr="00DB2415">
        <w:t xml:space="preserve"> </w:t>
      </w:r>
      <w:r w:rsidR="006572AA" w:rsidRPr="00DB2415">
        <w:tab/>
      </w:r>
      <w:r w:rsidRPr="00DB2415">
        <w:t>en</w:t>
      </w:r>
      <w:r w:rsidR="003B4D26" w:rsidRPr="00DB2415">
        <w:t xml:space="preserve"> </w:t>
      </w:r>
      <w:r w:rsidR="006572AA" w:rsidRPr="00DB2415">
        <w:tab/>
      </w:r>
      <w:r w:rsidRPr="00DB2415">
        <w:t>Gella Vandeca</w:t>
      </w:r>
      <w:r w:rsidRPr="00DB2415">
        <w:rPr>
          <w:b/>
        </w:rPr>
        <w:t>ve</w:t>
      </w:r>
      <w:r w:rsidRPr="00DB2415">
        <w:t>ye#</w:t>
      </w:r>
      <w:r w:rsidR="003B4D26" w:rsidRPr="00DB2415">
        <w:t xml:space="preserve"> </w:t>
      </w:r>
      <w:r w:rsidR="006572AA" w:rsidRPr="00DB2415">
        <w:tab/>
      </w:r>
      <w:r w:rsidRPr="00DB2415">
        <w:t>vloekten,</w:t>
      </w:r>
      <w:r w:rsidR="003B4D26" w:rsidRPr="00DB2415">
        <w:t xml:space="preserve"> </w:t>
      </w:r>
      <w:r w:rsidR="006572AA" w:rsidRPr="00DB2415">
        <w:tab/>
      </w:r>
      <w:r w:rsidRPr="00DB2415">
        <w:t>stampten</w:t>
      </w:r>
      <w:r w:rsidR="003B4D26" w:rsidRPr="00DB2415">
        <w:t xml:space="preserve"> </w:t>
      </w:r>
      <w:r w:rsidR="006572AA" w:rsidRPr="00DB2415">
        <w:tab/>
      </w:r>
      <w:r w:rsidRPr="00DB2415">
        <w:t>en</w:t>
      </w:r>
      <w:r w:rsidR="003B4D26" w:rsidRPr="00DB2415">
        <w:t xml:space="preserve"> </w:t>
      </w:r>
      <w:r w:rsidR="006572AA" w:rsidRPr="00DB2415">
        <w:tab/>
      </w:r>
      <w:r w:rsidRPr="00DB2415">
        <w:rPr>
          <w:b/>
        </w:rPr>
        <w:t>huil</w:t>
      </w:r>
      <w:r w:rsidRPr="00DB2415">
        <w:t>den#</w:t>
      </w:r>
      <w:bookmarkEnd w:id="62"/>
      <w:r w:rsidR="006572AA" w:rsidRPr="00DB2415">
        <w:br/>
        <w:t>Ulla Werbrouck</w:t>
      </w:r>
      <w:r w:rsidR="006572AA" w:rsidRPr="00DB2415">
        <w:tab/>
        <w:t>and</w:t>
      </w:r>
      <w:r w:rsidR="006572AA" w:rsidRPr="00DB2415">
        <w:tab/>
        <w:t>Gella Vandecaveye#</w:t>
      </w:r>
      <w:r w:rsidR="006572AA" w:rsidRPr="00DB2415">
        <w:tab/>
        <w:t>cursed,</w:t>
      </w:r>
      <w:r w:rsidR="006572AA" w:rsidRPr="00DB2415">
        <w:tab/>
      </w:r>
      <w:r w:rsidR="006572AA" w:rsidRPr="00DB2415">
        <w:tab/>
        <w:t>stomped</w:t>
      </w:r>
      <w:r w:rsidR="006572AA" w:rsidRPr="00DB2415">
        <w:tab/>
      </w:r>
      <w:r w:rsidR="006572AA" w:rsidRPr="00DB2415">
        <w:tab/>
        <w:t>and</w:t>
      </w:r>
      <w:r w:rsidR="006572AA" w:rsidRPr="00DB2415">
        <w:tab/>
        <w:t>cried#</w:t>
      </w:r>
      <w:r w:rsidR="006572AA" w:rsidRPr="00DB2415">
        <w:br/>
      </w:r>
      <w:bookmarkStart w:id="63" w:name="_Ref149067042"/>
      <w:r w:rsidR="00213F08" w:rsidRPr="00DB2415">
        <w:rPr>
          <w:u w:val="single"/>
        </w:rPr>
        <w:lastRenderedPageBreak/>
        <w:t>also</w:t>
      </w:r>
      <w:r w:rsidR="003B4D26" w:rsidRPr="00DB2415">
        <w:rPr>
          <w:u w:val="single"/>
        </w:rPr>
        <w:t xml:space="preserve">f </w:t>
      </w:r>
      <w:r w:rsidR="006572AA" w:rsidRPr="00DB2415">
        <w:rPr>
          <w:u w:val="single"/>
        </w:rPr>
        <w:tab/>
      </w:r>
      <w:r w:rsidRPr="00DB2415">
        <w:rPr>
          <w:u w:val="single"/>
        </w:rPr>
        <w:t xml:space="preserve">Elvis </w:t>
      </w:r>
      <w:r w:rsidRPr="00DB2415">
        <w:rPr>
          <w:b/>
          <w:u w:val="single"/>
        </w:rPr>
        <w:t>Pres</w:t>
      </w:r>
      <w:r w:rsidRPr="00DB2415">
        <w:rPr>
          <w:u w:val="single"/>
        </w:rPr>
        <w:t>ley#</w:t>
      </w:r>
      <w:r w:rsidR="003B4D26" w:rsidRPr="00DB2415">
        <w:rPr>
          <w:u w:val="single"/>
        </w:rPr>
        <w:t xml:space="preserve"> </w:t>
      </w:r>
      <w:r w:rsidR="006572AA" w:rsidRPr="00DB2415">
        <w:rPr>
          <w:u w:val="single"/>
        </w:rPr>
        <w:tab/>
      </w:r>
      <w:r w:rsidRPr="00DB2415">
        <w:rPr>
          <w:u w:val="single"/>
        </w:rPr>
        <w:t>een</w:t>
      </w:r>
      <w:r w:rsidR="003B4D26" w:rsidRPr="00DB2415">
        <w:rPr>
          <w:u w:val="single"/>
        </w:rPr>
        <w:t xml:space="preserve"> </w:t>
      </w:r>
      <w:r w:rsidR="006572AA">
        <w:rPr>
          <w:u w:val="single"/>
        </w:rPr>
        <w:tab/>
      </w:r>
      <w:r w:rsidRPr="00DB2415">
        <w:rPr>
          <w:u w:val="single"/>
        </w:rPr>
        <w:t>tweede</w:t>
      </w:r>
      <w:r w:rsidR="003B4D26" w:rsidRPr="00DB2415">
        <w:rPr>
          <w:u w:val="single"/>
        </w:rPr>
        <w:t xml:space="preserve"> </w:t>
      </w:r>
      <w:r w:rsidR="006572AA">
        <w:rPr>
          <w:u w:val="single"/>
        </w:rPr>
        <w:tab/>
      </w:r>
      <w:r w:rsidRPr="00DB2415">
        <w:rPr>
          <w:b/>
          <w:u w:val="single"/>
        </w:rPr>
        <w:t>keer</w:t>
      </w:r>
      <w:r w:rsidR="003B4D26" w:rsidRPr="00DB2415">
        <w:rPr>
          <w:u w:val="single"/>
        </w:rPr>
        <w:t xml:space="preserve"> </w:t>
      </w:r>
      <w:r w:rsidR="006572AA">
        <w:rPr>
          <w:u w:val="single"/>
        </w:rPr>
        <w:tab/>
      </w:r>
      <w:r w:rsidRPr="00DB2415">
        <w:rPr>
          <w:u w:val="single"/>
        </w:rPr>
        <w:t>gestorven</w:t>
      </w:r>
      <w:r w:rsidR="003B4D26" w:rsidRPr="00DB2415">
        <w:rPr>
          <w:u w:val="single"/>
        </w:rPr>
        <w:t xml:space="preserve"> </w:t>
      </w:r>
      <w:r w:rsidR="006572AA">
        <w:rPr>
          <w:u w:val="single"/>
        </w:rPr>
        <w:tab/>
      </w:r>
      <w:r w:rsidRPr="00DB2415">
        <w:rPr>
          <w:u w:val="single"/>
        </w:rPr>
        <w:t>was#</w:t>
      </w:r>
      <w:r w:rsidR="003B4D26" w:rsidRPr="00DB2415">
        <w:t xml:space="preserve"> (CGN)</w:t>
      </w:r>
      <w:bookmarkEnd w:id="63"/>
      <w:r w:rsidR="006572AA" w:rsidRPr="00DB2415">
        <w:br/>
      </w:r>
      <w:proofErr w:type="gramStart"/>
      <w:r w:rsidR="006572AA" w:rsidRPr="00DB2415">
        <w:rPr>
          <w:u w:val="single"/>
        </w:rPr>
        <w:t>as.if</w:t>
      </w:r>
      <w:proofErr w:type="gramEnd"/>
      <w:r w:rsidR="006572AA" w:rsidRPr="00DB2415">
        <w:rPr>
          <w:u w:val="single"/>
        </w:rPr>
        <w:tab/>
        <w:t>Elvis Presley#</w:t>
      </w:r>
      <w:r w:rsidR="006572AA" w:rsidRPr="00DB2415">
        <w:rPr>
          <w:u w:val="single"/>
        </w:rPr>
        <w:tab/>
      </w:r>
      <w:r w:rsidR="006572AA" w:rsidRPr="00DB2415">
        <w:rPr>
          <w:u w:val="single"/>
        </w:rPr>
        <w:tab/>
        <w:t>a</w:t>
      </w:r>
      <w:r w:rsidR="006572AA" w:rsidRPr="00DB2415">
        <w:rPr>
          <w:u w:val="single"/>
        </w:rPr>
        <w:tab/>
      </w:r>
      <w:r w:rsidR="006572AA" w:rsidRPr="00DB2415">
        <w:rPr>
          <w:u w:val="single"/>
        </w:rPr>
        <w:tab/>
        <w:t>second</w:t>
      </w:r>
      <w:r w:rsidR="006572AA" w:rsidRPr="00DB2415">
        <w:rPr>
          <w:u w:val="single"/>
        </w:rPr>
        <w:tab/>
        <w:t>time</w:t>
      </w:r>
      <w:r w:rsidR="006572AA" w:rsidRPr="00DB2415">
        <w:rPr>
          <w:u w:val="single"/>
        </w:rPr>
        <w:tab/>
        <w:t>died</w:t>
      </w:r>
      <w:r w:rsidR="006572AA" w:rsidRPr="00DB2415">
        <w:rPr>
          <w:u w:val="single"/>
        </w:rPr>
        <w:tab/>
      </w:r>
      <w:r w:rsidR="006572AA" w:rsidRPr="00DB2415">
        <w:rPr>
          <w:u w:val="single"/>
        </w:rPr>
        <w:tab/>
      </w:r>
      <w:r w:rsidR="006572AA" w:rsidRPr="00DB2415">
        <w:rPr>
          <w:u w:val="single"/>
        </w:rPr>
        <w:tab/>
        <w:t>was#</w:t>
      </w:r>
      <w:r w:rsidR="006572AA">
        <w:rPr>
          <w:u w:val="single"/>
        </w:rPr>
        <w:br/>
      </w:r>
      <w:r w:rsidR="00213F08">
        <w:t xml:space="preserve">‘Ulla Werbrouck and Gella Vandecaveye were cursing, stomping, and crying, </w:t>
      </w:r>
      <w:r w:rsidR="00213F08" w:rsidRPr="0096177B">
        <w:rPr>
          <w:u w:val="single"/>
        </w:rPr>
        <w:t>as if Elvis Presley had died a second time.</w:t>
      </w:r>
      <w:r w:rsidR="00213F08">
        <w:t xml:space="preserve">’ </w:t>
      </w:r>
      <w:r w:rsidR="00213F08">
        <w:tab/>
      </w:r>
    </w:p>
    <w:p w14:paraId="299136C7" w14:textId="5CDA9025" w:rsidR="005A244B" w:rsidRPr="00213F08" w:rsidRDefault="005A244B" w:rsidP="00484115">
      <w:pPr>
        <w:jc w:val="both"/>
      </w:pPr>
    </w:p>
    <w:p w14:paraId="755ADDC4" w14:textId="2F8A545F" w:rsidR="00052A63" w:rsidRDefault="005A244B" w:rsidP="00052A63">
      <w:pPr>
        <w:keepNext/>
        <w:jc w:val="both"/>
      </w:pPr>
      <w:r>
        <w:rPr>
          <w:noProof/>
        </w:rPr>
        <w:drawing>
          <wp:inline distT="0" distB="0" distL="0" distR="0" wp14:anchorId="1F419C51" wp14:editId="0C80719E">
            <wp:extent cx="5750287" cy="3533634"/>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5" cstate="print">
                      <a:extLst>
                        <a:ext uri="{28A0092B-C50C-407E-A947-70E740481C1C}">
                          <a14:useLocalDpi xmlns:a14="http://schemas.microsoft.com/office/drawing/2010/main" val="0"/>
                        </a:ext>
                      </a:extLst>
                    </a:blip>
                    <a:srcRect r="2306"/>
                    <a:stretch/>
                  </pic:blipFill>
                  <pic:spPr bwMode="auto">
                    <a:xfrm>
                      <a:off x="0" y="0"/>
                      <a:ext cx="5764349" cy="3542275"/>
                    </a:xfrm>
                    <a:prstGeom prst="rect">
                      <a:avLst/>
                    </a:prstGeom>
                    <a:ln>
                      <a:noFill/>
                    </a:ln>
                    <a:extLst>
                      <a:ext uri="{53640926-AAD7-44D8-BBD7-CCE9431645EC}">
                        <a14:shadowObscured xmlns:a14="http://schemas.microsoft.com/office/drawing/2010/main"/>
                      </a:ext>
                    </a:extLst>
                  </pic:spPr>
                </pic:pic>
              </a:graphicData>
            </a:graphic>
          </wp:inline>
        </w:drawing>
      </w:r>
    </w:p>
    <w:p w14:paraId="60C351D3" w14:textId="5FDAC261" w:rsidR="001224CA" w:rsidRDefault="00052A63" w:rsidP="00052A63">
      <w:pPr>
        <w:pStyle w:val="Caption"/>
        <w:spacing w:after="0"/>
        <w:jc w:val="both"/>
      </w:pPr>
      <w:bookmarkStart w:id="64" w:name="_Ref149067178"/>
      <w:r>
        <w:t xml:space="preserve">Figure </w:t>
      </w:r>
      <w:r>
        <w:fldChar w:fldCharType="begin"/>
      </w:r>
      <w:r>
        <w:instrText xml:space="preserve"> SEQ Figure \* ARABIC </w:instrText>
      </w:r>
      <w:r>
        <w:fldChar w:fldCharType="separate"/>
      </w:r>
      <w:r w:rsidR="008912AA">
        <w:rPr>
          <w:noProof/>
        </w:rPr>
        <w:t>14</w:t>
      </w:r>
      <w:r>
        <w:fldChar w:fldCharType="end"/>
      </w:r>
      <w:bookmarkEnd w:id="64"/>
      <w:r>
        <w:t xml:space="preserve">. </w:t>
      </w:r>
      <w:r w:rsidR="00D3634E">
        <w:rPr>
          <w:b w:val="0"/>
        </w:rPr>
        <w:t>ToDI transcription, with</w:t>
      </w:r>
      <w:r w:rsidRPr="00052A63">
        <w:rPr>
          <w:b w:val="0"/>
        </w:rPr>
        <w:t xml:space="preserve"> the pitch curve</w:t>
      </w:r>
      <w:r w:rsidR="00D3634E">
        <w:rPr>
          <w:b w:val="0"/>
        </w:rPr>
        <w:t xml:space="preserve"> (in blue), </w:t>
      </w:r>
      <w:r w:rsidRPr="00052A63">
        <w:rPr>
          <w:b w:val="0"/>
        </w:rPr>
        <w:t>for example</w:t>
      </w:r>
      <w:r>
        <w:rPr>
          <w:b w:val="0"/>
        </w:rPr>
        <w:t xml:space="preserve"> </w:t>
      </w:r>
      <w:r>
        <w:rPr>
          <w:b w:val="0"/>
        </w:rPr>
        <w:fldChar w:fldCharType="begin"/>
      </w:r>
      <w:r>
        <w:rPr>
          <w:b w:val="0"/>
        </w:rPr>
        <w:instrText xml:space="preserve"> REF _Ref149067042 \n \h </w:instrText>
      </w:r>
      <w:r>
        <w:rPr>
          <w:b w:val="0"/>
        </w:rPr>
      </w:r>
      <w:r>
        <w:rPr>
          <w:b w:val="0"/>
        </w:rPr>
        <w:fldChar w:fldCharType="separate"/>
      </w:r>
      <w:r w:rsidR="008912AA">
        <w:rPr>
          <w:b w:val="0"/>
        </w:rPr>
        <w:t>(28)</w:t>
      </w:r>
      <w:r>
        <w:rPr>
          <w:b w:val="0"/>
        </w:rPr>
        <w:fldChar w:fldCharType="end"/>
      </w:r>
    </w:p>
    <w:p w14:paraId="3C003BE7" w14:textId="50DCC3CF" w:rsidR="006B1B8D" w:rsidRDefault="006B1B8D" w:rsidP="00446752"/>
    <w:p w14:paraId="3215591B" w14:textId="4CDD0D35" w:rsidR="005771AD" w:rsidRDefault="00E8024C" w:rsidP="003038A4">
      <w:pPr>
        <w:tabs>
          <w:tab w:val="left" w:pos="567"/>
        </w:tabs>
        <w:jc w:val="both"/>
      </w:pPr>
      <w:r>
        <w:tab/>
      </w:r>
      <w:r w:rsidR="00CC1DBB">
        <w:t>Interestingly</w:t>
      </w:r>
      <w:r>
        <w:t xml:space="preserve">, the evidence from both </w:t>
      </w:r>
      <w:proofErr w:type="gramStart"/>
      <w:r>
        <w:t>pitch</w:t>
      </w:r>
      <w:proofErr w:type="gramEnd"/>
      <w:r>
        <w:t xml:space="preserve"> reset and pausing suggests there is little variation between </w:t>
      </w:r>
      <w:r w:rsidR="00194AB5">
        <w:t>semantic-pragmatic</w:t>
      </w:r>
      <w:r>
        <w:t xml:space="preserve"> functions when syntactic dependency </w:t>
      </w:r>
      <w:r w:rsidR="00BD4E96">
        <w:t>status</w:t>
      </w:r>
      <w:r>
        <w:t xml:space="preserve"> is controlled for.</w:t>
      </w:r>
      <w:r w:rsidR="002E11F9">
        <w:t xml:space="preserve"> </w:t>
      </w:r>
      <w:r w:rsidR="00D118BD">
        <w:t>This goes against our expectation that</w:t>
      </w:r>
      <w:r w:rsidR="0090519D">
        <w:t xml:space="preserve">, among the category of syntactically independent clauses, prosodic realisation would point to a finer distinction between </w:t>
      </w:r>
      <w:r w:rsidR="00052A63">
        <w:t xml:space="preserve">‘stand-alone’ insubordination and other (semi-)independent clauses, variously described as ‘dependency shifts’ </w:t>
      </w:r>
      <w:r w:rsidR="00052A63" w:rsidRPr="006570C0">
        <w:rPr>
          <w:szCs w:val="24"/>
        </w:rPr>
        <w:t>(Günthner 1999; Verstraete 2007; D’Hertefelt 2018)</w:t>
      </w:r>
      <w:r w:rsidR="00052A63">
        <w:rPr>
          <w:szCs w:val="24"/>
        </w:rPr>
        <w:t>, ‘elaborative insubordination’</w:t>
      </w:r>
      <w:r w:rsidR="008E6C05">
        <w:t xml:space="preserve"> (Kaltenböck</w:t>
      </w:r>
      <w:r w:rsidR="00FE03FA">
        <w:t xml:space="preserve"> 2016</w:t>
      </w:r>
      <w:r w:rsidR="008E6C05">
        <w:t>),</w:t>
      </w:r>
      <w:r w:rsidR="00052A63">
        <w:t xml:space="preserve"> ‘pragmatically dependent insubordination’ (Gras </w:t>
      </w:r>
      <w:r w:rsidR="007948AE">
        <w:t>and</w:t>
      </w:r>
      <w:r w:rsidR="00052A63">
        <w:t xml:space="preserve"> Sansiñena 2017). </w:t>
      </w:r>
      <w:r w:rsidR="003038A4">
        <w:t>Unlike ‘stand-alone</w:t>
      </w:r>
      <w:r w:rsidR="0053711A">
        <w:t>’</w:t>
      </w:r>
      <w:r w:rsidR="003038A4">
        <w:t xml:space="preserve"> insubordination (or insubordination proper)</w:t>
      </w:r>
      <w:r w:rsidR="005771AD">
        <w:t xml:space="preserve">, </w:t>
      </w:r>
      <w:r w:rsidR="003038A4" w:rsidRPr="00AA3DF6">
        <w:t>cases of dependency shift, or elabo</w:t>
      </w:r>
      <w:r w:rsidR="00A85BFB" w:rsidRPr="00AA3DF6">
        <w:t>ra</w:t>
      </w:r>
      <w:r w:rsidR="003038A4" w:rsidRPr="00AA3DF6">
        <w:t>tive insubordination,</w:t>
      </w:r>
      <w:r w:rsidR="005771AD" w:rsidRPr="00AA3DF6">
        <w:t xml:space="preserve"> are always </w:t>
      </w:r>
      <w:r w:rsidR="003038A4" w:rsidRPr="00AA3DF6">
        <w:t>discursively dependent</w:t>
      </w:r>
      <w:r w:rsidR="005771AD" w:rsidRPr="00AA3DF6">
        <w:t xml:space="preserve"> on the previous clause, or the previous context.</w:t>
      </w:r>
      <w:r w:rsidR="005771AD">
        <w:t xml:space="preserve"> This is illustrated by the dependency shift expressing </w:t>
      </w:r>
      <w:r w:rsidR="00EA59CB">
        <w:t>‘</w:t>
      </w:r>
      <w:r w:rsidR="005771AD">
        <w:t>cause</w:t>
      </w:r>
      <w:r w:rsidR="00EA59CB">
        <w:t>’</w:t>
      </w:r>
      <w:r w:rsidR="005771AD">
        <w:t xml:space="preserve"> in</w:t>
      </w:r>
      <w:r w:rsidR="00C961B0">
        <w:t xml:space="preserve"> </w:t>
      </w:r>
      <w:r w:rsidR="00C961B0">
        <w:fldChar w:fldCharType="begin"/>
      </w:r>
      <w:r w:rsidR="00C961B0">
        <w:instrText xml:space="preserve"> REF _Ref152252407 \h </w:instrText>
      </w:r>
      <w:r w:rsidR="00C961B0">
        <w:fldChar w:fldCharType="separate"/>
      </w:r>
      <w:r w:rsidR="008912AA">
        <w:t xml:space="preserve">Figure </w:t>
      </w:r>
      <w:r w:rsidR="008912AA">
        <w:rPr>
          <w:noProof/>
        </w:rPr>
        <w:t>15</w:t>
      </w:r>
      <w:r w:rsidR="00C961B0">
        <w:fldChar w:fldCharType="end"/>
      </w:r>
      <w:r w:rsidR="00D66AD1">
        <w:t xml:space="preserve">: the HM clause </w:t>
      </w:r>
      <w:r w:rsidR="00C04F95">
        <w:t xml:space="preserve">in (29) </w:t>
      </w:r>
      <w:r w:rsidR="00D66AD1">
        <w:t>is not syntactically integrated with the pre</w:t>
      </w:r>
      <w:r w:rsidR="00FB3D78">
        <w:t>v</w:t>
      </w:r>
      <w:r w:rsidR="00D66AD1">
        <w:t xml:space="preserve">ious clause, but it does give a discursive elaboration on the information that </w:t>
      </w:r>
      <w:r w:rsidR="008A6CB4">
        <w:t>the speaker ‘feels something in their stomach’</w:t>
      </w:r>
      <w:r w:rsidR="00D66AD1">
        <w:t xml:space="preserve"> by speculating on the potential cause for this.</w:t>
      </w:r>
    </w:p>
    <w:p w14:paraId="28F914B4" w14:textId="0D32EC6A" w:rsidR="00930E84" w:rsidRDefault="005771AD" w:rsidP="005771AD">
      <w:pPr>
        <w:tabs>
          <w:tab w:val="left" w:pos="567"/>
        </w:tabs>
        <w:jc w:val="both"/>
      </w:pPr>
      <w:r>
        <w:lastRenderedPageBreak/>
        <w:tab/>
      </w:r>
    </w:p>
    <w:p w14:paraId="5550A0D1" w14:textId="11728CFB" w:rsidR="006B1B8D" w:rsidRPr="00DB2415" w:rsidRDefault="0032729B" w:rsidP="00DB2415">
      <w:pPr>
        <w:pStyle w:val="ListParagraph"/>
        <w:jc w:val="left"/>
        <w:rPr>
          <w:lang w:val="en-US"/>
        </w:rPr>
      </w:pPr>
      <w:bookmarkStart w:id="65" w:name="_Ref152252422"/>
      <w:r>
        <w:rPr>
          <w:lang w:val="nl-BE"/>
        </w:rPr>
        <w:t>I</w:t>
      </w:r>
      <w:r w:rsidRPr="0032729B">
        <w:rPr>
          <w:lang w:val="nl-BE"/>
        </w:rPr>
        <w:t xml:space="preserve">k </w:t>
      </w:r>
      <w:r w:rsidR="006572AA">
        <w:rPr>
          <w:lang w:val="nl-BE"/>
        </w:rPr>
        <w:tab/>
      </w:r>
      <w:r w:rsidRPr="0032729B">
        <w:rPr>
          <w:lang w:val="nl-BE"/>
        </w:rPr>
        <w:t xml:space="preserve">voel </w:t>
      </w:r>
      <w:r w:rsidR="006572AA">
        <w:rPr>
          <w:lang w:val="nl-BE"/>
        </w:rPr>
        <w:tab/>
      </w:r>
      <w:r w:rsidRPr="0032729B">
        <w:rPr>
          <w:lang w:val="nl-BE"/>
        </w:rPr>
        <w:t xml:space="preserve">het </w:t>
      </w:r>
      <w:r w:rsidR="006572AA">
        <w:rPr>
          <w:lang w:val="nl-BE"/>
        </w:rPr>
        <w:tab/>
      </w:r>
      <w:r>
        <w:rPr>
          <w:lang w:val="nl-BE"/>
        </w:rPr>
        <w:t xml:space="preserve">vooral </w:t>
      </w:r>
      <w:r w:rsidR="006572AA">
        <w:rPr>
          <w:lang w:val="nl-BE"/>
        </w:rPr>
        <w:tab/>
      </w:r>
      <w:r w:rsidRPr="0032729B">
        <w:rPr>
          <w:lang w:val="nl-BE"/>
        </w:rPr>
        <w:t xml:space="preserve">in </w:t>
      </w:r>
      <w:r w:rsidR="006572AA">
        <w:rPr>
          <w:lang w:val="nl-BE"/>
        </w:rPr>
        <w:tab/>
      </w:r>
      <w:r w:rsidRPr="0032729B">
        <w:rPr>
          <w:lang w:val="nl-BE"/>
        </w:rPr>
        <w:t>m</w:t>
      </w:r>
      <w:r>
        <w:rPr>
          <w:lang w:val="nl-BE"/>
        </w:rPr>
        <w:t xml:space="preserve">ijn </w:t>
      </w:r>
      <w:r w:rsidR="006572AA">
        <w:rPr>
          <w:lang w:val="nl-BE"/>
        </w:rPr>
        <w:tab/>
      </w:r>
      <w:r w:rsidRPr="007B3DE4">
        <w:rPr>
          <w:b/>
          <w:lang w:val="nl-BE"/>
        </w:rPr>
        <w:t>buik</w:t>
      </w:r>
      <w:r w:rsidR="007B3DE4">
        <w:rPr>
          <w:lang w:val="nl-BE"/>
        </w:rPr>
        <w:t>#</w:t>
      </w:r>
      <w:r>
        <w:rPr>
          <w:lang w:val="nl-BE"/>
        </w:rPr>
        <w:t xml:space="preserve"> </w:t>
      </w:r>
      <w:r w:rsidR="006572AA">
        <w:rPr>
          <w:lang w:val="nl-BE"/>
        </w:rPr>
        <w:tab/>
      </w:r>
      <w:r w:rsidR="006572AA">
        <w:rPr>
          <w:lang w:val="nl-BE"/>
        </w:rPr>
        <w:tab/>
      </w:r>
      <w:r>
        <w:rPr>
          <w:u w:val="single"/>
          <w:lang w:val="nl-BE"/>
        </w:rPr>
        <w:t>A</w:t>
      </w:r>
      <w:r w:rsidRPr="0032729B">
        <w:rPr>
          <w:u w:val="single"/>
          <w:lang w:val="nl-BE"/>
        </w:rPr>
        <w:t>lsof</w:t>
      </w:r>
      <w:r w:rsidR="006572AA">
        <w:rPr>
          <w:u w:val="single"/>
          <w:lang w:val="nl-BE"/>
        </w:rPr>
        <w:tab/>
      </w:r>
      <w:r w:rsidRPr="0032729B">
        <w:rPr>
          <w:u w:val="single"/>
          <w:lang w:val="nl-BE"/>
        </w:rPr>
        <w:t xml:space="preserve">het </w:t>
      </w:r>
      <w:r w:rsidR="006572AA">
        <w:rPr>
          <w:u w:val="single"/>
          <w:lang w:val="nl-BE"/>
        </w:rPr>
        <w:tab/>
      </w:r>
      <w:r w:rsidRPr="0032729B">
        <w:rPr>
          <w:u w:val="single"/>
          <w:lang w:val="nl-BE"/>
        </w:rPr>
        <w:t xml:space="preserve">een </w:t>
      </w:r>
      <w:r w:rsidR="006572AA">
        <w:rPr>
          <w:u w:val="single"/>
          <w:lang w:val="nl-BE"/>
        </w:rPr>
        <w:tab/>
      </w:r>
      <w:r w:rsidRPr="0032729B">
        <w:rPr>
          <w:u w:val="single"/>
          <w:lang w:val="nl-BE"/>
        </w:rPr>
        <w:t xml:space="preserve">beetje </w:t>
      </w:r>
      <w:r w:rsidR="006572AA">
        <w:rPr>
          <w:u w:val="single"/>
          <w:lang w:val="nl-BE"/>
        </w:rPr>
        <w:tab/>
      </w:r>
      <w:r w:rsidRPr="0032729B">
        <w:rPr>
          <w:u w:val="single"/>
          <w:lang w:val="nl-BE"/>
        </w:rPr>
        <w:t>ver</w:t>
      </w:r>
      <w:r w:rsidRPr="007B3DE4">
        <w:rPr>
          <w:b/>
          <w:u w:val="single"/>
          <w:lang w:val="nl-BE"/>
        </w:rPr>
        <w:t>teert</w:t>
      </w:r>
      <w:r>
        <w:rPr>
          <w:lang w:val="nl-BE"/>
        </w:rPr>
        <w:t>.</w:t>
      </w:r>
      <w:r w:rsidRPr="0032729B">
        <w:rPr>
          <w:lang w:val="nl-BE"/>
        </w:rPr>
        <w:t xml:space="preserve"> </w:t>
      </w:r>
      <w:r w:rsidRPr="00DB2415">
        <w:rPr>
          <w:lang w:val="en-US"/>
        </w:rPr>
        <w:t>(CGN)</w:t>
      </w:r>
      <w:bookmarkEnd w:id="65"/>
      <w:r w:rsidR="006572AA" w:rsidRPr="00DB2415">
        <w:rPr>
          <w:lang w:val="en-US"/>
        </w:rPr>
        <w:br/>
        <w:t xml:space="preserve">I </w:t>
      </w:r>
      <w:r w:rsidR="006572AA" w:rsidRPr="00DB2415">
        <w:rPr>
          <w:lang w:val="en-US"/>
        </w:rPr>
        <w:tab/>
        <w:t>feel</w:t>
      </w:r>
      <w:r w:rsidR="006572AA" w:rsidRPr="00DB2415">
        <w:rPr>
          <w:lang w:val="en-US"/>
        </w:rPr>
        <w:tab/>
        <w:t>it</w:t>
      </w:r>
      <w:r w:rsidR="006572AA" w:rsidRPr="00DB2415">
        <w:rPr>
          <w:lang w:val="en-US"/>
        </w:rPr>
        <w:tab/>
      </w:r>
      <w:r w:rsidR="006572AA" w:rsidRPr="00DB2415">
        <w:rPr>
          <w:lang w:val="en-US"/>
        </w:rPr>
        <w:tab/>
        <w:t>mostly</w:t>
      </w:r>
      <w:r w:rsidR="006572AA" w:rsidRPr="00DB2415">
        <w:rPr>
          <w:lang w:val="en-US"/>
        </w:rPr>
        <w:tab/>
        <w:t>in</w:t>
      </w:r>
      <w:r w:rsidR="006572AA" w:rsidRPr="00DB2415">
        <w:rPr>
          <w:lang w:val="en-US"/>
        </w:rPr>
        <w:tab/>
        <w:t>my</w:t>
      </w:r>
      <w:r w:rsidR="006572AA" w:rsidRPr="00DB2415">
        <w:rPr>
          <w:lang w:val="en-US"/>
        </w:rPr>
        <w:tab/>
        <w:t>stomach#</w:t>
      </w:r>
      <w:r w:rsidR="006572AA" w:rsidRPr="00DB2415">
        <w:rPr>
          <w:lang w:val="en-US"/>
        </w:rPr>
        <w:tab/>
      </w:r>
      <w:r w:rsidR="006572AA" w:rsidRPr="00DB2415">
        <w:rPr>
          <w:u w:val="single"/>
          <w:lang w:val="en-US"/>
        </w:rPr>
        <w:t>As.if</w:t>
      </w:r>
      <w:r w:rsidR="006572AA" w:rsidRPr="00DB2415">
        <w:rPr>
          <w:u w:val="single"/>
          <w:lang w:val="en-US"/>
        </w:rPr>
        <w:tab/>
      </w:r>
      <w:r w:rsidR="006572AA">
        <w:rPr>
          <w:u w:val="single"/>
          <w:lang w:val="en-US"/>
        </w:rPr>
        <w:t>it</w:t>
      </w:r>
      <w:r w:rsidR="006572AA">
        <w:rPr>
          <w:u w:val="single"/>
          <w:lang w:val="en-US"/>
        </w:rPr>
        <w:tab/>
      </w:r>
      <w:r w:rsidR="006572AA">
        <w:rPr>
          <w:u w:val="single"/>
          <w:lang w:val="en-US"/>
        </w:rPr>
        <w:tab/>
        <w:t>a</w:t>
      </w:r>
      <w:r w:rsidR="006572AA">
        <w:rPr>
          <w:u w:val="single"/>
          <w:lang w:val="en-US"/>
        </w:rPr>
        <w:tab/>
      </w:r>
      <w:r w:rsidR="006572AA">
        <w:rPr>
          <w:u w:val="single"/>
          <w:lang w:val="en-US"/>
        </w:rPr>
        <w:tab/>
        <w:t>bit</w:t>
      </w:r>
      <w:r w:rsidR="006572AA">
        <w:rPr>
          <w:u w:val="single"/>
          <w:lang w:val="en-US"/>
        </w:rPr>
        <w:tab/>
      </w:r>
      <w:r w:rsidR="006572AA">
        <w:rPr>
          <w:u w:val="single"/>
          <w:lang w:val="en-US"/>
        </w:rPr>
        <w:tab/>
      </w:r>
      <w:r w:rsidR="006572AA">
        <w:rPr>
          <w:u w:val="single"/>
          <w:lang w:val="en-US"/>
        </w:rPr>
        <w:tab/>
      </w:r>
      <w:proofErr w:type="gramStart"/>
      <w:r w:rsidR="006572AA">
        <w:rPr>
          <w:u w:val="single"/>
          <w:lang w:val="en-US"/>
        </w:rPr>
        <w:t>digests</w:t>
      </w:r>
      <w:proofErr w:type="gramEnd"/>
      <w:r w:rsidR="006572AA">
        <w:rPr>
          <w:u w:val="single"/>
          <w:lang w:val="en-US"/>
        </w:rPr>
        <w:t>.</w:t>
      </w:r>
    </w:p>
    <w:p w14:paraId="720158D0" w14:textId="7AED1A3A" w:rsidR="0032729B" w:rsidRPr="0032729B" w:rsidRDefault="0032729B" w:rsidP="0032729B">
      <w:pPr>
        <w:pStyle w:val="ListParagraph"/>
        <w:numPr>
          <w:ilvl w:val="0"/>
          <w:numId w:val="0"/>
        </w:numPr>
        <w:ind w:left="567"/>
      </w:pPr>
      <w:r w:rsidRPr="0032729B">
        <w:t xml:space="preserve">‘I feel it </w:t>
      </w:r>
      <w:r>
        <w:t>mostly</w:t>
      </w:r>
      <w:r w:rsidRPr="0032729B">
        <w:t xml:space="preserve"> i</w:t>
      </w:r>
      <w:r>
        <w:t xml:space="preserve">n my stomach. </w:t>
      </w:r>
      <w:r w:rsidRPr="0096177B">
        <w:rPr>
          <w:u w:val="single"/>
        </w:rPr>
        <w:t>As if it’s digesting a bit.</w:t>
      </w:r>
      <w:r>
        <w:t xml:space="preserve">’ </w:t>
      </w:r>
    </w:p>
    <w:p w14:paraId="1C756149" w14:textId="59DF619D" w:rsidR="006C7C13" w:rsidRPr="0032729B" w:rsidRDefault="006C7C13" w:rsidP="006C7C13"/>
    <w:p w14:paraId="5A694083" w14:textId="77777777" w:rsidR="008A6CB4" w:rsidRDefault="00A410A9" w:rsidP="008A6CB4">
      <w:pPr>
        <w:keepNext/>
      </w:pPr>
      <w:r>
        <w:rPr>
          <w:noProof/>
        </w:rPr>
        <w:drawing>
          <wp:inline distT="0" distB="0" distL="0" distR="0" wp14:anchorId="2C4CB5B1" wp14:editId="0E619ABC">
            <wp:extent cx="5733175" cy="3529130"/>
            <wp:effectExtent l="0" t="0" r="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3029"/>
                    <a:stretch/>
                  </pic:blipFill>
                  <pic:spPr bwMode="auto">
                    <a:xfrm>
                      <a:off x="0" y="0"/>
                      <a:ext cx="5745612" cy="3536786"/>
                    </a:xfrm>
                    <a:prstGeom prst="rect">
                      <a:avLst/>
                    </a:prstGeom>
                    <a:noFill/>
                    <a:ln>
                      <a:noFill/>
                    </a:ln>
                    <a:extLst>
                      <a:ext uri="{53640926-AAD7-44D8-BBD7-CCE9431645EC}">
                        <a14:shadowObscured xmlns:a14="http://schemas.microsoft.com/office/drawing/2010/main"/>
                      </a:ext>
                    </a:extLst>
                  </pic:spPr>
                </pic:pic>
              </a:graphicData>
            </a:graphic>
          </wp:inline>
        </w:drawing>
      </w:r>
    </w:p>
    <w:p w14:paraId="34E737C6" w14:textId="6BD34583" w:rsidR="00A410A9" w:rsidRDefault="008A6CB4" w:rsidP="008A6CB4">
      <w:pPr>
        <w:pStyle w:val="Caption"/>
      </w:pPr>
      <w:bookmarkStart w:id="66" w:name="_Ref152252407"/>
      <w:r>
        <w:t xml:space="preserve">Figure </w:t>
      </w:r>
      <w:r>
        <w:fldChar w:fldCharType="begin"/>
      </w:r>
      <w:r>
        <w:instrText xml:space="preserve"> SEQ Figure \* ARABIC </w:instrText>
      </w:r>
      <w:r>
        <w:fldChar w:fldCharType="separate"/>
      </w:r>
      <w:r w:rsidR="008912AA">
        <w:rPr>
          <w:noProof/>
        </w:rPr>
        <w:t>15</w:t>
      </w:r>
      <w:r>
        <w:fldChar w:fldCharType="end"/>
      </w:r>
      <w:bookmarkEnd w:id="66"/>
      <w:r>
        <w:t xml:space="preserve">. </w:t>
      </w:r>
      <w:r w:rsidR="003C0489">
        <w:rPr>
          <w:b w:val="0"/>
        </w:rPr>
        <w:t>ToDI transcription, with</w:t>
      </w:r>
      <w:r w:rsidRPr="008A6CB4">
        <w:rPr>
          <w:b w:val="0"/>
        </w:rPr>
        <w:t xml:space="preserve"> the pitch curve (</w:t>
      </w:r>
      <w:r w:rsidR="003C0489">
        <w:rPr>
          <w:b w:val="0"/>
        </w:rPr>
        <w:t xml:space="preserve">in </w:t>
      </w:r>
      <w:r w:rsidRPr="008A6CB4">
        <w:rPr>
          <w:b w:val="0"/>
        </w:rPr>
        <w:t>blue)</w:t>
      </w:r>
      <w:r w:rsidR="003C0489">
        <w:rPr>
          <w:b w:val="0"/>
        </w:rPr>
        <w:t>,</w:t>
      </w:r>
      <w:r w:rsidRPr="008A6CB4">
        <w:rPr>
          <w:b w:val="0"/>
        </w:rPr>
        <w:t xml:space="preserve"> for example</w:t>
      </w:r>
      <w:r>
        <w:rPr>
          <w:b w:val="0"/>
        </w:rPr>
        <w:t xml:space="preserve"> </w:t>
      </w:r>
      <w:r>
        <w:rPr>
          <w:b w:val="0"/>
        </w:rPr>
        <w:fldChar w:fldCharType="begin"/>
      </w:r>
      <w:r>
        <w:rPr>
          <w:b w:val="0"/>
        </w:rPr>
        <w:instrText xml:space="preserve"> REF _Ref152252422 \n \h </w:instrText>
      </w:r>
      <w:r>
        <w:rPr>
          <w:b w:val="0"/>
        </w:rPr>
      </w:r>
      <w:r>
        <w:rPr>
          <w:b w:val="0"/>
        </w:rPr>
        <w:fldChar w:fldCharType="separate"/>
      </w:r>
      <w:r w:rsidR="008912AA">
        <w:rPr>
          <w:b w:val="0"/>
        </w:rPr>
        <w:t>(29)</w:t>
      </w:r>
      <w:r>
        <w:rPr>
          <w:b w:val="0"/>
        </w:rPr>
        <w:fldChar w:fldCharType="end"/>
      </w:r>
    </w:p>
    <w:p w14:paraId="3FF32AEC" w14:textId="77777777" w:rsidR="00A410A9" w:rsidRDefault="00A410A9" w:rsidP="006C7C13"/>
    <w:p w14:paraId="0BFE6F28" w14:textId="6C36A20F" w:rsidR="006C7C13" w:rsidRDefault="007B6676" w:rsidP="00317AAC">
      <w:pPr>
        <w:jc w:val="both"/>
      </w:pPr>
      <w:r>
        <w:t>Whereas dependency shifts can be seen as a kind of increment – i.e. “a nonmain-clause continuation of a speaker’s turn after the speaker has come to what could have been a completion point” (Ford</w:t>
      </w:r>
      <w:r w:rsidR="00152BE4">
        <w:t xml:space="preserve"> et al.</w:t>
      </w:r>
      <w:r>
        <w:t xml:space="preserve"> 2002: 16) – ‘stand-alone’ insubordinate HM clauses are </w:t>
      </w:r>
      <w:r w:rsidR="00B928D0">
        <w:t xml:space="preserve">discursively </w:t>
      </w:r>
      <w:r>
        <w:t>independent of the previous discourse segment</w:t>
      </w:r>
      <w:r w:rsidR="007723B9">
        <w:t xml:space="preserve">. That is, </w:t>
      </w:r>
      <w:r w:rsidR="00317AAC">
        <w:t xml:space="preserve">they do not take up the information in the previous discourse segment to expand on it but, instead, </w:t>
      </w:r>
      <w:r w:rsidR="007723B9">
        <w:t>initiate a new segment</w:t>
      </w:r>
      <w:r w:rsidR="00E46FA5">
        <w:t xml:space="preserve">, </w:t>
      </w:r>
      <w:r w:rsidR="00B84601">
        <w:t>typically</w:t>
      </w:r>
      <w:r w:rsidR="00E46FA5">
        <w:t xml:space="preserve"> </w:t>
      </w:r>
      <w:r w:rsidR="007723B9">
        <w:t>in reaction to the previous discourse</w:t>
      </w:r>
      <w:r w:rsidR="00317AAC">
        <w:t xml:space="preserve">, e.g. </w:t>
      </w:r>
      <w:r w:rsidR="00317AAC">
        <w:fldChar w:fldCharType="begin"/>
      </w:r>
      <w:r w:rsidR="00317AAC">
        <w:instrText xml:space="preserve"> REF _Ref134800293 \n \h </w:instrText>
      </w:r>
      <w:r w:rsidR="00317AAC">
        <w:fldChar w:fldCharType="separate"/>
      </w:r>
      <w:r w:rsidR="008912AA">
        <w:t>(30)</w:t>
      </w:r>
      <w:r w:rsidR="00317AAC">
        <w:fldChar w:fldCharType="end"/>
      </w:r>
      <w:r w:rsidR="00317AAC">
        <w:t>.</w:t>
      </w:r>
    </w:p>
    <w:p w14:paraId="337E57A0" w14:textId="77777777" w:rsidR="006C7C13" w:rsidRDefault="006C7C13" w:rsidP="006C7C13"/>
    <w:p w14:paraId="1CA279E0" w14:textId="549E26C1" w:rsidR="006572AA" w:rsidRDefault="006572AA" w:rsidP="006572AA">
      <w:pPr>
        <w:pStyle w:val="ListParagraph"/>
        <w:jc w:val="left"/>
        <w:rPr>
          <w:lang w:val="nl-BE"/>
        </w:rPr>
      </w:pPr>
      <w:bookmarkStart w:id="67" w:name="_Ref134800293"/>
      <w:r w:rsidRPr="006572AA">
        <w:rPr>
          <w:lang w:val="nl-BE"/>
        </w:rPr>
        <w:t>Spreker 1</w:t>
      </w:r>
      <w:r w:rsidR="00F72D6F" w:rsidRPr="006572AA">
        <w:rPr>
          <w:lang w:val="nl-BE"/>
        </w:rPr>
        <w:t>.</w:t>
      </w:r>
      <w:r w:rsidRPr="00DB2415">
        <w:rPr>
          <w:lang w:val="nl-BE"/>
        </w:rPr>
        <w:tab/>
      </w:r>
      <w:r w:rsidR="00F72D6F" w:rsidRPr="006572AA">
        <w:rPr>
          <w:lang w:val="nl-BE"/>
        </w:rPr>
        <w:t xml:space="preserve">uhm oeh </w:t>
      </w:r>
      <w:r w:rsidRPr="006572AA">
        <w:rPr>
          <w:lang w:val="nl-BE"/>
        </w:rPr>
        <w:tab/>
      </w:r>
      <w:r w:rsidR="00F72D6F" w:rsidRPr="006572AA">
        <w:rPr>
          <w:lang w:val="nl-BE"/>
        </w:rPr>
        <w:t xml:space="preserve">wat </w:t>
      </w:r>
      <w:r w:rsidRPr="006572AA">
        <w:rPr>
          <w:lang w:val="nl-BE"/>
        </w:rPr>
        <w:tab/>
      </w:r>
      <w:r w:rsidR="00F72D6F" w:rsidRPr="006572AA">
        <w:rPr>
          <w:lang w:val="nl-BE"/>
        </w:rPr>
        <w:t xml:space="preserve">een </w:t>
      </w:r>
      <w:r w:rsidRPr="006572AA">
        <w:rPr>
          <w:lang w:val="nl-BE"/>
        </w:rPr>
        <w:tab/>
      </w:r>
      <w:r w:rsidR="00F72D6F" w:rsidRPr="006572AA">
        <w:rPr>
          <w:lang w:val="nl-BE"/>
        </w:rPr>
        <w:t xml:space="preserve">vies </w:t>
      </w:r>
      <w:r w:rsidRPr="006572AA">
        <w:rPr>
          <w:lang w:val="nl-BE"/>
        </w:rPr>
        <w:tab/>
      </w:r>
      <w:r w:rsidR="00F72D6F" w:rsidRPr="006572AA">
        <w:rPr>
          <w:lang w:val="nl-BE"/>
        </w:rPr>
        <w:t>wijntje</w:t>
      </w:r>
      <w:r w:rsidR="006C7C13" w:rsidRPr="006572AA">
        <w:rPr>
          <w:lang w:val="nl-BE"/>
        </w:rPr>
        <w:t xml:space="preserve">, </w:t>
      </w:r>
      <w:r w:rsidRPr="006572AA">
        <w:rPr>
          <w:lang w:val="nl-BE"/>
        </w:rPr>
        <w:tab/>
      </w:r>
      <w:r w:rsidR="00F72D6F" w:rsidRPr="006572AA">
        <w:rPr>
          <w:lang w:val="nl-BE"/>
        </w:rPr>
        <w:t xml:space="preserve">oh </w:t>
      </w:r>
      <w:r w:rsidRPr="006572AA">
        <w:rPr>
          <w:lang w:val="nl-BE"/>
        </w:rPr>
        <w:tab/>
      </w:r>
      <w:r w:rsidR="00F72D6F" w:rsidRPr="006572AA">
        <w:rPr>
          <w:lang w:val="nl-BE"/>
        </w:rPr>
        <w:t xml:space="preserve">wat </w:t>
      </w:r>
      <w:r w:rsidRPr="006572AA">
        <w:rPr>
          <w:lang w:val="nl-BE"/>
        </w:rPr>
        <w:tab/>
      </w:r>
      <w:r w:rsidR="00F72D6F" w:rsidRPr="006572AA">
        <w:rPr>
          <w:lang w:val="nl-BE"/>
        </w:rPr>
        <w:t>heb</w:t>
      </w:r>
      <w:r w:rsidRPr="006572AA">
        <w:rPr>
          <w:lang w:val="nl-BE"/>
        </w:rPr>
        <w:tab/>
        <w:t>i</w:t>
      </w:r>
      <w:r w:rsidR="00F72D6F" w:rsidRPr="006572AA">
        <w:rPr>
          <w:lang w:val="nl-BE"/>
        </w:rPr>
        <w:t>k</w:t>
      </w:r>
      <w:r w:rsidRPr="006572AA">
        <w:rPr>
          <w:lang w:val="nl-BE"/>
        </w:rPr>
        <w:tab/>
      </w:r>
      <w:r w:rsidR="00F72D6F" w:rsidRPr="006572AA">
        <w:rPr>
          <w:lang w:val="nl-BE"/>
        </w:rPr>
        <w:t>nou</w:t>
      </w:r>
      <w:r w:rsidRPr="006572AA">
        <w:rPr>
          <w:lang w:val="nl-BE"/>
        </w:rPr>
        <w:tab/>
      </w:r>
      <w:r w:rsidR="00F72D6F" w:rsidRPr="006572AA">
        <w:rPr>
          <w:lang w:val="nl-BE"/>
        </w:rPr>
        <w:t>we</w:t>
      </w:r>
      <w:r w:rsidRPr="006572AA">
        <w:rPr>
          <w:lang w:val="nl-BE"/>
        </w:rPr>
        <w:t>er</w:t>
      </w:r>
    </w:p>
    <w:p w14:paraId="05E6A904" w14:textId="6EAB76B7" w:rsidR="006572AA" w:rsidRPr="00DB2415" w:rsidRDefault="005F7135" w:rsidP="00DB2415">
      <w:pPr>
        <w:ind w:left="1704" w:hanging="1136"/>
        <w:rPr>
          <w:lang w:val="en-US"/>
        </w:rPr>
      </w:pPr>
      <w:r>
        <w:rPr>
          <w:lang w:val="en-US"/>
        </w:rPr>
        <w:t>Speaker 1.</w:t>
      </w:r>
      <w:r>
        <w:rPr>
          <w:lang w:val="en-US"/>
        </w:rPr>
        <w:tab/>
      </w:r>
      <w:r w:rsidR="006572AA" w:rsidRPr="00DB2415">
        <w:rPr>
          <w:lang w:val="en-US"/>
        </w:rPr>
        <w:t>uhm oeh</w:t>
      </w:r>
      <w:r w:rsidR="006572AA" w:rsidRPr="00DB2415">
        <w:rPr>
          <w:lang w:val="en-US"/>
        </w:rPr>
        <w:tab/>
      </w:r>
      <w:r w:rsidR="006572AA" w:rsidRPr="00DB2415">
        <w:rPr>
          <w:lang w:val="en-US"/>
        </w:rPr>
        <w:tab/>
        <w:t>what</w:t>
      </w:r>
      <w:r w:rsidR="006572AA" w:rsidRPr="00DB2415">
        <w:rPr>
          <w:lang w:val="en-US"/>
        </w:rPr>
        <w:tab/>
        <w:t>a</w:t>
      </w:r>
      <w:r w:rsidR="006572AA" w:rsidRPr="00DB2415">
        <w:rPr>
          <w:lang w:val="en-US"/>
        </w:rPr>
        <w:tab/>
      </w:r>
      <w:r w:rsidR="006572AA" w:rsidRPr="00DB2415">
        <w:rPr>
          <w:lang w:val="en-US"/>
        </w:rPr>
        <w:tab/>
        <w:t>dirty</w:t>
      </w:r>
      <w:r w:rsidR="006572AA" w:rsidRPr="00DB2415">
        <w:rPr>
          <w:lang w:val="en-US"/>
        </w:rPr>
        <w:tab/>
        <w:t>wine,</w:t>
      </w:r>
      <w:r w:rsidR="006572AA" w:rsidRPr="00DB2415">
        <w:rPr>
          <w:lang w:val="en-US"/>
        </w:rPr>
        <w:tab/>
      </w:r>
      <w:r w:rsidR="006572AA" w:rsidRPr="00DB2415">
        <w:rPr>
          <w:lang w:val="en-US"/>
        </w:rPr>
        <w:tab/>
        <w:t>oh</w:t>
      </w:r>
      <w:r w:rsidR="006572AA" w:rsidRPr="00DB2415">
        <w:rPr>
          <w:lang w:val="en-US"/>
        </w:rPr>
        <w:tab/>
      </w:r>
      <w:r w:rsidR="006572AA" w:rsidRPr="00DB2415">
        <w:rPr>
          <w:lang w:val="en-US"/>
        </w:rPr>
        <w:tab/>
        <w:t>what</w:t>
      </w:r>
      <w:r w:rsidR="006572AA" w:rsidRPr="00DB2415">
        <w:rPr>
          <w:lang w:val="en-US"/>
        </w:rPr>
        <w:tab/>
        <w:t xml:space="preserve">have </w:t>
      </w:r>
      <w:r w:rsidR="006572AA" w:rsidRPr="00DB2415">
        <w:rPr>
          <w:lang w:val="en-US"/>
        </w:rPr>
        <w:tab/>
        <w:t>I</w:t>
      </w:r>
      <w:r w:rsidR="006572AA" w:rsidRPr="00DB2415">
        <w:rPr>
          <w:lang w:val="en-US"/>
        </w:rPr>
        <w:tab/>
        <w:t>now</w:t>
      </w:r>
      <w:r w:rsidR="006572AA" w:rsidRPr="00DB2415">
        <w:rPr>
          <w:lang w:val="en-US"/>
        </w:rPr>
        <w:tab/>
        <w:t>again</w:t>
      </w:r>
      <w:r w:rsidR="006572AA" w:rsidRPr="00DB2415">
        <w:rPr>
          <w:lang w:val="en-US"/>
        </w:rPr>
        <w:br/>
      </w:r>
      <w:r w:rsidR="00F72D6F" w:rsidRPr="00DB2415">
        <w:rPr>
          <w:lang w:val="en-US"/>
        </w:rPr>
        <w:t>gekocht?</w:t>
      </w:r>
      <w:r w:rsidR="006572AA" w:rsidRPr="00DB2415">
        <w:rPr>
          <w:lang w:val="en-US"/>
        </w:rPr>
        <w:t xml:space="preserve"> </w:t>
      </w:r>
      <w:r w:rsidR="006572AA" w:rsidRPr="005F7135">
        <w:rPr>
          <w:lang w:val="en-US"/>
        </w:rPr>
        <w:tab/>
      </w:r>
      <w:r w:rsidR="006C7C13" w:rsidRPr="00B619DC">
        <w:rPr>
          <w:lang w:val="nl-BE"/>
        </w:rPr>
        <w:t>O</w:t>
      </w:r>
      <w:r w:rsidR="00F72D6F" w:rsidRPr="00B619DC">
        <w:rPr>
          <w:lang w:val="nl-BE"/>
        </w:rPr>
        <w:t>h</w:t>
      </w:r>
      <w:r w:rsidR="006C7C13" w:rsidRPr="00B619DC">
        <w:rPr>
          <w:lang w:val="nl-BE"/>
        </w:rPr>
        <w:t>,</w:t>
      </w:r>
      <w:r w:rsidR="00F72D6F" w:rsidRPr="00B619DC">
        <w:rPr>
          <w:lang w:val="nl-BE"/>
        </w:rPr>
        <w:t xml:space="preserve"> </w:t>
      </w:r>
      <w:r w:rsidR="006572AA" w:rsidRPr="00B619DC">
        <w:rPr>
          <w:lang w:val="nl-BE"/>
        </w:rPr>
        <w:tab/>
      </w:r>
      <w:r w:rsidR="00F72D6F" w:rsidRPr="00B619DC">
        <w:rPr>
          <w:lang w:val="nl-BE"/>
        </w:rPr>
        <w:t xml:space="preserve">dat </w:t>
      </w:r>
      <w:r w:rsidR="006572AA" w:rsidRPr="00B619DC">
        <w:rPr>
          <w:lang w:val="nl-BE"/>
        </w:rPr>
        <w:tab/>
      </w:r>
      <w:r w:rsidR="00F72D6F" w:rsidRPr="00B619DC">
        <w:rPr>
          <w:lang w:val="nl-BE"/>
        </w:rPr>
        <w:t xml:space="preserve">ga </w:t>
      </w:r>
      <w:r w:rsidR="006572AA" w:rsidRPr="00B619DC">
        <w:rPr>
          <w:lang w:val="nl-BE"/>
        </w:rPr>
        <w:tab/>
      </w:r>
      <w:r w:rsidR="00F72D6F" w:rsidRPr="005F7135">
        <w:rPr>
          <w:lang w:val="nl-BE"/>
        </w:rPr>
        <w:t xml:space="preserve">‘k </w:t>
      </w:r>
      <w:r w:rsidR="006572AA" w:rsidRPr="005F7135">
        <w:rPr>
          <w:lang w:val="nl-BE"/>
        </w:rPr>
        <w:tab/>
      </w:r>
      <w:r w:rsidR="00F72D6F" w:rsidRPr="005F7135">
        <w:rPr>
          <w:lang w:val="nl-BE"/>
        </w:rPr>
        <w:t>nooit</w:t>
      </w:r>
      <w:bookmarkEnd w:id="67"/>
      <w:r w:rsidR="006572AA" w:rsidRPr="005F7135">
        <w:rPr>
          <w:lang w:val="nl-BE"/>
        </w:rPr>
        <w:t xml:space="preserve"> </w:t>
      </w:r>
      <w:r w:rsidR="006572AA" w:rsidRPr="005F7135">
        <w:rPr>
          <w:lang w:val="nl-BE"/>
        </w:rPr>
        <w:tab/>
      </w:r>
      <w:r w:rsidR="00F72D6F" w:rsidRPr="00F72D6F">
        <w:rPr>
          <w:lang w:val="nl-BE"/>
        </w:rPr>
        <w:t xml:space="preserve">meer </w:t>
      </w:r>
      <w:r w:rsidR="006572AA">
        <w:rPr>
          <w:lang w:val="nl-BE"/>
        </w:rPr>
        <w:tab/>
      </w:r>
      <w:r w:rsidR="00F72D6F" w:rsidRPr="00F72D6F">
        <w:rPr>
          <w:lang w:val="nl-BE"/>
        </w:rPr>
        <w:t>kopen</w:t>
      </w:r>
      <w:r w:rsidR="006C7C13">
        <w:rPr>
          <w:lang w:val="nl-BE"/>
        </w:rPr>
        <w:t xml:space="preserve">. </w:t>
      </w:r>
      <w:r w:rsidR="006572AA">
        <w:rPr>
          <w:lang w:val="nl-BE"/>
        </w:rPr>
        <w:tab/>
      </w:r>
      <w:r w:rsidR="006C7C13">
        <w:rPr>
          <w:lang w:val="nl-BE"/>
        </w:rPr>
        <w:t>O</w:t>
      </w:r>
      <w:r w:rsidR="00F72D6F" w:rsidRPr="00F72D6F">
        <w:rPr>
          <w:lang w:val="nl-BE"/>
        </w:rPr>
        <w:t>h bah</w:t>
      </w:r>
      <w:r w:rsidR="006C7C13">
        <w:rPr>
          <w:lang w:val="nl-BE"/>
        </w:rPr>
        <w:t>,</w:t>
      </w:r>
      <w:r w:rsidR="00F72D6F" w:rsidRPr="00F72D6F">
        <w:rPr>
          <w:lang w:val="nl-BE"/>
        </w:rPr>
        <w:t xml:space="preserve"> </w:t>
      </w:r>
      <w:r w:rsidR="006572AA">
        <w:rPr>
          <w:lang w:val="nl-BE"/>
        </w:rPr>
        <w:tab/>
      </w:r>
      <w:r w:rsidR="00F72D6F" w:rsidRPr="00F72D6F">
        <w:rPr>
          <w:lang w:val="nl-BE"/>
        </w:rPr>
        <w:t xml:space="preserve">‘t </w:t>
      </w:r>
      <w:r w:rsidR="006572AA">
        <w:rPr>
          <w:lang w:val="nl-BE"/>
        </w:rPr>
        <w:tab/>
      </w:r>
      <w:r w:rsidR="00F72D6F" w:rsidRPr="00F72D6F">
        <w:rPr>
          <w:lang w:val="nl-BE"/>
        </w:rPr>
        <w:t xml:space="preserve">lijkt </w:t>
      </w:r>
      <w:r w:rsidR="006572AA">
        <w:rPr>
          <w:lang w:val="nl-BE"/>
        </w:rPr>
        <w:tab/>
      </w:r>
      <w:r w:rsidR="00F72D6F" w:rsidRPr="00F72D6F">
        <w:rPr>
          <w:lang w:val="nl-BE"/>
        </w:rPr>
        <w:t>wel</w:t>
      </w:r>
      <w:r w:rsidR="006572AA">
        <w:rPr>
          <w:lang w:val="nl-BE"/>
        </w:rPr>
        <w:br/>
        <w:t>bought?</w:t>
      </w:r>
      <w:r w:rsidR="006572AA">
        <w:rPr>
          <w:lang w:val="nl-BE"/>
        </w:rPr>
        <w:tab/>
      </w:r>
      <w:r w:rsidR="006572AA">
        <w:rPr>
          <w:lang w:val="nl-BE"/>
        </w:rPr>
        <w:tab/>
      </w:r>
      <w:r w:rsidR="006572AA" w:rsidRPr="00DB2415">
        <w:rPr>
          <w:lang w:val="en-US"/>
        </w:rPr>
        <w:t>Oh,</w:t>
      </w:r>
      <w:r w:rsidR="006572AA" w:rsidRPr="00DB2415">
        <w:rPr>
          <w:lang w:val="en-US"/>
        </w:rPr>
        <w:tab/>
        <w:t>that</w:t>
      </w:r>
      <w:r w:rsidR="006572AA" w:rsidRPr="00DB2415">
        <w:rPr>
          <w:lang w:val="en-US"/>
        </w:rPr>
        <w:tab/>
        <w:t>go</w:t>
      </w:r>
      <w:r w:rsidR="006572AA" w:rsidRPr="00DB2415">
        <w:rPr>
          <w:lang w:val="en-US"/>
        </w:rPr>
        <w:tab/>
      </w:r>
      <w:r w:rsidR="006572AA" w:rsidRPr="00DB2415">
        <w:rPr>
          <w:lang w:val="en-US"/>
        </w:rPr>
        <w:tab/>
        <w:t>I</w:t>
      </w:r>
      <w:r w:rsidR="006572AA" w:rsidRPr="00DB2415">
        <w:rPr>
          <w:lang w:val="en-US"/>
        </w:rPr>
        <w:tab/>
        <w:t>never</w:t>
      </w:r>
      <w:r w:rsidR="006572AA" w:rsidRPr="00DB2415">
        <w:rPr>
          <w:lang w:val="en-US"/>
        </w:rPr>
        <w:tab/>
      </w:r>
      <w:r w:rsidR="006572AA">
        <w:rPr>
          <w:lang w:val="en-US"/>
        </w:rPr>
        <w:t>more</w:t>
      </w:r>
      <w:r w:rsidR="006572AA">
        <w:rPr>
          <w:lang w:val="en-US"/>
        </w:rPr>
        <w:tab/>
        <w:t>buy.</w:t>
      </w:r>
      <w:r w:rsidR="006572AA">
        <w:rPr>
          <w:lang w:val="en-US"/>
        </w:rPr>
        <w:tab/>
      </w:r>
      <w:r w:rsidR="006572AA">
        <w:rPr>
          <w:lang w:val="en-US"/>
        </w:rPr>
        <w:tab/>
        <w:t>Oh ehw,</w:t>
      </w:r>
      <w:r w:rsidR="006572AA">
        <w:rPr>
          <w:lang w:val="en-US"/>
        </w:rPr>
        <w:tab/>
        <w:t xml:space="preserve">it </w:t>
      </w:r>
      <w:r w:rsidR="006572AA">
        <w:rPr>
          <w:lang w:val="en-US"/>
        </w:rPr>
        <w:tab/>
        <w:t>looks</w:t>
      </w:r>
      <w:r w:rsidR="006572AA">
        <w:rPr>
          <w:lang w:val="en-US"/>
        </w:rPr>
        <w:tab/>
      </w:r>
      <w:r>
        <w:rPr>
          <w:lang w:val="en-US"/>
        </w:rPr>
        <w:t>well</w:t>
      </w:r>
      <w:r>
        <w:rPr>
          <w:lang w:val="en-US"/>
        </w:rPr>
        <w:br/>
        <w:t>motorolie.</w:t>
      </w:r>
    </w:p>
    <w:p w14:paraId="75229F66" w14:textId="1F0D546B" w:rsidR="006C7C13" w:rsidRPr="00DB2415" w:rsidRDefault="00F72D6F" w:rsidP="00DB2415">
      <w:pPr>
        <w:pStyle w:val="ListParagraph"/>
        <w:numPr>
          <w:ilvl w:val="0"/>
          <w:numId w:val="0"/>
        </w:numPr>
        <w:ind w:left="1704"/>
        <w:jc w:val="left"/>
        <w:rPr>
          <w:lang w:val="en-US"/>
        </w:rPr>
      </w:pPr>
      <w:r w:rsidRPr="00DB2415">
        <w:rPr>
          <w:lang w:val="en-US"/>
        </w:rPr>
        <w:t>moto</w:t>
      </w:r>
      <w:r w:rsidR="005F7135" w:rsidRPr="00DB2415">
        <w:rPr>
          <w:lang w:val="en-US"/>
        </w:rPr>
        <w:t>r.oil</w:t>
      </w:r>
      <w:r w:rsidR="006C7C13" w:rsidRPr="00DB2415">
        <w:rPr>
          <w:lang w:val="en-US"/>
        </w:rPr>
        <w:t>.</w:t>
      </w:r>
    </w:p>
    <w:p w14:paraId="30A79F2C" w14:textId="3BA90AC3" w:rsidR="006C7C13" w:rsidRPr="00DB2415" w:rsidRDefault="006C7C13" w:rsidP="00DB2415">
      <w:pPr>
        <w:ind w:left="1704"/>
        <w:rPr>
          <w:lang w:val="nl-BE"/>
        </w:rPr>
      </w:pPr>
      <w:r w:rsidRPr="006C7C13">
        <w:lastRenderedPageBreak/>
        <w:t>‘</w:t>
      </w:r>
      <w:proofErr w:type="gramStart"/>
      <w:r w:rsidRPr="006C7C13">
        <w:t>uhm</w:t>
      </w:r>
      <w:proofErr w:type="gramEnd"/>
      <w:r w:rsidRPr="006C7C13">
        <w:t xml:space="preserve"> urgh what a d</w:t>
      </w:r>
      <w:r>
        <w:t xml:space="preserve">irty wine, oh what did I buy now? </w:t>
      </w:r>
      <w:r w:rsidRPr="006C7C13">
        <w:t>Oh, I’m never gonna b</w:t>
      </w:r>
      <w:r>
        <w:t xml:space="preserve">uy that again. </w:t>
      </w:r>
      <w:r w:rsidRPr="00DB2415">
        <w:rPr>
          <w:lang w:val="nl-BE"/>
        </w:rPr>
        <w:t>Urgh, it seems almost motor oil.’</w:t>
      </w:r>
    </w:p>
    <w:p w14:paraId="2BE83BF0" w14:textId="00803A61" w:rsidR="006C7C13" w:rsidRPr="0087295A" w:rsidRDefault="005F7135" w:rsidP="006C7C13">
      <w:pPr>
        <w:pStyle w:val="ListParagraph"/>
        <w:numPr>
          <w:ilvl w:val="0"/>
          <w:numId w:val="0"/>
        </w:numPr>
        <w:ind w:left="567"/>
      </w:pPr>
      <w:r>
        <w:rPr>
          <w:lang w:val="nl-BE"/>
        </w:rPr>
        <w:t>Spreker B</w:t>
      </w:r>
      <w:r w:rsidR="00F72D6F" w:rsidRPr="00DB2415">
        <w:rPr>
          <w:lang w:val="nl-BE"/>
        </w:rPr>
        <w:t>.</w:t>
      </w:r>
      <w:r>
        <w:rPr>
          <w:lang w:val="nl-BE"/>
        </w:rPr>
        <w:tab/>
      </w:r>
      <w:r w:rsidR="00F72D6F" w:rsidRPr="00DB2415">
        <w:rPr>
          <w:lang w:val="nl-BE"/>
        </w:rPr>
        <w:t>&lt;gelach&gt;</w:t>
      </w:r>
      <w:r w:rsidR="00EF33F3" w:rsidRPr="00DB2415">
        <w:rPr>
          <w:lang w:val="nl-BE"/>
        </w:rPr>
        <w:t xml:space="preserve"> </w:t>
      </w:r>
      <w:r>
        <w:rPr>
          <w:lang w:val="nl-BE"/>
        </w:rPr>
        <w:tab/>
      </w:r>
      <w:r w:rsidR="00F72D6F" w:rsidRPr="00DB2415">
        <w:rPr>
          <w:u w:val="single"/>
          <w:lang w:val="nl-BE"/>
        </w:rPr>
        <w:t>Alsof</w:t>
      </w:r>
      <w:r>
        <w:rPr>
          <w:u w:val="single"/>
          <w:lang w:val="nl-BE"/>
        </w:rPr>
        <w:tab/>
      </w:r>
      <w:r w:rsidR="00F72D6F" w:rsidRPr="00DB2415">
        <w:rPr>
          <w:u w:val="single"/>
          <w:lang w:val="nl-BE"/>
        </w:rPr>
        <w:t>je</w:t>
      </w:r>
      <w:r w:rsidR="003B4D26" w:rsidRPr="00DB2415">
        <w:rPr>
          <w:u w:val="single"/>
          <w:lang w:val="nl-BE"/>
        </w:rPr>
        <w:t xml:space="preserve"> </w:t>
      </w:r>
      <w:r>
        <w:rPr>
          <w:u w:val="single"/>
          <w:lang w:val="nl-BE"/>
        </w:rPr>
        <w:tab/>
      </w:r>
      <w:r>
        <w:rPr>
          <w:u w:val="single"/>
          <w:lang w:val="nl-BE"/>
        </w:rPr>
        <w:tab/>
      </w:r>
      <w:r w:rsidR="00F72D6F" w:rsidRPr="00DB2415">
        <w:rPr>
          <w:u w:val="single"/>
          <w:lang w:val="nl-BE"/>
        </w:rPr>
        <w:t>dat</w:t>
      </w:r>
      <w:r>
        <w:rPr>
          <w:u w:val="single"/>
          <w:lang w:val="nl-BE"/>
        </w:rPr>
        <w:tab/>
      </w:r>
      <w:r w:rsidR="00F72D6F" w:rsidRPr="00DB2415">
        <w:rPr>
          <w:u w:val="single"/>
          <w:lang w:val="nl-BE"/>
        </w:rPr>
        <w:t>wel</w:t>
      </w:r>
      <w:r>
        <w:rPr>
          <w:u w:val="single"/>
          <w:lang w:val="nl-BE"/>
        </w:rPr>
        <w:tab/>
      </w:r>
      <w:r w:rsidR="00F72D6F" w:rsidRPr="00DB2415">
        <w:rPr>
          <w:u w:val="single"/>
          <w:lang w:val="nl-BE"/>
        </w:rPr>
        <w:t>eens</w:t>
      </w:r>
      <w:r>
        <w:rPr>
          <w:u w:val="single"/>
          <w:lang w:val="nl-BE"/>
        </w:rPr>
        <w:tab/>
      </w:r>
      <w:r w:rsidR="00F72D6F" w:rsidRPr="00DB2415">
        <w:rPr>
          <w:b/>
          <w:u w:val="single"/>
          <w:lang w:val="nl-BE"/>
        </w:rPr>
        <w:t>op</w:t>
      </w:r>
      <w:r w:rsidR="00F72D6F" w:rsidRPr="00DB2415">
        <w:rPr>
          <w:u w:val="single"/>
          <w:lang w:val="nl-BE"/>
        </w:rPr>
        <w:t>hebt</w:t>
      </w:r>
      <w:r w:rsidR="00F72D6F" w:rsidRPr="00DB2415">
        <w:rPr>
          <w:lang w:val="nl-BE"/>
        </w:rPr>
        <w:t>.</w:t>
      </w:r>
      <w:r w:rsidR="006C7C13" w:rsidRPr="00DB2415">
        <w:rPr>
          <w:lang w:val="nl-BE"/>
        </w:rPr>
        <w:t xml:space="preserve"> </w:t>
      </w:r>
      <w:r w:rsidR="006C7C13" w:rsidRPr="0087295A">
        <w:t>(CGN)</w:t>
      </w:r>
    </w:p>
    <w:p w14:paraId="4F23F405" w14:textId="30D8C47F" w:rsidR="000D750A" w:rsidRDefault="005F7135" w:rsidP="000D750A">
      <w:pPr>
        <w:pStyle w:val="ListParagraph"/>
        <w:numPr>
          <w:ilvl w:val="0"/>
          <w:numId w:val="0"/>
        </w:numPr>
        <w:ind w:left="284"/>
      </w:pPr>
      <w:r>
        <w:tab/>
        <w:t>Speaker B.</w:t>
      </w:r>
      <w:r>
        <w:tab/>
      </w:r>
      <w:r w:rsidR="006C7C13">
        <w:t>&lt;laughter&gt;</w:t>
      </w:r>
      <w:r>
        <w:tab/>
      </w:r>
      <w:r>
        <w:rPr>
          <w:u w:val="single"/>
        </w:rPr>
        <w:t>As.if</w:t>
      </w:r>
      <w:r>
        <w:rPr>
          <w:u w:val="single"/>
        </w:rPr>
        <w:tab/>
        <w:t>you</w:t>
      </w:r>
      <w:r>
        <w:rPr>
          <w:u w:val="single"/>
        </w:rPr>
        <w:tab/>
        <w:t>that</w:t>
      </w:r>
      <w:r>
        <w:rPr>
          <w:u w:val="single"/>
        </w:rPr>
        <w:tab/>
        <w:t>well</w:t>
      </w:r>
      <w:r>
        <w:rPr>
          <w:u w:val="single"/>
        </w:rPr>
        <w:tab/>
        <w:t>once</w:t>
      </w:r>
      <w:r>
        <w:rPr>
          <w:u w:val="single"/>
        </w:rPr>
        <w:tab/>
      </w:r>
      <w:proofErr w:type="gramStart"/>
      <w:r>
        <w:rPr>
          <w:u w:val="single"/>
        </w:rPr>
        <w:t>on.have</w:t>
      </w:r>
      <w:proofErr w:type="gramEnd"/>
    </w:p>
    <w:p w14:paraId="340DD428" w14:textId="776A96B1" w:rsidR="006C7C13" w:rsidRPr="006C7C13" w:rsidRDefault="006C7C13" w:rsidP="00DB2415">
      <w:pPr>
        <w:pStyle w:val="ListParagraph"/>
        <w:numPr>
          <w:ilvl w:val="0"/>
          <w:numId w:val="0"/>
        </w:numPr>
        <w:ind w:left="1420" w:firstLine="284"/>
      </w:pPr>
      <w:r>
        <w:t>‘</w:t>
      </w:r>
      <w:r w:rsidRPr="00DB2415">
        <w:rPr>
          <w:u w:val="single"/>
        </w:rPr>
        <w:t>As if you’d ever have that</w:t>
      </w:r>
      <w:r>
        <w:t>.’</w:t>
      </w:r>
    </w:p>
    <w:p w14:paraId="42B29526" w14:textId="3A0ADA7E" w:rsidR="00F72D6F" w:rsidRDefault="00F72D6F" w:rsidP="00317AAC">
      <w:pPr>
        <w:ind w:left="567" w:hanging="567"/>
      </w:pPr>
    </w:p>
    <w:p w14:paraId="4D6CDFAD" w14:textId="2A468A0C" w:rsidR="00317AAC" w:rsidRPr="006C7C13" w:rsidRDefault="00BE43B1" w:rsidP="003D5773">
      <w:pPr>
        <w:jc w:val="both"/>
      </w:pPr>
      <w:r>
        <w:t>The fact, then, that</w:t>
      </w:r>
      <w:r w:rsidR="00783C8D">
        <w:t xml:space="preserve"> </w:t>
      </w:r>
      <w:r w:rsidR="003038A4">
        <w:t>pitch onset level and pre-onset pausing</w:t>
      </w:r>
      <w:r w:rsidR="00783C8D">
        <w:t xml:space="preserve"> do not </w:t>
      </w:r>
      <w:r w:rsidR="003D5773">
        <w:t>point to major differences between the</w:t>
      </w:r>
      <w:r w:rsidR="003038A4">
        <w:t>se</w:t>
      </w:r>
      <w:r w:rsidR="003D5773">
        <w:t xml:space="preserve"> two types of syntactically independent clauses</w:t>
      </w:r>
      <w:r w:rsidR="00E267EA">
        <w:t xml:space="preserve"> </w:t>
      </w:r>
      <w:r w:rsidR="003D5773">
        <w:t>suggests that</w:t>
      </w:r>
      <w:r w:rsidR="00EE7E19">
        <w:t xml:space="preserve"> the two are judged, by speakers, to be </w:t>
      </w:r>
      <w:proofErr w:type="gramStart"/>
      <w:r w:rsidR="00E267EA">
        <w:t xml:space="preserve">fairly </w:t>
      </w:r>
      <w:r w:rsidR="00EE7E19">
        <w:t>similar</w:t>
      </w:r>
      <w:proofErr w:type="gramEnd"/>
      <w:r w:rsidR="00EE7E19">
        <w:t xml:space="preserve"> when it comes </w:t>
      </w:r>
      <w:r w:rsidR="00D7717A">
        <w:t xml:space="preserve">to </w:t>
      </w:r>
      <w:r w:rsidR="003038A4">
        <w:t>their contribution to the development of the communication</w:t>
      </w:r>
      <w:r w:rsidR="00EE7E19">
        <w:t>.</w:t>
      </w:r>
      <w:r w:rsidR="00924D2E">
        <w:t xml:space="preserve"> That is, while </w:t>
      </w:r>
      <w:r w:rsidR="003038A4">
        <w:t>dependency shifts and stand-alone insubordination interact differently with the previous text</w:t>
      </w:r>
      <w:r w:rsidR="00924D2E">
        <w:t xml:space="preserve">, </w:t>
      </w:r>
      <w:r w:rsidR="005101AA">
        <w:t xml:space="preserve">both push the </w:t>
      </w:r>
      <w:r w:rsidR="003038A4">
        <w:t>discourse</w:t>
      </w:r>
      <w:r w:rsidR="005101AA">
        <w:t xml:space="preserve"> forward in an unpredictable way. Therefore, from a communicative viewpoint, both clause types are realised as autonomous units mak</w:t>
      </w:r>
      <w:r w:rsidR="005E63F5">
        <w:t xml:space="preserve">ing their own contribution to the development of the </w:t>
      </w:r>
      <w:r w:rsidR="00CB19FC">
        <w:t>communication</w:t>
      </w:r>
      <w:r w:rsidR="005E63F5">
        <w:t>.</w:t>
      </w:r>
      <w:r w:rsidR="005101AA">
        <w:t xml:space="preserve"> </w:t>
      </w:r>
      <w:r w:rsidR="00CB19FC">
        <w:t>This could be seen as an argument to treat dependency shifts as a form of insubordination, be it an ‘elaborative’ or ‘discursively dependent’ one.</w:t>
      </w:r>
    </w:p>
    <w:p w14:paraId="7FEAF9FF" w14:textId="4D9C73C4" w:rsidR="00CC1DBB" w:rsidRDefault="00CC1DBB" w:rsidP="00CB19FC">
      <w:pPr>
        <w:tabs>
          <w:tab w:val="left" w:pos="567"/>
        </w:tabs>
        <w:jc w:val="both"/>
      </w:pPr>
      <w:r>
        <w:tab/>
        <w:t xml:space="preserve">Finally, </w:t>
      </w:r>
      <w:r w:rsidR="00CB19FC">
        <w:t>tone, or pitch contour, did provide some (tentative) evidence for a distinction between stand-alone insubordination and dependency shifts</w:t>
      </w:r>
      <w:r>
        <w:t xml:space="preserve">. In both English and Dutch, </w:t>
      </w:r>
      <w:r w:rsidR="00AE04C9">
        <w:t xml:space="preserve">stand-alone insubordinate HM clauses </w:t>
      </w:r>
      <w:r w:rsidR="004E4153">
        <w:t xml:space="preserve">– i.e., the ones expressing ‘denial of assumption’ – </w:t>
      </w:r>
      <w:r w:rsidR="00CB19FC">
        <w:t>seemed to attract</w:t>
      </w:r>
      <w:r w:rsidR="00AE04C9">
        <w:t xml:space="preserve"> a particular tone, namely fall-rises in English and </w:t>
      </w:r>
      <w:r w:rsidR="007C6429">
        <w:t xml:space="preserve">delayed </w:t>
      </w:r>
      <w:r w:rsidR="00AE04C9">
        <w:t xml:space="preserve">falls in Dutch. </w:t>
      </w:r>
      <w:r w:rsidR="00736ACB">
        <w:t xml:space="preserve">This </w:t>
      </w:r>
      <w:r w:rsidR="00A60323">
        <w:t>is linked</w:t>
      </w:r>
      <w:r w:rsidR="00736ACB">
        <w:t xml:space="preserve"> to the ‘expressive’ function of insubordinate HM clauses</w:t>
      </w:r>
      <w:r w:rsidR="004E4153">
        <w:t>,</w:t>
      </w:r>
      <w:r w:rsidR="00552899">
        <w:t xml:space="preserve"> </w:t>
      </w:r>
      <w:r w:rsidR="004E4153">
        <w:t>also</w:t>
      </w:r>
      <w:r w:rsidR="00552899">
        <w:t xml:space="preserve"> described as ‘</w:t>
      </w:r>
      <w:r w:rsidR="00736ACB">
        <w:t>emotive</w:t>
      </w:r>
      <w:r w:rsidR="00552899">
        <w:t>’</w:t>
      </w:r>
      <w:r w:rsidR="00736ACB">
        <w:t xml:space="preserve"> </w:t>
      </w:r>
      <w:r w:rsidR="00736ACB" w:rsidRPr="00736ACB">
        <w:t xml:space="preserve">(Looij </w:t>
      </w:r>
      <w:r w:rsidR="007948AE">
        <w:t>and</w:t>
      </w:r>
      <w:r w:rsidR="00736ACB" w:rsidRPr="00736ACB">
        <w:t xml:space="preserve"> Minnaert 2019</w:t>
      </w:r>
      <w:r w:rsidR="00552899">
        <w:t xml:space="preserve">, for Dutch) or ‘exclamative’ </w:t>
      </w:r>
      <w:r w:rsidR="00552899" w:rsidRPr="00552899">
        <w:t>(Brinton 2014</w:t>
      </w:r>
      <w:r w:rsidR="00552899">
        <w:t>, for English).</w:t>
      </w:r>
      <w:r w:rsidR="00A60323">
        <w:t xml:space="preserve"> </w:t>
      </w:r>
      <w:r w:rsidR="00A60323" w:rsidRPr="00A60323">
        <w:t xml:space="preserve">Looij </w:t>
      </w:r>
      <w:r w:rsidR="007948AE">
        <w:t>and</w:t>
      </w:r>
      <w:r w:rsidR="00A60323" w:rsidRPr="00A60323">
        <w:t xml:space="preserve"> Minnaert </w:t>
      </w:r>
      <w:r w:rsidR="00A60323">
        <w:t>(</w:t>
      </w:r>
      <w:r w:rsidR="00A60323" w:rsidRPr="00A60323">
        <w:t>2019: 362)</w:t>
      </w:r>
      <w:r w:rsidR="00A60323">
        <w:t xml:space="preserve">, for instance, suggest that Dutch insubordinate </w:t>
      </w:r>
      <w:r w:rsidR="00A60323">
        <w:rPr>
          <w:i/>
        </w:rPr>
        <w:t>alsof</w:t>
      </w:r>
      <w:r w:rsidR="00A60323">
        <w:t>-construction</w:t>
      </w:r>
      <w:r w:rsidR="002538D6">
        <w:t>s</w:t>
      </w:r>
      <w:r w:rsidR="00A60323">
        <w:t xml:space="preserve"> </w:t>
      </w:r>
      <w:r w:rsidR="00DE1BFE">
        <w:t>like (30) are</w:t>
      </w:r>
      <w:r w:rsidR="00A60323">
        <w:t xml:space="preserve"> used to signal </w:t>
      </w:r>
      <w:r w:rsidR="00475250">
        <w:t xml:space="preserve">either </w:t>
      </w:r>
      <w:r w:rsidR="00A60323">
        <w:t xml:space="preserve">amusement </w:t>
      </w:r>
      <w:r w:rsidR="00475250">
        <w:t xml:space="preserve">or frustration vis-à-vis the negated assumption. </w:t>
      </w:r>
      <w:r w:rsidR="005D34DF">
        <w:t xml:space="preserve">For English, </w:t>
      </w:r>
      <w:r w:rsidR="005D34DF" w:rsidRPr="005D34DF">
        <w:t xml:space="preserve">Brinton </w:t>
      </w:r>
      <w:r w:rsidR="00F65896">
        <w:t>(</w:t>
      </w:r>
      <w:r w:rsidR="005D34DF" w:rsidRPr="005D34DF">
        <w:t>2014: 91, 96)</w:t>
      </w:r>
      <w:r w:rsidR="005D34DF">
        <w:t xml:space="preserve"> lists meanings like ‘disbelief’, ‘derision’, and ‘irony’. The fact that, in neither language, the insubordinate construction takes one fixed intonation contour is in line with the findings by </w:t>
      </w:r>
      <w:r w:rsidR="005D34DF" w:rsidRPr="005D34DF">
        <w:rPr>
          <w:szCs w:val="24"/>
        </w:rPr>
        <w:t xml:space="preserve">Gras </w:t>
      </w:r>
      <w:r w:rsidR="007948AE">
        <w:rPr>
          <w:szCs w:val="24"/>
        </w:rPr>
        <w:t>and</w:t>
      </w:r>
      <w:r w:rsidR="005D34DF" w:rsidRPr="005D34DF">
        <w:rPr>
          <w:szCs w:val="24"/>
        </w:rPr>
        <w:t xml:space="preserve"> Elvira-García </w:t>
      </w:r>
      <w:r w:rsidR="005D34DF">
        <w:rPr>
          <w:szCs w:val="24"/>
        </w:rPr>
        <w:t>(</w:t>
      </w:r>
      <w:r w:rsidR="005D34DF" w:rsidRPr="005D34DF">
        <w:rPr>
          <w:szCs w:val="24"/>
        </w:rPr>
        <w:t>2021</w:t>
      </w:r>
      <w:r w:rsidR="005D34DF">
        <w:rPr>
          <w:szCs w:val="24"/>
        </w:rPr>
        <w:t>: 244</w:t>
      </w:r>
      <w:r w:rsidR="005D34DF" w:rsidRPr="005D34DF">
        <w:rPr>
          <w:szCs w:val="24"/>
        </w:rPr>
        <w:t>)</w:t>
      </w:r>
      <w:r w:rsidR="005D34DF">
        <w:t>, for Spanish,</w:t>
      </w:r>
      <w:r w:rsidR="00FE03FA">
        <w:t xml:space="preserve"> that it is not the grammatical pattern itself that triggers the use of a particular contour, but the semantic-pragmatic function (i.e., the meaning-in-context of the clause).</w:t>
      </w:r>
      <w:r w:rsidR="00581CD2">
        <w:t xml:space="preserve"> </w:t>
      </w:r>
      <w:r w:rsidR="005D34DF">
        <w:t xml:space="preserve">In other words, </w:t>
      </w:r>
      <w:r w:rsidR="00FE03FA">
        <w:t xml:space="preserve">the insubordinate ‘denial’ construction does not have a fixed intonation contour but, instead, invites meanings that are conventionally expressed by certain tones (e.g., </w:t>
      </w:r>
      <w:r w:rsidR="005D34DF">
        <w:t xml:space="preserve">the fall-rise </w:t>
      </w:r>
      <w:r w:rsidR="00FE03FA">
        <w:t>expressing</w:t>
      </w:r>
      <w:r w:rsidR="00BA5BCB">
        <w:t xml:space="preserve"> contradiction</w:t>
      </w:r>
      <w:r w:rsidR="00FE03FA">
        <w:t xml:space="preserve"> or an ‘appeal to reconsider’ in English</w:t>
      </w:r>
      <w:r w:rsidR="00BA5BCB">
        <w:t xml:space="preserve">). </w:t>
      </w:r>
      <w:r w:rsidR="00960A1D">
        <w:t xml:space="preserve">The other functions – manner, </w:t>
      </w:r>
      <w:r w:rsidR="00C960EF">
        <w:t>qualification</w:t>
      </w:r>
      <w:r w:rsidR="00960A1D">
        <w:t xml:space="preserve">, and cause – did not invite a special tone contour and were typically uttered with a fall, which is the unmarked tonal choice in both English and Dutch. Only with ‘manner’ – specifically in Dutch – did we find a somewhat higher occurrence of rises. </w:t>
      </w:r>
    </w:p>
    <w:p w14:paraId="72749817" w14:textId="60207D85" w:rsidR="007F1F46" w:rsidRPr="005D34DF" w:rsidRDefault="007F1F46" w:rsidP="0009679F">
      <w:pPr>
        <w:tabs>
          <w:tab w:val="left" w:pos="567"/>
        </w:tabs>
        <w:jc w:val="both"/>
      </w:pPr>
      <w:r>
        <w:lastRenderedPageBreak/>
        <w:tab/>
        <w:t xml:space="preserve">In sum, </w:t>
      </w:r>
      <w:r w:rsidR="0009679F">
        <w:t xml:space="preserve">in this section, we have tried to show that while prosodic integration reflects a cline of syntactic dependency, prosodic factors like pitch onset level and pre-onset pausing </w:t>
      </w:r>
      <w:r w:rsidR="00FE03FA">
        <w:t xml:space="preserve">point to a binary contrast between syntactically dependent vs. independent clauses. </w:t>
      </w:r>
      <w:r w:rsidR="0009679F">
        <w:t>Moreover, w</w:t>
      </w:r>
      <w:r w:rsidR="00E37B7F">
        <w:t xml:space="preserve">hen syntactic dependency was controlled for, </w:t>
      </w:r>
      <w:r w:rsidR="00194AB5">
        <w:t>semantic-pragmatic</w:t>
      </w:r>
      <w:r w:rsidR="00E37B7F">
        <w:t xml:space="preserve"> function did</w:t>
      </w:r>
      <w:r w:rsidR="00667858">
        <w:t xml:space="preserve"> not</w:t>
      </w:r>
      <w:r w:rsidR="0009679F">
        <w:t xml:space="preserve"> appear to</w:t>
      </w:r>
      <w:r w:rsidR="00E37B7F">
        <w:t xml:space="preserve"> </w:t>
      </w:r>
      <w:r w:rsidR="00A81719">
        <w:t>influence prosodic realisation in any major way. One exception was the tone contour with which the HM clause was uttered, with insubordinate clauses, expressing denial of assumption, attracting a particular contour both</w:t>
      </w:r>
      <w:r w:rsidR="00FE03FA">
        <w:t xml:space="preserve"> in</w:t>
      </w:r>
      <w:r w:rsidR="00A81719">
        <w:t xml:space="preserve"> English and </w:t>
      </w:r>
      <w:r w:rsidR="00FE03FA">
        <w:t xml:space="preserve">in </w:t>
      </w:r>
      <w:r w:rsidR="00A81719">
        <w:t xml:space="preserve">Dutch. This was linked </w:t>
      </w:r>
      <w:r w:rsidR="00667858">
        <w:t xml:space="preserve">to </w:t>
      </w:r>
      <w:r w:rsidR="00A81719">
        <w:t>the ‘expressive’ function of stand-alone insubordinate clauses, in contrast with ‘elaborative’ clauses, or dependency shifts, where no special preferences for a tone contour were observed.</w:t>
      </w:r>
      <w:r w:rsidR="008C7FBF">
        <w:t xml:space="preserve"> Other than this, no major prosodic differences were found between insubordinate clauses and dependency shifts.</w:t>
      </w:r>
    </w:p>
    <w:p w14:paraId="0DA39C60" w14:textId="77777777" w:rsidR="00552899" w:rsidRPr="006C7C13" w:rsidRDefault="00552899" w:rsidP="00552899">
      <w:pPr>
        <w:tabs>
          <w:tab w:val="left" w:pos="567"/>
        </w:tabs>
        <w:jc w:val="both"/>
      </w:pPr>
    </w:p>
    <w:p w14:paraId="6DC7B5CC" w14:textId="68C09A21" w:rsidR="00446752" w:rsidRPr="00A52A16" w:rsidRDefault="00446752" w:rsidP="00446752">
      <w:pPr>
        <w:pStyle w:val="Heading1"/>
      </w:pPr>
      <w:bookmarkStart w:id="68" w:name="_Ref134199067"/>
      <w:r w:rsidRPr="00A52A16">
        <w:t>Conclusion</w:t>
      </w:r>
      <w:bookmarkEnd w:id="68"/>
    </w:p>
    <w:p w14:paraId="72FB7D48" w14:textId="0E6BAE95" w:rsidR="00320A24" w:rsidRDefault="00320A24" w:rsidP="00446752"/>
    <w:p w14:paraId="54153091" w14:textId="7254CC63" w:rsidR="0087295A" w:rsidRDefault="0087295A" w:rsidP="0087295A">
      <w:pPr>
        <w:jc w:val="both"/>
      </w:pPr>
      <w:r>
        <w:t xml:space="preserve">This paper examined the prosodic realisation of hypothetical manner clauses in English and Dutch. Starting from the observation that these clauses are polyfunctional – </w:t>
      </w:r>
      <w:r w:rsidRPr="002929E7">
        <w:rPr>
          <w:i/>
        </w:rPr>
        <w:t>viz</w:t>
      </w:r>
      <w:r>
        <w:t xml:space="preserve">. they can </w:t>
      </w:r>
      <w:proofErr w:type="gramStart"/>
      <w:r>
        <w:t>enter into</w:t>
      </w:r>
      <w:proofErr w:type="gramEnd"/>
      <w:r>
        <w:t xml:space="preserve"> different dependency relations and can assume different functions – this study wanted to investigate if the syntactic dependency status and/or the </w:t>
      </w:r>
      <w:r w:rsidR="00194AB5">
        <w:t>semantic-pragmatic</w:t>
      </w:r>
      <w:r>
        <w:t xml:space="preserve"> function of these clauses is reflected in the way they are uttered in spoken English and Dutch. To this end, four prosodic factors were analysed: (i) the prosodic integration of the HM clause in the same intonation unit as the </w:t>
      </w:r>
      <w:r w:rsidR="00194AB5">
        <w:t>main/previous</w:t>
      </w:r>
      <w:r>
        <w:t xml:space="preserve"> clause, (ii) the average difference</w:t>
      </w:r>
      <w:r w:rsidR="00940D6D">
        <w:t xml:space="preserve"> </w:t>
      </w:r>
      <w:r>
        <w:t xml:space="preserve">in pitch level between the </w:t>
      </w:r>
      <w:r w:rsidR="00D5088A">
        <w:t>onset</w:t>
      </w:r>
      <w:r>
        <w:t xml:space="preserve"> of the HM clause</w:t>
      </w:r>
      <w:r w:rsidR="00FE03FA">
        <w:t>, if uttered on a separate IU,</w:t>
      </w:r>
      <w:r>
        <w:t xml:space="preserve"> and the end of the previous IU</w:t>
      </w:r>
      <w:r w:rsidR="00D5088A">
        <w:t>, (i</w:t>
      </w:r>
      <w:r w:rsidR="00F30217">
        <w:t>ii</w:t>
      </w:r>
      <w:r w:rsidR="00D5088A">
        <w:t>) the average time interval between the start of the HM clause and</w:t>
      </w:r>
      <w:r w:rsidR="00FE03FA">
        <w:t xml:space="preserve"> what precedes it (i.e., the rest of the matrix or a previous clause)</w:t>
      </w:r>
      <w:r w:rsidR="00F30217">
        <w:t xml:space="preserve">, and (iv) </w:t>
      </w:r>
      <w:r w:rsidR="00FE03FA">
        <w:t>the pitch</w:t>
      </w:r>
      <w:r w:rsidR="00F30217">
        <w:t xml:space="preserve"> contour </w:t>
      </w:r>
      <w:r w:rsidR="00FE03FA">
        <w:t>of</w:t>
      </w:r>
      <w:r w:rsidR="00F30217">
        <w:t xml:space="preserve"> the HM clause.</w:t>
      </w:r>
    </w:p>
    <w:p w14:paraId="641B5792" w14:textId="3CDB6EBF" w:rsidR="00E7654B" w:rsidRDefault="00D5088A">
      <w:pPr>
        <w:ind w:firstLine="567"/>
        <w:jc w:val="both"/>
      </w:pPr>
      <w:r>
        <w:t xml:space="preserve">The study found that syntactic dependency status was the best overall predictor of prosodic integration, average onset pitch, and pausing. Prosodic integration interacts with syntactic dependency, in that strongly dependent clauses tend to be grouped together, almost exclusively, with their matrix in one IU. They contrast as such with both syntactically independent clauses – which are almost always uttered in a separate IU – and weakly dependent clauses – which allow for a </w:t>
      </w:r>
      <w:r w:rsidR="00A55A44">
        <w:t xml:space="preserve">meaningful </w:t>
      </w:r>
      <w:r>
        <w:t>choice between integration vs. non-integration.</w:t>
      </w:r>
      <w:r w:rsidR="00A55A44">
        <w:t xml:space="preserve"> </w:t>
      </w:r>
      <w:r w:rsidR="005E5107">
        <w:t>With respect to the latter, we nuanced Verstraete’s (2007) generalization that</w:t>
      </w:r>
      <w:r w:rsidR="00105751">
        <w:t xml:space="preserve"> the difference between integration vs. non-integration coincides with the difference between bound and free </w:t>
      </w:r>
      <w:r w:rsidR="00105751" w:rsidRPr="00B83078">
        <w:t xml:space="preserve">subordination. Specifically, we found that this generalization can be overridden in one direction: information deemed essential to the speech act realized by the main clause may </w:t>
      </w:r>
      <w:r w:rsidR="00105751" w:rsidRPr="00B83078">
        <w:lastRenderedPageBreak/>
        <w:t>sometimes be conveyed in prosodically non-integrated clauses for special communicative purposes</w:t>
      </w:r>
      <w:r w:rsidR="00B83078" w:rsidRPr="00B83078">
        <w:t xml:space="preserve">. </w:t>
      </w:r>
      <w:r w:rsidR="007C0118" w:rsidRPr="00B83078">
        <w:t>Onset</w:t>
      </w:r>
      <w:r w:rsidR="007C0118">
        <w:t xml:space="preserve"> pitch and pausing</w:t>
      </w:r>
      <w:r w:rsidR="005E5107">
        <w:t>, in turn,</w:t>
      </w:r>
      <w:r w:rsidR="00E7654B">
        <w:t xml:space="preserve"> interacted with syntactic dependency in a different way, pointing only to a difference between dependent vs. independent clauses. Pitch resets – i.e., step-ups in pitch level at the start of an IU – typically </w:t>
      </w:r>
      <w:r w:rsidR="00572A03">
        <w:t xml:space="preserve">mark the start of a new ‘paratone’ (e.g. </w:t>
      </w:r>
      <w:r w:rsidR="00572A03" w:rsidRPr="00572A03">
        <w:t>Wichmann 2000; Tench 2011: 182)</w:t>
      </w:r>
      <w:r w:rsidR="00572A03">
        <w:t xml:space="preserve">, </w:t>
      </w:r>
      <w:r w:rsidR="00E7654B">
        <w:t>signal</w:t>
      </w:r>
      <w:r w:rsidR="00572A03">
        <w:t>ling</w:t>
      </w:r>
      <w:r w:rsidR="00E7654B">
        <w:t xml:space="preserve"> a</w:t>
      </w:r>
      <w:r w:rsidR="00F65896">
        <w:t xml:space="preserve"> shift, in the discourse, to a new</w:t>
      </w:r>
      <w:r w:rsidR="00572A03">
        <w:t xml:space="preserve"> topic or subtopic. As Tench (2011) suggests, paratones can be interpreted as grouping together different IUs as forming one “extended sentence” </w:t>
      </w:r>
      <w:r w:rsidR="00572A03" w:rsidRPr="00D97DC8">
        <w:t>(</w:t>
      </w:r>
      <w:r w:rsidR="003E5C20">
        <w:t>Tench 2011</w:t>
      </w:r>
      <w:r w:rsidR="00572A03" w:rsidRPr="00D97DC8">
        <w:t>:</w:t>
      </w:r>
      <w:r w:rsidR="00572A03">
        <w:t xml:space="preserve"> 182). The fact that resets are more likely to occur at the start of syntactically independent clauses, therefore, suggests that they typically initiate a new development in the discourse, setting them apart from the previous clause(s). </w:t>
      </w:r>
      <w:r w:rsidR="00A46468">
        <w:t>This point was further demonstrated by the increased likelihood of pausing before independent clauses.</w:t>
      </w:r>
    </w:p>
    <w:p w14:paraId="4D39D8B5" w14:textId="4BC31B27" w:rsidR="00CD1EBD" w:rsidRDefault="00E44C97" w:rsidP="00D5088A">
      <w:pPr>
        <w:ind w:firstLine="567"/>
        <w:jc w:val="both"/>
      </w:pPr>
      <w:r>
        <w:t>C</w:t>
      </w:r>
      <w:r w:rsidR="00CD1EBD">
        <w:t xml:space="preserve">ontrary to our expectations, few differences were found between </w:t>
      </w:r>
      <w:r w:rsidR="00320368">
        <w:t xml:space="preserve">the four </w:t>
      </w:r>
      <w:r w:rsidR="00194AB5">
        <w:t>semantic-pragmatic</w:t>
      </w:r>
      <w:r w:rsidR="00CD1EBD">
        <w:t xml:space="preserve"> functions when syntactic dependency was controlled for.</w:t>
      </w:r>
      <w:r w:rsidR="00082F0A">
        <w:t xml:space="preserve"> </w:t>
      </w:r>
      <w:r w:rsidR="00F30217">
        <w:t>T</w:t>
      </w:r>
      <w:r w:rsidR="007C0118">
        <w:t>he fact that, among syntactically independent clauses, no major differences were found between the functions suggests that</w:t>
      </w:r>
      <w:r w:rsidR="00FB3D78">
        <w:t xml:space="preserve"> </w:t>
      </w:r>
      <w:r w:rsidR="007C0118">
        <w:t xml:space="preserve">dependency shifts and (stand-alone) insubordinate clauses </w:t>
      </w:r>
      <w:r w:rsidR="004757C7">
        <w:t xml:space="preserve">are typically presented as contributing to the discourse </w:t>
      </w:r>
      <w:r w:rsidR="00F30217">
        <w:t xml:space="preserve">development </w:t>
      </w:r>
      <w:r w:rsidR="004757C7">
        <w:t>in similar ways</w:t>
      </w:r>
      <w:r w:rsidR="00F30217">
        <w:t>, despite their differences in discursive (in)dependenc</w:t>
      </w:r>
      <w:r w:rsidR="000B5B83">
        <w:t>e</w:t>
      </w:r>
      <w:r w:rsidR="004757C7">
        <w:t xml:space="preserve">. That is, while dependency shifts elaborate on the prior discourse and insubordinate clauses react to it, both are presented as </w:t>
      </w:r>
      <w:r w:rsidR="008E31AC">
        <w:t xml:space="preserve">new </w:t>
      </w:r>
      <w:r w:rsidR="00F30217">
        <w:t>developments in the discourse after a point of completion was reached at the end of the previous clause.</w:t>
      </w:r>
      <w:r w:rsidR="007C0118">
        <w:t xml:space="preserve"> </w:t>
      </w:r>
      <w:r w:rsidR="00A55A44">
        <w:t xml:space="preserve">One factor where </w:t>
      </w:r>
      <w:r w:rsidR="00FA00EE">
        <w:t>the distinction between dependency shifts and insubordinate clauses</w:t>
      </w:r>
      <w:r w:rsidR="00A55A44">
        <w:t xml:space="preserve"> did play a significant role was choice of tone. </w:t>
      </w:r>
      <w:r w:rsidR="00FA00EE">
        <w:t>Unlike dependency shifts (or other HM clauses)</w:t>
      </w:r>
      <w:r w:rsidR="00A55A44">
        <w:t xml:space="preserve">, </w:t>
      </w:r>
      <w:r w:rsidR="00FA00EE">
        <w:t>insubordinate clauses, expressing denial of assumption, were found to</w:t>
      </w:r>
      <w:r w:rsidR="00A55A44">
        <w:t xml:space="preserve"> invite a particular pitch contour, namely fall-rises in English and</w:t>
      </w:r>
      <w:r w:rsidR="00A211CB">
        <w:t>, to a lesser extent,</w:t>
      </w:r>
      <w:r w:rsidR="00A55A44">
        <w:t xml:space="preserve"> </w:t>
      </w:r>
      <w:r w:rsidR="00FE03FA">
        <w:t xml:space="preserve">delayed </w:t>
      </w:r>
      <w:r w:rsidR="00A55A44">
        <w:t xml:space="preserve">falls in Dutch. Following </w:t>
      </w:r>
      <w:r w:rsidR="00A55A44" w:rsidRPr="00A55A44">
        <w:rPr>
          <w:szCs w:val="24"/>
        </w:rPr>
        <w:t xml:space="preserve">Gras </w:t>
      </w:r>
      <w:r w:rsidR="007948AE">
        <w:rPr>
          <w:szCs w:val="24"/>
        </w:rPr>
        <w:t>and</w:t>
      </w:r>
      <w:r w:rsidR="00A55A44" w:rsidRPr="00A55A44">
        <w:rPr>
          <w:szCs w:val="24"/>
        </w:rPr>
        <w:t xml:space="preserve"> Elvira-García </w:t>
      </w:r>
      <w:r w:rsidR="00A55A44">
        <w:rPr>
          <w:szCs w:val="24"/>
        </w:rPr>
        <w:t>(</w:t>
      </w:r>
      <w:r w:rsidR="00A55A44" w:rsidRPr="00A55A44">
        <w:rPr>
          <w:szCs w:val="24"/>
        </w:rPr>
        <w:t>2021)</w:t>
      </w:r>
      <w:r w:rsidR="00A55A44">
        <w:t>, we attributed this to the correspondence between the meaning</w:t>
      </w:r>
      <w:r w:rsidR="00F30217">
        <w:t xml:space="preserve"> potential</w:t>
      </w:r>
      <w:r w:rsidR="00A55A44">
        <w:t xml:space="preserve"> of these pitch contours and the (attitudinal) meanings associated with the insubordinate </w:t>
      </w:r>
      <w:r w:rsidR="00FE03FA">
        <w:t xml:space="preserve">‘denial’ </w:t>
      </w:r>
      <w:r w:rsidR="00A55A44">
        <w:t>construction.</w:t>
      </w:r>
    </w:p>
    <w:p w14:paraId="5081A8C8" w14:textId="14C68961" w:rsidR="0009668E" w:rsidRDefault="0009668E" w:rsidP="008C656C">
      <w:pPr>
        <w:ind w:firstLine="567"/>
        <w:jc w:val="both"/>
      </w:pPr>
      <w:r>
        <w:t>In relation to the contrastive nature of this study</w:t>
      </w:r>
      <w:r w:rsidR="00E44C97">
        <w:t xml:space="preserve">, </w:t>
      </w:r>
      <w:r w:rsidR="00A46468">
        <w:t xml:space="preserve">little variation </w:t>
      </w:r>
      <w:r>
        <w:t xml:space="preserve">was found </w:t>
      </w:r>
      <w:r w:rsidR="00A46468">
        <w:t xml:space="preserve">between English and Dutch in the general prosodic patterns correlating with syntactic/discursive (in)dependence. </w:t>
      </w:r>
      <w:r w:rsidR="001F01B1">
        <w:t xml:space="preserve">This can point either to the close correspondence between English and Dutch or to the possibility that prosodic factors like integration, pitch resets and pausing serve similar functions </w:t>
      </w:r>
      <w:r w:rsidR="000B5B83">
        <w:t xml:space="preserve">across </w:t>
      </w:r>
      <w:r w:rsidR="00706BA8">
        <w:t>closely related</w:t>
      </w:r>
      <w:r w:rsidR="000B5B83">
        <w:t xml:space="preserve"> languages</w:t>
      </w:r>
      <w:r w:rsidR="001F01B1">
        <w:t>.</w:t>
      </w:r>
      <w:r w:rsidR="0087295A">
        <w:t xml:space="preserve"> </w:t>
      </w:r>
    </w:p>
    <w:p w14:paraId="532ADCF8" w14:textId="57D26A96" w:rsidR="0087295A" w:rsidRDefault="0009668E" w:rsidP="008C656C">
      <w:pPr>
        <w:ind w:firstLine="567"/>
        <w:jc w:val="both"/>
      </w:pPr>
      <w:r>
        <w:t xml:space="preserve">Finally, from a more </w:t>
      </w:r>
      <w:r w:rsidR="00736B3A">
        <w:t>general</w:t>
      </w:r>
      <w:r>
        <w:t xml:space="preserve">, methodological perspective, this study showed that prosody is a multi-faceted phenomenon that requires a comprehensive approach. As detailed above, we investigated four different prosodic </w:t>
      </w:r>
      <w:r w:rsidR="00397D3D">
        <w:t>factors</w:t>
      </w:r>
      <w:r>
        <w:t xml:space="preserve">, and they each led to distinct observations and conclusions. </w:t>
      </w:r>
      <w:r w:rsidR="00163B4B">
        <w:t>Specifically</w:t>
      </w:r>
      <w:r w:rsidR="00C21527">
        <w:t xml:space="preserve">, prosody </w:t>
      </w:r>
      <w:r w:rsidR="00163B4B">
        <w:t xml:space="preserve">was showcased as </w:t>
      </w:r>
      <w:r w:rsidR="00397D3D">
        <w:t xml:space="preserve">involving several </w:t>
      </w:r>
      <w:r w:rsidR="00163B4B">
        <w:t>‘formal’ aspect</w:t>
      </w:r>
      <w:r w:rsidR="00397D3D">
        <w:t>s</w:t>
      </w:r>
      <w:r w:rsidR="00163B4B">
        <w:t xml:space="preserve"> of </w:t>
      </w:r>
      <w:r w:rsidR="00163B4B">
        <w:lastRenderedPageBreak/>
        <w:t xml:space="preserve">linguistic </w:t>
      </w:r>
      <w:r w:rsidR="005E3431">
        <w:t>units</w:t>
      </w:r>
      <w:r w:rsidR="00163B4B">
        <w:t xml:space="preserve"> </w:t>
      </w:r>
      <w:r w:rsidR="00397D3D">
        <w:t>that serve</w:t>
      </w:r>
      <w:r w:rsidR="00163B4B">
        <w:t xml:space="preserve"> to co-signal two types of ‘meaning-bearing’ aspect, namely syntagmatic relations between clauses on the one hand – through the </w:t>
      </w:r>
      <w:r w:rsidR="00DD0BBD">
        <w:t>factor</w:t>
      </w:r>
      <w:r w:rsidR="00163B4B">
        <w:t xml:space="preserve">s of prosodic integration, pitch reset and pre-onset pausing – and semantic-pragmatic function of </w:t>
      </w:r>
      <w:r w:rsidR="005E3431">
        <w:t>hypothetical manner clauses on the other, through</w:t>
      </w:r>
      <w:r w:rsidR="00DD0BBD">
        <w:t xml:space="preserve"> the factor of</w:t>
      </w:r>
      <w:r w:rsidR="005E3431">
        <w:t xml:space="preserve"> tone.</w:t>
      </w:r>
      <w:r w:rsidR="00163B4B">
        <w:t xml:space="preserve"> </w:t>
      </w:r>
      <w:r>
        <w:t xml:space="preserve">We hope that </w:t>
      </w:r>
      <w:r w:rsidR="005E3431">
        <w:t xml:space="preserve">our methodology will prove fruitful to the study of other phenomena as well. </w:t>
      </w:r>
    </w:p>
    <w:p w14:paraId="2C0F7512" w14:textId="77777777" w:rsidR="00320A24" w:rsidRDefault="00320A24" w:rsidP="00446752"/>
    <w:p w14:paraId="06BA4C5E" w14:textId="18A0FDF6" w:rsidR="00257AE5" w:rsidRDefault="00257AE5" w:rsidP="00940D6D">
      <w:pPr>
        <w:pStyle w:val="Heading1"/>
        <w:numPr>
          <w:ilvl w:val="0"/>
          <w:numId w:val="0"/>
        </w:numPr>
        <w:ind w:left="432" w:hanging="432"/>
      </w:pPr>
      <w:r>
        <w:t>Data repository</w:t>
      </w:r>
    </w:p>
    <w:p w14:paraId="4DFD0B46" w14:textId="523349C8" w:rsidR="00257AE5" w:rsidRDefault="00257AE5" w:rsidP="00257AE5">
      <w:pPr>
        <w:jc w:val="both"/>
      </w:pPr>
      <w:r w:rsidRPr="00257AE5">
        <w:t xml:space="preserve">The dataset underlying this article can be found on the ULiège Dataverse, the institutional FAIR data repository of the University of Liège: </w:t>
      </w:r>
      <w:r w:rsidR="0096177B" w:rsidRPr="0096177B">
        <w:t>https://doi.org/10.58119/ULG/3VC5EX</w:t>
      </w:r>
      <w:r w:rsidRPr="00257AE5">
        <w:t>.</w:t>
      </w:r>
    </w:p>
    <w:p w14:paraId="2E33C51D" w14:textId="77777777" w:rsidR="00257AE5" w:rsidRDefault="00257AE5" w:rsidP="00257AE5"/>
    <w:p w14:paraId="043AD11C" w14:textId="7BBF7E76" w:rsidR="0096177B" w:rsidRDefault="0096177B" w:rsidP="00257AE5">
      <w:pPr>
        <w:rPr>
          <w:b/>
          <w:bCs/>
        </w:rPr>
      </w:pPr>
      <w:r>
        <w:rPr>
          <w:b/>
          <w:bCs/>
        </w:rPr>
        <w:t>Acknowledgements</w:t>
      </w:r>
    </w:p>
    <w:p w14:paraId="68CC60BB" w14:textId="03A7C47F" w:rsidR="0096177B" w:rsidRPr="0096177B" w:rsidRDefault="0096177B" w:rsidP="0096177B">
      <w:pPr>
        <w:jc w:val="both"/>
        <w:rPr>
          <w:b/>
          <w:bCs/>
        </w:rPr>
      </w:pPr>
      <w:r w:rsidRPr="0012791C">
        <w:t>The research reported on in this article was made possible by the research grant ‘</w:t>
      </w:r>
      <w:r>
        <w:t>How do grammar and discourse interact? Answers from subordination, coordination and insubordination</w:t>
      </w:r>
      <w:r w:rsidRPr="0012791C">
        <w:t>’ (</w:t>
      </w:r>
      <w:r w:rsidRPr="009B3C90">
        <w:t>PDR T.0065.20</w:t>
      </w:r>
      <w:r w:rsidRPr="0012791C">
        <w:t>) (promoter</w:t>
      </w:r>
      <w:r>
        <w:t>s</w:t>
      </w:r>
      <w:r w:rsidRPr="0012791C">
        <w:t xml:space="preserve">: </w:t>
      </w:r>
      <w:r>
        <w:t xml:space="preserve">Liesbeth Degand and </w:t>
      </w:r>
      <w:proofErr w:type="gramStart"/>
      <w:r>
        <w:t>An</w:t>
      </w:r>
      <w:proofErr w:type="gramEnd"/>
      <w:r>
        <w:t xml:space="preserve"> Van linden)</w:t>
      </w:r>
      <w:r w:rsidRPr="0012791C">
        <w:t xml:space="preserve">, awarded by the </w:t>
      </w:r>
      <w:r>
        <w:t>F.R.S.-FNRS</w:t>
      </w:r>
      <w:r w:rsidRPr="0012791C">
        <w:t xml:space="preserve">. We sincerely thank the </w:t>
      </w:r>
      <w:r>
        <w:t>two</w:t>
      </w:r>
      <w:r w:rsidRPr="0012791C">
        <w:t xml:space="preserve"> anonymous referees for their very substantial reports, making many helpful suggestions to improve this study.</w:t>
      </w:r>
    </w:p>
    <w:p w14:paraId="61F3746E" w14:textId="77777777" w:rsidR="0096177B" w:rsidRPr="00257AE5" w:rsidRDefault="0096177B" w:rsidP="00257AE5"/>
    <w:p w14:paraId="469E415E" w14:textId="62B9A34A" w:rsidR="00CA6505" w:rsidRPr="00520029" w:rsidRDefault="00527607" w:rsidP="00940D6D">
      <w:pPr>
        <w:pStyle w:val="Heading1"/>
        <w:numPr>
          <w:ilvl w:val="0"/>
          <w:numId w:val="0"/>
        </w:numPr>
        <w:ind w:left="432" w:hanging="432"/>
        <w:rPr>
          <w:lang w:val="en-US"/>
        </w:rPr>
      </w:pPr>
      <w:r w:rsidRPr="00520029">
        <w:rPr>
          <w:lang w:val="en-US"/>
        </w:rPr>
        <w:t>References</w:t>
      </w:r>
    </w:p>
    <w:p w14:paraId="0E4DE7F5" w14:textId="669C4793" w:rsidR="004E2514" w:rsidRPr="00803E59" w:rsidRDefault="004E2514" w:rsidP="00EC457F">
      <w:pPr>
        <w:pStyle w:val="Bibliography"/>
        <w:ind w:left="567" w:hanging="567"/>
        <w:jc w:val="both"/>
      </w:pPr>
      <w:r w:rsidRPr="00520029">
        <w:rPr>
          <w:lang w:val="en-US"/>
        </w:rPr>
        <w:t xml:space="preserve">Beijering, Karin, Gunther Kaltenböck </w:t>
      </w:r>
      <w:r w:rsidR="00852114" w:rsidRPr="00520029">
        <w:rPr>
          <w:lang w:val="en-US"/>
        </w:rPr>
        <w:t>&amp;</w:t>
      </w:r>
      <w:r w:rsidRPr="00520029">
        <w:rPr>
          <w:lang w:val="en-US"/>
        </w:rPr>
        <w:t xml:space="preserve"> María Sol Sansiñena</w:t>
      </w:r>
      <w:r w:rsidR="007948AE" w:rsidRPr="00520029">
        <w:rPr>
          <w:lang w:val="en-US"/>
        </w:rPr>
        <w:t xml:space="preserve"> (eds.)</w:t>
      </w:r>
      <w:r w:rsidRPr="00520029">
        <w:rPr>
          <w:lang w:val="en-US"/>
        </w:rPr>
        <w:t xml:space="preserve">. </w:t>
      </w:r>
      <w:r w:rsidRPr="004E2514">
        <w:t xml:space="preserve">2019. </w:t>
      </w:r>
      <w:r w:rsidRPr="004E2514">
        <w:rPr>
          <w:i/>
          <w:iCs/>
        </w:rPr>
        <w:t>Insubordination: Central issues and open questions</w:t>
      </w:r>
      <w:r w:rsidRPr="004E2514">
        <w:t xml:space="preserve">. </w:t>
      </w:r>
      <w:r w:rsidR="007948AE">
        <w:t xml:space="preserve">Berlin: </w:t>
      </w:r>
      <w:r w:rsidRPr="00803E59">
        <w:t>De Gruyter Mouton.</w:t>
      </w:r>
    </w:p>
    <w:p w14:paraId="08E9F7CF" w14:textId="1F911280" w:rsidR="00994499" w:rsidRDefault="00994499" w:rsidP="005016D5">
      <w:pPr>
        <w:pStyle w:val="Bibliography"/>
        <w:ind w:left="567" w:hanging="567"/>
        <w:jc w:val="both"/>
      </w:pPr>
      <w:r w:rsidRPr="004F41DA">
        <w:t xml:space="preserve">Beckman, </w:t>
      </w:r>
      <w:r w:rsidR="000B50F6">
        <w:t xml:space="preserve">Mary, Julia </w:t>
      </w:r>
      <w:r w:rsidRPr="004F41DA">
        <w:t>Hirschberg</w:t>
      </w:r>
      <w:r w:rsidR="000B50F6">
        <w:t xml:space="preserve"> </w:t>
      </w:r>
      <w:r w:rsidRPr="004F41DA">
        <w:t xml:space="preserve">&amp; </w:t>
      </w:r>
      <w:r w:rsidR="000B50F6">
        <w:t xml:space="preserve">Stefanie </w:t>
      </w:r>
      <w:r w:rsidRPr="004F41DA">
        <w:t>Shattuck-Hufnagel</w:t>
      </w:r>
      <w:r w:rsidR="000B50F6">
        <w:t>.</w:t>
      </w:r>
      <w:r w:rsidRPr="004F41DA">
        <w:t xml:space="preserve"> 2005</w:t>
      </w:r>
      <w:r w:rsidR="000B50F6">
        <w:t xml:space="preserve">. </w:t>
      </w:r>
      <w:r w:rsidR="000B50F6" w:rsidRPr="000B50F6">
        <w:t xml:space="preserve">The </w:t>
      </w:r>
      <w:r w:rsidR="000B50F6">
        <w:t>o</w:t>
      </w:r>
      <w:r w:rsidR="000B50F6" w:rsidRPr="000B50F6">
        <w:t xml:space="preserve">riginal ToBI </w:t>
      </w:r>
      <w:r w:rsidR="000B50F6">
        <w:t>s</w:t>
      </w:r>
      <w:r w:rsidR="000B50F6" w:rsidRPr="000B50F6">
        <w:t xml:space="preserve">ystem and the </w:t>
      </w:r>
      <w:r w:rsidR="000B50F6">
        <w:t>e</w:t>
      </w:r>
      <w:r w:rsidR="000B50F6" w:rsidRPr="000B50F6">
        <w:t xml:space="preserve">volution of the ToBI </w:t>
      </w:r>
      <w:r w:rsidR="000B50F6">
        <w:t>f</w:t>
      </w:r>
      <w:r w:rsidR="000B50F6" w:rsidRPr="000B50F6">
        <w:t>ramework</w:t>
      </w:r>
      <w:r w:rsidR="000B50F6">
        <w:t xml:space="preserve">. In Sun-Ah Jun (ed.), </w:t>
      </w:r>
      <w:r w:rsidR="000B50F6" w:rsidRPr="00DB2415">
        <w:rPr>
          <w:i/>
          <w:iCs/>
        </w:rPr>
        <w:t xml:space="preserve">Prosodic </w:t>
      </w:r>
      <w:r w:rsidR="00152BE4">
        <w:rPr>
          <w:i/>
          <w:iCs/>
        </w:rPr>
        <w:t>m</w:t>
      </w:r>
      <w:r w:rsidR="000B50F6" w:rsidRPr="00DB2415">
        <w:rPr>
          <w:i/>
          <w:iCs/>
        </w:rPr>
        <w:t xml:space="preserve">odels and </w:t>
      </w:r>
      <w:r w:rsidR="00152BE4">
        <w:rPr>
          <w:i/>
          <w:iCs/>
        </w:rPr>
        <w:t>t</w:t>
      </w:r>
      <w:r w:rsidR="000B50F6" w:rsidRPr="00DB2415">
        <w:rPr>
          <w:i/>
          <w:iCs/>
        </w:rPr>
        <w:t xml:space="preserve">ranscription: Towards </w:t>
      </w:r>
      <w:r w:rsidR="00152BE4">
        <w:rPr>
          <w:i/>
          <w:iCs/>
        </w:rPr>
        <w:t>p</w:t>
      </w:r>
      <w:r w:rsidR="000B50F6" w:rsidRPr="00DB2415">
        <w:rPr>
          <w:i/>
          <w:iCs/>
        </w:rPr>
        <w:t xml:space="preserve">rosodic </w:t>
      </w:r>
      <w:r w:rsidR="00152BE4">
        <w:rPr>
          <w:i/>
          <w:iCs/>
        </w:rPr>
        <w:t>t</w:t>
      </w:r>
      <w:r w:rsidR="000B50F6" w:rsidRPr="00DB2415">
        <w:rPr>
          <w:i/>
          <w:iCs/>
        </w:rPr>
        <w:t>ypology</w:t>
      </w:r>
      <w:r w:rsidR="000B50F6">
        <w:t>, 9</w:t>
      </w:r>
      <w:r w:rsidR="000B50F6" w:rsidRPr="005016D5">
        <w:t>–</w:t>
      </w:r>
      <w:r w:rsidR="000B50F6">
        <w:t>54. Oxford: Oxford University Press.</w:t>
      </w:r>
    </w:p>
    <w:p w14:paraId="3226C77A" w14:textId="1DF46999" w:rsidR="005016D5" w:rsidRPr="005016D5" w:rsidRDefault="005016D5" w:rsidP="005016D5">
      <w:pPr>
        <w:pStyle w:val="Bibliography"/>
        <w:ind w:left="567" w:hanging="567"/>
        <w:jc w:val="both"/>
      </w:pPr>
      <w:r w:rsidRPr="005D4DB7">
        <w:t xml:space="preserve">Bledin, Justin </w:t>
      </w:r>
      <w:r w:rsidR="00852114">
        <w:t>&amp;</w:t>
      </w:r>
      <w:r w:rsidRPr="005D4DB7">
        <w:t xml:space="preserve"> Sadhwi Srinivas. </w:t>
      </w:r>
      <w:r w:rsidRPr="005016D5">
        <w:t xml:space="preserve">2020. Exclamatory </w:t>
      </w:r>
      <w:r w:rsidR="00152BE4">
        <w:t>a</w:t>
      </w:r>
      <w:r w:rsidRPr="005016D5">
        <w:t xml:space="preserve">s </w:t>
      </w:r>
      <w:r w:rsidR="00152BE4">
        <w:t>i</w:t>
      </w:r>
      <w:r w:rsidRPr="005016D5">
        <w:t xml:space="preserve">fs. </w:t>
      </w:r>
      <w:r w:rsidRPr="005016D5">
        <w:rPr>
          <w:i/>
          <w:iCs/>
        </w:rPr>
        <w:t xml:space="preserve">Proceedings of </w:t>
      </w:r>
      <w:r w:rsidR="00152BE4">
        <w:rPr>
          <w:i/>
          <w:iCs/>
        </w:rPr>
        <w:t>S</w:t>
      </w:r>
      <w:r w:rsidRPr="005016D5">
        <w:rPr>
          <w:i/>
          <w:iCs/>
        </w:rPr>
        <w:t>inn und Bedeutung</w:t>
      </w:r>
      <w:r w:rsidRPr="005016D5">
        <w:t xml:space="preserve"> 24</w:t>
      </w:r>
      <w:r w:rsidR="007948AE">
        <w:t>(1).</w:t>
      </w:r>
      <w:r w:rsidRPr="005016D5">
        <w:t xml:space="preserve"> 84–101</w:t>
      </w:r>
      <w:r w:rsidR="007948AE">
        <w:t>.</w:t>
      </w:r>
    </w:p>
    <w:p w14:paraId="55AE98D7" w14:textId="0EB97A78" w:rsidR="004E2514" w:rsidRPr="004E2514" w:rsidRDefault="004E2514" w:rsidP="00EC457F">
      <w:pPr>
        <w:pStyle w:val="Bibliography"/>
        <w:ind w:left="567" w:hanging="567"/>
        <w:jc w:val="both"/>
      </w:pPr>
      <w:r w:rsidRPr="004E2514">
        <w:t xml:space="preserve">Bledin, Justin </w:t>
      </w:r>
      <w:r w:rsidR="00D200FA">
        <w:t>&amp;</w:t>
      </w:r>
      <w:r w:rsidRPr="004E2514">
        <w:t xml:space="preserve"> Sadhwi Srinivas. 2023. Descriptive </w:t>
      </w:r>
      <w:r w:rsidR="00152BE4">
        <w:t>a</w:t>
      </w:r>
      <w:r w:rsidRPr="004E2514">
        <w:t xml:space="preserve">s </w:t>
      </w:r>
      <w:r w:rsidR="00152BE4">
        <w:t>i</w:t>
      </w:r>
      <w:r w:rsidRPr="004E2514">
        <w:t xml:space="preserve">fs. </w:t>
      </w:r>
      <w:r w:rsidRPr="004E2514">
        <w:rPr>
          <w:i/>
          <w:iCs/>
        </w:rPr>
        <w:t>Linguistics and Philosophy</w:t>
      </w:r>
      <w:r w:rsidRPr="004E2514">
        <w:t xml:space="preserve"> 46</w:t>
      </w:r>
      <w:r w:rsidR="009258CB">
        <w:t>.</w:t>
      </w:r>
      <w:r w:rsidRPr="004E2514">
        <w:t xml:space="preserve"> 87–134.</w:t>
      </w:r>
    </w:p>
    <w:p w14:paraId="6E194B67" w14:textId="7778E99A" w:rsidR="00F43CCD" w:rsidRDefault="004E2514" w:rsidP="00F43CCD">
      <w:pPr>
        <w:pStyle w:val="Bibliography"/>
        <w:ind w:left="567" w:hanging="567"/>
        <w:jc w:val="both"/>
      </w:pPr>
      <w:r w:rsidRPr="004E2514">
        <w:t xml:space="preserve">Brinton, Laurel. 2014. The extremes of insubordination: Exclamatory as if! </w:t>
      </w:r>
      <w:r w:rsidRPr="004E2514">
        <w:rPr>
          <w:i/>
          <w:iCs/>
        </w:rPr>
        <w:t>Journal of English Linguistics</w:t>
      </w:r>
      <w:r w:rsidRPr="004E2514">
        <w:t xml:space="preserve"> 42(2)</w:t>
      </w:r>
      <w:r w:rsidR="009258CB">
        <w:t>.</w:t>
      </w:r>
      <w:r w:rsidRPr="004E2514">
        <w:t xml:space="preserve"> 93–113.</w:t>
      </w:r>
    </w:p>
    <w:p w14:paraId="7A82A81F" w14:textId="428A1C3E" w:rsidR="00A86D93" w:rsidRPr="00C85747" w:rsidRDefault="00A86D93" w:rsidP="00DB2415">
      <w:r>
        <w:t xml:space="preserve">Collins, </w:t>
      </w:r>
      <w:r w:rsidR="00C85747">
        <w:t xml:space="preserve">Beverley &amp; Inger Mees. 2003. </w:t>
      </w:r>
      <w:r w:rsidR="00C85747" w:rsidRPr="00DB2415">
        <w:rPr>
          <w:i/>
          <w:iCs/>
        </w:rPr>
        <w:t xml:space="preserve">The </w:t>
      </w:r>
      <w:r w:rsidR="00C85747">
        <w:rPr>
          <w:i/>
          <w:iCs/>
        </w:rPr>
        <w:t>p</w:t>
      </w:r>
      <w:r w:rsidR="00C85747" w:rsidRPr="00DB2415">
        <w:rPr>
          <w:i/>
          <w:iCs/>
        </w:rPr>
        <w:t>honetics of English and Dutch</w:t>
      </w:r>
      <w:r w:rsidR="00C85747">
        <w:t>. London: Brill.</w:t>
      </w:r>
    </w:p>
    <w:p w14:paraId="43182FE9" w14:textId="36E6FD35" w:rsidR="004E2514" w:rsidRPr="00D156CC" w:rsidRDefault="004E2514" w:rsidP="00EC457F">
      <w:pPr>
        <w:pStyle w:val="Bibliography"/>
        <w:ind w:left="567" w:hanging="567"/>
        <w:jc w:val="both"/>
      </w:pPr>
      <w:r w:rsidRPr="004E2514">
        <w:t xml:space="preserve">Dancygier, Barbara </w:t>
      </w:r>
      <w:r w:rsidR="00D200FA">
        <w:t>&amp;</w:t>
      </w:r>
      <w:r w:rsidRPr="004E2514">
        <w:t xml:space="preserve"> Eve Sweetser. </w:t>
      </w:r>
      <w:r w:rsidRPr="00E56FA1">
        <w:t xml:space="preserve">2005. </w:t>
      </w:r>
      <w:r w:rsidRPr="00E56FA1">
        <w:rPr>
          <w:i/>
          <w:iCs/>
        </w:rPr>
        <w:t xml:space="preserve">Mental </w:t>
      </w:r>
      <w:r w:rsidR="0032600E">
        <w:rPr>
          <w:i/>
          <w:iCs/>
        </w:rPr>
        <w:t>s</w:t>
      </w:r>
      <w:r w:rsidRPr="00CC082E">
        <w:rPr>
          <w:i/>
          <w:iCs/>
        </w:rPr>
        <w:t>paces in</w:t>
      </w:r>
      <w:r w:rsidRPr="004D5574">
        <w:rPr>
          <w:i/>
          <w:iCs/>
        </w:rPr>
        <w:t xml:space="preserve"> </w:t>
      </w:r>
      <w:r w:rsidR="0032600E">
        <w:rPr>
          <w:i/>
          <w:iCs/>
        </w:rPr>
        <w:t>g</w:t>
      </w:r>
      <w:r w:rsidRPr="004D5574">
        <w:rPr>
          <w:i/>
          <w:iCs/>
        </w:rPr>
        <w:t xml:space="preserve">rammar: Conditional </w:t>
      </w:r>
      <w:r w:rsidR="0032600E">
        <w:rPr>
          <w:i/>
          <w:iCs/>
        </w:rPr>
        <w:t>c</w:t>
      </w:r>
      <w:r w:rsidRPr="00D156CC">
        <w:rPr>
          <w:i/>
          <w:iCs/>
        </w:rPr>
        <w:t>onstructions.</w:t>
      </w:r>
      <w:r w:rsidRPr="00D156CC">
        <w:t xml:space="preserve"> Cambridge: Cambridge University Press.</w:t>
      </w:r>
    </w:p>
    <w:p w14:paraId="3F30AB09" w14:textId="0B33D173" w:rsidR="004E2514" w:rsidRPr="00803E59" w:rsidRDefault="004E2514" w:rsidP="00EC457F">
      <w:pPr>
        <w:pStyle w:val="Bibliography"/>
        <w:ind w:left="567" w:hanging="567"/>
        <w:jc w:val="both"/>
      </w:pPr>
      <w:r w:rsidRPr="000A4BAF">
        <w:t xml:space="preserve">Debaisieux, Jeanne-Marie. 2016. Toward a global approach to discourse uses of conjunctions in spoken French. </w:t>
      </w:r>
      <w:r w:rsidRPr="000A4BAF">
        <w:rPr>
          <w:i/>
          <w:iCs/>
        </w:rPr>
        <w:t>Language Sciences</w:t>
      </w:r>
      <w:r w:rsidRPr="000A4BAF">
        <w:t xml:space="preserve"> 58</w:t>
      </w:r>
      <w:r w:rsidR="009258CB" w:rsidRPr="000A4BAF">
        <w:t>.</w:t>
      </w:r>
      <w:r w:rsidRPr="000A4BAF">
        <w:t xml:space="preserve"> </w:t>
      </w:r>
      <w:r w:rsidRPr="00803E59">
        <w:t>79–94.</w:t>
      </w:r>
    </w:p>
    <w:p w14:paraId="491E612B" w14:textId="1E9CAD4D" w:rsidR="004E2514" w:rsidRPr="004E2514" w:rsidRDefault="004E2514" w:rsidP="00EC457F">
      <w:pPr>
        <w:pStyle w:val="Bibliography"/>
        <w:ind w:left="567" w:hanging="567"/>
        <w:jc w:val="both"/>
      </w:pPr>
      <w:r w:rsidRPr="004E2514">
        <w:lastRenderedPageBreak/>
        <w:t xml:space="preserve">D’Hertefelt, Sarah. 2018. </w:t>
      </w:r>
      <w:r w:rsidRPr="004E2514">
        <w:rPr>
          <w:i/>
          <w:iCs/>
        </w:rPr>
        <w:t xml:space="preserve">Insubordination in Germanic: A </w:t>
      </w:r>
      <w:r w:rsidR="0032600E">
        <w:rPr>
          <w:i/>
          <w:iCs/>
        </w:rPr>
        <w:t>t</w:t>
      </w:r>
      <w:r w:rsidRPr="004E2514">
        <w:rPr>
          <w:i/>
          <w:iCs/>
        </w:rPr>
        <w:t xml:space="preserve">ypology of </w:t>
      </w:r>
      <w:r w:rsidR="0032600E">
        <w:rPr>
          <w:i/>
          <w:iCs/>
        </w:rPr>
        <w:t>c</w:t>
      </w:r>
      <w:r w:rsidRPr="004E2514">
        <w:rPr>
          <w:i/>
          <w:iCs/>
        </w:rPr>
        <w:t xml:space="preserve">omplement and </w:t>
      </w:r>
      <w:r w:rsidR="0032600E">
        <w:rPr>
          <w:i/>
          <w:iCs/>
        </w:rPr>
        <w:t>c</w:t>
      </w:r>
      <w:r w:rsidRPr="004E2514">
        <w:rPr>
          <w:i/>
          <w:iCs/>
        </w:rPr>
        <w:t>onditional</w:t>
      </w:r>
      <w:r w:rsidR="0032600E">
        <w:rPr>
          <w:i/>
          <w:iCs/>
        </w:rPr>
        <w:t xml:space="preserve"> c</w:t>
      </w:r>
      <w:r w:rsidRPr="004E2514">
        <w:rPr>
          <w:i/>
          <w:iCs/>
        </w:rPr>
        <w:t>onstructions</w:t>
      </w:r>
      <w:r w:rsidRPr="004E2514">
        <w:t>. Berlin: Mouton de Gruyter.</w:t>
      </w:r>
    </w:p>
    <w:p w14:paraId="2D8293DA" w14:textId="4810D059" w:rsidR="004E2514" w:rsidRPr="004E2514" w:rsidRDefault="004E2514" w:rsidP="00EC457F">
      <w:pPr>
        <w:pStyle w:val="Bibliography"/>
        <w:ind w:left="567" w:hanging="567"/>
        <w:jc w:val="both"/>
      </w:pPr>
      <w:r w:rsidRPr="004E2514">
        <w:t xml:space="preserve">D’Hertefelt, Sarah </w:t>
      </w:r>
      <w:r w:rsidR="00D200FA">
        <w:t>&amp;</w:t>
      </w:r>
      <w:r w:rsidRPr="004E2514">
        <w:t xml:space="preserve"> Jean-Christophe Verstraete. 2014. Independent complement constructions in Swedish and Danish: Insubordination or dependency shift? </w:t>
      </w:r>
      <w:r w:rsidRPr="004E2514">
        <w:rPr>
          <w:i/>
          <w:iCs/>
        </w:rPr>
        <w:t>Journal of Pragmatics</w:t>
      </w:r>
      <w:r w:rsidRPr="004E2514">
        <w:t xml:space="preserve"> 60</w:t>
      </w:r>
      <w:r w:rsidR="009258CB">
        <w:t>.</w:t>
      </w:r>
      <w:r w:rsidRPr="004E2514">
        <w:t xml:space="preserve"> 89–102</w:t>
      </w:r>
      <w:r w:rsidR="00B85113">
        <w:t>.</w:t>
      </w:r>
    </w:p>
    <w:p w14:paraId="056ED4E3" w14:textId="0412D9D3" w:rsidR="004E2514" w:rsidRPr="004E2514" w:rsidRDefault="004E2514" w:rsidP="00EC457F">
      <w:pPr>
        <w:pStyle w:val="Bibliography"/>
        <w:ind w:left="567" w:hanging="567"/>
        <w:jc w:val="both"/>
      </w:pPr>
      <w:r w:rsidRPr="002D045A">
        <w:rPr>
          <w:lang w:val="it-IT"/>
        </w:rPr>
        <w:t>Elvira-García, Wendy, P</w:t>
      </w:r>
      <w:r w:rsidR="009258CB" w:rsidRPr="002D045A">
        <w:rPr>
          <w:lang w:val="it-IT"/>
        </w:rPr>
        <w:t>aolo</w:t>
      </w:r>
      <w:r w:rsidRPr="002D045A">
        <w:rPr>
          <w:lang w:val="it-IT"/>
        </w:rPr>
        <w:t xml:space="preserve"> Roseano </w:t>
      </w:r>
      <w:r w:rsidR="00D200FA" w:rsidRPr="002D045A">
        <w:rPr>
          <w:lang w:val="it-IT"/>
        </w:rPr>
        <w:t>&amp;</w:t>
      </w:r>
      <w:r w:rsidRPr="002D045A">
        <w:rPr>
          <w:lang w:val="it-IT"/>
        </w:rPr>
        <w:t xml:space="preserve"> </w:t>
      </w:r>
      <w:r w:rsidR="009258CB" w:rsidRPr="002D045A">
        <w:rPr>
          <w:lang w:val="it-IT"/>
        </w:rPr>
        <w:t>Ana María</w:t>
      </w:r>
      <w:r w:rsidRPr="002D045A">
        <w:rPr>
          <w:lang w:val="it-IT"/>
        </w:rPr>
        <w:t xml:space="preserve"> Fernández Planas. </w:t>
      </w:r>
      <w:r w:rsidRPr="004E2514">
        <w:t>2017. Prosody as a cue for syntactic dependency</w:t>
      </w:r>
      <w:r w:rsidR="009258CB">
        <w:t>:</w:t>
      </w:r>
      <w:r w:rsidRPr="004E2514">
        <w:t xml:space="preserve"> Evidence from dependent and independent clauses with subordination marks in Spanish. </w:t>
      </w:r>
      <w:r w:rsidRPr="004E2514">
        <w:rPr>
          <w:i/>
          <w:iCs/>
        </w:rPr>
        <w:t>Journal of Pragmatics</w:t>
      </w:r>
      <w:r w:rsidRPr="004E2514">
        <w:t xml:space="preserve"> 109</w:t>
      </w:r>
      <w:r w:rsidR="009258CB">
        <w:t>.</w:t>
      </w:r>
      <w:r w:rsidRPr="004E2514">
        <w:t xml:space="preserve"> 29–46.</w:t>
      </w:r>
    </w:p>
    <w:p w14:paraId="07E9AEE8" w14:textId="4F00AE97" w:rsidR="004E2514" w:rsidRPr="004E2514" w:rsidRDefault="004E2514" w:rsidP="00EC457F">
      <w:pPr>
        <w:pStyle w:val="Bibliography"/>
        <w:ind w:left="567" w:hanging="567"/>
        <w:jc w:val="both"/>
      </w:pPr>
      <w:r w:rsidRPr="004E2514">
        <w:t xml:space="preserve">Foley, William </w:t>
      </w:r>
      <w:r w:rsidR="00D200FA">
        <w:t>&amp;</w:t>
      </w:r>
      <w:r w:rsidRPr="004E2514">
        <w:t xml:space="preserve"> Robert Van Valin. 1984. </w:t>
      </w:r>
      <w:r w:rsidRPr="004E2514">
        <w:rPr>
          <w:i/>
          <w:iCs/>
        </w:rPr>
        <w:t xml:space="preserve">Functional </w:t>
      </w:r>
      <w:r w:rsidR="0032600E">
        <w:rPr>
          <w:i/>
          <w:iCs/>
        </w:rPr>
        <w:t>s</w:t>
      </w:r>
      <w:r w:rsidRPr="004E2514">
        <w:rPr>
          <w:i/>
          <w:iCs/>
        </w:rPr>
        <w:t xml:space="preserve">yntax and </w:t>
      </w:r>
      <w:r w:rsidR="0032600E">
        <w:rPr>
          <w:i/>
          <w:iCs/>
        </w:rPr>
        <w:t>u</w:t>
      </w:r>
      <w:r w:rsidRPr="004E2514">
        <w:rPr>
          <w:i/>
          <w:iCs/>
        </w:rPr>
        <w:t xml:space="preserve">niversal </w:t>
      </w:r>
      <w:r w:rsidR="0032600E">
        <w:rPr>
          <w:i/>
          <w:iCs/>
        </w:rPr>
        <w:t>g</w:t>
      </w:r>
      <w:r w:rsidRPr="004E2514">
        <w:rPr>
          <w:i/>
          <w:iCs/>
        </w:rPr>
        <w:t>rammar</w:t>
      </w:r>
      <w:r w:rsidRPr="004E2514">
        <w:t>. Cambridge: Cambridge University Press.</w:t>
      </w:r>
    </w:p>
    <w:p w14:paraId="2AE7B4BA" w14:textId="5D10B1FE" w:rsidR="004E2514" w:rsidRPr="004E2514" w:rsidRDefault="004E2514" w:rsidP="00EC457F">
      <w:pPr>
        <w:pStyle w:val="Bibliography"/>
        <w:ind w:left="567" w:hanging="567"/>
        <w:jc w:val="both"/>
      </w:pPr>
      <w:r w:rsidRPr="004E2514">
        <w:t xml:space="preserve">Fowler, H.W. 1965. </w:t>
      </w:r>
      <w:r w:rsidRPr="004E2514">
        <w:rPr>
          <w:i/>
          <w:iCs/>
        </w:rPr>
        <w:t xml:space="preserve">A </w:t>
      </w:r>
      <w:r w:rsidR="0032600E">
        <w:rPr>
          <w:i/>
          <w:iCs/>
        </w:rPr>
        <w:t>d</w:t>
      </w:r>
      <w:r w:rsidRPr="004E2514">
        <w:rPr>
          <w:i/>
          <w:iCs/>
        </w:rPr>
        <w:t xml:space="preserve">ictionary of </w:t>
      </w:r>
      <w:r w:rsidR="0032600E">
        <w:rPr>
          <w:i/>
          <w:iCs/>
        </w:rPr>
        <w:t>m</w:t>
      </w:r>
      <w:r w:rsidRPr="004E2514">
        <w:rPr>
          <w:i/>
          <w:iCs/>
        </w:rPr>
        <w:t xml:space="preserve">odern English </w:t>
      </w:r>
      <w:r w:rsidR="0032600E">
        <w:rPr>
          <w:i/>
          <w:iCs/>
        </w:rPr>
        <w:t>u</w:t>
      </w:r>
      <w:r w:rsidRPr="004E2514">
        <w:rPr>
          <w:i/>
          <w:iCs/>
        </w:rPr>
        <w:t>sage.</w:t>
      </w:r>
      <w:r w:rsidRPr="004E2514">
        <w:t xml:space="preserve"> Oxford: Clarendon.</w:t>
      </w:r>
    </w:p>
    <w:p w14:paraId="0E56AC07" w14:textId="02988270" w:rsidR="004E2514" w:rsidRPr="004E2514" w:rsidRDefault="004E2514" w:rsidP="00EC457F">
      <w:pPr>
        <w:pStyle w:val="Bibliography"/>
        <w:ind w:left="567" w:hanging="567"/>
        <w:jc w:val="both"/>
      </w:pPr>
      <w:r w:rsidRPr="004E2514">
        <w:t xml:space="preserve">Gras, Pedro. 2016. Revisiting the functional typology of insubordination: </w:t>
      </w:r>
      <w:r w:rsidR="009258CB">
        <w:rPr>
          <w:i/>
        </w:rPr>
        <w:t>Q</w:t>
      </w:r>
      <w:r w:rsidRPr="009258CB">
        <w:rPr>
          <w:i/>
        </w:rPr>
        <w:t>ue</w:t>
      </w:r>
      <w:r w:rsidRPr="004E2514">
        <w:t xml:space="preserve">-initial sentences in Spanish. In Nicholas Evans </w:t>
      </w:r>
      <w:r w:rsidR="00D200FA">
        <w:t>&amp;</w:t>
      </w:r>
      <w:r w:rsidRPr="004E2514">
        <w:t xml:space="preserve"> Honoré Watanabe (eds</w:t>
      </w:r>
      <w:r w:rsidR="009258CB">
        <w:t>.</w:t>
      </w:r>
      <w:r w:rsidRPr="004E2514">
        <w:t xml:space="preserve">), </w:t>
      </w:r>
      <w:r w:rsidRPr="004E2514">
        <w:rPr>
          <w:i/>
          <w:iCs/>
        </w:rPr>
        <w:t>Insubordination</w:t>
      </w:r>
      <w:r w:rsidRPr="004E2514">
        <w:t>, 113–144. Amsterdam: John Benjamins.</w:t>
      </w:r>
    </w:p>
    <w:p w14:paraId="2E12533F" w14:textId="755F15A0" w:rsidR="004E2514" w:rsidRPr="004E2514" w:rsidRDefault="004E2514" w:rsidP="00EC457F">
      <w:pPr>
        <w:pStyle w:val="Bibliography"/>
        <w:ind w:left="567" w:hanging="567"/>
        <w:jc w:val="both"/>
      </w:pPr>
      <w:r w:rsidRPr="004E2514">
        <w:t xml:space="preserve">Gras, Pedro </w:t>
      </w:r>
      <w:r w:rsidR="00D200FA">
        <w:t>&amp;</w:t>
      </w:r>
      <w:r w:rsidRPr="004E2514">
        <w:t xml:space="preserve"> Wendy Elvira-García. 2021. The role of intonation in Construction Grammar: On prosodic constructions. </w:t>
      </w:r>
      <w:r w:rsidRPr="004E2514">
        <w:rPr>
          <w:i/>
          <w:iCs/>
        </w:rPr>
        <w:t>Journal of Pragmatics</w:t>
      </w:r>
      <w:r w:rsidRPr="004E2514">
        <w:t xml:space="preserve"> 180</w:t>
      </w:r>
      <w:r w:rsidR="009258CB">
        <w:t>.</w:t>
      </w:r>
      <w:r w:rsidRPr="004E2514">
        <w:t xml:space="preserve"> 232–247.</w:t>
      </w:r>
    </w:p>
    <w:p w14:paraId="10107567" w14:textId="7ADAEB1A" w:rsidR="004E2514" w:rsidRPr="00520029" w:rsidRDefault="004E2514" w:rsidP="00EC457F">
      <w:pPr>
        <w:pStyle w:val="Bibliography"/>
        <w:ind w:left="567" w:hanging="567"/>
        <w:jc w:val="both"/>
        <w:rPr>
          <w:lang w:val="nl-BE"/>
        </w:rPr>
      </w:pPr>
      <w:r w:rsidRPr="004E2514">
        <w:t xml:space="preserve">Gras, Pedro </w:t>
      </w:r>
      <w:r w:rsidR="00D200FA">
        <w:t>&amp;</w:t>
      </w:r>
      <w:r w:rsidRPr="004E2514">
        <w:t xml:space="preserve"> María Sol Sansiñena. 2017. Exclamatives in the functional typology of insubordination: Evidence form complement insubordinate constructions in Spanish. </w:t>
      </w:r>
      <w:r w:rsidRPr="00520029">
        <w:rPr>
          <w:i/>
          <w:iCs/>
          <w:lang w:val="nl-BE"/>
        </w:rPr>
        <w:t>Journal of Pragmatics</w:t>
      </w:r>
      <w:r w:rsidRPr="00520029">
        <w:rPr>
          <w:lang w:val="nl-BE"/>
        </w:rPr>
        <w:t xml:space="preserve"> 115</w:t>
      </w:r>
      <w:r w:rsidR="009258CB" w:rsidRPr="00520029">
        <w:rPr>
          <w:lang w:val="nl-BE"/>
        </w:rPr>
        <w:t>.</w:t>
      </w:r>
      <w:r w:rsidRPr="00520029">
        <w:rPr>
          <w:lang w:val="nl-BE"/>
        </w:rPr>
        <w:t xml:space="preserve"> 21–36.</w:t>
      </w:r>
    </w:p>
    <w:p w14:paraId="627497E7" w14:textId="49AB6691" w:rsidR="004E2514" w:rsidRPr="004E2514" w:rsidRDefault="004E2514" w:rsidP="00EC457F">
      <w:pPr>
        <w:pStyle w:val="Bibliography"/>
        <w:ind w:left="567" w:hanging="567"/>
        <w:jc w:val="both"/>
        <w:rPr>
          <w:lang w:val="nl-BE"/>
        </w:rPr>
      </w:pPr>
      <w:r w:rsidRPr="00520029">
        <w:rPr>
          <w:lang w:val="nl-BE"/>
        </w:rPr>
        <w:t xml:space="preserve">Günthner, Susanne. 1999. Entwickelt sich der Konzessivkonnektor </w:t>
      </w:r>
      <w:r w:rsidRPr="00520029">
        <w:rPr>
          <w:i/>
          <w:lang w:val="nl-BE"/>
        </w:rPr>
        <w:t>obwohl</w:t>
      </w:r>
      <w:r w:rsidRPr="00520029">
        <w:rPr>
          <w:lang w:val="nl-BE"/>
        </w:rPr>
        <w:t xml:space="preserve"> zum Diskursmaker? </w:t>
      </w:r>
      <w:r w:rsidRPr="004E2514">
        <w:rPr>
          <w:lang w:val="nl-BE"/>
        </w:rPr>
        <w:t xml:space="preserve">Grammatikalisierungstendenzen im gesprochenen Deutsch. </w:t>
      </w:r>
      <w:r w:rsidRPr="004E2514">
        <w:rPr>
          <w:i/>
          <w:iCs/>
          <w:lang w:val="nl-BE"/>
        </w:rPr>
        <w:t>Linguistische Berichte</w:t>
      </w:r>
      <w:r w:rsidRPr="004E2514">
        <w:rPr>
          <w:lang w:val="nl-BE"/>
        </w:rPr>
        <w:t xml:space="preserve"> 180</w:t>
      </w:r>
      <w:r w:rsidR="009258CB">
        <w:rPr>
          <w:lang w:val="nl-BE"/>
        </w:rPr>
        <w:t>.</w:t>
      </w:r>
      <w:r w:rsidRPr="004E2514">
        <w:rPr>
          <w:lang w:val="nl-BE"/>
        </w:rPr>
        <w:t xml:space="preserve"> 409–444.</w:t>
      </w:r>
    </w:p>
    <w:p w14:paraId="3050E106" w14:textId="1A8F779C" w:rsidR="00D55288" w:rsidRPr="003E0E40" w:rsidRDefault="00D55288" w:rsidP="00EC457F">
      <w:pPr>
        <w:pStyle w:val="Bibliography"/>
        <w:ind w:left="567" w:hanging="567"/>
        <w:jc w:val="both"/>
        <w:rPr>
          <w:lang w:val="nl-BE"/>
        </w:rPr>
      </w:pPr>
      <w:r w:rsidRPr="003E0E40">
        <w:rPr>
          <w:lang w:val="nl-BE"/>
        </w:rPr>
        <w:t>Gussenhoven</w:t>
      </w:r>
      <w:r w:rsidR="005064BC" w:rsidRPr="003E0E40">
        <w:rPr>
          <w:lang w:val="nl-BE"/>
        </w:rPr>
        <w:t>, Carlos.</w:t>
      </w:r>
      <w:r w:rsidRPr="003E0E40">
        <w:rPr>
          <w:lang w:val="nl-BE"/>
        </w:rPr>
        <w:t xml:space="preserve"> 2005</w:t>
      </w:r>
      <w:r w:rsidR="005064BC" w:rsidRPr="003E0E40">
        <w:rPr>
          <w:lang w:val="nl-BE"/>
        </w:rPr>
        <w:t xml:space="preserve">. The transcription of Dutch intonation. </w:t>
      </w:r>
      <w:r w:rsidR="005064BC">
        <w:t xml:space="preserve">In Sun-Ah Jun (ed.), </w:t>
      </w:r>
      <w:r w:rsidR="005064BC" w:rsidRPr="00062951">
        <w:rPr>
          <w:i/>
          <w:iCs/>
        </w:rPr>
        <w:t xml:space="preserve">Prosodic </w:t>
      </w:r>
      <w:r w:rsidR="000A46FA">
        <w:rPr>
          <w:i/>
          <w:iCs/>
        </w:rPr>
        <w:t>m</w:t>
      </w:r>
      <w:r w:rsidR="005064BC" w:rsidRPr="00062951">
        <w:rPr>
          <w:i/>
          <w:iCs/>
        </w:rPr>
        <w:t xml:space="preserve">odels and </w:t>
      </w:r>
      <w:r w:rsidR="000A46FA">
        <w:rPr>
          <w:i/>
          <w:iCs/>
        </w:rPr>
        <w:t>t</w:t>
      </w:r>
      <w:r w:rsidR="005064BC" w:rsidRPr="00062951">
        <w:rPr>
          <w:i/>
          <w:iCs/>
        </w:rPr>
        <w:t xml:space="preserve">ranscription: Towards </w:t>
      </w:r>
      <w:r w:rsidR="000A46FA">
        <w:rPr>
          <w:i/>
          <w:iCs/>
        </w:rPr>
        <w:t>p</w:t>
      </w:r>
      <w:r w:rsidR="005064BC" w:rsidRPr="00062951">
        <w:rPr>
          <w:i/>
          <w:iCs/>
        </w:rPr>
        <w:t xml:space="preserve">rosodic </w:t>
      </w:r>
      <w:r w:rsidR="000A46FA">
        <w:rPr>
          <w:i/>
          <w:iCs/>
        </w:rPr>
        <w:t>t</w:t>
      </w:r>
      <w:r w:rsidR="005064BC" w:rsidRPr="00062951">
        <w:rPr>
          <w:i/>
          <w:iCs/>
        </w:rPr>
        <w:t>ypology</w:t>
      </w:r>
      <w:r w:rsidR="005064BC">
        <w:t>, 118</w:t>
      </w:r>
      <w:r w:rsidR="005064BC" w:rsidRPr="00DB2415">
        <w:rPr>
          <w:lang w:val="en-US"/>
        </w:rPr>
        <w:t>–145</w:t>
      </w:r>
      <w:r w:rsidR="005064BC">
        <w:t xml:space="preserve">. </w:t>
      </w:r>
      <w:r w:rsidR="005064BC" w:rsidRPr="003E0E40">
        <w:rPr>
          <w:lang w:val="nl-BE"/>
        </w:rPr>
        <w:t>Oxford: Oxford University Press.</w:t>
      </w:r>
    </w:p>
    <w:p w14:paraId="2DF46E8F" w14:textId="12570B15" w:rsidR="004E2514" w:rsidRPr="004E2514" w:rsidRDefault="004E2514" w:rsidP="00EC457F">
      <w:pPr>
        <w:pStyle w:val="Bibliography"/>
        <w:ind w:left="567" w:hanging="567"/>
        <w:jc w:val="both"/>
        <w:rPr>
          <w:lang w:val="nl-BE"/>
        </w:rPr>
      </w:pPr>
      <w:r w:rsidRPr="004E2514">
        <w:rPr>
          <w:lang w:val="nl-BE"/>
        </w:rPr>
        <w:t xml:space="preserve">Haeseryn, Walter, Kirsten Romijn, Guido Geerts, Jaap de Rooij </w:t>
      </w:r>
      <w:r w:rsidR="00D200FA">
        <w:rPr>
          <w:lang w:val="nl-BE"/>
        </w:rPr>
        <w:t>&amp;</w:t>
      </w:r>
      <w:r w:rsidRPr="004E2514">
        <w:rPr>
          <w:lang w:val="nl-BE"/>
        </w:rPr>
        <w:t xml:space="preserve"> Maarten van den Toorn (eds.). 1997. </w:t>
      </w:r>
      <w:r w:rsidRPr="004E2514">
        <w:rPr>
          <w:i/>
          <w:iCs/>
          <w:lang w:val="nl-BE"/>
        </w:rPr>
        <w:t xml:space="preserve">Algemene Nederlandse </w:t>
      </w:r>
      <w:r w:rsidR="0032600E">
        <w:rPr>
          <w:i/>
          <w:iCs/>
          <w:lang w:val="nl-BE"/>
        </w:rPr>
        <w:t>s</w:t>
      </w:r>
      <w:r w:rsidRPr="004E2514">
        <w:rPr>
          <w:i/>
          <w:iCs/>
          <w:lang w:val="nl-BE"/>
        </w:rPr>
        <w:t>praakkunst</w:t>
      </w:r>
      <w:r w:rsidRPr="004E2514">
        <w:rPr>
          <w:lang w:val="nl-BE"/>
        </w:rPr>
        <w:t xml:space="preserve">. Groningen </w:t>
      </w:r>
      <w:r w:rsidR="009258CB">
        <w:rPr>
          <w:lang w:val="nl-BE"/>
        </w:rPr>
        <w:t>&amp;</w:t>
      </w:r>
      <w:r w:rsidRPr="004E2514">
        <w:rPr>
          <w:lang w:val="nl-BE"/>
        </w:rPr>
        <w:t xml:space="preserve"> Leuven: Wolters-Noordhoff.</w:t>
      </w:r>
    </w:p>
    <w:p w14:paraId="15421E2C" w14:textId="361C4D1B" w:rsidR="004E2514" w:rsidRPr="004E2514" w:rsidRDefault="004E2514" w:rsidP="00EC457F">
      <w:pPr>
        <w:pStyle w:val="Bibliography"/>
        <w:ind w:left="567" w:hanging="567"/>
        <w:jc w:val="both"/>
      </w:pPr>
      <w:r w:rsidRPr="00B930D3">
        <w:rPr>
          <w:lang w:val="nl-BE"/>
        </w:rPr>
        <w:t xml:space="preserve">Halliday, M.A.K. 1967. </w:t>
      </w:r>
      <w:r w:rsidRPr="004E2514">
        <w:rPr>
          <w:i/>
          <w:iCs/>
        </w:rPr>
        <w:t xml:space="preserve">Intonation and </w:t>
      </w:r>
      <w:r w:rsidR="0032600E">
        <w:rPr>
          <w:i/>
          <w:iCs/>
        </w:rPr>
        <w:t>g</w:t>
      </w:r>
      <w:r w:rsidRPr="004E2514">
        <w:rPr>
          <w:i/>
          <w:iCs/>
        </w:rPr>
        <w:t>rammar in British English</w:t>
      </w:r>
      <w:r w:rsidRPr="004E2514">
        <w:t>. The Hague: Mouton.</w:t>
      </w:r>
    </w:p>
    <w:p w14:paraId="248C36A2" w14:textId="172C09F7" w:rsidR="004E2514" w:rsidRPr="004E2514" w:rsidRDefault="004E2514" w:rsidP="00EC457F">
      <w:pPr>
        <w:pStyle w:val="Bibliography"/>
        <w:ind w:left="567" w:hanging="567"/>
        <w:jc w:val="both"/>
      </w:pPr>
      <w:r w:rsidRPr="004E2514">
        <w:t xml:space="preserve">Halliday, M.A.K. </w:t>
      </w:r>
      <w:r w:rsidR="00D200FA">
        <w:t>&amp;</w:t>
      </w:r>
      <w:r w:rsidRPr="004E2514">
        <w:t xml:space="preserve"> Christian Matthiessen. 2004. </w:t>
      </w:r>
      <w:r w:rsidRPr="004E2514">
        <w:rPr>
          <w:i/>
          <w:iCs/>
        </w:rPr>
        <w:t xml:space="preserve">Introduction to </w:t>
      </w:r>
      <w:r w:rsidR="0032600E">
        <w:rPr>
          <w:i/>
          <w:iCs/>
        </w:rPr>
        <w:t>f</w:t>
      </w:r>
      <w:r w:rsidRPr="004E2514">
        <w:rPr>
          <w:i/>
          <w:iCs/>
        </w:rPr>
        <w:t xml:space="preserve">unctional </w:t>
      </w:r>
      <w:r w:rsidR="0032600E">
        <w:rPr>
          <w:i/>
          <w:iCs/>
        </w:rPr>
        <w:t>g</w:t>
      </w:r>
      <w:r w:rsidRPr="004E2514">
        <w:rPr>
          <w:i/>
          <w:iCs/>
        </w:rPr>
        <w:t>rammar</w:t>
      </w:r>
      <w:r w:rsidRPr="004E2514">
        <w:t>. London: Hodder Arnold.</w:t>
      </w:r>
    </w:p>
    <w:p w14:paraId="7936990C" w14:textId="77777777" w:rsidR="00C73DB7" w:rsidRDefault="004E2514" w:rsidP="00C73DB7">
      <w:pPr>
        <w:pStyle w:val="Bibliography"/>
        <w:ind w:left="567" w:hanging="567"/>
        <w:jc w:val="both"/>
      </w:pPr>
      <w:r w:rsidRPr="004E2514">
        <w:t xml:space="preserve">Hopper, Paul </w:t>
      </w:r>
      <w:r w:rsidR="00D200FA">
        <w:t>&amp;</w:t>
      </w:r>
      <w:r w:rsidRPr="004E2514">
        <w:t xml:space="preserve"> Elizabeth Closs Traugott. 1993. </w:t>
      </w:r>
      <w:r w:rsidRPr="004E2514">
        <w:rPr>
          <w:i/>
          <w:iCs/>
        </w:rPr>
        <w:t>Grammaticalization</w:t>
      </w:r>
      <w:r w:rsidRPr="004E2514">
        <w:t>. Cambridge: Cambridge University Press.</w:t>
      </w:r>
    </w:p>
    <w:p w14:paraId="39D87C8E" w14:textId="09AA0215" w:rsidR="00C73DB7" w:rsidRPr="00C73DB7" w:rsidRDefault="00C73DB7" w:rsidP="00C73DB7">
      <w:pPr>
        <w:pStyle w:val="Bibliography"/>
        <w:ind w:left="567" w:hanging="567"/>
        <w:jc w:val="both"/>
      </w:pPr>
      <w:r w:rsidRPr="00257AE5">
        <w:rPr>
          <w:lang w:val="en-US"/>
        </w:rPr>
        <w:lastRenderedPageBreak/>
        <w:t xml:space="preserve">Hothorn Torsten, Kurt Hornik Kurt &amp; Achim Zeileis. </w:t>
      </w:r>
      <w:r>
        <w:t xml:space="preserve">2006. Unbiased recursive partitioning: A conditional inference framework. </w:t>
      </w:r>
      <w:r w:rsidRPr="00DB2415">
        <w:rPr>
          <w:i/>
          <w:iCs/>
        </w:rPr>
        <w:t>Journal of Computational and Graphical Statistics</w:t>
      </w:r>
      <w:r>
        <w:t xml:space="preserve"> 15(3). 651–674.</w:t>
      </w:r>
    </w:p>
    <w:p w14:paraId="436200E5" w14:textId="2FD2D162" w:rsidR="004E2514" w:rsidRPr="004E2514" w:rsidRDefault="004E2514" w:rsidP="00EC457F">
      <w:pPr>
        <w:pStyle w:val="Bibliography"/>
        <w:ind w:left="567" w:hanging="567"/>
        <w:jc w:val="both"/>
      </w:pPr>
      <w:r w:rsidRPr="004E2514">
        <w:t xml:space="preserve">Kaltenböck, Gunther. 2016. On the grammatical status of insubordinate </w:t>
      </w:r>
      <w:r w:rsidRPr="009258CB">
        <w:rPr>
          <w:i/>
        </w:rPr>
        <w:t>if</w:t>
      </w:r>
      <w:r w:rsidRPr="004E2514">
        <w:t xml:space="preserve">-clauses. In Gunther Kaltenböck, Evelien Keizer </w:t>
      </w:r>
      <w:r w:rsidR="00D200FA">
        <w:t>&amp;</w:t>
      </w:r>
      <w:r w:rsidRPr="004E2514">
        <w:t xml:space="preserve"> Arne Lohmann (eds.), </w:t>
      </w:r>
      <w:r w:rsidRPr="004E2514">
        <w:rPr>
          <w:i/>
          <w:iCs/>
        </w:rPr>
        <w:t xml:space="preserve">Outside the </w:t>
      </w:r>
      <w:r w:rsidR="0032600E">
        <w:rPr>
          <w:i/>
          <w:iCs/>
        </w:rPr>
        <w:t>c</w:t>
      </w:r>
      <w:r w:rsidRPr="004E2514">
        <w:rPr>
          <w:i/>
          <w:iCs/>
        </w:rPr>
        <w:t xml:space="preserve">lause: Form and </w:t>
      </w:r>
      <w:r w:rsidR="0032600E">
        <w:rPr>
          <w:i/>
          <w:iCs/>
        </w:rPr>
        <w:t>f</w:t>
      </w:r>
      <w:r w:rsidRPr="004E2514">
        <w:rPr>
          <w:i/>
          <w:iCs/>
        </w:rPr>
        <w:t xml:space="preserve">unction of </w:t>
      </w:r>
      <w:r w:rsidR="0032600E">
        <w:rPr>
          <w:i/>
          <w:iCs/>
        </w:rPr>
        <w:t>e</w:t>
      </w:r>
      <w:r w:rsidRPr="004E2514">
        <w:rPr>
          <w:i/>
          <w:iCs/>
        </w:rPr>
        <w:t>xtra-</w:t>
      </w:r>
      <w:r w:rsidR="0032600E">
        <w:rPr>
          <w:i/>
          <w:iCs/>
        </w:rPr>
        <w:t>c</w:t>
      </w:r>
      <w:r w:rsidRPr="004E2514">
        <w:rPr>
          <w:i/>
          <w:iCs/>
        </w:rPr>
        <w:t xml:space="preserve">lausal </w:t>
      </w:r>
      <w:r w:rsidR="0032600E">
        <w:rPr>
          <w:i/>
          <w:iCs/>
        </w:rPr>
        <w:t>c</w:t>
      </w:r>
      <w:r w:rsidRPr="004E2514">
        <w:rPr>
          <w:i/>
          <w:iCs/>
        </w:rPr>
        <w:t>onstituents</w:t>
      </w:r>
      <w:r w:rsidRPr="004E2514">
        <w:t>, 341–377. Amsterdam: John Benjamins.</w:t>
      </w:r>
    </w:p>
    <w:p w14:paraId="7ADFF150" w14:textId="57D0FDE7" w:rsidR="004E2514" w:rsidRPr="00616B3D" w:rsidRDefault="004E2514" w:rsidP="00EC457F">
      <w:pPr>
        <w:pStyle w:val="Bibliography"/>
        <w:ind w:left="567" w:hanging="567"/>
        <w:jc w:val="both"/>
      </w:pPr>
      <w:r w:rsidRPr="004E2514">
        <w:t xml:space="preserve">Liberman, Mark </w:t>
      </w:r>
      <w:r w:rsidR="00D200FA">
        <w:t>&amp;</w:t>
      </w:r>
      <w:r w:rsidRPr="004E2514">
        <w:t xml:space="preserve"> Ivan Sag. 1974. Prosodic form and discourse function. </w:t>
      </w:r>
      <w:r w:rsidRPr="004E2514">
        <w:rPr>
          <w:i/>
          <w:iCs/>
        </w:rPr>
        <w:t xml:space="preserve">Papers from the </w:t>
      </w:r>
      <w:r w:rsidR="0032600E">
        <w:rPr>
          <w:i/>
          <w:iCs/>
        </w:rPr>
        <w:t>t</w:t>
      </w:r>
      <w:r w:rsidRPr="004E2514">
        <w:rPr>
          <w:i/>
          <w:iCs/>
        </w:rPr>
        <w:t xml:space="preserve">enth </w:t>
      </w:r>
      <w:r w:rsidR="0032600E">
        <w:rPr>
          <w:i/>
          <w:iCs/>
        </w:rPr>
        <w:t>r</w:t>
      </w:r>
      <w:r w:rsidRPr="004E2514">
        <w:rPr>
          <w:i/>
          <w:iCs/>
        </w:rPr>
        <w:t xml:space="preserve">egional </w:t>
      </w:r>
      <w:r w:rsidR="0032600E">
        <w:rPr>
          <w:i/>
          <w:iCs/>
        </w:rPr>
        <w:t>m</w:t>
      </w:r>
      <w:r w:rsidRPr="004E2514">
        <w:rPr>
          <w:i/>
          <w:iCs/>
        </w:rPr>
        <w:t>eeting,</w:t>
      </w:r>
      <w:r w:rsidR="0032600E">
        <w:rPr>
          <w:i/>
          <w:iCs/>
        </w:rPr>
        <w:t xml:space="preserve"> C</w:t>
      </w:r>
      <w:r w:rsidRPr="004E2514">
        <w:rPr>
          <w:i/>
          <w:iCs/>
        </w:rPr>
        <w:t>hicago Linguistic Society</w:t>
      </w:r>
      <w:r w:rsidRPr="004E2514">
        <w:t xml:space="preserve">, 416–427. </w:t>
      </w:r>
      <w:r w:rsidRPr="00616B3D">
        <w:t>Chicago: Chicago Linguistic Society.</w:t>
      </w:r>
    </w:p>
    <w:p w14:paraId="7C3991FB" w14:textId="7752A328" w:rsidR="004E2514" w:rsidRPr="004E2514" w:rsidRDefault="004E2514" w:rsidP="00EC457F">
      <w:pPr>
        <w:pStyle w:val="Bibliography"/>
        <w:ind w:left="567" w:hanging="567"/>
        <w:jc w:val="both"/>
        <w:rPr>
          <w:lang w:val="nl-BE"/>
        </w:rPr>
      </w:pPr>
      <w:r w:rsidRPr="00B930D3">
        <w:rPr>
          <w:lang w:val="nl-BE"/>
        </w:rPr>
        <w:t xml:space="preserve">Looij, Matthijs </w:t>
      </w:r>
      <w:r w:rsidR="00D200FA" w:rsidRPr="00B930D3">
        <w:rPr>
          <w:lang w:val="nl-BE"/>
        </w:rPr>
        <w:t>&amp;</w:t>
      </w:r>
      <w:r w:rsidRPr="00B930D3">
        <w:rPr>
          <w:lang w:val="nl-BE"/>
        </w:rPr>
        <w:t xml:space="preserve"> Diana Minnaert. </w:t>
      </w:r>
      <w:r w:rsidRPr="004E2514">
        <w:rPr>
          <w:lang w:val="nl-BE"/>
        </w:rPr>
        <w:t xml:space="preserve">2019. Alsof ik nazi ben!: Emotie en ontkenning in de Nederlandse alsof-X-constructie. </w:t>
      </w:r>
      <w:r w:rsidRPr="004E2514">
        <w:rPr>
          <w:i/>
          <w:iCs/>
          <w:lang w:val="nl-BE"/>
        </w:rPr>
        <w:t>Nederlandse Taalkunde</w:t>
      </w:r>
      <w:r w:rsidRPr="004E2514">
        <w:rPr>
          <w:lang w:val="nl-BE"/>
        </w:rPr>
        <w:t xml:space="preserve"> 23(3)</w:t>
      </w:r>
      <w:r w:rsidR="009258CB">
        <w:rPr>
          <w:lang w:val="nl-BE"/>
        </w:rPr>
        <w:t>.</w:t>
      </w:r>
      <w:r w:rsidRPr="004E2514">
        <w:rPr>
          <w:lang w:val="nl-BE"/>
        </w:rPr>
        <w:t xml:space="preserve"> 359–369.</w:t>
      </w:r>
    </w:p>
    <w:p w14:paraId="47A23734" w14:textId="12133E03" w:rsidR="004E2514" w:rsidRPr="004E2514" w:rsidRDefault="004E2514" w:rsidP="00EC457F">
      <w:pPr>
        <w:pStyle w:val="Bibliography"/>
        <w:ind w:left="567" w:hanging="567"/>
        <w:jc w:val="both"/>
      </w:pPr>
      <w:r w:rsidRPr="004E2514">
        <w:rPr>
          <w:lang w:val="nl-BE"/>
        </w:rPr>
        <w:t xml:space="preserve">López-Couso, María José </w:t>
      </w:r>
      <w:r w:rsidR="00D200FA">
        <w:rPr>
          <w:lang w:val="nl-BE"/>
        </w:rPr>
        <w:t>&amp;</w:t>
      </w:r>
      <w:r w:rsidRPr="004E2514">
        <w:rPr>
          <w:lang w:val="nl-BE"/>
        </w:rPr>
        <w:t xml:space="preserve"> Belén Méndez-Naya. </w:t>
      </w:r>
      <w:r w:rsidRPr="00803E59">
        <w:rPr>
          <w:lang w:val="nl-BE"/>
        </w:rPr>
        <w:t xml:space="preserve">2012a. </w:t>
      </w:r>
      <w:r w:rsidRPr="004E2514">
        <w:t xml:space="preserve">On the use of </w:t>
      </w:r>
      <w:r w:rsidRPr="00B85113">
        <w:rPr>
          <w:i/>
        </w:rPr>
        <w:t>as if</w:t>
      </w:r>
      <w:r w:rsidRPr="004E2514">
        <w:t xml:space="preserve">, </w:t>
      </w:r>
      <w:r w:rsidRPr="00B85113">
        <w:rPr>
          <w:i/>
        </w:rPr>
        <w:t>as though</w:t>
      </w:r>
      <w:r w:rsidRPr="004E2514">
        <w:t xml:space="preserve">, and </w:t>
      </w:r>
      <w:r w:rsidRPr="00B85113">
        <w:rPr>
          <w:i/>
        </w:rPr>
        <w:t>like</w:t>
      </w:r>
      <w:r w:rsidRPr="004E2514">
        <w:t xml:space="preserve"> in Present-Day English complementation structures. </w:t>
      </w:r>
      <w:r w:rsidRPr="004E2514">
        <w:rPr>
          <w:i/>
          <w:iCs/>
        </w:rPr>
        <w:t>Journal of English Linguistics</w:t>
      </w:r>
      <w:r w:rsidRPr="004E2514">
        <w:t xml:space="preserve"> 40(2)</w:t>
      </w:r>
      <w:r w:rsidR="009258CB">
        <w:t>.</w:t>
      </w:r>
      <w:r w:rsidRPr="004E2514">
        <w:t xml:space="preserve"> 172–195.</w:t>
      </w:r>
    </w:p>
    <w:p w14:paraId="352CAAD2" w14:textId="7C9C05B6" w:rsidR="004E2514" w:rsidRPr="004E2514" w:rsidRDefault="004E2514" w:rsidP="00EC457F">
      <w:pPr>
        <w:pStyle w:val="Bibliography"/>
        <w:ind w:left="567" w:hanging="567"/>
        <w:jc w:val="both"/>
      </w:pPr>
      <w:r w:rsidRPr="004E2514">
        <w:t xml:space="preserve">López-Couso, María José </w:t>
      </w:r>
      <w:r w:rsidR="00D200FA">
        <w:t>&amp;</w:t>
      </w:r>
      <w:r w:rsidRPr="004E2514">
        <w:t xml:space="preserve"> Belén Méndez-Naya. 2012b. On comparative complementizers in English: Evidence from historical corpora. In Nila Vázquez-González (ed.), </w:t>
      </w:r>
      <w:r w:rsidRPr="004E2514">
        <w:rPr>
          <w:i/>
          <w:iCs/>
        </w:rPr>
        <w:t>Creation and use of English corpora in Spain</w:t>
      </w:r>
      <w:r w:rsidRPr="004E2514">
        <w:t>, 309–333. Newcastle</w:t>
      </w:r>
      <w:r w:rsidR="009258CB">
        <w:t>-</w:t>
      </w:r>
      <w:r w:rsidRPr="004E2514">
        <w:t>upon</w:t>
      </w:r>
      <w:r w:rsidR="009258CB">
        <w:t>-</w:t>
      </w:r>
      <w:r w:rsidR="00FB3D78" w:rsidRPr="004E2514">
        <w:t>Tyne</w:t>
      </w:r>
      <w:r w:rsidRPr="004E2514">
        <w:t>: Cambridge Scholars.</w:t>
      </w:r>
    </w:p>
    <w:p w14:paraId="0DA20778" w14:textId="371AFC76" w:rsidR="004E2514" w:rsidRPr="004E2514" w:rsidRDefault="004E2514" w:rsidP="00EC457F">
      <w:pPr>
        <w:pStyle w:val="Bibliography"/>
        <w:ind w:left="567" w:hanging="567"/>
        <w:jc w:val="both"/>
      </w:pPr>
      <w:r w:rsidRPr="004E2514">
        <w:t xml:space="preserve">Mithun, Marianne. 2008. The Extension of Dependency Beyond the Sentence. </w:t>
      </w:r>
      <w:r w:rsidRPr="004E2514">
        <w:rPr>
          <w:i/>
          <w:iCs/>
        </w:rPr>
        <w:t>Language</w:t>
      </w:r>
      <w:r w:rsidRPr="004E2514">
        <w:t xml:space="preserve"> 84(1). 69–119.</w:t>
      </w:r>
    </w:p>
    <w:p w14:paraId="1C053D85" w14:textId="306C23C8" w:rsidR="004E2514" w:rsidRPr="004E2514" w:rsidRDefault="004E2514" w:rsidP="00EC457F">
      <w:pPr>
        <w:pStyle w:val="Bibliography"/>
        <w:ind w:left="567" w:hanging="567"/>
        <w:jc w:val="both"/>
      </w:pPr>
      <w:r w:rsidRPr="004E2514">
        <w:t xml:space="preserve">O’Grady, Gerard. 2017. Theme and prosody: Redundancy or meaning making? </w:t>
      </w:r>
      <w:r w:rsidRPr="004E2514">
        <w:rPr>
          <w:i/>
          <w:iCs/>
        </w:rPr>
        <w:t>English Text Construction</w:t>
      </w:r>
      <w:r w:rsidRPr="004E2514">
        <w:t xml:space="preserve"> 10(2)</w:t>
      </w:r>
      <w:r w:rsidR="009258CB">
        <w:t>.</w:t>
      </w:r>
      <w:r w:rsidRPr="004E2514">
        <w:t xml:space="preserve"> 274–297.</w:t>
      </w:r>
    </w:p>
    <w:p w14:paraId="1015D044" w14:textId="08941932" w:rsidR="004E2514" w:rsidRPr="004E2514" w:rsidRDefault="004E2514" w:rsidP="00EC457F">
      <w:pPr>
        <w:pStyle w:val="Bibliography"/>
        <w:ind w:left="567" w:hanging="567"/>
        <w:jc w:val="both"/>
      </w:pPr>
      <w:r w:rsidRPr="004E2514">
        <w:t xml:space="preserve">Quirk, Randolph, Sidney Greenbaum, Geoffrey Leech </w:t>
      </w:r>
      <w:r w:rsidR="00D200FA">
        <w:t>&amp;</w:t>
      </w:r>
      <w:r w:rsidRPr="004E2514">
        <w:t xml:space="preserve"> Jan Svartvik. 1985. </w:t>
      </w:r>
      <w:r w:rsidRPr="004E2514">
        <w:rPr>
          <w:i/>
          <w:iCs/>
        </w:rPr>
        <w:t xml:space="preserve">A </w:t>
      </w:r>
      <w:r w:rsidR="000A46FA">
        <w:rPr>
          <w:i/>
          <w:iCs/>
        </w:rPr>
        <w:t>c</w:t>
      </w:r>
      <w:r w:rsidRPr="004E2514">
        <w:rPr>
          <w:i/>
          <w:iCs/>
        </w:rPr>
        <w:t xml:space="preserve">omprehensive </w:t>
      </w:r>
      <w:r w:rsidR="0032600E">
        <w:rPr>
          <w:i/>
          <w:iCs/>
        </w:rPr>
        <w:t>g</w:t>
      </w:r>
      <w:r w:rsidRPr="004E2514">
        <w:rPr>
          <w:i/>
          <w:iCs/>
        </w:rPr>
        <w:t xml:space="preserve">rammar of the English </w:t>
      </w:r>
      <w:r w:rsidR="0032600E">
        <w:rPr>
          <w:i/>
          <w:iCs/>
        </w:rPr>
        <w:t>l</w:t>
      </w:r>
      <w:r w:rsidRPr="004E2514">
        <w:rPr>
          <w:i/>
          <w:iCs/>
        </w:rPr>
        <w:t>anguage</w:t>
      </w:r>
      <w:r w:rsidRPr="004E2514">
        <w:t>. London: Longman.</w:t>
      </w:r>
    </w:p>
    <w:p w14:paraId="60897577" w14:textId="3497533B" w:rsidR="009E3BBD" w:rsidRPr="008F4075" w:rsidRDefault="009E3BBD" w:rsidP="00EC457F">
      <w:pPr>
        <w:pStyle w:val="Bibliography"/>
        <w:ind w:left="567" w:hanging="567"/>
        <w:jc w:val="both"/>
      </w:pPr>
      <w:r w:rsidRPr="004F41DA">
        <w:t>Silverman</w:t>
      </w:r>
      <w:r w:rsidR="008F4075">
        <w:t>, Kim, Mary Beckman, John Pitrelli, Mari Ostendorf, Colin Wightman, Patti Price, Janet Pierrehumbert &amp; Julia Hirschberg</w:t>
      </w:r>
      <w:r w:rsidRPr="004F41DA">
        <w:t>. 1992</w:t>
      </w:r>
      <w:r w:rsidR="008F4075">
        <w:t xml:space="preserve">. </w:t>
      </w:r>
      <w:r w:rsidR="008F4075" w:rsidRPr="008F4075">
        <w:t>TOBI: A standard for labeling English prosody.</w:t>
      </w:r>
      <w:r w:rsidR="008F4075">
        <w:t xml:space="preserve"> </w:t>
      </w:r>
      <w:r w:rsidR="008F4075" w:rsidRPr="00DB2415">
        <w:rPr>
          <w:i/>
          <w:iCs/>
        </w:rPr>
        <w:t>Proceedings of the 2nd International Conference on Spoken Language Processing (ICSLP 92)</w:t>
      </w:r>
      <w:r w:rsidR="008F4075">
        <w:t>. 867</w:t>
      </w:r>
      <w:r w:rsidR="008F4075" w:rsidRPr="004E2514">
        <w:t>–</w:t>
      </w:r>
      <w:r w:rsidR="008F4075">
        <w:t>870.</w:t>
      </w:r>
    </w:p>
    <w:p w14:paraId="471CA85E" w14:textId="656EA3A9" w:rsidR="004E2514" w:rsidRPr="004E2514" w:rsidRDefault="004E2514" w:rsidP="00EC457F">
      <w:pPr>
        <w:pStyle w:val="Bibliography"/>
        <w:ind w:left="567" w:hanging="567"/>
        <w:jc w:val="both"/>
      </w:pPr>
      <w:r w:rsidRPr="004E2514">
        <w:t>Sansiñena, María Sol. 2019. Patterns of (in)dependenc</w:t>
      </w:r>
      <w:r w:rsidR="009258CB">
        <w:t>e</w:t>
      </w:r>
      <w:r w:rsidRPr="004E2514">
        <w:t xml:space="preserve">. In Karin Beijering, Gunther Kaltenböck </w:t>
      </w:r>
      <w:r w:rsidR="00D200FA">
        <w:t>&amp;</w:t>
      </w:r>
      <w:r w:rsidRPr="004E2514">
        <w:t xml:space="preserve"> María Sol Sansiñena (eds</w:t>
      </w:r>
      <w:r w:rsidR="009258CB">
        <w:t>.</w:t>
      </w:r>
      <w:r w:rsidRPr="004E2514">
        <w:t xml:space="preserve">), </w:t>
      </w:r>
      <w:r w:rsidRPr="004E2514">
        <w:rPr>
          <w:i/>
          <w:iCs/>
        </w:rPr>
        <w:t xml:space="preserve">Insubordination: Theoretical and </w:t>
      </w:r>
      <w:r w:rsidR="00AC49F7">
        <w:rPr>
          <w:i/>
          <w:iCs/>
        </w:rPr>
        <w:t>e</w:t>
      </w:r>
      <w:r w:rsidRPr="004E2514">
        <w:rPr>
          <w:i/>
          <w:iCs/>
        </w:rPr>
        <w:t xml:space="preserve">mpirical </w:t>
      </w:r>
      <w:r w:rsidR="00AC49F7">
        <w:rPr>
          <w:i/>
          <w:iCs/>
        </w:rPr>
        <w:t>i</w:t>
      </w:r>
      <w:r w:rsidRPr="004E2514">
        <w:rPr>
          <w:i/>
          <w:iCs/>
        </w:rPr>
        <w:t>ssues</w:t>
      </w:r>
      <w:r w:rsidRPr="004E2514">
        <w:t xml:space="preserve">, 199–239. Berlin </w:t>
      </w:r>
      <w:r w:rsidR="009258CB">
        <w:t>&amp;</w:t>
      </w:r>
      <w:r w:rsidRPr="004E2514">
        <w:t xml:space="preserve"> Boston: Walter de Gruyter.</w:t>
      </w:r>
    </w:p>
    <w:p w14:paraId="3173F55E" w14:textId="52F7C801" w:rsidR="004E2514" w:rsidRPr="004E2514" w:rsidRDefault="004E2514" w:rsidP="00EC457F">
      <w:pPr>
        <w:pStyle w:val="Bibliography"/>
        <w:ind w:left="567" w:hanging="567"/>
        <w:jc w:val="both"/>
      </w:pPr>
      <w:r w:rsidRPr="004E2514">
        <w:t xml:space="preserve">Schwenter, Scott. 1996. The pragmatics of independent </w:t>
      </w:r>
      <w:r w:rsidRPr="009258CB">
        <w:rPr>
          <w:i/>
        </w:rPr>
        <w:t>si</w:t>
      </w:r>
      <w:r w:rsidRPr="004E2514">
        <w:t xml:space="preserve">-clauses in Spanish. </w:t>
      </w:r>
      <w:r w:rsidRPr="004E2514">
        <w:rPr>
          <w:i/>
          <w:iCs/>
        </w:rPr>
        <w:t>Hispanic Linguistics</w:t>
      </w:r>
      <w:r w:rsidRPr="004E2514">
        <w:t xml:space="preserve"> 8</w:t>
      </w:r>
      <w:r w:rsidR="009258CB">
        <w:t>.</w:t>
      </w:r>
      <w:r w:rsidRPr="004E2514">
        <w:t xml:space="preserve"> 316–351.</w:t>
      </w:r>
    </w:p>
    <w:p w14:paraId="4898DB1C" w14:textId="379B6DBF" w:rsidR="004E2514" w:rsidRPr="0096177B" w:rsidRDefault="004E2514" w:rsidP="00EC457F">
      <w:pPr>
        <w:pStyle w:val="Bibliography"/>
        <w:ind w:left="567" w:hanging="567"/>
        <w:jc w:val="both"/>
        <w:rPr>
          <w:lang w:val="nl-BE"/>
        </w:rPr>
      </w:pPr>
      <w:r w:rsidRPr="004E2514">
        <w:lastRenderedPageBreak/>
        <w:t xml:space="preserve">Schwenter, Scott. 2016. Independent </w:t>
      </w:r>
      <w:r w:rsidRPr="009258CB">
        <w:rPr>
          <w:i/>
        </w:rPr>
        <w:t>si</w:t>
      </w:r>
      <w:r w:rsidRPr="004E2514">
        <w:t xml:space="preserve">-clauses in Spanish: Functions and </w:t>
      </w:r>
      <w:r w:rsidR="00B85113">
        <w:t>c</w:t>
      </w:r>
      <w:r w:rsidRPr="004E2514">
        <w:t>ons</w:t>
      </w:r>
      <w:r w:rsidR="00811491">
        <w:t>e</w:t>
      </w:r>
      <w:r w:rsidRPr="004E2514">
        <w:t xml:space="preserve">quences for insubordination. In Nicholas Evans </w:t>
      </w:r>
      <w:r w:rsidR="00D200FA">
        <w:t>&amp;</w:t>
      </w:r>
      <w:r w:rsidRPr="004E2514">
        <w:t xml:space="preserve"> Honoré Watanabe (eds</w:t>
      </w:r>
      <w:r w:rsidR="009258CB">
        <w:t>.</w:t>
      </w:r>
      <w:r w:rsidRPr="004E2514">
        <w:t xml:space="preserve">), </w:t>
      </w:r>
      <w:r w:rsidRPr="004E2514">
        <w:rPr>
          <w:i/>
          <w:iCs/>
        </w:rPr>
        <w:t>Insubordination</w:t>
      </w:r>
      <w:r w:rsidRPr="004E2514">
        <w:t xml:space="preserve">, 89–112. </w:t>
      </w:r>
      <w:r w:rsidRPr="0096177B">
        <w:rPr>
          <w:lang w:val="nl-BE"/>
        </w:rPr>
        <w:t>Amsterdam: John Benjamins.</w:t>
      </w:r>
    </w:p>
    <w:p w14:paraId="2B1A9159" w14:textId="333B004D" w:rsidR="004E2514" w:rsidRPr="004E2514" w:rsidRDefault="004E2514" w:rsidP="00EC457F">
      <w:pPr>
        <w:pStyle w:val="Bibliography"/>
        <w:ind w:left="567" w:hanging="567"/>
        <w:jc w:val="both"/>
      </w:pPr>
      <w:r w:rsidRPr="004E2514">
        <w:rPr>
          <w:lang w:val="nl-BE"/>
        </w:rPr>
        <w:t xml:space="preserve">Smessaert, Hans, Bert Cornillie, Dagmar Divjak </w:t>
      </w:r>
      <w:r w:rsidR="00D200FA">
        <w:rPr>
          <w:lang w:val="nl-BE"/>
        </w:rPr>
        <w:t>&amp;</w:t>
      </w:r>
      <w:r w:rsidRPr="004E2514">
        <w:rPr>
          <w:lang w:val="nl-BE"/>
        </w:rPr>
        <w:t xml:space="preserve"> Karel van den Eynde. </w:t>
      </w:r>
      <w:r w:rsidRPr="004E2514">
        <w:t xml:space="preserve">2005. Degrees of clause integration: From endotactic to exotactic subordination in Dutch. </w:t>
      </w:r>
      <w:r w:rsidRPr="004E2514">
        <w:rPr>
          <w:i/>
          <w:iCs/>
        </w:rPr>
        <w:t>Linguistics</w:t>
      </w:r>
      <w:r w:rsidRPr="004E2514">
        <w:t xml:space="preserve"> 43(3)</w:t>
      </w:r>
      <w:r w:rsidR="009258CB">
        <w:t>.</w:t>
      </w:r>
      <w:r w:rsidRPr="004E2514">
        <w:t xml:space="preserve"> 471–529</w:t>
      </w:r>
      <w:r w:rsidR="00B85113">
        <w:t>.</w:t>
      </w:r>
    </w:p>
    <w:p w14:paraId="3030AC23" w14:textId="3B6E3177" w:rsidR="00861571" w:rsidRDefault="004E2514" w:rsidP="00861571">
      <w:pPr>
        <w:pStyle w:val="Bibliography"/>
        <w:ind w:left="567" w:hanging="567"/>
        <w:jc w:val="both"/>
      </w:pPr>
      <w:r w:rsidRPr="004E2514">
        <w:t xml:space="preserve">Tench, Paul. 2011. </w:t>
      </w:r>
      <w:r w:rsidRPr="004E2514">
        <w:rPr>
          <w:i/>
          <w:iCs/>
        </w:rPr>
        <w:t xml:space="preserve">Transcribing the </w:t>
      </w:r>
      <w:r w:rsidR="00332F41">
        <w:rPr>
          <w:i/>
          <w:iCs/>
        </w:rPr>
        <w:t>s</w:t>
      </w:r>
      <w:r w:rsidRPr="004E2514">
        <w:rPr>
          <w:i/>
          <w:iCs/>
        </w:rPr>
        <w:t>ound of English</w:t>
      </w:r>
      <w:r w:rsidRPr="004E2514">
        <w:t xml:space="preserve">. </w:t>
      </w:r>
      <w:r w:rsidR="009258CB">
        <w:t xml:space="preserve">Cambridge: </w:t>
      </w:r>
      <w:r w:rsidRPr="004E2514">
        <w:t>Cambridge University Press.</w:t>
      </w:r>
    </w:p>
    <w:p w14:paraId="399CEB57" w14:textId="25B4CC53" w:rsidR="00631DEB" w:rsidRPr="00631DEB" w:rsidRDefault="00631DEB" w:rsidP="00631DEB">
      <w:pPr>
        <w:pStyle w:val="Bibliography"/>
        <w:ind w:left="567" w:hanging="567"/>
        <w:jc w:val="both"/>
      </w:pPr>
      <w:r w:rsidRPr="005B1F5F">
        <w:t xml:space="preserve">Veilleux, Nanette, Stefanie Shattuck‑Hufnagel &amp; Alejna Brugos. </w:t>
      </w:r>
      <w:r>
        <w:t>2006. 6.911 Transcribing prosodic structure of spoken utterances with ToBI. MIT OpenCourseWare, https://ocw.mit.edu.</w:t>
      </w:r>
    </w:p>
    <w:p w14:paraId="34D13081" w14:textId="7179FAB9" w:rsidR="004E2514" w:rsidRPr="004E2514" w:rsidRDefault="004E2514" w:rsidP="00EC457F">
      <w:pPr>
        <w:pStyle w:val="Bibliography"/>
        <w:ind w:left="567" w:hanging="567"/>
        <w:jc w:val="both"/>
      </w:pPr>
      <w:r w:rsidRPr="004E2514">
        <w:t xml:space="preserve">Verstraete, Jean-Christophe. 2007. </w:t>
      </w:r>
      <w:r w:rsidRPr="004E2514">
        <w:rPr>
          <w:i/>
          <w:iCs/>
        </w:rPr>
        <w:t xml:space="preserve">Rethinking the </w:t>
      </w:r>
      <w:r w:rsidR="00332F41">
        <w:rPr>
          <w:i/>
          <w:iCs/>
        </w:rPr>
        <w:t>c</w:t>
      </w:r>
      <w:r w:rsidRPr="004E2514">
        <w:rPr>
          <w:i/>
          <w:iCs/>
        </w:rPr>
        <w:t>oordinate-</w:t>
      </w:r>
      <w:r w:rsidR="00332F41">
        <w:rPr>
          <w:i/>
          <w:iCs/>
        </w:rPr>
        <w:t>s</w:t>
      </w:r>
      <w:r w:rsidRPr="004E2514">
        <w:rPr>
          <w:i/>
          <w:iCs/>
        </w:rPr>
        <w:t xml:space="preserve">ubordinate </w:t>
      </w:r>
      <w:r w:rsidR="00332F41">
        <w:rPr>
          <w:i/>
          <w:iCs/>
        </w:rPr>
        <w:t>d</w:t>
      </w:r>
      <w:r w:rsidRPr="004E2514">
        <w:rPr>
          <w:i/>
          <w:iCs/>
        </w:rPr>
        <w:t xml:space="preserve">ichotomy: Interpersonal </w:t>
      </w:r>
      <w:r w:rsidR="00332F41">
        <w:rPr>
          <w:i/>
          <w:iCs/>
        </w:rPr>
        <w:t>g</w:t>
      </w:r>
      <w:r w:rsidRPr="004E2514">
        <w:rPr>
          <w:i/>
          <w:iCs/>
        </w:rPr>
        <w:t xml:space="preserve">rammar and the </w:t>
      </w:r>
      <w:r w:rsidR="00332F41">
        <w:rPr>
          <w:i/>
          <w:iCs/>
        </w:rPr>
        <w:t>a</w:t>
      </w:r>
      <w:r w:rsidRPr="004E2514">
        <w:rPr>
          <w:i/>
          <w:iCs/>
        </w:rPr>
        <w:t xml:space="preserve">nalysis of </w:t>
      </w:r>
      <w:r w:rsidR="00332F41">
        <w:rPr>
          <w:i/>
          <w:iCs/>
        </w:rPr>
        <w:t>a</w:t>
      </w:r>
      <w:r w:rsidRPr="004E2514">
        <w:rPr>
          <w:i/>
          <w:iCs/>
        </w:rPr>
        <w:t>dverbial</w:t>
      </w:r>
      <w:r w:rsidR="00332F41">
        <w:rPr>
          <w:i/>
          <w:iCs/>
        </w:rPr>
        <w:t xml:space="preserve"> c</w:t>
      </w:r>
      <w:r w:rsidRPr="004E2514">
        <w:rPr>
          <w:i/>
          <w:iCs/>
        </w:rPr>
        <w:t>lauses in English</w:t>
      </w:r>
      <w:r w:rsidRPr="004E2514">
        <w:t xml:space="preserve">. Berlin </w:t>
      </w:r>
      <w:r w:rsidR="009258CB">
        <w:t>&amp;</w:t>
      </w:r>
      <w:r w:rsidRPr="004E2514">
        <w:t xml:space="preserve"> New York: Mouton de Gruyter.</w:t>
      </w:r>
    </w:p>
    <w:p w14:paraId="583E8A9F" w14:textId="4D4E4C94" w:rsidR="005D22EB" w:rsidRDefault="004E2514" w:rsidP="006E4842">
      <w:pPr>
        <w:pStyle w:val="Bibliography"/>
        <w:ind w:left="567" w:hanging="567"/>
        <w:jc w:val="both"/>
      </w:pPr>
      <w:r w:rsidRPr="004E2514">
        <w:t xml:space="preserve">Wichmann, Anne. 2000. </w:t>
      </w:r>
      <w:r w:rsidRPr="004E2514">
        <w:rPr>
          <w:i/>
          <w:iCs/>
        </w:rPr>
        <w:t xml:space="preserve">Intonation in </w:t>
      </w:r>
      <w:r w:rsidR="000A46FA">
        <w:rPr>
          <w:i/>
          <w:iCs/>
        </w:rPr>
        <w:t>t</w:t>
      </w:r>
      <w:r w:rsidRPr="004E2514">
        <w:rPr>
          <w:i/>
          <w:iCs/>
        </w:rPr>
        <w:t xml:space="preserve">ext and </w:t>
      </w:r>
      <w:r w:rsidR="000A46FA">
        <w:rPr>
          <w:i/>
          <w:iCs/>
        </w:rPr>
        <w:t>d</w:t>
      </w:r>
      <w:r w:rsidRPr="004E2514">
        <w:rPr>
          <w:i/>
          <w:iCs/>
        </w:rPr>
        <w:t xml:space="preserve">iscourse: Beginnings, </w:t>
      </w:r>
      <w:r w:rsidR="000A46FA">
        <w:rPr>
          <w:i/>
          <w:iCs/>
        </w:rPr>
        <w:t>m</w:t>
      </w:r>
      <w:r w:rsidRPr="004E2514">
        <w:rPr>
          <w:i/>
          <w:iCs/>
        </w:rPr>
        <w:t xml:space="preserve">iddles and </w:t>
      </w:r>
      <w:r w:rsidR="000A46FA">
        <w:rPr>
          <w:i/>
          <w:iCs/>
        </w:rPr>
        <w:t>e</w:t>
      </w:r>
      <w:r w:rsidRPr="004E2514">
        <w:rPr>
          <w:i/>
          <w:iCs/>
        </w:rPr>
        <w:t>nds</w:t>
      </w:r>
      <w:r w:rsidRPr="004E2514">
        <w:t>. Harlow: Longman.</w:t>
      </w:r>
    </w:p>
    <w:p w14:paraId="502EBBD4" w14:textId="5DD5EEE8" w:rsidR="00D120B0" w:rsidRPr="00923902" w:rsidRDefault="00D120B0" w:rsidP="00923902">
      <w:pPr>
        <w:spacing w:after="160" w:line="259" w:lineRule="auto"/>
        <w:rPr>
          <w:b/>
        </w:rPr>
      </w:pPr>
    </w:p>
    <w:sectPr w:rsidR="00D120B0" w:rsidRPr="00923902" w:rsidSect="001F506E">
      <w:headerReference w:type="default" r:id="rId27"/>
      <w:footerReference w:type="default" r:id="rId28"/>
      <w:pgSz w:w="11906" w:h="16838"/>
      <w:pgMar w:top="1417" w:right="1417" w:bottom="1417" w:left="1417" w:header="708" w:footer="4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CA62D" w14:textId="77777777" w:rsidR="003221CA" w:rsidRDefault="003221CA" w:rsidP="00893121">
      <w:pPr>
        <w:spacing w:line="240" w:lineRule="auto"/>
      </w:pPr>
      <w:r>
        <w:separator/>
      </w:r>
    </w:p>
  </w:endnote>
  <w:endnote w:type="continuationSeparator" w:id="0">
    <w:p w14:paraId="0198E1ED" w14:textId="77777777" w:rsidR="003221CA" w:rsidRDefault="003221CA" w:rsidP="008931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250543"/>
      <w:docPartObj>
        <w:docPartGallery w:val="Page Numbers (Bottom of Page)"/>
        <w:docPartUnique/>
      </w:docPartObj>
    </w:sdtPr>
    <w:sdtEndPr>
      <w:rPr>
        <w:noProof/>
      </w:rPr>
    </w:sdtEndPr>
    <w:sdtContent>
      <w:p w14:paraId="26D33A0D" w14:textId="6046FA4C" w:rsidR="00BD7F04" w:rsidRDefault="00BD7F04">
        <w:pPr>
          <w:pStyle w:val="Footer"/>
          <w:jc w:val="right"/>
        </w:pPr>
        <w:r w:rsidRPr="003C7C57">
          <w:rPr>
            <w:sz w:val="18"/>
            <w:szCs w:val="18"/>
          </w:rPr>
          <w:fldChar w:fldCharType="begin"/>
        </w:r>
        <w:r w:rsidRPr="003C7C57">
          <w:rPr>
            <w:sz w:val="18"/>
            <w:szCs w:val="18"/>
          </w:rPr>
          <w:instrText xml:space="preserve"> PAGE   \* MERGEFORMAT </w:instrText>
        </w:r>
        <w:r w:rsidRPr="003C7C57">
          <w:rPr>
            <w:sz w:val="18"/>
            <w:szCs w:val="18"/>
          </w:rPr>
          <w:fldChar w:fldCharType="separate"/>
        </w:r>
        <w:r w:rsidRPr="003C7C57">
          <w:rPr>
            <w:noProof/>
            <w:sz w:val="18"/>
            <w:szCs w:val="18"/>
          </w:rPr>
          <w:t>2</w:t>
        </w:r>
        <w:r w:rsidRPr="003C7C57">
          <w:rPr>
            <w:noProof/>
            <w:sz w:val="18"/>
            <w:szCs w:val="18"/>
          </w:rPr>
          <w:fldChar w:fldCharType="end"/>
        </w:r>
      </w:p>
    </w:sdtContent>
  </w:sdt>
  <w:p w14:paraId="5F1520E5" w14:textId="77777777" w:rsidR="00BD7F04" w:rsidRDefault="00BD7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FB1EB" w14:textId="77777777" w:rsidR="003221CA" w:rsidRDefault="003221CA" w:rsidP="00893121">
      <w:pPr>
        <w:spacing w:line="240" w:lineRule="auto"/>
      </w:pPr>
      <w:r>
        <w:separator/>
      </w:r>
    </w:p>
  </w:footnote>
  <w:footnote w:type="continuationSeparator" w:id="0">
    <w:p w14:paraId="67CE347A" w14:textId="77777777" w:rsidR="003221CA" w:rsidRDefault="003221CA" w:rsidP="00893121">
      <w:pPr>
        <w:spacing w:line="240" w:lineRule="auto"/>
      </w:pPr>
      <w:r>
        <w:continuationSeparator/>
      </w:r>
    </w:p>
  </w:footnote>
  <w:footnote w:id="1">
    <w:p w14:paraId="7A6FADD5" w14:textId="77777777" w:rsidR="000B5B83" w:rsidRPr="004E7455" w:rsidRDefault="000B5B83" w:rsidP="000B5B83">
      <w:pPr>
        <w:pStyle w:val="FootnoteText"/>
        <w:jc w:val="both"/>
        <w:rPr>
          <w:lang w:val="en-US"/>
        </w:rPr>
      </w:pPr>
      <w:r>
        <w:rPr>
          <w:rStyle w:val="FootnoteReference"/>
        </w:rPr>
        <w:footnoteRef/>
      </w:r>
      <w:r>
        <w:t xml:space="preserve"> </w:t>
      </w:r>
      <w:r w:rsidRPr="004E7455">
        <w:rPr>
          <w:lang w:val="en-US"/>
        </w:rPr>
        <w:t>Despite the acceptance that dependency forms a cline, there is dis</w:t>
      </w:r>
      <w:r>
        <w:rPr>
          <w:lang w:val="en-US"/>
        </w:rPr>
        <w:t>agreement over whether this cline should be conceived of as a continuum that allows for degrees of dependency (e.g., Hopper and Traugott 1993; Smessaert et al. 2005) or as a taxonomy, or hierarchy, with different (distinct) levels of dependency (e.g., Foley and Van Valin 1984; Verstraete 2007).</w:t>
      </w:r>
    </w:p>
  </w:footnote>
  <w:footnote w:id="2">
    <w:p w14:paraId="68DB4386" w14:textId="77777777" w:rsidR="000B5B83" w:rsidRPr="000A1A5A" w:rsidRDefault="000B5B83" w:rsidP="000B5B83">
      <w:pPr>
        <w:pStyle w:val="FootnoteText"/>
      </w:pPr>
      <w:r>
        <w:rPr>
          <w:rStyle w:val="FootnoteReference"/>
        </w:rPr>
        <w:footnoteRef/>
      </w:r>
      <w:r>
        <w:t xml:space="preserve"> Note that this final factor is not dependent on the first factor, namely prosodic integration. While the presence of a prosodic boundary necessarily entails the presence of a tone, the direction of the tone (i.e., falls, rises, etc.) does not in itself affect IU segmentation.</w:t>
      </w:r>
    </w:p>
  </w:footnote>
  <w:footnote w:id="3">
    <w:p w14:paraId="729A5E72" w14:textId="780B0F97" w:rsidR="00BD7F04" w:rsidRPr="00693E82" w:rsidRDefault="00BD7F04" w:rsidP="002922DE">
      <w:pPr>
        <w:pStyle w:val="FootnoteText"/>
        <w:jc w:val="both"/>
      </w:pPr>
      <w:r w:rsidRPr="000270DF">
        <w:rPr>
          <w:rStyle w:val="FootnoteReference"/>
        </w:rPr>
        <w:footnoteRef/>
      </w:r>
      <w:r w:rsidRPr="00693E82">
        <w:t xml:space="preserve"> A chi-squ</w:t>
      </w:r>
      <w:r w:rsidRPr="004B2A0B">
        <w:t>are test c</w:t>
      </w:r>
      <w:r w:rsidRPr="002922DE">
        <w:t>omparing p</w:t>
      </w:r>
      <w:r>
        <w:t>rosodic integration of strongly dependent clauses in English vs. Dutch indicates that the difference between the two languages is significant (</w:t>
      </w:r>
      <w:r w:rsidRPr="002922DE">
        <w:rPr>
          <w:i/>
        </w:rPr>
        <w:t>χ</w:t>
      </w:r>
      <w:proofErr w:type="gramStart"/>
      <w:r>
        <w:t>²(</w:t>
      </w:r>
      <w:proofErr w:type="gramEnd"/>
      <w:r>
        <w:t xml:space="preserve">1, </w:t>
      </w:r>
      <w:r>
        <w:rPr>
          <w:i/>
        </w:rPr>
        <w:t>N=</w:t>
      </w:r>
      <w:r>
        <w:t>146)=</w:t>
      </w:r>
      <w:r w:rsidRPr="00AE389D">
        <w:t>6.865</w:t>
      </w:r>
      <w:r>
        <w:t xml:space="preserve">, </w:t>
      </w:r>
      <w:r>
        <w:rPr>
          <w:i/>
        </w:rPr>
        <w:t>p</w:t>
      </w:r>
      <w:r>
        <w:t>=0.009).</w:t>
      </w:r>
    </w:p>
  </w:footnote>
  <w:footnote w:id="4">
    <w:p w14:paraId="374707BA" w14:textId="69C45D61" w:rsidR="00BD7F04" w:rsidRPr="004479E9" w:rsidRDefault="00BD7F04" w:rsidP="004479E9">
      <w:pPr>
        <w:pStyle w:val="FootnoteText"/>
        <w:jc w:val="both"/>
      </w:pPr>
      <w:r w:rsidRPr="000270DF">
        <w:rPr>
          <w:rStyle w:val="FootnoteReference"/>
        </w:rPr>
        <w:footnoteRef/>
      </w:r>
      <w:r>
        <w:t xml:space="preserve"> For English, a Tukey post-hoc test indicated that the relevant differences are between ‘denial’, on the one hand, and ‘manner’ (</w:t>
      </w:r>
      <w:r>
        <w:rPr>
          <w:i/>
        </w:rPr>
        <w:t>p</w:t>
      </w:r>
      <w:r>
        <w:t>=0.003) and ‘qualification’ (</w:t>
      </w:r>
      <w:r>
        <w:rPr>
          <w:i/>
        </w:rPr>
        <w:t>p</w:t>
      </w:r>
      <w:r>
        <w:t>=0.02</w:t>
      </w:r>
      <w:r w:rsidR="001855E1">
        <w:t>2</w:t>
      </w:r>
      <w:r>
        <w:t xml:space="preserve">), on the other hand. For Dutch, the relevant differences were between ‘denial’ and all other functions (each yielding </w:t>
      </w:r>
      <w:r>
        <w:rPr>
          <w:i/>
        </w:rPr>
        <w:t>p</w:t>
      </w:r>
      <w:r>
        <w:t xml:space="preserve"> &lt; 0.001), and between ‘qualification’ and ‘manner’ (</w:t>
      </w:r>
      <w:r>
        <w:rPr>
          <w:i/>
        </w:rPr>
        <w:t>p</w:t>
      </w:r>
      <w:r>
        <w:t>=0.01).</w:t>
      </w:r>
    </w:p>
  </w:footnote>
  <w:footnote w:id="5">
    <w:p w14:paraId="7F8DE87E" w14:textId="54792848" w:rsidR="00BD7F04" w:rsidRPr="00017A3C" w:rsidRDefault="00BD7F04">
      <w:pPr>
        <w:pStyle w:val="FootnoteText"/>
      </w:pPr>
      <w:r w:rsidRPr="000270DF">
        <w:rPr>
          <w:rStyle w:val="FootnoteReference"/>
        </w:rPr>
        <w:footnoteRef/>
      </w:r>
      <w:r>
        <w:t xml:space="preserve"> If the HM clause is itself segmented into multiple IUs, the tone of the final IU is taken into consideration, since it is the final tone that signals the status of the clause. Similarly, if the HM clause is prosodically integrated with a preceding main clause, it is the tone of the entire IU that is taken into consideration.</w:t>
      </w:r>
    </w:p>
  </w:footnote>
  <w:footnote w:id="6">
    <w:p w14:paraId="2A76CE4A" w14:textId="6791D4F1" w:rsidR="00BD7F04" w:rsidRPr="00017A3C" w:rsidRDefault="00BD7F04" w:rsidP="00D92A63">
      <w:pPr>
        <w:pStyle w:val="FootnoteText"/>
        <w:jc w:val="both"/>
      </w:pPr>
      <w:r w:rsidRPr="000270DF">
        <w:rPr>
          <w:rStyle w:val="FootnoteReference"/>
        </w:rPr>
        <w:footnoteRef/>
      </w:r>
      <w:r>
        <w:t xml:space="preserve"> The small numbers for some tones, especially fall-rises, did not allow for a reliable chi-square test in either English or Dutch, so that a Fisher Exact Test was used instead.</w:t>
      </w:r>
    </w:p>
  </w:footnote>
  <w:footnote w:id="7">
    <w:p w14:paraId="7A440BB0" w14:textId="44AB8174" w:rsidR="00BD7F04" w:rsidRPr="004F7714" w:rsidRDefault="00BD7F04" w:rsidP="00727EAB">
      <w:pPr>
        <w:pStyle w:val="FootnoteText"/>
        <w:jc w:val="both"/>
      </w:pPr>
      <w:r w:rsidRPr="000270DF">
        <w:rPr>
          <w:rStyle w:val="FootnoteReference"/>
        </w:rPr>
        <w:footnoteRef/>
      </w:r>
      <w:r>
        <w:t xml:space="preserve"> The low numbers for ‘denial’ do not allow for a reliable chi-square test; hence, we used a Fisher Exact Test instead.</w:t>
      </w:r>
    </w:p>
  </w:footnote>
  <w:footnote w:id="8">
    <w:p w14:paraId="54C2E7CB" w14:textId="6B15C440" w:rsidR="00BD7F04" w:rsidRPr="00DF339C" w:rsidRDefault="00BD7F04" w:rsidP="00B928D0">
      <w:pPr>
        <w:pStyle w:val="FootnoteText"/>
        <w:jc w:val="both"/>
      </w:pPr>
      <w:r w:rsidRPr="000270DF">
        <w:rPr>
          <w:rStyle w:val="FootnoteReference"/>
        </w:rPr>
        <w:footnoteRef/>
      </w:r>
      <w:r>
        <w:t xml:space="preserve"> In the following examples, we indicate IU boundaries with the symbol #. The nuclear accent is indicated in bold.</w:t>
      </w:r>
    </w:p>
  </w:footnote>
  <w:footnote w:id="9">
    <w:p w14:paraId="1D52DB05" w14:textId="5B91E3F8" w:rsidR="00BD7F04" w:rsidRPr="00A02F31" w:rsidRDefault="00BD7F04">
      <w:pPr>
        <w:pStyle w:val="FootnoteText"/>
        <w:jc w:val="both"/>
      </w:pPr>
      <w:r w:rsidRPr="000270DF">
        <w:rPr>
          <w:rStyle w:val="FootnoteReference"/>
        </w:rPr>
        <w:footnoteRef/>
      </w:r>
      <w:r>
        <w:t xml:space="preserve"> </w:t>
      </w:r>
      <w:r w:rsidRPr="00A02F31">
        <w:t xml:space="preserve">Example </w:t>
      </w:r>
      <w:r>
        <w:fldChar w:fldCharType="begin"/>
      </w:r>
      <w:r>
        <w:instrText xml:space="preserve"> REF _Ref134513978 \r \h  \* MERGEFORMAT </w:instrText>
      </w:r>
      <w:r>
        <w:fldChar w:fldCharType="separate"/>
      </w:r>
      <w:r w:rsidR="008912AA">
        <w:t>(25)</w:t>
      </w:r>
      <w:r>
        <w:fldChar w:fldCharType="end"/>
      </w:r>
      <w:r>
        <w:t xml:space="preserve"> is taken from a lecture. The segmentation of the utterance into multiple (relatively small) IUs may, therefore, be motivated by the speaker’s intention to facilitate comprehension by reducing the production speed and dividing the utterance into small chunks that can be processed by the listeners more easily.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8D8F632" w14:paraId="0DF012FE" w14:textId="77777777" w:rsidTr="00DB2415">
      <w:trPr>
        <w:trHeight w:val="300"/>
      </w:trPr>
      <w:tc>
        <w:tcPr>
          <w:tcW w:w="3020" w:type="dxa"/>
        </w:tcPr>
        <w:p w14:paraId="027F84FA" w14:textId="41FBBB9D" w:rsidR="78D8F632" w:rsidRDefault="78D8F632" w:rsidP="00DB2415">
          <w:pPr>
            <w:pStyle w:val="Header"/>
            <w:ind w:left="-115"/>
          </w:pPr>
        </w:p>
      </w:tc>
      <w:tc>
        <w:tcPr>
          <w:tcW w:w="3020" w:type="dxa"/>
        </w:tcPr>
        <w:p w14:paraId="72C9E65F" w14:textId="55670B76" w:rsidR="78D8F632" w:rsidRDefault="78D8F632" w:rsidP="00DB2415">
          <w:pPr>
            <w:pStyle w:val="Header"/>
            <w:jc w:val="center"/>
          </w:pPr>
        </w:p>
      </w:tc>
      <w:tc>
        <w:tcPr>
          <w:tcW w:w="3020" w:type="dxa"/>
        </w:tcPr>
        <w:p w14:paraId="7CEABF36" w14:textId="12DE16BA" w:rsidR="78D8F632" w:rsidRDefault="78D8F632" w:rsidP="00DB2415">
          <w:pPr>
            <w:pStyle w:val="Header"/>
            <w:ind w:right="-115"/>
            <w:jc w:val="right"/>
          </w:pPr>
        </w:p>
      </w:tc>
    </w:tr>
  </w:tbl>
  <w:p w14:paraId="40DF2346" w14:textId="61BD32A0" w:rsidR="78D8F632" w:rsidRDefault="78D8F632" w:rsidP="00DB24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0BC77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371F8F"/>
    <w:multiLevelType w:val="hybridMultilevel"/>
    <w:tmpl w:val="138E7418"/>
    <w:lvl w:ilvl="0" w:tplc="69F44652">
      <w:start w:val="1"/>
      <w:numFmt w:val="lowerLetter"/>
      <w:lvlText w:val="%1."/>
      <w:lvlJc w:val="left"/>
      <w:pPr>
        <w:ind w:left="927" w:hanging="360"/>
      </w:pPr>
      <w:rPr>
        <w:rFonts w:hint="default"/>
      </w:rPr>
    </w:lvl>
    <w:lvl w:ilvl="1" w:tplc="080C0019" w:tentative="1">
      <w:start w:val="1"/>
      <w:numFmt w:val="lowerLetter"/>
      <w:lvlText w:val="%2."/>
      <w:lvlJc w:val="left"/>
      <w:pPr>
        <w:ind w:left="1647" w:hanging="360"/>
      </w:p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2" w15:restartNumberingAfterBreak="0">
    <w:nsid w:val="0E3B0E7F"/>
    <w:multiLevelType w:val="hybridMultilevel"/>
    <w:tmpl w:val="2752D302"/>
    <w:lvl w:ilvl="0" w:tplc="BD22776E">
      <w:start w:val="1"/>
      <w:numFmt w:val="lowerLetter"/>
      <w:lvlText w:val="%1."/>
      <w:lvlJc w:val="left"/>
      <w:pPr>
        <w:ind w:left="927" w:hanging="360"/>
      </w:pPr>
      <w:rPr>
        <w:rFonts w:hint="default"/>
      </w:rPr>
    </w:lvl>
    <w:lvl w:ilvl="1" w:tplc="080C0019" w:tentative="1">
      <w:start w:val="1"/>
      <w:numFmt w:val="lowerLetter"/>
      <w:lvlText w:val="%2."/>
      <w:lvlJc w:val="left"/>
      <w:pPr>
        <w:ind w:left="1647" w:hanging="360"/>
      </w:p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3" w15:restartNumberingAfterBreak="0">
    <w:nsid w:val="1A1E39A1"/>
    <w:multiLevelType w:val="hybridMultilevel"/>
    <w:tmpl w:val="63A4F6AC"/>
    <w:lvl w:ilvl="0" w:tplc="45C04F7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DD24B61"/>
    <w:multiLevelType w:val="hybridMultilevel"/>
    <w:tmpl w:val="0726A58C"/>
    <w:lvl w:ilvl="0" w:tplc="B86EEBF2">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3A342BCE"/>
    <w:multiLevelType w:val="hybridMultilevel"/>
    <w:tmpl w:val="A802D5C8"/>
    <w:lvl w:ilvl="0" w:tplc="13D8A718">
      <w:start w:val="1"/>
      <w:numFmt w:val="decimal"/>
      <w:pStyle w:val="ListParagraph"/>
      <w:lvlText w:val="(%1)"/>
      <w:lvlJc w:val="left"/>
      <w:pPr>
        <w:ind w:left="720" w:hanging="360"/>
      </w:pPr>
      <w:rPr>
        <w:rFonts w:hint="default"/>
        <w:b w:val="0"/>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3A74413E"/>
    <w:multiLevelType w:val="multilevel"/>
    <w:tmpl w:val="C8AAD4B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5071366F"/>
    <w:multiLevelType w:val="multilevel"/>
    <w:tmpl w:val="EB7ECE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553105B0"/>
    <w:multiLevelType w:val="hybridMultilevel"/>
    <w:tmpl w:val="A6381BC8"/>
    <w:lvl w:ilvl="0" w:tplc="34E20A0C">
      <w:start w:val="1"/>
      <w:numFmt w:val="bullet"/>
      <w:lvlText w:val="•"/>
      <w:lvlJc w:val="left"/>
      <w:pPr>
        <w:tabs>
          <w:tab w:val="num" w:pos="720"/>
        </w:tabs>
        <w:ind w:left="720" w:hanging="360"/>
      </w:pPr>
      <w:rPr>
        <w:rFonts w:ascii="Times New Roman" w:hAnsi="Times New Roman" w:hint="default"/>
      </w:rPr>
    </w:lvl>
    <w:lvl w:ilvl="1" w:tplc="AB3E0BF2" w:tentative="1">
      <w:start w:val="1"/>
      <w:numFmt w:val="bullet"/>
      <w:lvlText w:val="•"/>
      <w:lvlJc w:val="left"/>
      <w:pPr>
        <w:tabs>
          <w:tab w:val="num" w:pos="1440"/>
        </w:tabs>
        <w:ind w:left="1440" w:hanging="360"/>
      </w:pPr>
      <w:rPr>
        <w:rFonts w:ascii="Times New Roman" w:hAnsi="Times New Roman" w:hint="default"/>
      </w:rPr>
    </w:lvl>
    <w:lvl w:ilvl="2" w:tplc="8D208FE8" w:tentative="1">
      <w:start w:val="1"/>
      <w:numFmt w:val="bullet"/>
      <w:lvlText w:val="•"/>
      <w:lvlJc w:val="left"/>
      <w:pPr>
        <w:tabs>
          <w:tab w:val="num" w:pos="2160"/>
        </w:tabs>
        <w:ind w:left="2160" w:hanging="360"/>
      </w:pPr>
      <w:rPr>
        <w:rFonts w:ascii="Times New Roman" w:hAnsi="Times New Roman" w:hint="default"/>
      </w:rPr>
    </w:lvl>
    <w:lvl w:ilvl="3" w:tplc="38EC3970" w:tentative="1">
      <w:start w:val="1"/>
      <w:numFmt w:val="bullet"/>
      <w:lvlText w:val="•"/>
      <w:lvlJc w:val="left"/>
      <w:pPr>
        <w:tabs>
          <w:tab w:val="num" w:pos="2880"/>
        </w:tabs>
        <w:ind w:left="2880" w:hanging="360"/>
      </w:pPr>
      <w:rPr>
        <w:rFonts w:ascii="Times New Roman" w:hAnsi="Times New Roman" w:hint="default"/>
      </w:rPr>
    </w:lvl>
    <w:lvl w:ilvl="4" w:tplc="FE14C87A" w:tentative="1">
      <w:start w:val="1"/>
      <w:numFmt w:val="bullet"/>
      <w:lvlText w:val="•"/>
      <w:lvlJc w:val="left"/>
      <w:pPr>
        <w:tabs>
          <w:tab w:val="num" w:pos="3600"/>
        </w:tabs>
        <w:ind w:left="3600" w:hanging="360"/>
      </w:pPr>
      <w:rPr>
        <w:rFonts w:ascii="Times New Roman" w:hAnsi="Times New Roman" w:hint="default"/>
      </w:rPr>
    </w:lvl>
    <w:lvl w:ilvl="5" w:tplc="6A9AFC70" w:tentative="1">
      <w:start w:val="1"/>
      <w:numFmt w:val="bullet"/>
      <w:lvlText w:val="•"/>
      <w:lvlJc w:val="left"/>
      <w:pPr>
        <w:tabs>
          <w:tab w:val="num" w:pos="4320"/>
        </w:tabs>
        <w:ind w:left="4320" w:hanging="360"/>
      </w:pPr>
      <w:rPr>
        <w:rFonts w:ascii="Times New Roman" w:hAnsi="Times New Roman" w:hint="default"/>
      </w:rPr>
    </w:lvl>
    <w:lvl w:ilvl="6" w:tplc="120CA99E" w:tentative="1">
      <w:start w:val="1"/>
      <w:numFmt w:val="bullet"/>
      <w:lvlText w:val="•"/>
      <w:lvlJc w:val="left"/>
      <w:pPr>
        <w:tabs>
          <w:tab w:val="num" w:pos="5040"/>
        </w:tabs>
        <w:ind w:left="5040" w:hanging="360"/>
      </w:pPr>
      <w:rPr>
        <w:rFonts w:ascii="Times New Roman" w:hAnsi="Times New Roman" w:hint="default"/>
      </w:rPr>
    </w:lvl>
    <w:lvl w:ilvl="7" w:tplc="BF6E505C" w:tentative="1">
      <w:start w:val="1"/>
      <w:numFmt w:val="bullet"/>
      <w:lvlText w:val="•"/>
      <w:lvlJc w:val="left"/>
      <w:pPr>
        <w:tabs>
          <w:tab w:val="num" w:pos="5760"/>
        </w:tabs>
        <w:ind w:left="5760" w:hanging="360"/>
      </w:pPr>
      <w:rPr>
        <w:rFonts w:ascii="Times New Roman" w:hAnsi="Times New Roman" w:hint="default"/>
      </w:rPr>
    </w:lvl>
    <w:lvl w:ilvl="8" w:tplc="28A0F14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3713D95"/>
    <w:multiLevelType w:val="hybridMultilevel"/>
    <w:tmpl w:val="8A263A6E"/>
    <w:lvl w:ilvl="0" w:tplc="E34A1A8E">
      <w:start w:val="1"/>
      <w:numFmt w:val="bullet"/>
      <w:lvlText w:val="•"/>
      <w:lvlJc w:val="left"/>
      <w:pPr>
        <w:tabs>
          <w:tab w:val="num" w:pos="720"/>
        </w:tabs>
        <w:ind w:left="720" w:hanging="360"/>
      </w:pPr>
      <w:rPr>
        <w:rFonts w:ascii="Times New Roman" w:hAnsi="Times New Roman" w:hint="default"/>
      </w:rPr>
    </w:lvl>
    <w:lvl w:ilvl="1" w:tplc="0B784C44" w:tentative="1">
      <w:start w:val="1"/>
      <w:numFmt w:val="bullet"/>
      <w:lvlText w:val="•"/>
      <w:lvlJc w:val="left"/>
      <w:pPr>
        <w:tabs>
          <w:tab w:val="num" w:pos="1440"/>
        </w:tabs>
        <w:ind w:left="1440" w:hanging="360"/>
      </w:pPr>
      <w:rPr>
        <w:rFonts w:ascii="Times New Roman" w:hAnsi="Times New Roman" w:hint="default"/>
      </w:rPr>
    </w:lvl>
    <w:lvl w:ilvl="2" w:tplc="1DE8B0B2" w:tentative="1">
      <w:start w:val="1"/>
      <w:numFmt w:val="bullet"/>
      <w:lvlText w:val="•"/>
      <w:lvlJc w:val="left"/>
      <w:pPr>
        <w:tabs>
          <w:tab w:val="num" w:pos="2160"/>
        </w:tabs>
        <w:ind w:left="2160" w:hanging="360"/>
      </w:pPr>
      <w:rPr>
        <w:rFonts w:ascii="Times New Roman" w:hAnsi="Times New Roman" w:hint="default"/>
      </w:rPr>
    </w:lvl>
    <w:lvl w:ilvl="3" w:tplc="152EF31E" w:tentative="1">
      <w:start w:val="1"/>
      <w:numFmt w:val="bullet"/>
      <w:lvlText w:val="•"/>
      <w:lvlJc w:val="left"/>
      <w:pPr>
        <w:tabs>
          <w:tab w:val="num" w:pos="2880"/>
        </w:tabs>
        <w:ind w:left="2880" w:hanging="360"/>
      </w:pPr>
      <w:rPr>
        <w:rFonts w:ascii="Times New Roman" w:hAnsi="Times New Roman" w:hint="default"/>
      </w:rPr>
    </w:lvl>
    <w:lvl w:ilvl="4" w:tplc="56B823CE" w:tentative="1">
      <w:start w:val="1"/>
      <w:numFmt w:val="bullet"/>
      <w:lvlText w:val="•"/>
      <w:lvlJc w:val="left"/>
      <w:pPr>
        <w:tabs>
          <w:tab w:val="num" w:pos="3600"/>
        </w:tabs>
        <w:ind w:left="3600" w:hanging="360"/>
      </w:pPr>
      <w:rPr>
        <w:rFonts w:ascii="Times New Roman" w:hAnsi="Times New Roman" w:hint="default"/>
      </w:rPr>
    </w:lvl>
    <w:lvl w:ilvl="5" w:tplc="154C7EAA" w:tentative="1">
      <w:start w:val="1"/>
      <w:numFmt w:val="bullet"/>
      <w:lvlText w:val="•"/>
      <w:lvlJc w:val="left"/>
      <w:pPr>
        <w:tabs>
          <w:tab w:val="num" w:pos="4320"/>
        </w:tabs>
        <w:ind w:left="4320" w:hanging="360"/>
      </w:pPr>
      <w:rPr>
        <w:rFonts w:ascii="Times New Roman" w:hAnsi="Times New Roman" w:hint="default"/>
      </w:rPr>
    </w:lvl>
    <w:lvl w:ilvl="6" w:tplc="DE6EA8DA" w:tentative="1">
      <w:start w:val="1"/>
      <w:numFmt w:val="bullet"/>
      <w:lvlText w:val="•"/>
      <w:lvlJc w:val="left"/>
      <w:pPr>
        <w:tabs>
          <w:tab w:val="num" w:pos="5040"/>
        </w:tabs>
        <w:ind w:left="5040" w:hanging="360"/>
      </w:pPr>
      <w:rPr>
        <w:rFonts w:ascii="Times New Roman" w:hAnsi="Times New Roman" w:hint="default"/>
      </w:rPr>
    </w:lvl>
    <w:lvl w:ilvl="7" w:tplc="5A4ED610" w:tentative="1">
      <w:start w:val="1"/>
      <w:numFmt w:val="bullet"/>
      <w:lvlText w:val="•"/>
      <w:lvlJc w:val="left"/>
      <w:pPr>
        <w:tabs>
          <w:tab w:val="num" w:pos="5760"/>
        </w:tabs>
        <w:ind w:left="5760" w:hanging="360"/>
      </w:pPr>
      <w:rPr>
        <w:rFonts w:ascii="Times New Roman" w:hAnsi="Times New Roman" w:hint="default"/>
      </w:rPr>
    </w:lvl>
    <w:lvl w:ilvl="8" w:tplc="C97AC2D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A4C2B43"/>
    <w:multiLevelType w:val="hybridMultilevel"/>
    <w:tmpl w:val="7CD21E58"/>
    <w:lvl w:ilvl="0" w:tplc="B9046D38">
      <w:start w:val="1"/>
      <w:numFmt w:val="bullet"/>
      <w:lvlText w:val=""/>
      <w:lvlJc w:val="left"/>
      <w:pPr>
        <w:ind w:left="72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627D49"/>
    <w:multiLevelType w:val="hybridMultilevel"/>
    <w:tmpl w:val="A2029596"/>
    <w:lvl w:ilvl="0" w:tplc="31E47F3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7BFB2DFD"/>
    <w:multiLevelType w:val="multilevel"/>
    <w:tmpl w:val="EEAE0D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7372477">
    <w:abstractNumId w:val="4"/>
  </w:num>
  <w:num w:numId="2" w16cid:durableId="32000587">
    <w:abstractNumId w:val="3"/>
  </w:num>
  <w:num w:numId="3" w16cid:durableId="34357510">
    <w:abstractNumId w:val="5"/>
  </w:num>
  <w:num w:numId="4" w16cid:durableId="878787852">
    <w:abstractNumId w:val="1"/>
  </w:num>
  <w:num w:numId="5" w16cid:durableId="704595239">
    <w:abstractNumId w:val="2"/>
  </w:num>
  <w:num w:numId="6" w16cid:durableId="509879506">
    <w:abstractNumId w:val="7"/>
  </w:num>
  <w:num w:numId="7" w16cid:durableId="1743407472">
    <w:abstractNumId w:val="6"/>
  </w:num>
  <w:num w:numId="8" w16cid:durableId="1964723762">
    <w:abstractNumId w:val="11"/>
  </w:num>
  <w:num w:numId="9" w16cid:durableId="1832284077">
    <w:abstractNumId w:val="5"/>
    <w:lvlOverride w:ilvl="0">
      <w:startOverride w:val="1"/>
    </w:lvlOverride>
    <w:lvlOverride w:ilvl="1">
      <w:startOverride w:val="2"/>
    </w:lvlOverride>
  </w:num>
  <w:num w:numId="10" w16cid:durableId="649987324">
    <w:abstractNumId w:val="0"/>
  </w:num>
  <w:num w:numId="11" w16cid:durableId="1052653636">
    <w:abstractNumId w:val="10"/>
  </w:num>
  <w:num w:numId="12" w16cid:durableId="339935374">
    <w:abstractNumId w:val="12"/>
  </w:num>
  <w:num w:numId="13" w16cid:durableId="853349324">
    <w:abstractNumId w:val="9"/>
  </w:num>
  <w:num w:numId="14" w16cid:durableId="13982382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grammar="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AF"/>
    <w:rsid w:val="000018D9"/>
    <w:rsid w:val="00003569"/>
    <w:rsid w:val="000047A1"/>
    <w:rsid w:val="00004CF3"/>
    <w:rsid w:val="00004D47"/>
    <w:rsid w:val="0000698C"/>
    <w:rsid w:val="00006F09"/>
    <w:rsid w:val="00007283"/>
    <w:rsid w:val="000072D9"/>
    <w:rsid w:val="00010332"/>
    <w:rsid w:val="00011C0C"/>
    <w:rsid w:val="0001211B"/>
    <w:rsid w:val="000129C6"/>
    <w:rsid w:val="00012E00"/>
    <w:rsid w:val="00013764"/>
    <w:rsid w:val="00013EFE"/>
    <w:rsid w:val="000153A3"/>
    <w:rsid w:val="0001550D"/>
    <w:rsid w:val="00015C9D"/>
    <w:rsid w:val="00017A3C"/>
    <w:rsid w:val="00017FF6"/>
    <w:rsid w:val="000200BB"/>
    <w:rsid w:val="00020110"/>
    <w:rsid w:val="00021C80"/>
    <w:rsid w:val="000224E4"/>
    <w:rsid w:val="00023284"/>
    <w:rsid w:val="000238F0"/>
    <w:rsid w:val="00024832"/>
    <w:rsid w:val="000266D9"/>
    <w:rsid w:val="00026CEE"/>
    <w:rsid w:val="000270DF"/>
    <w:rsid w:val="00027767"/>
    <w:rsid w:val="00030097"/>
    <w:rsid w:val="000308DA"/>
    <w:rsid w:val="00032697"/>
    <w:rsid w:val="000340D8"/>
    <w:rsid w:val="00034235"/>
    <w:rsid w:val="00034D19"/>
    <w:rsid w:val="00035160"/>
    <w:rsid w:val="0003746D"/>
    <w:rsid w:val="0004158C"/>
    <w:rsid w:val="00042D69"/>
    <w:rsid w:val="00042FFF"/>
    <w:rsid w:val="00045D72"/>
    <w:rsid w:val="00047200"/>
    <w:rsid w:val="0005043B"/>
    <w:rsid w:val="000508ED"/>
    <w:rsid w:val="000519C1"/>
    <w:rsid w:val="0005296E"/>
    <w:rsid w:val="00052A63"/>
    <w:rsid w:val="00052C4B"/>
    <w:rsid w:val="00053042"/>
    <w:rsid w:val="00053166"/>
    <w:rsid w:val="000536B3"/>
    <w:rsid w:val="00054B09"/>
    <w:rsid w:val="00056B70"/>
    <w:rsid w:val="000577F8"/>
    <w:rsid w:val="00061435"/>
    <w:rsid w:val="00062D61"/>
    <w:rsid w:val="000645F6"/>
    <w:rsid w:val="00064712"/>
    <w:rsid w:val="00065842"/>
    <w:rsid w:val="0006607B"/>
    <w:rsid w:val="00070466"/>
    <w:rsid w:val="00070B10"/>
    <w:rsid w:val="00070BF6"/>
    <w:rsid w:val="00071257"/>
    <w:rsid w:val="0007169D"/>
    <w:rsid w:val="000728CE"/>
    <w:rsid w:val="000728D3"/>
    <w:rsid w:val="00072D35"/>
    <w:rsid w:val="000742A5"/>
    <w:rsid w:val="00075A99"/>
    <w:rsid w:val="00076D7D"/>
    <w:rsid w:val="00080C0D"/>
    <w:rsid w:val="00081B3B"/>
    <w:rsid w:val="00081D3A"/>
    <w:rsid w:val="00082F0A"/>
    <w:rsid w:val="00083553"/>
    <w:rsid w:val="00085290"/>
    <w:rsid w:val="00085C32"/>
    <w:rsid w:val="00085D70"/>
    <w:rsid w:val="00086838"/>
    <w:rsid w:val="00086BD0"/>
    <w:rsid w:val="00086BE5"/>
    <w:rsid w:val="00086E13"/>
    <w:rsid w:val="00087803"/>
    <w:rsid w:val="000902AD"/>
    <w:rsid w:val="000906CF"/>
    <w:rsid w:val="00090932"/>
    <w:rsid w:val="00092C48"/>
    <w:rsid w:val="0009380C"/>
    <w:rsid w:val="00093CCB"/>
    <w:rsid w:val="00093DB4"/>
    <w:rsid w:val="000943F5"/>
    <w:rsid w:val="00094D13"/>
    <w:rsid w:val="00094F11"/>
    <w:rsid w:val="0009668E"/>
    <w:rsid w:val="00096785"/>
    <w:rsid w:val="0009679F"/>
    <w:rsid w:val="000A1A5A"/>
    <w:rsid w:val="000A1C1E"/>
    <w:rsid w:val="000A2F94"/>
    <w:rsid w:val="000A3FDD"/>
    <w:rsid w:val="000A46FA"/>
    <w:rsid w:val="000A483B"/>
    <w:rsid w:val="000A4B46"/>
    <w:rsid w:val="000A4BAF"/>
    <w:rsid w:val="000A4BBF"/>
    <w:rsid w:val="000A4C80"/>
    <w:rsid w:val="000A5372"/>
    <w:rsid w:val="000A5660"/>
    <w:rsid w:val="000A5D2D"/>
    <w:rsid w:val="000B50F6"/>
    <w:rsid w:val="000B5156"/>
    <w:rsid w:val="000B52B9"/>
    <w:rsid w:val="000B5B05"/>
    <w:rsid w:val="000B5B83"/>
    <w:rsid w:val="000C0DEE"/>
    <w:rsid w:val="000C30B0"/>
    <w:rsid w:val="000C4559"/>
    <w:rsid w:val="000C4562"/>
    <w:rsid w:val="000C619F"/>
    <w:rsid w:val="000C6527"/>
    <w:rsid w:val="000C71A3"/>
    <w:rsid w:val="000C7D53"/>
    <w:rsid w:val="000D00E8"/>
    <w:rsid w:val="000D0390"/>
    <w:rsid w:val="000D4DC4"/>
    <w:rsid w:val="000D587A"/>
    <w:rsid w:val="000D5BD2"/>
    <w:rsid w:val="000D6079"/>
    <w:rsid w:val="000D740A"/>
    <w:rsid w:val="000D750A"/>
    <w:rsid w:val="000D7EDF"/>
    <w:rsid w:val="000D7EE8"/>
    <w:rsid w:val="000E00A0"/>
    <w:rsid w:val="000E3A98"/>
    <w:rsid w:val="000E4D4C"/>
    <w:rsid w:val="000E501F"/>
    <w:rsid w:val="000E5C0B"/>
    <w:rsid w:val="000E5D90"/>
    <w:rsid w:val="000E6F50"/>
    <w:rsid w:val="000E6FC3"/>
    <w:rsid w:val="000E7328"/>
    <w:rsid w:val="000F3C14"/>
    <w:rsid w:val="000F4F66"/>
    <w:rsid w:val="000F5330"/>
    <w:rsid w:val="000F5FE0"/>
    <w:rsid w:val="000F644D"/>
    <w:rsid w:val="000F6F21"/>
    <w:rsid w:val="00100285"/>
    <w:rsid w:val="001003DE"/>
    <w:rsid w:val="001005AD"/>
    <w:rsid w:val="00103344"/>
    <w:rsid w:val="00105751"/>
    <w:rsid w:val="00105EA1"/>
    <w:rsid w:val="0010629A"/>
    <w:rsid w:val="0011051D"/>
    <w:rsid w:val="00110F48"/>
    <w:rsid w:val="00111720"/>
    <w:rsid w:val="001131E3"/>
    <w:rsid w:val="001141AC"/>
    <w:rsid w:val="001176EB"/>
    <w:rsid w:val="00120C69"/>
    <w:rsid w:val="00120E02"/>
    <w:rsid w:val="0012134A"/>
    <w:rsid w:val="001224CA"/>
    <w:rsid w:val="00125F19"/>
    <w:rsid w:val="00126E5A"/>
    <w:rsid w:val="0012755B"/>
    <w:rsid w:val="001276C4"/>
    <w:rsid w:val="001277CA"/>
    <w:rsid w:val="0012791C"/>
    <w:rsid w:val="00130033"/>
    <w:rsid w:val="00130545"/>
    <w:rsid w:val="001323C6"/>
    <w:rsid w:val="00132550"/>
    <w:rsid w:val="001327B0"/>
    <w:rsid w:val="001329C9"/>
    <w:rsid w:val="00132F88"/>
    <w:rsid w:val="00133CB4"/>
    <w:rsid w:val="001347F2"/>
    <w:rsid w:val="00136CA2"/>
    <w:rsid w:val="001375F0"/>
    <w:rsid w:val="00137E72"/>
    <w:rsid w:val="0014215D"/>
    <w:rsid w:val="001422E6"/>
    <w:rsid w:val="0014525D"/>
    <w:rsid w:val="00146A04"/>
    <w:rsid w:val="00146DE3"/>
    <w:rsid w:val="00151645"/>
    <w:rsid w:val="0015169F"/>
    <w:rsid w:val="00152888"/>
    <w:rsid w:val="00152BE4"/>
    <w:rsid w:val="00152C45"/>
    <w:rsid w:val="00154970"/>
    <w:rsid w:val="00155DFC"/>
    <w:rsid w:val="00156721"/>
    <w:rsid w:val="001567EE"/>
    <w:rsid w:val="0015784C"/>
    <w:rsid w:val="00157CDE"/>
    <w:rsid w:val="00157E82"/>
    <w:rsid w:val="00160EC1"/>
    <w:rsid w:val="0016199E"/>
    <w:rsid w:val="00161A6F"/>
    <w:rsid w:val="00162691"/>
    <w:rsid w:val="00162B63"/>
    <w:rsid w:val="00163A6D"/>
    <w:rsid w:val="00163B4B"/>
    <w:rsid w:val="00165602"/>
    <w:rsid w:val="00165E25"/>
    <w:rsid w:val="00166A70"/>
    <w:rsid w:val="00170408"/>
    <w:rsid w:val="001726FA"/>
    <w:rsid w:val="001765EB"/>
    <w:rsid w:val="0017718F"/>
    <w:rsid w:val="00177A38"/>
    <w:rsid w:val="0018041F"/>
    <w:rsid w:val="001841D8"/>
    <w:rsid w:val="001850B8"/>
    <w:rsid w:val="001855E1"/>
    <w:rsid w:val="00185767"/>
    <w:rsid w:val="00186A73"/>
    <w:rsid w:val="00187CB4"/>
    <w:rsid w:val="001900D4"/>
    <w:rsid w:val="001910C4"/>
    <w:rsid w:val="001915FB"/>
    <w:rsid w:val="00191C97"/>
    <w:rsid w:val="00191DF2"/>
    <w:rsid w:val="001924F1"/>
    <w:rsid w:val="00192F7F"/>
    <w:rsid w:val="00193D33"/>
    <w:rsid w:val="0019417A"/>
    <w:rsid w:val="00194AB5"/>
    <w:rsid w:val="00195E06"/>
    <w:rsid w:val="00196167"/>
    <w:rsid w:val="00197C92"/>
    <w:rsid w:val="001A09E7"/>
    <w:rsid w:val="001A1152"/>
    <w:rsid w:val="001A3A15"/>
    <w:rsid w:val="001A3E47"/>
    <w:rsid w:val="001A40B5"/>
    <w:rsid w:val="001A4570"/>
    <w:rsid w:val="001A50C0"/>
    <w:rsid w:val="001A53F2"/>
    <w:rsid w:val="001A5C9F"/>
    <w:rsid w:val="001B0BB7"/>
    <w:rsid w:val="001B1071"/>
    <w:rsid w:val="001B4EDB"/>
    <w:rsid w:val="001B548C"/>
    <w:rsid w:val="001B5F7B"/>
    <w:rsid w:val="001B75AF"/>
    <w:rsid w:val="001C0258"/>
    <w:rsid w:val="001C053E"/>
    <w:rsid w:val="001C1C46"/>
    <w:rsid w:val="001C2AC1"/>
    <w:rsid w:val="001C492A"/>
    <w:rsid w:val="001C4EB7"/>
    <w:rsid w:val="001C4F15"/>
    <w:rsid w:val="001C50EB"/>
    <w:rsid w:val="001C5D86"/>
    <w:rsid w:val="001C5E47"/>
    <w:rsid w:val="001C60F8"/>
    <w:rsid w:val="001C6FF5"/>
    <w:rsid w:val="001C7E21"/>
    <w:rsid w:val="001D00D7"/>
    <w:rsid w:val="001D0CC0"/>
    <w:rsid w:val="001D1124"/>
    <w:rsid w:val="001D2096"/>
    <w:rsid w:val="001D2788"/>
    <w:rsid w:val="001D289F"/>
    <w:rsid w:val="001D3AC4"/>
    <w:rsid w:val="001D429C"/>
    <w:rsid w:val="001D5154"/>
    <w:rsid w:val="001D7827"/>
    <w:rsid w:val="001E0119"/>
    <w:rsid w:val="001E073B"/>
    <w:rsid w:val="001E1204"/>
    <w:rsid w:val="001E2B02"/>
    <w:rsid w:val="001E3A8C"/>
    <w:rsid w:val="001F01B1"/>
    <w:rsid w:val="001F06D9"/>
    <w:rsid w:val="001F110F"/>
    <w:rsid w:val="001F43C8"/>
    <w:rsid w:val="001F44ED"/>
    <w:rsid w:val="001F45F7"/>
    <w:rsid w:val="001F506E"/>
    <w:rsid w:val="001F6C67"/>
    <w:rsid w:val="001F6C84"/>
    <w:rsid w:val="001F75C8"/>
    <w:rsid w:val="001F7621"/>
    <w:rsid w:val="001F7D9A"/>
    <w:rsid w:val="00200C6A"/>
    <w:rsid w:val="00201CFC"/>
    <w:rsid w:val="0020249C"/>
    <w:rsid w:val="00202A7B"/>
    <w:rsid w:val="002056CB"/>
    <w:rsid w:val="00205BD3"/>
    <w:rsid w:val="00206666"/>
    <w:rsid w:val="00206BB0"/>
    <w:rsid w:val="00206D43"/>
    <w:rsid w:val="00207570"/>
    <w:rsid w:val="002076F0"/>
    <w:rsid w:val="00210FB8"/>
    <w:rsid w:val="002110AD"/>
    <w:rsid w:val="00211177"/>
    <w:rsid w:val="00212AA5"/>
    <w:rsid w:val="00213348"/>
    <w:rsid w:val="00213F08"/>
    <w:rsid w:val="00216B49"/>
    <w:rsid w:val="00220AD7"/>
    <w:rsid w:val="00221BDA"/>
    <w:rsid w:val="00221EC7"/>
    <w:rsid w:val="00222CC4"/>
    <w:rsid w:val="002246CD"/>
    <w:rsid w:val="002270A3"/>
    <w:rsid w:val="00227548"/>
    <w:rsid w:val="00231A48"/>
    <w:rsid w:val="002324B8"/>
    <w:rsid w:val="00232BB0"/>
    <w:rsid w:val="0023308E"/>
    <w:rsid w:val="002335EF"/>
    <w:rsid w:val="002352F8"/>
    <w:rsid w:val="002355BB"/>
    <w:rsid w:val="00236F81"/>
    <w:rsid w:val="00237015"/>
    <w:rsid w:val="00240C9E"/>
    <w:rsid w:val="00242347"/>
    <w:rsid w:val="002434E2"/>
    <w:rsid w:val="00244C6B"/>
    <w:rsid w:val="002462CB"/>
    <w:rsid w:val="002475B0"/>
    <w:rsid w:val="00250FCB"/>
    <w:rsid w:val="00252A87"/>
    <w:rsid w:val="002538D6"/>
    <w:rsid w:val="002558D2"/>
    <w:rsid w:val="00256DCE"/>
    <w:rsid w:val="002575AC"/>
    <w:rsid w:val="00257A2F"/>
    <w:rsid w:val="00257AE5"/>
    <w:rsid w:val="00260EBC"/>
    <w:rsid w:val="00262751"/>
    <w:rsid w:val="00264E60"/>
    <w:rsid w:val="00265EAA"/>
    <w:rsid w:val="002662BC"/>
    <w:rsid w:val="00266560"/>
    <w:rsid w:val="0026667D"/>
    <w:rsid w:val="002668E8"/>
    <w:rsid w:val="00266AF6"/>
    <w:rsid w:val="00266BC3"/>
    <w:rsid w:val="00266BFD"/>
    <w:rsid w:val="00271547"/>
    <w:rsid w:val="0027202F"/>
    <w:rsid w:val="002724B3"/>
    <w:rsid w:val="00272F2D"/>
    <w:rsid w:val="00273A70"/>
    <w:rsid w:val="00274AEA"/>
    <w:rsid w:val="00275EF0"/>
    <w:rsid w:val="00276498"/>
    <w:rsid w:val="00276504"/>
    <w:rsid w:val="00280EB6"/>
    <w:rsid w:val="002814A6"/>
    <w:rsid w:val="00282E93"/>
    <w:rsid w:val="00283EB5"/>
    <w:rsid w:val="00284D8A"/>
    <w:rsid w:val="00285B05"/>
    <w:rsid w:val="00285CE0"/>
    <w:rsid w:val="00285FEC"/>
    <w:rsid w:val="002922DE"/>
    <w:rsid w:val="002929E7"/>
    <w:rsid w:val="002936E5"/>
    <w:rsid w:val="00293723"/>
    <w:rsid w:val="00293B9C"/>
    <w:rsid w:val="00294D62"/>
    <w:rsid w:val="002950E9"/>
    <w:rsid w:val="0029604F"/>
    <w:rsid w:val="002A0D28"/>
    <w:rsid w:val="002A203B"/>
    <w:rsid w:val="002A304E"/>
    <w:rsid w:val="002A3248"/>
    <w:rsid w:val="002A4205"/>
    <w:rsid w:val="002A5E6C"/>
    <w:rsid w:val="002A5F9C"/>
    <w:rsid w:val="002A6E49"/>
    <w:rsid w:val="002A7355"/>
    <w:rsid w:val="002B2425"/>
    <w:rsid w:val="002B37BB"/>
    <w:rsid w:val="002B465F"/>
    <w:rsid w:val="002B69B2"/>
    <w:rsid w:val="002C084A"/>
    <w:rsid w:val="002C1D0B"/>
    <w:rsid w:val="002C4294"/>
    <w:rsid w:val="002C429B"/>
    <w:rsid w:val="002C4528"/>
    <w:rsid w:val="002C45B8"/>
    <w:rsid w:val="002C58F2"/>
    <w:rsid w:val="002C7F16"/>
    <w:rsid w:val="002D000A"/>
    <w:rsid w:val="002D045A"/>
    <w:rsid w:val="002D1FB8"/>
    <w:rsid w:val="002D4123"/>
    <w:rsid w:val="002D447E"/>
    <w:rsid w:val="002D59A3"/>
    <w:rsid w:val="002D66FA"/>
    <w:rsid w:val="002E0893"/>
    <w:rsid w:val="002E0F29"/>
    <w:rsid w:val="002E0FA2"/>
    <w:rsid w:val="002E11F9"/>
    <w:rsid w:val="002E1C5B"/>
    <w:rsid w:val="002E1E0D"/>
    <w:rsid w:val="002E308E"/>
    <w:rsid w:val="002E34DB"/>
    <w:rsid w:val="002E4089"/>
    <w:rsid w:val="002E40F3"/>
    <w:rsid w:val="002E4B19"/>
    <w:rsid w:val="002E54BF"/>
    <w:rsid w:val="002E5598"/>
    <w:rsid w:val="002E6531"/>
    <w:rsid w:val="002F0131"/>
    <w:rsid w:val="002F1F15"/>
    <w:rsid w:val="002F2EA9"/>
    <w:rsid w:val="002F3C1F"/>
    <w:rsid w:val="002F421A"/>
    <w:rsid w:val="002F49D6"/>
    <w:rsid w:val="002F6297"/>
    <w:rsid w:val="00300D2D"/>
    <w:rsid w:val="00300DA0"/>
    <w:rsid w:val="00302376"/>
    <w:rsid w:val="00302E59"/>
    <w:rsid w:val="003037FF"/>
    <w:rsid w:val="003038A4"/>
    <w:rsid w:val="00303DC5"/>
    <w:rsid w:val="00303EA1"/>
    <w:rsid w:val="00305E12"/>
    <w:rsid w:val="00306407"/>
    <w:rsid w:val="003064BA"/>
    <w:rsid w:val="00306609"/>
    <w:rsid w:val="003079D3"/>
    <w:rsid w:val="00310A47"/>
    <w:rsid w:val="00310EEC"/>
    <w:rsid w:val="0031274A"/>
    <w:rsid w:val="00312F67"/>
    <w:rsid w:val="003134A9"/>
    <w:rsid w:val="00313763"/>
    <w:rsid w:val="00313F16"/>
    <w:rsid w:val="00317AAC"/>
    <w:rsid w:val="00317D82"/>
    <w:rsid w:val="003200C6"/>
    <w:rsid w:val="00320368"/>
    <w:rsid w:val="00320628"/>
    <w:rsid w:val="00320A24"/>
    <w:rsid w:val="003221CA"/>
    <w:rsid w:val="003235FA"/>
    <w:rsid w:val="00323B7C"/>
    <w:rsid w:val="00323F9F"/>
    <w:rsid w:val="00325F5B"/>
    <w:rsid w:val="0032600E"/>
    <w:rsid w:val="0032657C"/>
    <w:rsid w:val="0032729B"/>
    <w:rsid w:val="003306E3"/>
    <w:rsid w:val="00330DF7"/>
    <w:rsid w:val="00330EFC"/>
    <w:rsid w:val="00330F3B"/>
    <w:rsid w:val="003314D6"/>
    <w:rsid w:val="00332F41"/>
    <w:rsid w:val="0033440D"/>
    <w:rsid w:val="00334982"/>
    <w:rsid w:val="00336088"/>
    <w:rsid w:val="00336491"/>
    <w:rsid w:val="003419B6"/>
    <w:rsid w:val="00342E4F"/>
    <w:rsid w:val="0034330A"/>
    <w:rsid w:val="00343767"/>
    <w:rsid w:val="003450C6"/>
    <w:rsid w:val="003459BA"/>
    <w:rsid w:val="00346537"/>
    <w:rsid w:val="00346C33"/>
    <w:rsid w:val="00346CF2"/>
    <w:rsid w:val="00347EEC"/>
    <w:rsid w:val="00351506"/>
    <w:rsid w:val="003538AB"/>
    <w:rsid w:val="00353C04"/>
    <w:rsid w:val="0035552C"/>
    <w:rsid w:val="003555AF"/>
    <w:rsid w:val="003600FB"/>
    <w:rsid w:val="00360B1B"/>
    <w:rsid w:val="00361DF8"/>
    <w:rsid w:val="00362099"/>
    <w:rsid w:val="003639C4"/>
    <w:rsid w:val="00363F88"/>
    <w:rsid w:val="003643FF"/>
    <w:rsid w:val="00364490"/>
    <w:rsid w:val="00366775"/>
    <w:rsid w:val="0036726A"/>
    <w:rsid w:val="0037238F"/>
    <w:rsid w:val="00372D5C"/>
    <w:rsid w:val="00373AD8"/>
    <w:rsid w:val="00373BB5"/>
    <w:rsid w:val="00374E6B"/>
    <w:rsid w:val="00375F1B"/>
    <w:rsid w:val="0037731D"/>
    <w:rsid w:val="0037751D"/>
    <w:rsid w:val="0037779E"/>
    <w:rsid w:val="003807D3"/>
    <w:rsid w:val="00381EEB"/>
    <w:rsid w:val="0038241E"/>
    <w:rsid w:val="003827CF"/>
    <w:rsid w:val="00382DDF"/>
    <w:rsid w:val="003833F2"/>
    <w:rsid w:val="00385078"/>
    <w:rsid w:val="003854A7"/>
    <w:rsid w:val="00386873"/>
    <w:rsid w:val="00386F32"/>
    <w:rsid w:val="003878D8"/>
    <w:rsid w:val="003916C9"/>
    <w:rsid w:val="003946AA"/>
    <w:rsid w:val="00394CC1"/>
    <w:rsid w:val="00394F86"/>
    <w:rsid w:val="00394F8C"/>
    <w:rsid w:val="00397D3D"/>
    <w:rsid w:val="003A07C2"/>
    <w:rsid w:val="003A1D71"/>
    <w:rsid w:val="003A2C04"/>
    <w:rsid w:val="003A40F2"/>
    <w:rsid w:val="003A77EA"/>
    <w:rsid w:val="003A7848"/>
    <w:rsid w:val="003A7C32"/>
    <w:rsid w:val="003B0732"/>
    <w:rsid w:val="003B1AE4"/>
    <w:rsid w:val="003B41B6"/>
    <w:rsid w:val="003B46A5"/>
    <w:rsid w:val="003B4D26"/>
    <w:rsid w:val="003B561C"/>
    <w:rsid w:val="003B789F"/>
    <w:rsid w:val="003B7FDB"/>
    <w:rsid w:val="003C021C"/>
    <w:rsid w:val="003C0489"/>
    <w:rsid w:val="003C0F89"/>
    <w:rsid w:val="003C25BD"/>
    <w:rsid w:val="003C2989"/>
    <w:rsid w:val="003C7002"/>
    <w:rsid w:val="003C7121"/>
    <w:rsid w:val="003C7C57"/>
    <w:rsid w:val="003C7ECA"/>
    <w:rsid w:val="003D0498"/>
    <w:rsid w:val="003D0B12"/>
    <w:rsid w:val="003D189E"/>
    <w:rsid w:val="003D4958"/>
    <w:rsid w:val="003D55E5"/>
    <w:rsid w:val="003D5773"/>
    <w:rsid w:val="003D76EF"/>
    <w:rsid w:val="003D788D"/>
    <w:rsid w:val="003E0E40"/>
    <w:rsid w:val="003E1F22"/>
    <w:rsid w:val="003E23F4"/>
    <w:rsid w:val="003E29A3"/>
    <w:rsid w:val="003E3C5F"/>
    <w:rsid w:val="003E3DF5"/>
    <w:rsid w:val="003E5C20"/>
    <w:rsid w:val="003E67B5"/>
    <w:rsid w:val="003E6EF7"/>
    <w:rsid w:val="003F03F5"/>
    <w:rsid w:val="003F0DCE"/>
    <w:rsid w:val="003F12C1"/>
    <w:rsid w:val="003F1A44"/>
    <w:rsid w:val="003F2240"/>
    <w:rsid w:val="003F33CC"/>
    <w:rsid w:val="003F47AE"/>
    <w:rsid w:val="003F50D8"/>
    <w:rsid w:val="003F511F"/>
    <w:rsid w:val="003F534A"/>
    <w:rsid w:val="003F684E"/>
    <w:rsid w:val="003F753E"/>
    <w:rsid w:val="003F78E4"/>
    <w:rsid w:val="0040049C"/>
    <w:rsid w:val="00400DA2"/>
    <w:rsid w:val="00401033"/>
    <w:rsid w:val="004029BC"/>
    <w:rsid w:val="00403245"/>
    <w:rsid w:val="0040411B"/>
    <w:rsid w:val="0040445A"/>
    <w:rsid w:val="004047A4"/>
    <w:rsid w:val="004048B2"/>
    <w:rsid w:val="00410B12"/>
    <w:rsid w:val="0041203B"/>
    <w:rsid w:val="00412C46"/>
    <w:rsid w:val="00414230"/>
    <w:rsid w:val="004158ED"/>
    <w:rsid w:val="00416FBE"/>
    <w:rsid w:val="00420E29"/>
    <w:rsid w:val="004235A3"/>
    <w:rsid w:val="00423EA0"/>
    <w:rsid w:val="00424467"/>
    <w:rsid w:val="00424981"/>
    <w:rsid w:val="00425342"/>
    <w:rsid w:val="0042774C"/>
    <w:rsid w:val="00430546"/>
    <w:rsid w:val="00431346"/>
    <w:rsid w:val="004319A1"/>
    <w:rsid w:val="00432DB7"/>
    <w:rsid w:val="0043483C"/>
    <w:rsid w:val="00435211"/>
    <w:rsid w:val="0043672A"/>
    <w:rsid w:val="004406E3"/>
    <w:rsid w:val="00440F72"/>
    <w:rsid w:val="00440FFB"/>
    <w:rsid w:val="004427EA"/>
    <w:rsid w:val="004429E3"/>
    <w:rsid w:val="00443213"/>
    <w:rsid w:val="00445367"/>
    <w:rsid w:val="00445F24"/>
    <w:rsid w:val="004462F3"/>
    <w:rsid w:val="00446752"/>
    <w:rsid w:val="00446C21"/>
    <w:rsid w:val="004479E9"/>
    <w:rsid w:val="0045115D"/>
    <w:rsid w:val="004513F3"/>
    <w:rsid w:val="00451F21"/>
    <w:rsid w:val="004536E8"/>
    <w:rsid w:val="00453BFE"/>
    <w:rsid w:val="00454B21"/>
    <w:rsid w:val="00455A5F"/>
    <w:rsid w:val="004562B5"/>
    <w:rsid w:val="004567C5"/>
    <w:rsid w:val="00457E4D"/>
    <w:rsid w:val="00460738"/>
    <w:rsid w:val="00460B88"/>
    <w:rsid w:val="004617A6"/>
    <w:rsid w:val="0046222D"/>
    <w:rsid w:val="004625A5"/>
    <w:rsid w:val="0046263C"/>
    <w:rsid w:val="004643AB"/>
    <w:rsid w:val="0046584C"/>
    <w:rsid w:val="0046610C"/>
    <w:rsid w:val="004664F2"/>
    <w:rsid w:val="00467167"/>
    <w:rsid w:val="00467B54"/>
    <w:rsid w:val="00470293"/>
    <w:rsid w:val="004712B9"/>
    <w:rsid w:val="00472365"/>
    <w:rsid w:val="0047269C"/>
    <w:rsid w:val="00472884"/>
    <w:rsid w:val="0047516B"/>
    <w:rsid w:val="00475250"/>
    <w:rsid w:val="004757C7"/>
    <w:rsid w:val="00475DAC"/>
    <w:rsid w:val="00476BFF"/>
    <w:rsid w:val="004810A7"/>
    <w:rsid w:val="00482B67"/>
    <w:rsid w:val="00482C5A"/>
    <w:rsid w:val="00484115"/>
    <w:rsid w:val="00485834"/>
    <w:rsid w:val="00485E88"/>
    <w:rsid w:val="004920C9"/>
    <w:rsid w:val="00492C75"/>
    <w:rsid w:val="00494B59"/>
    <w:rsid w:val="00494B6C"/>
    <w:rsid w:val="00495511"/>
    <w:rsid w:val="00497726"/>
    <w:rsid w:val="00497C19"/>
    <w:rsid w:val="00497E4C"/>
    <w:rsid w:val="004A1B04"/>
    <w:rsid w:val="004A2B99"/>
    <w:rsid w:val="004A439C"/>
    <w:rsid w:val="004A658C"/>
    <w:rsid w:val="004A6B08"/>
    <w:rsid w:val="004A6FBC"/>
    <w:rsid w:val="004B17CF"/>
    <w:rsid w:val="004B2A0B"/>
    <w:rsid w:val="004B2BFC"/>
    <w:rsid w:val="004B34A9"/>
    <w:rsid w:val="004B7160"/>
    <w:rsid w:val="004C07E0"/>
    <w:rsid w:val="004C20DE"/>
    <w:rsid w:val="004C213E"/>
    <w:rsid w:val="004C2965"/>
    <w:rsid w:val="004C2F54"/>
    <w:rsid w:val="004C34E2"/>
    <w:rsid w:val="004C4EF5"/>
    <w:rsid w:val="004C5281"/>
    <w:rsid w:val="004C547F"/>
    <w:rsid w:val="004C766B"/>
    <w:rsid w:val="004D019D"/>
    <w:rsid w:val="004D09F8"/>
    <w:rsid w:val="004D4EE5"/>
    <w:rsid w:val="004D5574"/>
    <w:rsid w:val="004D56CE"/>
    <w:rsid w:val="004E062D"/>
    <w:rsid w:val="004E2514"/>
    <w:rsid w:val="004E30DB"/>
    <w:rsid w:val="004E4153"/>
    <w:rsid w:val="004E4CF2"/>
    <w:rsid w:val="004E59C4"/>
    <w:rsid w:val="004E7EA7"/>
    <w:rsid w:val="004F109A"/>
    <w:rsid w:val="004F3C43"/>
    <w:rsid w:val="004F3DD7"/>
    <w:rsid w:val="004F41DA"/>
    <w:rsid w:val="004F6F01"/>
    <w:rsid w:val="004F7714"/>
    <w:rsid w:val="0050166E"/>
    <w:rsid w:val="005016D5"/>
    <w:rsid w:val="0050326D"/>
    <w:rsid w:val="00503485"/>
    <w:rsid w:val="00503640"/>
    <w:rsid w:val="0050553B"/>
    <w:rsid w:val="005064BC"/>
    <w:rsid w:val="005101AA"/>
    <w:rsid w:val="00511B09"/>
    <w:rsid w:val="005124D7"/>
    <w:rsid w:val="00515110"/>
    <w:rsid w:val="005154FA"/>
    <w:rsid w:val="0051583A"/>
    <w:rsid w:val="00515A33"/>
    <w:rsid w:val="005161B0"/>
    <w:rsid w:val="00517499"/>
    <w:rsid w:val="00520029"/>
    <w:rsid w:val="00520183"/>
    <w:rsid w:val="0052087E"/>
    <w:rsid w:val="00521BE8"/>
    <w:rsid w:val="005226E9"/>
    <w:rsid w:val="005229F2"/>
    <w:rsid w:val="00522D2F"/>
    <w:rsid w:val="00523598"/>
    <w:rsid w:val="00523C34"/>
    <w:rsid w:val="00524284"/>
    <w:rsid w:val="00524A2D"/>
    <w:rsid w:val="00525721"/>
    <w:rsid w:val="00525999"/>
    <w:rsid w:val="0052689C"/>
    <w:rsid w:val="00527607"/>
    <w:rsid w:val="00530276"/>
    <w:rsid w:val="00530488"/>
    <w:rsid w:val="00530924"/>
    <w:rsid w:val="00534AED"/>
    <w:rsid w:val="0053574C"/>
    <w:rsid w:val="00536550"/>
    <w:rsid w:val="00536F70"/>
    <w:rsid w:val="0053711A"/>
    <w:rsid w:val="00537728"/>
    <w:rsid w:val="00537D34"/>
    <w:rsid w:val="00537DAC"/>
    <w:rsid w:val="00540CBF"/>
    <w:rsid w:val="00541E50"/>
    <w:rsid w:val="00542051"/>
    <w:rsid w:val="0054209B"/>
    <w:rsid w:val="00543C4E"/>
    <w:rsid w:val="00544DB1"/>
    <w:rsid w:val="00545A88"/>
    <w:rsid w:val="0055013D"/>
    <w:rsid w:val="00551B68"/>
    <w:rsid w:val="00552899"/>
    <w:rsid w:val="00552A88"/>
    <w:rsid w:val="005532AB"/>
    <w:rsid w:val="00554378"/>
    <w:rsid w:val="00554E20"/>
    <w:rsid w:val="005566AB"/>
    <w:rsid w:val="00560BEB"/>
    <w:rsid w:val="005623CE"/>
    <w:rsid w:val="00562E52"/>
    <w:rsid w:val="0056330E"/>
    <w:rsid w:val="0056463D"/>
    <w:rsid w:val="00565F59"/>
    <w:rsid w:val="00567AF1"/>
    <w:rsid w:val="00570B30"/>
    <w:rsid w:val="00572A03"/>
    <w:rsid w:val="00572BA7"/>
    <w:rsid w:val="00574F37"/>
    <w:rsid w:val="005751E8"/>
    <w:rsid w:val="00576608"/>
    <w:rsid w:val="005769EC"/>
    <w:rsid w:val="005771AD"/>
    <w:rsid w:val="0057756A"/>
    <w:rsid w:val="00580FE0"/>
    <w:rsid w:val="00581905"/>
    <w:rsid w:val="00581CD2"/>
    <w:rsid w:val="0058368D"/>
    <w:rsid w:val="00583728"/>
    <w:rsid w:val="00584D3F"/>
    <w:rsid w:val="005863AB"/>
    <w:rsid w:val="0058682B"/>
    <w:rsid w:val="00591507"/>
    <w:rsid w:val="005927D3"/>
    <w:rsid w:val="00592866"/>
    <w:rsid w:val="00592B06"/>
    <w:rsid w:val="005946E1"/>
    <w:rsid w:val="00594D5C"/>
    <w:rsid w:val="00595351"/>
    <w:rsid w:val="005A06FD"/>
    <w:rsid w:val="005A1234"/>
    <w:rsid w:val="005A1BB9"/>
    <w:rsid w:val="005A244B"/>
    <w:rsid w:val="005A26F8"/>
    <w:rsid w:val="005A38E5"/>
    <w:rsid w:val="005A3D01"/>
    <w:rsid w:val="005B1498"/>
    <w:rsid w:val="005B1F5F"/>
    <w:rsid w:val="005B3F88"/>
    <w:rsid w:val="005B4154"/>
    <w:rsid w:val="005B4177"/>
    <w:rsid w:val="005B6CD9"/>
    <w:rsid w:val="005B7D15"/>
    <w:rsid w:val="005C25C9"/>
    <w:rsid w:val="005C3ADE"/>
    <w:rsid w:val="005C4453"/>
    <w:rsid w:val="005C4A2F"/>
    <w:rsid w:val="005C6097"/>
    <w:rsid w:val="005C68AF"/>
    <w:rsid w:val="005C7B11"/>
    <w:rsid w:val="005D11ED"/>
    <w:rsid w:val="005D1676"/>
    <w:rsid w:val="005D22EB"/>
    <w:rsid w:val="005D22EE"/>
    <w:rsid w:val="005D34DF"/>
    <w:rsid w:val="005D3B2A"/>
    <w:rsid w:val="005D4DB7"/>
    <w:rsid w:val="005D746B"/>
    <w:rsid w:val="005D76C3"/>
    <w:rsid w:val="005D7D6B"/>
    <w:rsid w:val="005E0EF5"/>
    <w:rsid w:val="005E2EF9"/>
    <w:rsid w:val="005E3431"/>
    <w:rsid w:val="005E37B8"/>
    <w:rsid w:val="005E3C38"/>
    <w:rsid w:val="005E4092"/>
    <w:rsid w:val="005E4B0F"/>
    <w:rsid w:val="005E5107"/>
    <w:rsid w:val="005E54F9"/>
    <w:rsid w:val="005E619A"/>
    <w:rsid w:val="005E63F5"/>
    <w:rsid w:val="005F03CE"/>
    <w:rsid w:val="005F0C21"/>
    <w:rsid w:val="005F2C04"/>
    <w:rsid w:val="005F2EAB"/>
    <w:rsid w:val="005F4EDA"/>
    <w:rsid w:val="005F4F2E"/>
    <w:rsid w:val="005F5A07"/>
    <w:rsid w:val="005F633B"/>
    <w:rsid w:val="005F6B04"/>
    <w:rsid w:val="005F6CC2"/>
    <w:rsid w:val="005F7135"/>
    <w:rsid w:val="005F75E0"/>
    <w:rsid w:val="006002C3"/>
    <w:rsid w:val="0060160E"/>
    <w:rsid w:val="0060252F"/>
    <w:rsid w:val="006027A1"/>
    <w:rsid w:val="00603414"/>
    <w:rsid w:val="00604705"/>
    <w:rsid w:val="00604F6D"/>
    <w:rsid w:val="00605532"/>
    <w:rsid w:val="0060685E"/>
    <w:rsid w:val="00606F26"/>
    <w:rsid w:val="006072AA"/>
    <w:rsid w:val="00607B2D"/>
    <w:rsid w:val="006104A3"/>
    <w:rsid w:val="00611694"/>
    <w:rsid w:val="00612500"/>
    <w:rsid w:val="00613975"/>
    <w:rsid w:val="00613E86"/>
    <w:rsid w:val="006144BA"/>
    <w:rsid w:val="006155E2"/>
    <w:rsid w:val="00616B3D"/>
    <w:rsid w:val="00620639"/>
    <w:rsid w:val="00620B7C"/>
    <w:rsid w:val="00620C4B"/>
    <w:rsid w:val="006238AB"/>
    <w:rsid w:val="00623FD2"/>
    <w:rsid w:val="00626096"/>
    <w:rsid w:val="006266DB"/>
    <w:rsid w:val="00626CAD"/>
    <w:rsid w:val="00627A19"/>
    <w:rsid w:val="00627DC7"/>
    <w:rsid w:val="00631DEB"/>
    <w:rsid w:val="00631E90"/>
    <w:rsid w:val="00632C85"/>
    <w:rsid w:val="0063322A"/>
    <w:rsid w:val="0063468A"/>
    <w:rsid w:val="006359F4"/>
    <w:rsid w:val="006370E9"/>
    <w:rsid w:val="006406D8"/>
    <w:rsid w:val="00640F52"/>
    <w:rsid w:val="00641751"/>
    <w:rsid w:val="0064316F"/>
    <w:rsid w:val="00644EEA"/>
    <w:rsid w:val="00644EEF"/>
    <w:rsid w:val="00646689"/>
    <w:rsid w:val="006514C4"/>
    <w:rsid w:val="00653ED7"/>
    <w:rsid w:val="00654E28"/>
    <w:rsid w:val="006565BB"/>
    <w:rsid w:val="0065666A"/>
    <w:rsid w:val="00656D0F"/>
    <w:rsid w:val="006570C0"/>
    <w:rsid w:val="006572AA"/>
    <w:rsid w:val="00657AD8"/>
    <w:rsid w:val="00657BE6"/>
    <w:rsid w:val="006616CF"/>
    <w:rsid w:val="006621E7"/>
    <w:rsid w:val="0066230D"/>
    <w:rsid w:val="00662D95"/>
    <w:rsid w:val="006631B9"/>
    <w:rsid w:val="006644C4"/>
    <w:rsid w:val="00667858"/>
    <w:rsid w:val="006706C5"/>
    <w:rsid w:val="00670FD5"/>
    <w:rsid w:val="00671CB2"/>
    <w:rsid w:val="00672627"/>
    <w:rsid w:val="0067479D"/>
    <w:rsid w:val="006766C3"/>
    <w:rsid w:val="00677900"/>
    <w:rsid w:val="00680221"/>
    <w:rsid w:val="00680435"/>
    <w:rsid w:val="0068083A"/>
    <w:rsid w:val="00681E18"/>
    <w:rsid w:val="00681ED5"/>
    <w:rsid w:val="006823C5"/>
    <w:rsid w:val="0068379D"/>
    <w:rsid w:val="00683807"/>
    <w:rsid w:val="0068387F"/>
    <w:rsid w:val="00684573"/>
    <w:rsid w:val="00685A01"/>
    <w:rsid w:val="00685CEF"/>
    <w:rsid w:val="00685F3E"/>
    <w:rsid w:val="00687E06"/>
    <w:rsid w:val="0069269D"/>
    <w:rsid w:val="00693E82"/>
    <w:rsid w:val="006A279E"/>
    <w:rsid w:val="006A3002"/>
    <w:rsid w:val="006A63CB"/>
    <w:rsid w:val="006A76EB"/>
    <w:rsid w:val="006A7C28"/>
    <w:rsid w:val="006B0B64"/>
    <w:rsid w:val="006B1B8D"/>
    <w:rsid w:val="006B24BD"/>
    <w:rsid w:val="006B27B5"/>
    <w:rsid w:val="006B2D2C"/>
    <w:rsid w:val="006B351B"/>
    <w:rsid w:val="006B5526"/>
    <w:rsid w:val="006B5531"/>
    <w:rsid w:val="006B6902"/>
    <w:rsid w:val="006B6B75"/>
    <w:rsid w:val="006C0067"/>
    <w:rsid w:val="006C0D4D"/>
    <w:rsid w:val="006C1F8E"/>
    <w:rsid w:val="006C33CF"/>
    <w:rsid w:val="006C3CCA"/>
    <w:rsid w:val="006C3D24"/>
    <w:rsid w:val="006C75E4"/>
    <w:rsid w:val="006C7C13"/>
    <w:rsid w:val="006D0807"/>
    <w:rsid w:val="006D0E92"/>
    <w:rsid w:val="006D1581"/>
    <w:rsid w:val="006D1E41"/>
    <w:rsid w:val="006D2CE2"/>
    <w:rsid w:val="006D37F1"/>
    <w:rsid w:val="006D4F52"/>
    <w:rsid w:val="006D6090"/>
    <w:rsid w:val="006E1970"/>
    <w:rsid w:val="006E1996"/>
    <w:rsid w:val="006E3A67"/>
    <w:rsid w:val="006E3CF9"/>
    <w:rsid w:val="006E4842"/>
    <w:rsid w:val="006E64AF"/>
    <w:rsid w:val="006E65F1"/>
    <w:rsid w:val="006E6CDA"/>
    <w:rsid w:val="006E70C9"/>
    <w:rsid w:val="006E7997"/>
    <w:rsid w:val="006E7BFB"/>
    <w:rsid w:val="006F1708"/>
    <w:rsid w:val="006F361D"/>
    <w:rsid w:val="006F4C08"/>
    <w:rsid w:val="006F526E"/>
    <w:rsid w:val="006F6818"/>
    <w:rsid w:val="006F6B12"/>
    <w:rsid w:val="006F6FB8"/>
    <w:rsid w:val="00701AEA"/>
    <w:rsid w:val="00703576"/>
    <w:rsid w:val="007038B7"/>
    <w:rsid w:val="0070407B"/>
    <w:rsid w:val="007066A6"/>
    <w:rsid w:val="00706BA8"/>
    <w:rsid w:val="00707669"/>
    <w:rsid w:val="00707AEB"/>
    <w:rsid w:val="0071178A"/>
    <w:rsid w:val="00711A6F"/>
    <w:rsid w:val="00712741"/>
    <w:rsid w:val="007128D5"/>
    <w:rsid w:val="00714420"/>
    <w:rsid w:val="007155DA"/>
    <w:rsid w:val="00716258"/>
    <w:rsid w:val="00720FD8"/>
    <w:rsid w:val="007214E9"/>
    <w:rsid w:val="00721BC1"/>
    <w:rsid w:val="00723E3F"/>
    <w:rsid w:val="007243FA"/>
    <w:rsid w:val="00725F61"/>
    <w:rsid w:val="0072775E"/>
    <w:rsid w:val="00727DB0"/>
    <w:rsid w:val="00727EAB"/>
    <w:rsid w:val="0073257D"/>
    <w:rsid w:val="00733604"/>
    <w:rsid w:val="007342E4"/>
    <w:rsid w:val="00734399"/>
    <w:rsid w:val="007346C4"/>
    <w:rsid w:val="00734AF9"/>
    <w:rsid w:val="007358EF"/>
    <w:rsid w:val="007363FD"/>
    <w:rsid w:val="00736650"/>
    <w:rsid w:val="007368E0"/>
    <w:rsid w:val="00736ACB"/>
    <w:rsid w:val="00736B3A"/>
    <w:rsid w:val="00736B93"/>
    <w:rsid w:val="007374E1"/>
    <w:rsid w:val="007409DD"/>
    <w:rsid w:val="007416CD"/>
    <w:rsid w:val="00742D10"/>
    <w:rsid w:val="00744486"/>
    <w:rsid w:val="0074557B"/>
    <w:rsid w:val="00747519"/>
    <w:rsid w:val="00747B45"/>
    <w:rsid w:val="0075150C"/>
    <w:rsid w:val="00751760"/>
    <w:rsid w:val="00751CE8"/>
    <w:rsid w:val="007529C6"/>
    <w:rsid w:val="00753D9E"/>
    <w:rsid w:val="00754250"/>
    <w:rsid w:val="007548C3"/>
    <w:rsid w:val="0075529C"/>
    <w:rsid w:val="00760F3F"/>
    <w:rsid w:val="0076114E"/>
    <w:rsid w:val="00761334"/>
    <w:rsid w:val="00761A37"/>
    <w:rsid w:val="00761A8D"/>
    <w:rsid w:val="007625DC"/>
    <w:rsid w:val="0076343C"/>
    <w:rsid w:val="00763E0F"/>
    <w:rsid w:val="00763FFA"/>
    <w:rsid w:val="00764797"/>
    <w:rsid w:val="00764F75"/>
    <w:rsid w:val="00765D13"/>
    <w:rsid w:val="007667BC"/>
    <w:rsid w:val="00770B07"/>
    <w:rsid w:val="00770BDB"/>
    <w:rsid w:val="007716EF"/>
    <w:rsid w:val="007717A2"/>
    <w:rsid w:val="00772127"/>
    <w:rsid w:val="0077239D"/>
    <w:rsid w:val="007723B9"/>
    <w:rsid w:val="00773C47"/>
    <w:rsid w:val="007741AE"/>
    <w:rsid w:val="00774502"/>
    <w:rsid w:val="00774A88"/>
    <w:rsid w:val="0077693C"/>
    <w:rsid w:val="00777452"/>
    <w:rsid w:val="00777CEE"/>
    <w:rsid w:val="00780C98"/>
    <w:rsid w:val="00781868"/>
    <w:rsid w:val="007819B6"/>
    <w:rsid w:val="00782E0D"/>
    <w:rsid w:val="0078371A"/>
    <w:rsid w:val="00783923"/>
    <w:rsid w:val="00783C8D"/>
    <w:rsid w:val="00784039"/>
    <w:rsid w:val="00785746"/>
    <w:rsid w:val="00785C26"/>
    <w:rsid w:val="00785E02"/>
    <w:rsid w:val="00786E7D"/>
    <w:rsid w:val="00786ED7"/>
    <w:rsid w:val="00787EB4"/>
    <w:rsid w:val="00790791"/>
    <w:rsid w:val="0079175A"/>
    <w:rsid w:val="0079266A"/>
    <w:rsid w:val="00793822"/>
    <w:rsid w:val="007948AE"/>
    <w:rsid w:val="00795763"/>
    <w:rsid w:val="00796721"/>
    <w:rsid w:val="00796BFD"/>
    <w:rsid w:val="00797144"/>
    <w:rsid w:val="007A1E3F"/>
    <w:rsid w:val="007A2394"/>
    <w:rsid w:val="007A3328"/>
    <w:rsid w:val="007A400B"/>
    <w:rsid w:val="007A4216"/>
    <w:rsid w:val="007A5A06"/>
    <w:rsid w:val="007A5E31"/>
    <w:rsid w:val="007A60D3"/>
    <w:rsid w:val="007A63FD"/>
    <w:rsid w:val="007A6854"/>
    <w:rsid w:val="007A71DD"/>
    <w:rsid w:val="007B0044"/>
    <w:rsid w:val="007B1047"/>
    <w:rsid w:val="007B20FF"/>
    <w:rsid w:val="007B2626"/>
    <w:rsid w:val="007B2667"/>
    <w:rsid w:val="007B33A5"/>
    <w:rsid w:val="007B3DE4"/>
    <w:rsid w:val="007B5234"/>
    <w:rsid w:val="007B5862"/>
    <w:rsid w:val="007B5ECA"/>
    <w:rsid w:val="007B64C2"/>
    <w:rsid w:val="007B6676"/>
    <w:rsid w:val="007B6F4F"/>
    <w:rsid w:val="007C0118"/>
    <w:rsid w:val="007C0FDB"/>
    <w:rsid w:val="007C151E"/>
    <w:rsid w:val="007C3929"/>
    <w:rsid w:val="007C3EAF"/>
    <w:rsid w:val="007C5692"/>
    <w:rsid w:val="007C5A15"/>
    <w:rsid w:val="007C6429"/>
    <w:rsid w:val="007C6831"/>
    <w:rsid w:val="007D11AA"/>
    <w:rsid w:val="007D1BA7"/>
    <w:rsid w:val="007D2D2D"/>
    <w:rsid w:val="007D610B"/>
    <w:rsid w:val="007D6116"/>
    <w:rsid w:val="007D631A"/>
    <w:rsid w:val="007D6374"/>
    <w:rsid w:val="007D7785"/>
    <w:rsid w:val="007E17E4"/>
    <w:rsid w:val="007E1DAF"/>
    <w:rsid w:val="007E2E47"/>
    <w:rsid w:val="007E2FDF"/>
    <w:rsid w:val="007E5749"/>
    <w:rsid w:val="007E5BD7"/>
    <w:rsid w:val="007E6A17"/>
    <w:rsid w:val="007F19B4"/>
    <w:rsid w:val="007F1F46"/>
    <w:rsid w:val="007F2BE7"/>
    <w:rsid w:val="007F2EE0"/>
    <w:rsid w:val="007F397F"/>
    <w:rsid w:val="007F4DCC"/>
    <w:rsid w:val="007F4EF1"/>
    <w:rsid w:val="007F7A5A"/>
    <w:rsid w:val="00801570"/>
    <w:rsid w:val="00801FD0"/>
    <w:rsid w:val="008026D0"/>
    <w:rsid w:val="00803311"/>
    <w:rsid w:val="00803625"/>
    <w:rsid w:val="00803E59"/>
    <w:rsid w:val="00803F4C"/>
    <w:rsid w:val="008044F4"/>
    <w:rsid w:val="00804E16"/>
    <w:rsid w:val="00806062"/>
    <w:rsid w:val="0080726C"/>
    <w:rsid w:val="0080792B"/>
    <w:rsid w:val="00810D37"/>
    <w:rsid w:val="008110BA"/>
    <w:rsid w:val="00811491"/>
    <w:rsid w:val="00812F5A"/>
    <w:rsid w:val="0081704E"/>
    <w:rsid w:val="008179F7"/>
    <w:rsid w:val="0082021E"/>
    <w:rsid w:val="00820A0A"/>
    <w:rsid w:val="00822772"/>
    <w:rsid w:val="008230E3"/>
    <w:rsid w:val="008239AF"/>
    <w:rsid w:val="00823E42"/>
    <w:rsid w:val="00826AB3"/>
    <w:rsid w:val="00827737"/>
    <w:rsid w:val="008301C7"/>
    <w:rsid w:val="008327A8"/>
    <w:rsid w:val="00833EF7"/>
    <w:rsid w:val="0083500D"/>
    <w:rsid w:val="0083545A"/>
    <w:rsid w:val="008358D2"/>
    <w:rsid w:val="008364FE"/>
    <w:rsid w:val="008400A5"/>
    <w:rsid w:val="0084013B"/>
    <w:rsid w:val="00840D6F"/>
    <w:rsid w:val="00843DCB"/>
    <w:rsid w:val="008449E7"/>
    <w:rsid w:val="00844FB9"/>
    <w:rsid w:val="0084590A"/>
    <w:rsid w:val="00845C23"/>
    <w:rsid w:val="00846829"/>
    <w:rsid w:val="008468AD"/>
    <w:rsid w:val="00852114"/>
    <w:rsid w:val="0085340A"/>
    <w:rsid w:val="0085503E"/>
    <w:rsid w:val="00855662"/>
    <w:rsid w:val="008564BB"/>
    <w:rsid w:val="00856665"/>
    <w:rsid w:val="00860A35"/>
    <w:rsid w:val="00861571"/>
    <w:rsid w:val="00861E02"/>
    <w:rsid w:val="00862DE2"/>
    <w:rsid w:val="00862F3C"/>
    <w:rsid w:val="00864627"/>
    <w:rsid w:val="00864C04"/>
    <w:rsid w:val="00864CEB"/>
    <w:rsid w:val="00867867"/>
    <w:rsid w:val="00867D3C"/>
    <w:rsid w:val="00867D99"/>
    <w:rsid w:val="00867FD3"/>
    <w:rsid w:val="008707C5"/>
    <w:rsid w:val="0087295A"/>
    <w:rsid w:val="00874F03"/>
    <w:rsid w:val="00875146"/>
    <w:rsid w:val="00877179"/>
    <w:rsid w:val="008772A3"/>
    <w:rsid w:val="008773A3"/>
    <w:rsid w:val="008778F3"/>
    <w:rsid w:val="00880A6F"/>
    <w:rsid w:val="0088171B"/>
    <w:rsid w:val="00883F39"/>
    <w:rsid w:val="008842B8"/>
    <w:rsid w:val="00886412"/>
    <w:rsid w:val="008912AA"/>
    <w:rsid w:val="008913B6"/>
    <w:rsid w:val="00891B88"/>
    <w:rsid w:val="00893121"/>
    <w:rsid w:val="008950DF"/>
    <w:rsid w:val="00895152"/>
    <w:rsid w:val="008A0314"/>
    <w:rsid w:val="008A0361"/>
    <w:rsid w:val="008A12F4"/>
    <w:rsid w:val="008A2A0B"/>
    <w:rsid w:val="008A4244"/>
    <w:rsid w:val="008A5131"/>
    <w:rsid w:val="008A55CA"/>
    <w:rsid w:val="008A64B6"/>
    <w:rsid w:val="008A6CB4"/>
    <w:rsid w:val="008A75B3"/>
    <w:rsid w:val="008B4427"/>
    <w:rsid w:val="008B44FB"/>
    <w:rsid w:val="008B503C"/>
    <w:rsid w:val="008B60E3"/>
    <w:rsid w:val="008B649D"/>
    <w:rsid w:val="008B6E43"/>
    <w:rsid w:val="008B6F60"/>
    <w:rsid w:val="008B7044"/>
    <w:rsid w:val="008C09F0"/>
    <w:rsid w:val="008C15FB"/>
    <w:rsid w:val="008C36D8"/>
    <w:rsid w:val="008C656C"/>
    <w:rsid w:val="008C66FF"/>
    <w:rsid w:val="008C7FBF"/>
    <w:rsid w:val="008D000F"/>
    <w:rsid w:val="008D0114"/>
    <w:rsid w:val="008D33ED"/>
    <w:rsid w:val="008D3448"/>
    <w:rsid w:val="008D3D4E"/>
    <w:rsid w:val="008D3E41"/>
    <w:rsid w:val="008D409E"/>
    <w:rsid w:val="008D5FF5"/>
    <w:rsid w:val="008D66BB"/>
    <w:rsid w:val="008D6C14"/>
    <w:rsid w:val="008D7246"/>
    <w:rsid w:val="008E0413"/>
    <w:rsid w:val="008E10B8"/>
    <w:rsid w:val="008E13FE"/>
    <w:rsid w:val="008E1AC0"/>
    <w:rsid w:val="008E2F2D"/>
    <w:rsid w:val="008E31AC"/>
    <w:rsid w:val="008E3615"/>
    <w:rsid w:val="008E5CAF"/>
    <w:rsid w:val="008E6174"/>
    <w:rsid w:val="008E6C05"/>
    <w:rsid w:val="008E7309"/>
    <w:rsid w:val="008F229D"/>
    <w:rsid w:val="008F2C83"/>
    <w:rsid w:val="008F3E76"/>
    <w:rsid w:val="008F4025"/>
    <w:rsid w:val="008F4075"/>
    <w:rsid w:val="008F4726"/>
    <w:rsid w:val="008F60E8"/>
    <w:rsid w:val="008F7659"/>
    <w:rsid w:val="00900539"/>
    <w:rsid w:val="00900561"/>
    <w:rsid w:val="009014A1"/>
    <w:rsid w:val="00901A1C"/>
    <w:rsid w:val="0090299C"/>
    <w:rsid w:val="0090516D"/>
    <w:rsid w:val="0090519D"/>
    <w:rsid w:val="00905BA4"/>
    <w:rsid w:val="00910A40"/>
    <w:rsid w:val="00912BFB"/>
    <w:rsid w:val="009145BA"/>
    <w:rsid w:val="00916397"/>
    <w:rsid w:val="00920648"/>
    <w:rsid w:val="0092173C"/>
    <w:rsid w:val="009231BC"/>
    <w:rsid w:val="00923902"/>
    <w:rsid w:val="009240B0"/>
    <w:rsid w:val="009243B0"/>
    <w:rsid w:val="00924D2E"/>
    <w:rsid w:val="009255B6"/>
    <w:rsid w:val="009258CB"/>
    <w:rsid w:val="00925D7E"/>
    <w:rsid w:val="00925F33"/>
    <w:rsid w:val="009272E7"/>
    <w:rsid w:val="00930E84"/>
    <w:rsid w:val="00931BC8"/>
    <w:rsid w:val="00931C6D"/>
    <w:rsid w:val="00934746"/>
    <w:rsid w:val="00934C4F"/>
    <w:rsid w:val="009356E9"/>
    <w:rsid w:val="00936C0B"/>
    <w:rsid w:val="00940D6D"/>
    <w:rsid w:val="0094126E"/>
    <w:rsid w:val="0094157A"/>
    <w:rsid w:val="00942FA3"/>
    <w:rsid w:val="009435DA"/>
    <w:rsid w:val="0094468B"/>
    <w:rsid w:val="009460EB"/>
    <w:rsid w:val="009469E8"/>
    <w:rsid w:val="00947E46"/>
    <w:rsid w:val="00950363"/>
    <w:rsid w:val="00951A1C"/>
    <w:rsid w:val="009521B3"/>
    <w:rsid w:val="009527D3"/>
    <w:rsid w:val="00952CC7"/>
    <w:rsid w:val="00953E21"/>
    <w:rsid w:val="00953F6A"/>
    <w:rsid w:val="009540C1"/>
    <w:rsid w:val="00955D6E"/>
    <w:rsid w:val="00956268"/>
    <w:rsid w:val="0095679F"/>
    <w:rsid w:val="00956B42"/>
    <w:rsid w:val="00956E37"/>
    <w:rsid w:val="00956F47"/>
    <w:rsid w:val="0096036B"/>
    <w:rsid w:val="00960A1D"/>
    <w:rsid w:val="00960DEE"/>
    <w:rsid w:val="00961089"/>
    <w:rsid w:val="0096177B"/>
    <w:rsid w:val="0096398D"/>
    <w:rsid w:val="00963B63"/>
    <w:rsid w:val="0096546B"/>
    <w:rsid w:val="00965AAB"/>
    <w:rsid w:val="00966658"/>
    <w:rsid w:val="00966C3C"/>
    <w:rsid w:val="00972337"/>
    <w:rsid w:val="00973926"/>
    <w:rsid w:val="009749DC"/>
    <w:rsid w:val="009752B0"/>
    <w:rsid w:val="00975576"/>
    <w:rsid w:val="009765AD"/>
    <w:rsid w:val="00977347"/>
    <w:rsid w:val="00980556"/>
    <w:rsid w:val="00980990"/>
    <w:rsid w:val="009816D6"/>
    <w:rsid w:val="00981EED"/>
    <w:rsid w:val="0098545B"/>
    <w:rsid w:val="0098583F"/>
    <w:rsid w:val="0098763B"/>
    <w:rsid w:val="00987840"/>
    <w:rsid w:val="00987FED"/>
    <w:rsid w:val="00990167"/>
    <w:rsid w:val="0099034C"/>
    <w:rsid w:val="00994499"/>
    <w:rsid w:val="00997C30"/>
    <w:rsid w:val="009A247E"/>
    <w:rsid w:val="009A2D94"/>
    <w:rsid w:val="009A3E0D"/>
    <w:rsid w:val="009A51F5"/>
    <w:rsid w:val="009A5232"/>
    <w:rsid w:val="009A5BF7"/>
    <w:rsid w:val="009A647B"/>
    <w:rsid w:val="009A76BC"/>
    <w:rsid w:val="009B17B4"/>
    <w:rsid w:val="009B1CD2"/>
    <w:rsid w:val="009B2777"/>
    <w:rsid w:val="009B3C90"/>
    <w:rsid w:val="009B4837"/>
    <w:rsid w:val="009C052A"/>
    <w:rsid w:val="009C05FE"/>
    <w:rsid w:val="009C10A9"/>
    <w:rsid w:val="009C3DC8"/>
    <w:rsid w:val="009C4B9A"/>
    <w:rsid w:val="009C67B4"/>
    <w:rsid w:val="009C6C25"/>
    <w:rsid w:val="009C702C"/>
    <w:rsid w:val="009D0854"/>
    <w:rsid w:val="009D1CF6"/>
    <w:rsid w:val="009D24AF"/>
    <w:rsid w:val="009D3068"/>
    <w:rsid w:val="009D5BB4"/>
    <w:rsid w:val="009D5C23"/>
    <w:rsid w:val="009D5E89"/>
    <w:rsid w:val="009E08DB"/>
    <w:rsid w:val="009E196F"/>
    <w:rsid w:val="009E2938"/>
    <w:rsid w:val="009E298D"/>
    <w:rsid w:val="009E2994"/>
    <w:rsid w:val="009E2D79"/>
    <w:rsid w:val="009E3A18"/>
    <w:rsid w:val="009E3BBD"/>
    <w:rsid w:val="009E6865"/>
    <w:rsid w:val="009F2043"/>
    <w:rsid w:val="009F2A88"/>
    <w:rsid w:val="009F58E8"/>
    <w:rsid w:val="009F5A96"/>
    <w:rsid w:val="009F5C9B"/>
    <w:rsid w:val="009F7C9D"/>
    <w:rsid w:val="00A01862"/>
    <w:rsid w:val="00A01C20"/>
    <w:rsid w:val="00A02EB9"/>
    <w:rsid w:val="00A02F31"/>
    <w:rsid w:val="00A04A81"/>
    <w:rsid w:val="00A07B47"/>
    <w:rsid w:val="00A10678"/>
    <w:rsid w:val="00A10C00"/>
    <w:rsid w:val="00A11699"/>
    <w:rsid w:val="00A11AFC"/>
    <w:rsid w:val="00A1308B"/>
    <w:rsid w:val="00A13880"/>
    <w:rsid w:val="00A1426A"/>
    <w:rsid w:val="00A14460"/>
    <w:rsid w:val="00A153CC"/>
    <w:rsid w:val="00A15E59"/>
    <w:rsid w:val="00A20226"/>
    <w:rsid w:val="00A2043A"/>
    <w:rsid w:val="00A211CB"/>
    <w:rsid w:val="00A2163B"/>
    <w:rsid w:val="00A21E83"/>
    <w:rsid w:val="00A22B90"/>
    <w:rsid w:val="00A23FD5"/>
    <w:rsid w:val="00A248DA"/>
    <w:rsid w:val="00A24F98"/>
    <w:rsid w:val="00A25415"/>
    <w:rsid w:val="00A25E5F"/>
    <w:rsid w:val="00A2637A"/>
    <w:rsid w:val="00A267EB"/>
    <w:rsid w:val="00A26B2B"/>
    <w:rsid w:val="00A26EE6"/>
    <w:rsid w:val="00A304CE"/>
    <w:rsid w:val="00A30ED8"/>
    <w:rsid w:val="00A30EF1"/>
    <w:rsid w:val="00A31CD9"/>
    <w:rsid w:val="00A3215D"/>
    <w:rsid w:val="00A32200"/>
    <w:rsid w:val="00A33717"/>
    <w:rsid w:val="00A364B1"/>
    <w:rsid w:val="00A402AE"/>
    <w:rsid w:val="00A403FE"/>
    <w:rsid w:val="00A410A9"/>
    <w:rsid w:val="00A41D4B"/>
    <w:rsid w:val="00A42E26"/>
    <w:rsid w:val="00A43C49"/>
    <w:rsid w:val="00A44966"/>
    <w:rsid w:val="00A45724"/>
    <w:rsid w:val="00A46009"/>
    <w:rsid w:val="00A4600F"/>
    <w:rsid w:val="00A4614C"/>
    <w:rsid w:val="00A46468"/>
    <w:rsid w:val="00A46A6A"/>
    <w:rsid w:val="00A46A6C"/>
    <w:rsid w:val="00A50073"/>
    <w:rsid w:val="00A500E5"/>
    <w:rsid w:val="00A50156"/>
    <w:rsid w:val="00A526F4"/>
    <w:rsid w:val="00A52A16"/>
    <w:rsid w:val="00A52AF6"/>
    <w:rsid w:val="00A53CCB"/>
    <w:rsid w:val="00A54A09"/>
    <w:rsid w:val="00A55108"/>
    <w:rsid w:val="00A55A44"/>
    <w:rsid w:val="00A55AFC"/>
    <w:rsid w:val="00A60323"/>
    <w:rsid w:val="00A61E8B"/>
    <w:rsid w:val="00A6298A"/>
    <w:rsid w:val="00A64EFB"/>
    <w:rsid w:val="00A661DC"/>
    <w:rsid w:val="00A7121D"/>
    <w:rsid w:val="00A71519"/>
    <w:rsid w:val="00A718CB"/>
    <w:rsid w:val="00A72574"/>
    <w:rsid w:val="00A748C2"/>
    <w:rsid w:val="00A77435"/>
    <w:rsid w:val="00A777C6"/>
    <w:rsid w:val="00A81719"/>
    <w:rsid w:val="00A8180D"/>
    <w:rsid w:val="00A83BD7"/>
    <w:rsid w:val="00A83EEF"/>
    <w:rsid w:val="00A84122"/>
    <w:rsid w:val="00A85BA3"/>
    <w:rsid w:val="00A85BFB"/>
    <w:rsid w:val="00A86D93"/>
    <w:rsid w:val="00A90629"/>
    <w:rsid w:val="00A9119B"/>
    <w:rsid w:val="00A918B5"/>
    <w:rsid w:val="00A91F5E"/>
    <w:rsid w:val="00A92B60"/>
    <w:rsid w:val="00A93774"/>
    <w:rsid w:val="00A93819"/>
    <w:rsid w:val="00A93834"/>
    <w:rsid w:val="00A93EE6"/>
    <w:rsid w:val="00A94225"/>
    <w:rsid w:val="00A9449F"/>
    <w:rsid w:val="00A959A7"/>
    <w:rsid w:val="00A95F9C"/>
    <w:rsid w:val="00A9715B"/>
    <w:rsid w:val="00AA0FA2"/>
    <w:rsid w:val="00AA3924"/>
    <w:rsid w:val="00AA3DF6"/>
    <w:rsid w:val="00AA3FFD"/>
    <w:rsid w:val="00AA41D5"/>
    <w:rsid w:val="00AA4F8B"/>
    <w:rsid w:val="00AA67B7"/>
    <w:rsid w:val="00AA6D12"/>
    <w:rsid w:val="00AA7574"/>
    <w:rsid w:val="00AB2E4B"/>
    <w:rsid w:val="00AB4691"/>
    <w:rsid w:val="00AB59AB"/>
    <w:rsid w:val="00AB69FF"/>
    <w:rsid w:val="00AB6B31"/>
    <w:rsid w:val="00AC1394"/>
    <w:rsid w:val="00AC2E20"/>
    <w:rsid w:val="00AC369A"/>
    <w:rsid w:val="00AC3B0C"/>
    <w:rsid w:val="00AC49F7"/>
    <w:rsid w:val="00AC6907"/>
    <w:rsid w:val="00AC6E56"/>
    <w:rsid w:val="00AD019F"/>
    <w:rsid w:val="00AD0CE1"/>
    <w:rsid w:val="00AD6405"/>
    <w:rsid w:val="00AD7155"/>
    <w:rsid w:val="00AD7A47"/>
    <w:rsid w:val="00AE04C9"/>
    <w:rsid w:val="00AE1311"/>
    <w:rsid w:val="00AE26AB"/>
    <w:rsid w:val="00AE29C1"/>
    <w:rsid w:val="00AE389D"/>
    <w:rsid w:val="00AE4361"/>
    <w:rsid w:val="00AE51EA"/>
    <w:rsid w:val="00AE5B1F"/>
    <w:rsid w:val="00AE6B76"/>
    <w:rsid w:val="00AE75A5"/>
    <w:rsid w:val="00AE7C12"/>
    <w:rsid w:val="00AF2D03"/>
    <w:rsid w:val="00AF3717"/>
    <w:rsid w:val="00AF4CEC"/>
    <w:rsid w:val="00AF6DDF"/>
    <w:rsid w:val="00B0000B"/>
    <w:rsid w:val="00B02317"/>
    <w:rsid w:val="00B0322B"/>
    <w:rsid w:val="00B03BED"/>
    <w:rsid w:val="00B044F9"/>
    <w:rsid w:val="00B065D2"/>
    <w:rsid w:val="00B07A27"/>
    <w:rsid w:val="00B102E7"/>
    <w:rsid w:val="00B10835"/>
    <w:rsid w:val="00B122AE"/>
    <w:rsid w:val="00B1284C"/>
    <w:rsid w:val="00B12BD5"/>
    <w:rsid w:val="00B13942"/>
    <w:rsid w:val="00B159C8"/>
    <w:rsid w:val="00B16BB0"/>
    <w:rsid w:val="00B1737F"/>
    <w:rsid w:val="00B17416"/>
    <w:rsid w:val="00B2002F"/>
    <w:rsid w:val="00B22147"/>
    <w:rsid w:val="00B23E01"/>
    <w:rsid w:val="00B24663"/>
    <w:rsid w:val="00B26BDA"/>
    <w:rsid w:val="00B273EC"/>
    <w:rsid w:val="00B27D01"/>
    <w:rsid w:val="00B311D5"/>
    <w:rsid w:val="00B31D3A"/>
    <w:rsid w:val="00B32FBC"/>
    <w:rsid w:val="00B34ECB"/>
    <w:rsid w:val="00B35F19"/>
    <w:rsid w:val="00B35FCE"/>
    <w:rsid w:val="00B37018"/>
    <w:rsid w:val="00B410EE"/>
    <w:rsid w:val="00B427FD"/>
    <w:rsid w:val="00B42D75"/>
    <w:rsid w:val="00B44181"/>
    <w:rsid w:val="00B44341"/>
    <w:rsid w:val="00B47E19"/>
    <w:rsid w:val="00B50E81"/>
    <w:rsid w:val="00B51060"/>
    <w:rsid w:val="00B51C01"/>
    <w:rsid w:val="00B5217D"/>
    <w:rsid w:val="00B547F4"/>
    <w:rsid w:val="00B55004"/>
    <w:rsid w:val="00B56868"/>
    <w:rsid w:val="00B619DC"/>
    <w:rsid w:val="00B63730"/>
    <w:rsid w:val="00B641CE"/>
    <w:rsid w:val="00B658C3"/>
    <w:rsid w:val="00B65A6C"/>
    <w:rsid w:val="00B6605C"/>
    <w:rsid w:val="00B713B3"/>
    <w:rsid w:val="00B73E6A"/>
    <w:rsid w:val="00B73EE1"/>
    <w:rsid w:val="00B74BE7"/>
    <w:rsid w:val="00B75E3F"/>
    <w:rsid w:val="00B7633E"/>
    <w:rsid w:val="00B83078"/>
    <w:rsid w:val="00B84601"/>
    <w:rsid w:val="00B85113"/>
    <w:rsid w:val="00B87765"/>
    <w:rsid w:val="00B91B1B"/>
    <w:rsid w:val="00B91D8C"/>
    <w:rsid w:val="00B928D0"/>
    <w:rsid w:val="00B92D0F"/>
    <w:rsid w:val="00B92ED5"/>
    <w:rsid w:val="00B930D3"/>
    <w:rsid w:val="00B94121"/>
    <w:rsid w:val="00B94B84"/>
    <w:rsid w:val="00B9546B"/>
    <w:rsid w:val="00B95B75"/>
    <w:rsid w:val="00B960CE"/>
    <w:rsid w:val="00B9687F"/>
    <w:rsid w:val="00BA0320"/>
    <w:rsid w:val="00BA051A"/>
    <w:rsid w:val="00BA101D"/>
    <w:rsid w:val="00BA17A6"/>
    <w:rsid w:val="00BA1930"/>
    <w:rsid w:val="00BA1F2D"/>
    <w:rsid w:val="00BA2792"/>
    <w:rsid w:val="00BA285D"/>
    <w:rsid w:val="00BA4309"/>
    <w:rsid w:val="00BA5A3B"/>
    <w:rsid w:val="00BA5BCB"/>
    <w:rsid w:val="00BA6926"/>
    <w:rsid w:val="00BA6AA7"/>
    <w:rsid w:val="00BA7BE2"/>
    <w:rsid w:val="00BB062A"/>
    <w:rsid w:val="00BB24AC"/>
    <w:rsid w:val="00BB2793"/>
    <w:rsid w:val="00BB2B28"/>
    <w:rsid w:val="00BB3D81"/>
    <w:rsid w:val="00BB41E2"/>
    <w:rsid w:val="00BB4B5B"/>
    <w:rsid w:val="00BB5494"/>
    <w:rsid w:val="00BB5B44"/>
    <w:rsid w:val="00BB6714"/>
    <w:rsid w:val="00BC14C7"/>
    <w:rsid w:val="00BC1F3F"/>
    <w:rsid w:val="00BC3F31"/>
    <w:rsid w:val="00BC42F1"/>
    <w:rsid w:val="00BC5037"/>
    <w:rsid w:val="00BC5487"/>
    <w:rsid w:val="00BC5CCB"/>
    <w:rsid w:val="00BD0FDE"/>
    <w:rsid w:val="00BD1BDC"/>
    <w:rsid w:val="00BD2C68"/>
    <w:rsid w:val="00BD32F2"/>
    <w:rsid w:val="00BD38C3"/>
    <w:rsid w:val="00BD4099"/>
    <w:rsid w:val="00BD4E96"/>
    <w:rsid w:val="00BD6527"/>
    <w:rsid w:val="00BD6618"/>
    <w:rsid w:val="00BD6AD8"/>
    <w:rsid w:val="00BD703D"/>
    <w:rsid w:val="00BD7F04"/>
    <w:rsid w:val="00BE124B"/>
    <w:rsid w:val="00BE147A"/>
    <w:rsid w:val="00BE2792"/>
    <w:rsid w:val="00BE43B1"/>
    <w:rsid w:val="00BE5088"/>
    <w:rsid w:val="00BE50FD"/>
    <w:rsid w:val="00BE59A1"/>
    <w:rsid w:val="00BE73FB"/>
    <w:rsid w:val="00BE7D1F"/>
    <w:rsid w:val="00BE7D83"/>
    <w:rsid w:val="00BF2834"/>
    <w:rsid w:val="00BF2A1C"/>
    <w:rsid w:val="00BF7AB7"/>
    <w:rsid w:val="00C021DF"/>
    <w:rsid w:val="00C04F95"/>
    <w:rsid w:val="00C0500F"/>
    <w:rsid w:val="00C05AC6"/>
    <w:rsid w:val="00C05EDE"/>
    <w:rsid w:val="00C06827"/>
    <w:rsid w:val="00C06989"/>
    <w:rsid w:val="00C07A11"/>
    <w:rsid w:val="00C07A52"/>
    <w:rsid w:val="00C12D38"/>
    <w:rsid w:val="00C12F57"/>
    <w:rsid w:val="00C132E6"/>
    <w:rsid w:val="00C13D78"/>
    <w:rsid w:val="00C156CC"/>
    <w:rsid w:val="00C15F2B"/>
    <w:rsid w:val="00C17D17"/>
    <w:rsid w:val="00C20924"/>
    <w:rsid w:val="00C20AB5"/>
    <w:rsid w:val="00C21527"/>
    <w:rsid w:val="00C223ED"/>
    <w:rsid w:val="00C227D5"/>
    <w:rsid w:val="00C24119"/>
    <w:rsid w:val="00C24FB1"/>
    <w:rsid w:val="00C26644"/>
    <w:rsid w:val="00C268AC"/>
    <w:rsid w:val="00C2702B"/>
    <w:rsid w:val="00C2730D"/>
    <w:rsid w:val="00C3080A"/>
    <w:rsid w:val="00C31B88"/>
    <w:rsid w:val="00C31FAB"/>
    <w:rsid w:val="00C32D35"/>
    <w:rsid w:val="00C33A55"/>
    <w:rsid w:val="00C340A7"/>
    <w:rsid w:val="00C34852"/>
    <w:rsid w:val="00C40CCC"/>
    <w:rsid w:val="00C41492"/>
    <w:rsid w:val="00C41B7F"/>
    <w:rsid w:val="00C42D15"/>
    <w:rsid w:val="00C43DF8"/>
    <w:rsid w:val="00C44362"/>
    <w:rsid w:val="00C447E4"/>
    <w:rsid w:val="00C44B30"/>
    <w:rsid w:val="00C44F11"/>
    <w:rsid w:val="00C5083F"/>
    <w:rsid w:val="00C51461"/>
    <w:rsid w:val="00C5297A"/>
    <w:rsid w:val="00C53B8F"/>
    <w:rsid w:val="00C54E9F"/>
    <w:rsid w:val="00C574A1"/>
    <w:rsid w:val="00C5776B"/>
    <w:rsid w:val="00C60A4E"/>
    <w:rsid w:val="00C611CA"/>
    <w:rsid w:val="00C63792"/>
    <w:rsid w:val="00C63EEA"/>
    <w:rsid w:val="00C66308"/>
    <w:rsid w:val="00C70B05"/>
    <w:rsid w:val="00C70C37"/>
    <w:rsid w:val="00C70E44"/>
    <w:rsid w:val="00C7399E"/>
    <w:rsid w:val="00C73DB7"/>
    <w:rsid w:val="00C7500A"/>
    <w:rsid w:val="00C751B5"/>
    <w:rsid w:val="00C763EF"/>
    <w:rsid w:val="00C76C4A"/>
    <w:rsid w:val="00C82442"/>
    <w:rsid w:val="00C826E7"/>
    <w:rsid w:val="00C82D6E"/>
    <w:rsid w:val="00C833D5"/>
    <w:rsid w:val="00C84BDF"/>
    <w:rsid w:val="00C85747"/>
    <w:rsid w:val="00C863A9"/>
    <w:rsid w:val="00C864FF"/>
    <w:rsid w:val="00C87B57"/>
    <w:rsid w:val="00C87F56"/>
    <w:rsid w:val="00C90CFD"/>
    <w:rsid w:val="00C914B2"/>
    <w:rsid w:val="00C92F30"/>
    <w:rsid w:val="00C941ED"/>
    <w:rsid w:val="00C9425F"/>
    <w:rsid w:val="00C946E9"/>
    <w:rsid w:val="00C96065"/>
    <w:rsid w:val="00C960EF"/>
    <w:rsid w:val="00C961B0"/>
    <w:rsid w:val="00C96F57"/>
    <w:rsid w:val="00CA04FC"/>
    <w:rsid w:val="00CA0CEF"/>
    <w:rsid w:val="00CA3680"/>
    <w:rsid w:val="00CA4E15"/>
    <w:rsid w:val="00CA59C4"/>
    <w:rsid w:val="00CA5EBF"/>
    <w:rsid w:val="00CA6505"/>
    <w:rsid w:val="00CA675E"/>
    <w:rsid w:val="00CA72EC"/>
    <w:rsid w:val="00CA78CC"/>
    <w:rsid w:val="00CB19FC"/>
    <w:rsid w:val="00CB19FD"/>
    <w:rsid w:val="00CB1C47"/>
    <w:rsid w:val="00CB1D17"/>
    <w:rsid w:val="00CB3448"/>
    <w:rsid w:val="00CB4C9A"/>
    <w:rsid w:val="00CB4D2B"/>
    <w:rsid w:val="00CB762D"/>
    <w:rsid w:val="00CB7CE3"/>
    <w:rsid w:val="00CB7EB1"/>
    <w:rsid w:val="00CC0081"/>
    <w:rsid w:val="00CC082E"/>
    <w:rsid w:val="00CC1DBB"/>
    <w:rsid w:val="00CC1FCF"/>
    <w:rsid w:val="00CC28DD"/>
    <w:rsid w:val="00CC2CDA"/>
    <w:rsid w:val="00CC32FE"/>
    <w:rsid w:val="00CC4872"/>
    <w:rsid w:val="00CC4FEC"/>
    <w:rsid w:val="00CC5916"/>
    <w:rsid w:val="00CC592E"/>
    <w:rsid w:val="00CC6E9E"/>
    <w:rsid w:val="00CD0894"/>
    <w:rsid w:val="00CD096B"/>
    <w:rsid w:val="00CD1EBD"/>
    <w:rsid w:val="00CD3DF0"/>
    <w:rsid w:val="00CD62A6"/>
    <w:rsid w:val="00CE1177"/>
    <w:rsid w:val="00CE1F95"/>
    <w:rsid w:val="00CE2108"/>
    <w:rsid w:val="00CE6856"/>
    <w:rsid w:val="00CE6DCE"/>
    <w:rsid w:val="00CE6FD1"/>
    <w:rsid w:val="00CE7B3D"/>
    <w:rsid w:val="00CF1917"/>
    <w:rsid w:val="00CF2397"/>
    <w:rsid w:val="00CF4F75"/>
    <w:rsid w:val="00CF6262"/>
    <w:rsid w:val="00CF79B4"/>
    <w:rsid w:val="00D00FF3"/>
    <w:rsid w:val="00D02DD5"/>
    <w:rsid w:val="00D03873"/>
    <w:rsid w:val="00D03F7B"/>
    <w:rsid w:val="00D0615D"/>
    <w:rsid w:val="00D0663A"/>
    <w:rsid w:val="00D06EBA"/>
    <w:rsid w:val="00D07337"/>
    <w:rsid w:val="00D100D5"/>
    <w:rsid w:val="00D118BD"/>
    <w:rsid w:val="00D11CF7"/>
    <w:rsid w:val="00D120B0"/>
    <w:rsid w:val="00D12742"/>
    <w:rsid w:val="00D12F90"/>
    <w:rsid w:val="00D13A19"/>
    <w:rsid w:val="00D14012"/>
    <w:rsid w:val="00D1421A"/>
    <w:rsid w:val="00D156CC"/>
    <w:rsid w:val="00D15BC9"/>
    <w:rsid w:val="00D161B7"/>
    <w:rsid w:val="00D173F1"/>
    <w:rsid w:val="00D17851"/>
    <w:rsid w:val="00D1790B"/>
    <w:rsid w:val="00D200FA"/>
    <w:rsid w:val="00D238AD"/>
    <w:rsid w:val="00D23A79"/>
    <w:rsid w:val="00D265DD"/>
    <w:rsid w:val="00D26ABD"/>
    <w:rsid w:val="00D27196"/>
    <w:rsid w:val="00D271FD"/>
    <w:rsid w:val="00D27348"/>
    <w:rsid w:val="00D27A88"/>
    <w:rsid w:val="00D30355"/>
    <w:rsid w:val="00D303E7"/>
    <w:rsid w:val="00D317E0"/>
    <w:rsid w:val="00D319D4"/>
    <w:rsid w:val="00D3239B"/>
    <w:rsid w:val="00D334C5"/>
    <w:rsid w:val="00D3634E"/>
    <w:rsid w:val="00D36F52"/>
    <w:rsid w:val="00D40B41"/>
    <w:rsid w:val="00D4129B"/>
    <w:rsid w:val="00D41A97"/>
    <w:rsid w:val="00D44370"/>
    <w:rsid w:val="00D45712"/>
    <w:rsid w:val="00D45BAE"/>
    <w:rsid w:val="00D46286"/>
    <w:rsid w:val="00D47590"/>
    <w:rsid w:val="00D47CC3"/>
    <w:rsid w:val="00D47D31"/>
    <w:rsid w:val="00D5088A"/>
    <w:rsid w:val="00D5223F"/>
    <w:rsid w:val="00D54826"/>
    <w:rsid w:val="00D55127"/>
    <w:rsid w:val="00D55288"/>
    <w:rsid w:val="00D558CD"/>
    <w:rsid w:val="00D57EBE"/>
    <w:rsid w:val="00D601D3"/>
    <w:rsid w:val="00D60AE9"/>
    <w:rsid w:val="00D61A46"/>
    <w:rsid w:val="00D61C50"/>
    <w:rsid w:val="00D6517A"/>
    <w:rsid w:val="00D66AD1"/>
    <w:rsid w:val="00D714A6"/>
    <w:rsid w:val="00D744D7"/>
    <w:rsid w:val="00D746B2"/>
    <w:rsid w:val="00D75FAF"/>
    <w:rsid w:val="00D76905"/>
    <w:rsid w:val="00D7717A"/>
    <w:rsid w:val="00D808CE"/>
    <w:rsid w:val="00D80FE1"/>
    <w:rsid w:val="00D824B8"/>
    <w:rsid w:val="00D82FD7"/>
    <w:rsid w:val="00D843A1"/>
    <w:rsid w:val="00D844B1"/>
    <w:rsid w:val="00D870A9"/>
    <w:rsid w:val="00D87C0E"/>
    <w:rsid w:val="00D90430"/>
    <w:rsid w:val="00D905A2"/>
    <w:rsid w:val="00D916FD"/>
    <w:rsid w:val="00D92A63"/>
    <w:rsid w:val="00D9337D"/>
    <w:rsid w:val="00D95DF0"/>
    <w:rsid w:val="00D97DC8"/>
    <w:rsid w:val="00DA0624"/>
    <w:rsid w:val="00DA2501"/>
    <w:rsid w:val="00DA34B1"/>
    <w:rsid w:val="00DA3724"/>
    <w:rsid w:val="00DA46F6"/>
    <w:rsid w:val="00DA60D8"/>
    <w:rsid w:val="00DA76F0"/>
    <w:rsid w:val="00DB13EC"/>
    <w:rsid w:val="00DB1809"/>
    <w:rsid w:val="00DB1DB6"/>
    <w:rsid w:val="00DB2415"/>
    <w:rsid w:val="00DB2C53"/>
    <w:rsid w:val="00DB31E8"/>
    <w:rsid w:val="00DB3546"/>
    <w:rsid w:val="00DB515D"/>
    <w:rsid w:val="00DB73AE"/>
    <w:rsid w:val="00DC0980"/>
    <w:rsid w:val="00DC1571"/>
    <w:rsid w:val="00DC1B8E"/>
    <w:rsid w:val="00DC2D67"/>
    <w:rsid w:val="00DC2D69"/>
    <w:rsid w:val="00DC4081"/>
    <w:rsid w:val="00DC475E"/>
    <w:rsid w:val="00DC4C4D"/>
    <w:rsid w:val="00DC4F7B"/>
    <w:rsid w:val="00DC54CC"/>
    <w:rsid w:val="00DC7705"/>
    <w:rsid w:val="00DC79DC"/>
    <w:rsid w:val="00DD00CB"/>
    <w:rsid w:val="00DD09FD"/>
    <w:rsid w:val="00DD0BBD"/>
    <w:rsid w:val="00DD0E8B"/>
    <w:rsid w:val="00DD1569"/>
    <w:rsid w:val="00DD16E2"/>
    <w:rsid w:val="00DD2521"/>
    <w:rsid w:val="00DD3851"/>
    <w:rsid w:val="00DD53FF"/>
    <w:rsid w:val="00DD5A82"/>
    <w:rsid w:val="00DD5BE6"/>
    <w:rsid w:val="00DD659A"/>
    <w:rsid w:val="00DE1BFE"/>
    <w:rsid w:val="00DE38FA"/>
    <w:rsid w:val="00DE3BB2"/>
    <w:rsid w:val="00DE4D9B"/>
    <w:rsid w:val="00DE6341"/>
    <w:rsid w:val="00DF0088"/>
    <w:rsid w:val="00DF0173"/>
    <w:rsid w:val="00DF060C"/>
    <w:rsid w:val="00DF1B64"/>
    <w:rsid w:val="00DF339C"/>
    <w:rsid w:val="00DF38A1"/>
    <w:rsid w:val="00DF4858"/>
    <w:rsid w:val="00DF680B"/>
    <w:rsid w:val="00DF6FF1"/>
    <w:rsid w:val="00E033D9"/>
    <w:rsid w:val="00E058BA"/>
    <w:rsid w:val="00E05CEF"/>
    <w:rsid w:val="00E05CFB"/>
    <w:rsid w:val="00E05EAA"/>
    <w:rsid w:val="00E06441"/>
    <w:rsid w:val="00E06679"/>
    <w:rsid w:val="00E07EDB"/>
    <w:rsid w:val="00E1176D"/>
    <w:rsid w:val="00E11C6E"/>
    <w:rsid w:val="00E12AA5"/>
    <w:rsid w:val="00E12C4F"/>
    <w:rsid w:val="00E1447C"/>
    <w:rsid w:val="00E1509E"/>
    <w:rsid w:val="00E15D9F"/>
    <w:rsid w:val="00E16113"/>
    <w:rsid w:val="00E16379"/>
    <w:rsid w:val="00E16CE3"/>
    <w:rsid w:val="00E171F9"/>
    <w:rsid w:val="00E21064"/>
    <w:rsid w:val="00E22C22"/>
    <w:rsid w:val="00E2341A"/>
    <w:rsid w:val="00E23C0A"/>
    <w:rsid w:val="00E23C5B"/>
    <w:rsid w:val="00E2443F"/>
    <w:rsid w:val="00E24722"/>
    <w:rsid w:val="00E24F6A"/>
    <w:rsid w:val="00E263F4"/>
    <w:rsid w:val="00E267EA"/>
    <w:rsid w:val="00E31430"/>
    <w:rsid w:val="00E319F8"/>
    <w:rsid w:val="00E32875"/>
    <w:rsid w:val="00E32FEC"/>
    <w:rsid w:val="00E33605"/>
    <w:rsid w:val="00E35476"/>
    <w:rsid w:val="00E354FF"/>
    <w:rsid w:val="00E35D79"/>
    <w:rsid w:val="00E3689C"/>
    <w:rsid w:val="00E36C43"/>
    <w:rsid w:val="00E37B7F"/>
    <w:rsid w:val="00E40780"/>
    <w:rsid w:val="00E40A09"/>
    <w:rsid w:val="00E44C97"/>
    <w:rsid w:val="00E463CE"/>
    <w:rsid w:val="00E46FA5"/>
    <w:rsid w:val="00E47BCC"/>
    <w:rsid w:val="00E47D5B"/>
    <w:rsid w:val="00E50141"/>
    <w:rsid w:val="00E501E0"/>
    <w:rsid w:val="00E50478"/>
    <w:rsid w:val="00E5152B"/>
    <w:rsid w:val="00E51C1E"/>
    <w:rsid w:val="00E51D47"/>
    <w:rsid w:val="00E5223D"/>
    <w:rsid w:val="00E52337"/>
    <w:rsid w:val="00E52E10"/>
    <w:rsid w:val="00E52E79"/>
    <w:rsid w:val="00E53020"/>
    <w:rsid w:val="00E543FD"/>
    <w:rsid w:val="00E54CE5"/>
    <w:rsid w:val="00E557E2"/>
    <w:rsid w:val="00E56A84"/>
    <w:rsid w:val="00E56AFE"/>
    <w:rsid w:val="00E56C56"/>
    <w:rsid w:val="00E56FA1"/>
    <w:rsid w:val="00E577ED"/>
    <w:rsid w:val="00E60ACB"/>
    <w:rsid w:val="00E6106B"/>
    <w:rsid w:val="00E6440A"/>
    <w:rsid w:val="00E6461B"/>
    <w:rsid w:val="00E64825"/>
    <w:rsid w:val="00E64F68"/>
    <w:rsid w:val="00E701F3"/>
    <w:rsid w:val="00E70AC4"/>
    <w:rsid w:val="00E70B7D"/>
    <w:rsid w:val="00E70F72"/>
    <w:rsid w:val="00E715D8"/>
    <w:rsid w:val="00E7297F"/>
    <w:rsid w:val="00E73EA4"/>
    <w:rsid w:val="00E73FE7"/>
    <w:rsid w:val="00E7654B"/>
    <w:rsid w:val="00E8024C"/>
    <w:rsid w:val="00E82399"/>
    <w:rsid w:val="00E84F7A"/>
    <w:rsid w:val="00E85992"/>
    <w:rsid w:val="00E86961"/>
    <w:rsid w:val="00E87AFC"/>
    <w:rsid w:val="00E9053E"/>
    <w:rsid w:val="00E905E2"/>
    <w:rsid w:val="00E91890"/>
    <w:rsid w:val="00E91E45"/>
    <w:rsid w:val="00E935E2"/>
    <w:rsid w:val="00E93BE8"/>
    <w:rsid w:val="00E93DA2"/>
    <w:rsid w:val="00E943FC"/>
    <w:rsid w:val="00E94913"/>
    <w:rsid w:val="00E94D47"/>
    <w:rsid w:val="00E9539A"/>
    <w:rsid w:val="00E966A1"/>
    <w:rsid w:val="00EA0DE3"/>
    <w:rsid w:val="00EA1293"/>
    <w:rsid w:val="00EA1A22"/>
    <w:rsid w:val="00EA3B2A"/>
    <w:rsid w:val="00EA53C3"/>
    <w:rsid w:val="00EA59CB"/>
    <w:rsid w:val="00EA5BFF"/>
    <w:rsid w:val="00EA616B"/>
    <w:rsid w:val="00EA7593"/>
    <w:rsid w:val="00EB0457"/>
    <w:rsid w:val="00EB13D6"/>
    <w:rsid w:val="00EB30EC"/>
    <w:rsid w:val="00EB4776"/>
    <w:rsid w:val="00EB4DDF"/>
    <w:rsid w:val="00EB581E"/>
    <w:rsid w:val="00EB658C"/>
    <w:rsid w:val="00EB70A4"/>
    <w:rsid w:val="00EB7899"/>
    <w:rsid w:val="00EC26BE"/>
    <w:rsid w:val="00EC457F"/>
    <w:rsid w:val="00EC484D"/>
    <w:rsid w:val="00EC5077"/>
    <w:rsid w:val="00EC532C"/>
    <w:rsid w:val="00EC5DF4"/>
    <w:rsid w:val="00ED17F0"/>
    <w:rsid w:val="00ED251A"/>
    <w:rsid w:val="00ED2609"/>
    <w:rsid w:val="00ED4B33"/>
    <w:rsid w:val="00ED530A"/>
    <w:rsid w:val="00ED59F1"/>
    <w:rsid w:val="00ED6512"/>
    <w:rsid w:val="00ED6A12"/>
    <w:rsid w:val="00EE197A"/>
    <w:rsid w:val="00EE1B65"/>
    <w:rsid w:val="00EE62ED"/>
    <w:rsid w:val="00EE7565"/>
    <w:rsid w:val="00EE7ACA"/>
    <w:rsid w:val="00EE7C88"/>
    <w:rsid w:val="00EE7E19"/>
    <w:rsid w:val="00EF0518"/>
    <w:rsid w:val="00EF06E0"/>
    <w:rsid w:val="00EF33F3"/>
    <w:rsid w:val="00EF3765"/>
    <w:rsid w:val="00EF4F9E"/>
    <w:rsid w:val="00EF56EE"/>
    <w:rsid w:val="00EF7171"/>
    <w:rsid w:val="00EF732B"/>
    <w:rsid w:val="00F01F48"/>
    <w:rsid w:val="00F02C57"/>
    <w:rsid w:val="00F047D8"/>
    <w:rsid w:val="00F04D93"/>
    <w:rsid w:val="00F065EC"/>
    <w:rsid w:val="00F06681"/>
    <w:rsid w:val="00F1060B"/>
    <w:rsid w:val="00F11C69"/>
    <w:rsid w:val="00F124E5"/>
    <w:rsid w:val="00F12659"/>
    <w:rsid w:val="00F12FEE"/>
    <w:rsid w:val="00F13665"/>
    <w:rsid w:val="00F15835"/>
    <w:rsid w:val="00F2057D"/>
    <w:rsid w:val="00F21FDE"/>
    <w:rsid w:val="00F23979"/>
    <w:rsid w:val="00F2409E"/>
    <w:rsid w:val="00F25E95"/>
    <w:rsid w:val="00F26034"/>
    <w:rsid w:val="00F26A6C"/>
    <w:rsid w:val="00F30217"/>
    <w:rsid w:val="00F305C4"/>
    <w:rsid w:val="00F307A6"/>
    <w:rsid w:val="00F30A5E"/>
    <w:rsid w:val="00F30C56"/>
    <w:rsid w:val="00F314A9"/>
    <w:rsid w:val="00F31D55"/>
    <w:rsid w:val="00F322CC"/>
    <w:rsid w:val="00F32477"/>
    <w:rsid w:val="00F32558"/>
    <w:rsid w:val="00F334EE"/>
    <w:rsid w:val="00F3435A"/>
    <w:rsid w:val="00F34D4C"/>
    <w:rsid w:val="00F35352"/>
    <w:rsid w:val="00F365BB"/>
    <w:rsid w:val="00F36F13"/>
    <w:rsid w:val="00F37A7E"/>
    <w:rsid w:val="00F4214F"/>
    <w:rsid w:val="00F42224"/>
    <w:rsid w:val="00F43CCD"/>
    <w:rsid w:val="00F44029"/>
    <w:rsid w:val="00F45464"/>
    <w:rsid w:val="00F45650"/>
    <w:rsid w:val="00F460A3"/>
    <w:rsid w:val="00F46C68"/>
    <w:rsid w:val="00F5058B"/>
    <w:rsid w:val="00F505B2"/>
    <w:rsid w:val="00F5275A"/>
    <w:rsid w:val="00F528B1"/>
    <w:rsid w:val="00F53060"/>
    <w:rsid w:val="00F55142"/>
    <w:rsid w:val="00F568EE"/>
    <w:rsid w:val="00F60E22"/>
    <w:rsid w:val="00F61211"/>
    <w:rsid w:val="00F613F0"/>
    <w:rsid w:val="00F61545"/>
    <w:rsid w:val="00F63A5D"/>
    <w:rsid w:val="00F65896"/>
    <w:rsid w:val="00F65915"/>
    <w:rsid w:val="00F71057"/>
    <w:rsid w:val="00F718F8"/>
    <w:rsid w:val="00F722BD"/>
    <w:rsid w:val="00F727A3"/>
    <w:rsid w:val="00F72D6F"/>
    <w:rsid w:val="00F73A64"/>
    <w:rsid w:val="00F73DFD"/>
    <w:rsid w:val="00F76D1E"/>
    <w:rsid w:val="00F7776F"/>
    <w:rsid w:val="00F80DAD"/>
    <w:rsid w:val="00F80E0E"/>
    <w:rsid w:val="00F814D0"/>
    <w:rsid w:val="00F816C4"/>
    <w:rsid w:val="00F819FB"/>
    <w:rsid w:val="00F81A2D"/>
    <w:rsid w:val="00F82948"/>
    <w:rsid w:val="00F83C81"/>
    <w:rsid w:val="00F85F3C"/>
    <w:rsid w:val="00F862C3"/>
    <w:rsid w:val="00F8737F"/>
    <w:rsid w:val="00F913F0"/>
    <w:rsid w:val="00F91439"/>
    <w:rsid w:val="00F927E7"/>
    <w:rsid w:val="00F93534"/>
    <w:rsid w:val="00F9414A"/>
    <w:rsid w:val="00F9456C"/>
    <w:rsid w:val="00F94AF8"/>
    <w:rsid w:val="00F95831"/>
    <w:rsid w:val="00F967D4"/>
    <w:rsid w:val="00F9718C"/>
    <w:rsid w:val="00FA00EE"/>
    <w:rsid w:val="00FA076E"/>
    <w:rsid w:val="00FA2285"/>
    <w:rsid w:val="00FA4E19"/>
    <w:rsid w:val="00FA50EE"/>
    <w:rsid w:val="00FA5A49"/>
    <w:rsid w:val="00FA5ECF"/>
    <w:rsid w:val="00FA67B7"/>
    <w:rsid w:val="00FA7936"/>
    <w:rsid w:val="00FB0FA7"/>
    <w:rsid w:val="00FB0FA8"/>
    <w:rsid w:val="00FB26A6"/>
    <w:rsid w:val="00FB3D78"/>
    <w:rsid w:val="00FB4D69"/>
    <w:rsid w:val="00FB5265"/>
    <w:rsid w:val="00FC291F"/>
    <w:rsid w:val="00FC372D"/>
    <w:rsid w:val="00FC4048"/>
    <w:rsid w:val="00FC452E"/>
    <w:rsid w:val="00FC4F0C"/>
    <w:rsid w:val="00FC57E4"/>
    <w:rsid w:val="00FC6211"/>
    <w:rsid w:val="00FD02F6"/>
    <w:rsid w:val="00FD085A"/>
    <w:rsid w:val="00FD0AD3"/>
    <w:rsid w:val="00FD28AD"/>
    <w:rsid w:val="00FD2D08"/>
    <w:rsid w:val="00FD4781"/>
    <w:rsid w:val="00FD49A5"/>
    <w:rsid w:val="00FD4AE2"/>
    <w:rsid w:val="00FD4CB8"/>
    <w:rsid w:val="00FD6324"/>
    <w:rsid w:val="00FE03FA"/>
    <w:rsid w:val="00FE4052"/>
    <w:rsid w:val="00FE4950"/>
    <w:rsid w:val="00FF0710"/>
    <w:rsid w:val="00FF0CB9"/>
    <w:rsid w:val="00FF3E10"/>
    <w:rsid w:val="00FF5050"/>
    <w:rsid w:val="00FF60BE"/>
    <w:rsid w:val="00FF76B4"/>
    <w:rsid w:val="78D8F63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3525A"/>
  <w15:docId w15:val="{0381D6FF-9375-7046-872E-854CDDB14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752"/>
    <w:pPr>
      <w:spacing w:after="0" w:line="360" w:lineRule="auto"/>
    </w:pPr>
    <w:rPr>
      <w:rFonts w:ascii="Times New Roman" w:hAnsi="Times New Roman" w:cs="Times New Roman"/>
      <w:sz w:val="24"/>
      <w:lang w:val="en-GB"/>
    </w:rPr>
  </w:style>
  <w:style w:type="paragraph" w:styleId="Heading1">
    <w:name w:val="heading 1"/>
    <w:basedOn w:val="Normal"/>
    <w:next w:val="Normal"/>
    <w:link w:val="Heading1Char"/>
    <w:uiPriority w:val="9"/>
    <w:qFormat/>
    <w:rsid w:val="00446752"/>
    <w:pPr>
      <w:numPr>
        <w:numId w:val="7"/>
      </w:numPr>
      <w:outlineLvl w:val="0"/>
    </w:pPr>
    <w:rPr>
      <w:b/>
    </w:rPr>
  </w:style>
  <w:style w:type="paragraph" w:styleId="Heading2">
    <w:name w:val="heading 2"/>
    <w:basedOn w:val="Normal"/>
    <w:next w:val="Normal"/>
    <w:link w:val="Heading2Char"/>
    <w:uiPriority w:val="9"/>
    <w:unhideWhenUsed/>
    <w:qFormat/>
    <w:rsid w:val="00DE4D9B"/>
    <w:pPr>
      <w:keepNext/>
      <w:keepLines/>
      <w:numPr>
        <w:ilvl w:val="1"/>
        <w:numId w:val="7"/>
      </w:numPr>
      <w:ind w:left="578" w:hanging="578"/>
      <w:outlineLvl w:val="1"/>
    </w:pPr>
    <w:rPr>
      <w:rFonts w:eastAsiaTheme="majorEastAsia"/>
      <w:b/>
      <w:szCs w:val="26"/>
    </w:rPr>
  </w:style>
  <w:style w:type="paragraph" w:styleId="Heading3">
    <w:name w:val="heading 3"/>
    <w:basedOn w:val="Normal"/>
    <w:next w:val="Normal"/>
    <w:link w:val="Heading3Char"/>
    <w:autoRedefine/>
    <w:uiPriority w:val="9"/>
    <w:unhideWhenUsed/>
    <w:qFormat/>
    <w:rsid w:val="007C6429"/>
    <w:pPr>
      <w:keepNext/>
      <w:keepLines/>
      <w:numPr>
        <w:ilvl w:val="2"/>
        <w:numId w:val="7"/>
      </w:numPr>
      <w:spacing w:before="4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05043B"/>
    <w:pPr>
      <w:keepNext/>
      <w:keepLines/>
      <w:numPr>
        <w:ilvl w:val="3"/>
        <w:numId w:val="7"/>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5043B"/>
    <w:pPr>
      <w:keepNext/>
      <w:keepLines/>
      <w:numPr>
        <w:ilvl w:val="4"/>
        <w:numId w:val="7"/>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5043B"/>
    <w:pPr>
      <w:keepNext/>
      <w:keepLines/>
      <w:numPr>
        <w:ilvl w:val="5"/>
        <w:numId w:val="7"/>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5043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5043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5043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F2A88"/>
    <w:rPr>
      <w:b/>
      <w:sz w:val="28"/>
    </w:rPr>
  </w:style>
  <w:style w:type="character" w:customStyle="1" w:styleId="TitleChar">
    <w:name w:val="Title Char"/>
    <w:basedOn w:val="DefaultParagraphFont"/>
    <w:link w:val="Title"/>
    <w:uiPriority w:val="10"/>
    <w:rsid w:val="009F2A88"/>
    <w:rPr>
      <w:rFonts w:ascii="Times New Roman" w:hAnsi="Times New Roman" w:cs="Times New Roman"/>
      <w:b/>
      <w:sz w:val="28"/>
      <w:lang w:val="en-GB"/>
    </w:rPr>
  </w:style>
  <w:style w:type="character" w:customStyle="1" w:styleId="Heading1Char">
    <w:name w:val="Heading 1 Char"/>
    <w:basedOn w:val="DefaultParagraphFont"/>
    <w:link w:val="Heading1"/>
    <w:uiPriority w:val="9"/>
    <w:rsid w:val="00446752"/>
    <w:rPr>
      <w:rFonts w:ascii="Times New Roman" w:hAnsi="Times New Roman" w:cs="Times New Roman"/>
      <w:b/>
      <w:sz w:val="24"/>
      <w:lang w:val="en-GB"/>
    </w:rPr>
  </w:style>
  <w:style w:type="paragraph" w:styleId="ListParagraph">
    <w:name w:val="List Paragraph"/>
    <w:basedOn w:val="Normal"/>
    <w:uiPriority w:val="34"/>
    <w:qFormat/>
    <w:rsid w:val="00476BFF"/>
    <w:pPr>
      <w:numPr>
        <w:numId w:val="3"/>
      </w:numPr>
      <w:ind w:left="567" w:hanging="567"/>
      <w:contextualSpacing/>
      <w:jc w:val="both"/>
    </w:pPr>
  </w:style>
  <w:style w:type="character" w:customStyle="1" w:styleId="Heading2Char">
    <w:name w:val="Heading 2 Char"/>
    <w:basedOn w:val="DefaultParagraphFont"/>
    <w:link w:val="Heading2"/>
    <w:uiPriority w:val="9"/>
    <w:rsid w:val="00DE4D9B"/>
    <w:rPr>
      <w:rFonts w:ascii="Times New Roman" w:eastAsiaTheme="majorEastAsia" w:hAnsi="Times New Roman" w:cs="Times New Roman"/>
      <w:b/>
      <w:sz w:val="24"/>
      <w:szCs w:val="26"/>
      <w:lang w:val="en-GB"/>
    </w:rPr>
  </w:style>
  <w:style w:type="character" w:customStyle="1" w:styleId="Heading3Char">
    <w:name w:val="Heading 3 Char"/>
    <w:basedOn w:val="DefaultParagraphFont"/>
    <w:link w:val="Heading3"/>
    <w:uiPriority w:val="9"/>
    <w:rsid w:val="007C6429"/>
    <w:rPr>
      <w:rFonts w:ascii="Times New Roman" w:eastAsiaTheme="majorEastAsia" w:hAnsi="Times New Roman" w:cstheme="majorBidi"/>
      <w:b/>
      <w:sz w:val="24"/>
      <w:szCs w:val="24"/>
      <w:lang w:val="en-GB"/>
    </w:rPr>
  </w:style>
  <w:style w:type="character" w:customStyle="1" w:styleId="Heading4Char">
    <w:name w:val="Heading 4 Char"/>
    <w:basedOn w:val="DefaultParagraphFont"/>
    <w:link w:val="Heading4"/>
    <w:uiPriority w:val="9"/>
    <w:semiHidden/>
    <w:rsid w:val="0005043B"/>
    <w:rPr>
      <w:rFonts w:asciiTheme="majorHAnsi" w:eastAsiaTheme="majorEastAsia" w:hAnsiTheme="majorHAnsi" w:cstheme="majorBidi"/>
      <w:i/>
      <w:iCs/>
      <w:color w:val="2F5496" w:themeColor="accent1" w:themeShade="BF"/>
      <w:sz w:val="24"/>
      <w:lang w:val="en-GB"/>
    </w:rPr>
  </w:style>
  <w:style w:type="character" w:customStyle="1" w:styleId="Heading5Char">
    <w:name w:val="Heading 5 Char"/>
    <w:basedOn w:val="DefaultParagraphFont"/>
    <w:link w:val="Heading5"/>
    <w:uiPriority w:val="9"/>
    <w:semiHidden/>
    <w:rsid w:val="0005043B"/>
    <w:rPr>
      <w:rFonts w:asciiTheme="majorHAnsi" w:eastAsiaTheme="majorEastAsia" w:hAnsiTheme="majorHAnsi" w:cstheme="majorBidi"/>
      <w:color w:val="2F5496" w:themeColor="accent1" w:themeShade="BF"/>
      <w:sz w:val="24"/>
      <w:lang w:val="en-GB"/>
    </w:rPr>
  </w:style>
  <w:style w:type="character" w:customStyle="1" w:styleId="Heading6Char">
    <w:name w:val="Heading 6 Char"/>
    <w:basedOn w:val="DefaultParagraphFont"/>
    <w:link w:val="Heading6"/>
    <w:uiPriority w:val="9"/>
    <w:semiHidden/>
    <w:rsid w:val="0005043B"/>
    <w:rPr>
      <w:rFonts w:asciiTheme="majorHAnsi" w:eastAsiaTheme="majorEastAsia" w:hAnsiTheme="majorHAnsi" w:cstheme="majorBidi"/>
      <w:color w:val="1F3763" w:themeColor="accent1" w:themeShade="7F"/>
      <w:sz w:val="24"/>
      <w:lang w:val="en-GB"/>
    </w:rPr>
  </w:style>
  <w:style w:type="character" w:customStyle="1" w:styleId="Heading7Char">
    <w:name w:val="Heading 7 Char"/>
    <w:basedOn w:val="DefaultParagraphFont"/>
    <w:link w:val="Heading7"/>
    <w:uiPriority w:val="9"/>
    <w:semiHidden/>
    <w:rsid w:val="0005043B"/>
    <w:rPr>
      <w:rFonts w:asciiTheme="majorHAnsi" w:eastAsiaTheme="majorEastAsia" w:hAnsiTheme="majorHAnsi" w:cstheme="majorBidi"/>
      <w:i/>
      <w:iCs/>
      <w:color w:val="1F3763" w:themeColor="accent1" w:themeShade="7F"/>
      <w:sz w:val="24"/>
      <w:lang w:val="en-GB"/>
    </w:rPr>
  </w:style>
  <w:style w:type="character" w:customStyle="1" w:styleId="Heading8Char">
    <w:name w:val="Heading 8 Char"/>
    <w:basedOn w:val="DefaultParagraphFont"/>
    <w:link w:val="Heading8"/>
    <w:uiPriority w:val="9"/>
    <w:semiHidden/>
    <w:rsid w:val="0005043B"/>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05043B"/>
    <w:rPr>
      <w:rFonts w:asciiTheme="majorHAnsi" w:eastAsiaTheme="majorEastAsia" w:hAnsiTheme="majorHAnsi" w:cstheme="majorBidi"/>
      <w:i/>
      <w:iCs/>
      <w:color w:val="272727" w:themeColor="text1" w:themeTint="D8"/>
      <w:sz w:val="21"/>
      <w:szCs w:val="21"/>
      <w:lang w:val="en-GB"/>
    </w:rPr>
  </w:style>
  <w:style w:type="table" w:styleId="TableGrid">
    <w:name w:val="Table Grid"/>
    <w:basedOn w:val="TableNormal"/>
    <w:uiPriority w:val="39"/>
    <w:rsid w:val="00262751"/>
    <w:pPr>
      <w:keepNext/>
      <w:keepLine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30EF1"/>
    <w:pPr>
      <w:keepNext/>
      <w:spacing w:after="120"/>
    </w:pPr>
    <w:rPr>
      <w:b/>
      <w:iCs/>
      <w:szCs w:val="18"/>
    </w:rPr>
  </w:style>
  <w:style w:type="paragraph" w:styleId="FootnoteText">
    <w:name w:val="footnote text"/>
    <w:basedOn w:val="Normal"/>
    <w:link w:val="FootnoteTextChar"/>
    <w:uiPriority w:val="99"/>
    <w:unhideWhenUsed/>
    <w:rsid w:val="00893121"/>
    <w:pPr>
      <w:spacing w:line="240" w:lineRule="auto"/>
    </w:pPr>
    <w:rPr>
      <w:sz w:val="20"/>
      <w:szCs w:val="20"/>
    </w:rPr>
  </w:style>
  <w:style w:type="character" w:customStyle="1" w:styleId="FootnoteTextChar">
    <w:name w:val="Footnote Text Char"/>
    <w:basedOn w:val="DefaultParagraphFont"/>
    <w:link w:val="FootnoteText"/>
    <w:uiPriority w:val="99"/>
    <w:rsid w:val="00893121"/>
    <w:rPr>
      <w:rFonts w:ascii="Times New Roman" w:hAnsi="Times New Roman" w:cs="Times New Roman"/>
      <w:sz w:val="20"/>
      <w:szCs w:val="20"/>
      <w:lang w:val="en-GB"/>
    </w:rPr>
  </w:style>
  <w:style w:type="character" w:styleId="FootnoteReference">
    <w:name w:val="footnote reference"/>
    <w:basedOn w:val="DefaultParagraphFont"/>
    <w:uiPriority w:val="99"/>
    <w:semiHidden/>
    <w:unhideWhenUsed/>
    <w:rsid w:val="00893121"/>
    <w:rPr>
      <w:vertAlign w:val="superscript"/>
    </w:rPr>
  </w:style>
  <w:style w:type="character" w:styleId="EndnoteReference">
    <w:name w:val="endnote reference"/>
    <w:basedOn w:val="DefaultParagraphFont"/>
    <w:uiPriority w:val="99"/>
    <w:semiHidden/>
    <w:unhideWhenUsed/>
    <w:rsid w:val="00A25E5F"/>
    <w:rPr>
      <w:vertAlign w:val="superscript"/>
    </w:rPr>
  </w:style>
  <w:style w:type="paragraph" w:styleId="Header">
    <w:name w:val="header"/>
    <w:basedOn w:val="Normal"/>
    <w:link w:val="HeaderChar"/>
    <w:uiPriority w:val="99"/>
    <w:unhideWhenUsed/>
    <w:rsid w:val="001A1152"/>
    <w:pPr>
      <w:tabs>
        <w:tab w:val="center" w:pos="4536"/>
        <w:tab w:val="right" w:pos="9072"/>
      </w:tabs>
      <w:spacing w:line="240" w:lineRule="auto"/>
    </w:pPr>
  </w:style>
  <w:style w:type="character" w:customStyle="1" w:styleId="HeaderChar">
    <w:name w:val="Header Char"/>
    <w:basedOn w:val="DefaultParagraphFont"/>
    <w:link w:val="Header"/>
    <w:uiPriority w:val="99"/>
    <w:rsid w:val="001A1152"/>
    <w:rPr>
      <w:rFonts w:ascii="Times New Roman" w:hAnsi="Times New Roman" w:cs="Times New Roman"/>
      <w:sz w:val="24"/>
      <w:lang w:val="en-GB"/>
    </w:rPr>
  </w:style>
  <w:style w:type="paragraph" w:styleId="Footer">
    <w:name w:val="footer"/>
    <w:basedOn w:val="Normal"/>
    <w:link w:val="FooterChar"/>
    <w:uiPriority w:val="99"/>
    <w:unhideWhenUsed/>
    <w:rsid w:val="001A1152"/>
    <w:pPr>
      <w:tabs>
        <w:tab w:val="center" w:pos="4536"/>
        <w:tab w:val="right" w:pos="9072"/>
      </w:tabs>
      <w:spacing w:line="240" w:lineRule="auto"/>
    </w:pPr>
  </w:style>
  <w:style w:type="character" w:customStyle="1" w:styleId="FooterChar">
    <w:name w:val="Footer Char"/>
    <w:basedOn w:val="DefaultParagraphFont"/>
    <w:link w:val="Footer"/>
    <w:uiPriority w:val="99"/>
    <w:rsid w:val="001A1152"/>
    <w:rPr>
      <w:rFonts w:ascii="Times New Roman" w:hAnsi="Times New Roman" w:cs="Times New Roman"/>
      <w:sz w:val="24"/>
      <w:lang w:val="en-GB"/>
    </w:rPr>
  </w:style>
  <w:style w:type="character" w:styleId="CommentReference">
    <w:name w:val="annotation reference"/>
    <w:basedOn w:val="DefaultParagraphFont"/>
    <w:uiPriority w:val="99"/>
    <w:semiHidden/>
    <w:unhideWhenUsed/>
    <w:rsid w:val="00CE7B3D"/>
    <w:rPr>
      <w:sz w:val="16"/>
      <w:szCs w:val="16"/>
    </w:rPr>
  </w:style>
  <w:style w:type="paragraph" w:styleId="CommentText">
    <w:name w:val="annotation text"/>
    <w:basedOn w:val="Normal"/>
    <w:link w:val="CommentTextChar"/>
    <w:uiPriority w:val="99"/>
    <w:unhideWhenUsed/>
    <w:rsid w:val="00CE7B3D"/>
    <w:pPr>
      <w:spacing w:line="240" w:lineRule="auto"/>
    </w:pPr>
    <w:rPr>
      <w:sz w:val="20"/>
      <w:szCs w:val="20"/>
    </w:rPr>
  </w:style>
  <w:style w:type="character" w:customStyle="1" w:styleId="CommentTextChar">
    <w:name w:val="Comment Text Char"/>
    <w:basedOn w:val="DefaultParagraphFont"/>
    <w:link w:val="CommentText"/>
    <w:uiPriority w:val="99"/>
    <w:rsid w:val="00CE7B3D"/>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CE7B3D"/>
    <w:rPr>
      <w:b/>
      <w:bCs/>
    </w:rPr>
  </w:style>
  <w:style w:type="character" w:customStyle="1" w:styleId="CommentSubjectChar">
    <w:name w:val="Comment Subject Char"/>
    <w:basedOn w:val="CommentTextChar"/>
    <w:link w:val="CommentSubject"/>
    <w:uiPriority w:val="99"/>
    <w:semiHidden/>
    <w:rsid w:val="00CE7B3D"/>
    <w:rPr>
      <w:rFonts w:ascii="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CE7B3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B3D"/>
    <w:rPr>
      <w:rFonts w:ascii="Segoe UI" w:hAnsi="Segoe UI" w:cs="Segoe UI"/>
      <w:sz w:val="18"/>
      <w:szCs w:val="18"/>
      <w:lang w:val="en-GB"/>
    </w:rPr>
  </w:style>
  <w:style w:type="character" w:styleId="PlaceholderText">
    <w:name w:val="Placeholder Text"/>
    <w:basedOn w:val="DefaultParagraphFont"/>
    <w:uiPriority w:val="99"/>
    <w:semiHidden/>
    <w:rsid w:val="009F7C9D"/>
    <w:rPr>
      <w:color w:val="808080"/>
    </w:rPr>
  </w:style>
  <w:style w:type="paragraph" w:styleId="Bibliography">
    <w:name w:val="Bibliography"/>
    <w:basedOn w:val="Normal"/>
    <w:next w:val="Normal"/>
    <w:uiPriority w:val="37"/>
    <w:unhideWhenUsed/>
    <w:rsid w:val="00C7399E"/>
  </w:style>
  <w:style w:type="paragraph" w:styleId="ListBullet">
    <w:name w:val="List Bullet"/>
    <w:basedOn w:val="Normal"/>
    <w:uiPriority w:val="99"/>
    <w:unhideWhenUsed/>
    <w:rsid w:val="00527607"/>
    <w:pPr>
      <w:numPr>
        <w:numId w:val="10"/>
      </w:numPr>
      <w:contextualSpacing/>
    </w:pPr>
  </w:style>
  <w:style w:type="paragraph" w:styleId="Revision">
    <w:name w:val="Revision"/>
    <w:hidden/>
    <w:uiPriority w:val="99"/>
    <w:semiHidden/>
    <w:rsid w:val="002814A6"/>
    <w:pPr>
      <w:spacing w:after="0" w:line="240" w:lineRule="auto"/>
    </w:pPr>
    <w:rPr>
      <w:rFonts w:ascii="Times New Roman" w:hAnsi="Times New Roman" w:cs="Times New Roman"/>
      <w:sz w:val="24"/>
      <w:lang w:val="en-GB"/>
    </w:rPr>
  </w:style>
  <w:style w:type="character" w:styleId="Hyperlink">
    <w:name w:val="Hyperlink"/>
    <w:basedOn w:val="DefaultParagraphFont"/>
    <w:uiPriority w:val="99"/>
    <w:unhideWhenUsed/>
    <w:rsid w:val="001915FB"/>
    <w:rPr>
      <w:color w:val="0563C1" w:themeColor="hyperlink"/>
      <w:u w:val="single"/>
    </w:rPr>
  </w:style>
  <w:style w:type="character" w:styleId="UnresolvedMention">
    <w:name w:val="Unresolved Mention"/>
    <w:basedOn w:val="DefaultParagraphFont"/>
    <w:uiPriority w:val="99"/>
    <w:semiHidden/>
    <w:unhideWhenUsed/>
    <w:rsid w:val="001915FB"/>
    <w:rPr>
      <w:color w:val="605E5C"/>
      <w:shd w:val="clear" w:color="auto" w:fill="E1DFDD"/>
    </w:rPr>
  </w:style>
  <w:style w:type="paragraph" w:customStyle="1" w:styleId="paragraph">
    <w:name w:val="paragraph"/>
    <w:basedOn w:val="Normal"/>
    <w:rsid w:val="00CA5EBF"/>
    <w:pPr>
      <w:spacing w:before="100" w:beforeAutospacing="1" w:after="100" w:afterAutospacing="1" w:line="240" w:lineRule="auto"/>
    </w:pPr>
    <w:rPr>
      <w:rFonts w:eastAsia="Times New Roman"/>
      <w:szCs w:val="24"/>
      <w:lang w:eastAsia="en-GB"/>
    </w:rPr>
  </w:style>
  <w:style w:type="character" w:customStyle="1" w:styleId="normaltextrun">
    <w:name w:val="normaltextrun"/>
    <w:basedOn w:val="DefaultParagraphFont"/>
    <w:rsid w:val="00CA5EBF"/>
  </w:style>
  <w:style w:type="character" w:customStyle="1" w:styleId="spellingerror">
    <w:name w:val="spellingerror"/>
    <w:basedOn w:val="DefaultParagraphFont"/>
    <w:rsid w:val="00CA5EBF"/>
  </w:style>
  <w:style w:type="character" w:customStyle="1" w:styleId="eop">
    <w:name w:val="eop"/>
    <w:basedOn w:val="DefaultParagraphFont"/>
    <w:rsid w:val="00CA5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1932">
      <w:bodyDiv w:val="1"/>
      <w:marLeft w:val="0"/>
      <w:marRight w:val="0"/>
      <w:marTop w:val="0"/>
      <w:marBottom w:val="0"/>
      <w:divBdr>
        <w:top w:val="none" w:sz="0" w:space="0" w:color="auto"/>
        <w:left w:val="none" w:sz="0" w:space="0" w:color="auto"/>
        <w:bottom w:val="none" w:sz="0" w:space="0" w:color="auto"/>
        <w:right w:val="none" w:sz="0" w:space="0" w:color="auto"/>
      </w:divBdr>
      <w:divsChild>
        <w:div w:id="931354148">
          <w:marLeft w:val="547"/>
          <w:marRight w:val="0"/>
          <w:marTop w:val="0"/>
          <w:marBottom w:val="0"/>
          <w:divBdr>
            <w:top w:val="none" w:sz="0" w:space="0" w:color="auto"/>
            <w:left w:val="none" w:sz="0" w:space="0" w:color="auto"/>
            <w:bottom w:val="none" w:sz="0" w:space="0" w:color="auto"/>
            <w:right w:val="none" w:sz="0" w:space="0" w:color="auto"/>
          </w:divBdr>
        </w:div>
        <w:div w:id="848174832">
          <w:marLeft w:val="547"/>
          <w:marRight w:val="0"/>
          <w:marTop w:val="0"/>
          <w:marBottom w:val="0"/>
          <w:divBdr>
            <w:top w:val="none" w:sz="0" w:space="0" w:color="auto"/>
            <w:left w:val="none" w:sz="0" w:space="0" w:color="auto"/>
            <w:bottom w:val="none" w:sz="0" w:space="0" w:color="auto"/>
            <w:right w:val="none" w:sz="0" w:space="0" w:color="auto"/>
          </w:divBdr>
        </w:div>
      </w:divsChild>
    </w:div>
    <w:div w:id="44061227">
      <w:bodyDiv w:val="1"/>
      <w:marLeft w:val="0"/>
      <w:marRight w:val="0"/>
      <w:marTop w:val="0"/>
      <w:marBottom w:val="0"/>
      <w:divBdr>
        <w:top w:val="none" w:sz="0" w:space="0" w:color="auto"/>
        <w:left w:val="none" w:sz="0" w:space="0" w:color="auto"/>
        <w:bottom w:val="none" w:sz="0" w:space="0" w:color="auto"/>
        <w:right w:val="none" w:sz="0" w:space="0" w:color="auto"/>
      </w:divBdr>
      <w:divsChild>
        <w:div w:id="253326561">
          <w:marLeft w:val="0"/>
          <w:marRight w:val="0"/>
          <w:marTop w:val="0"/>
          <w:marBottom w:val="0"/>
          <w:divBdr>
            <w:top w:val="none" w:sz="0" w:space="0" w:color="auto"/>
            <w:left w:val="none" w:sz="0" w:space="0" w:color="auto"/>
            <w:bottom w:val="none" w:sz="0" w:space="0" w:color="auto"/>
            <w:right w:val="none" w:sz="0" w:space="0" w:color="auto"/>
          </w:divBdr>
        </w:div>
        <w:div w:id="355691394">
          <w:marLeft w:val="0"/>
          <w:marRight w:val="0"/>
          <w:marTop w:val="0"/>
          <w:marBottom w:val="0"/>
          <w:divBdr>
            <w:top w:val="none" w:sz="0" w:space="0" w:color="auto"/>
            <w:left w:val="none" w:sz="0" w:space="0" w:color="auto"/>
            <w:bottom w:val="none" w:sz="0" w:space="0" w:color="auto"/>
            <w:right w:val="none" w:sz="0" w:space="0" w:color="auto"/>
          </w:divBdr>
        </w:div>
      </w:divsChild>
    </w:div>
    <w:div w:id="47146925">
      <w:bodyDiv w:val="1"/>
      <w:marLeft w:val="0"/>
      <w:marRight w:val="0"/>
      <w:marTop w:val="0"/>
      <w:marBottom w:val="0"/>
      <w:divBdr>
        <w:top w:val="none" w:sz="0" w:space="0" w:color="auto"/>
        <w:left w:val="none" w:sz="0" w:space="0" w:color="auto"/>
        <w:bottom w:val="none" w:sz="0" w:space="0" w:color="auto"/>
        <w:right w:val="none" w:sz="0" w:space="0" w:color="auto"/>
      </w:divBdr>
    </w:div>
    <w:div w:id="394085392">
      <w:bodyDiv w:val="1"/>
      <w:marLeft w:val="0"/>
      <w:marRight w:val="0"/>
      <w:marTop w:val="0"/>
      <w:marBottom w:val="0"/>
      <w:divBdr>
        <w:top w:val="none" w:sz="0" w:space="0" w:color="auto"/>
        <w:left w:val="none" w:sz="0" w:space="0" w:color="auto"/>
        <w:bottom w:val="none" w:sz="0" w:space="0" w:color="auto"/>
        <w:right w:val="none" w:sz="0" w:space="0" w:color="auto"/>
      </w:divBdr>
    </w:div>
    <w:div w:id="631518773">
      <w:bodyDiv w:val="1"/>
      <w:marLeft w:val="0"/>
      <w:marRight w:val="0"/>
      <w:marTop w:val="0"/>
      <w:marBottom w:val="0"/>
      <w:divBdr>
        <w:top w:val="none" w:sz="0" w:space="0" w:color="auto"/>
        <w:left w:val="none" w:sz="0" w:space="0" w:color="auto"/>
        <w:bottom w:val="none" w:sz="0" w:space="0" w:color="auto"/>
        <w:right w:val="none" w:sz="0" w:space="0" w:color="auto"/>
      </w:divBdr>
    </w:div>
    <w:div w:id="686176510">
      <w:bodyDiv w:val="1"/>
      <w:marLeft w:val="0"/>
      <w:marRight w:val="0"/>
      <w:marTop w:val="0"/>
      <w:marBottom w:val="0"/>
      <w:divBdr>
        <w:top w:val="none" w:sz="0" w:space="0" w:color="auto"/>
        <w:left w:val="none" w:sz="0" w:space="0" w:color="auto"/>
        <w:bottom w:val="none" w:sz="0" w:space="0" w:color="auto"/>
        <w:right w:val="none" w:sz="0" w:space="0" w:color="auto"/>
      </w:divBdr>
      <w:divsChild>
        <w:div w:id="367678808">
          <w:marLeft w:val="547"/>
          <w:marRight w:val="0"/>
          <w:marTop w:val="0"/>
          <w:marBottom w:val="0"/>
          <w:divBdr>
            <w:top w:val="none" w:sz="0" w:space="0" w:color="auto"/>
            <w:left w:val="none" w:sz="0" w:space="0" w:color="auto"/>
            <w:bottom w:val="none" w:sz="0" w:space="0" w:color="auto"/>
            <w:right w:val="none" w:sz="0" w:space="0" w:color="auto"/>
          </w:divBdr>
        </w:div>
      </w:divsChild>
    </w:div>
    <w:div w:id="1134058495">
      <w:bodyDiv w:val="1"/>
      <w:marLeft w:val="0"/>
      <w:marRight w:val="0"/>
      <w:marTop w:val="0"/>
      <w:marBottom w:val="0"/>
      <w:divBdr>
        <w:top w:val="none" w:sz="0" w:space="0" w:color="auto"/>
        <w:left w:val="none" w:sz="0" w:space="0" w:color="auto"/>
        <w:bottom w:val="none" w:sz="0" w:space="0" w:color="auto"/>
        <w:right w:val="none" w:sz="0" w:space="0" w:color="auto"/>
      </w:divBdr>
    </w:div>
    <w:div w:id="1140027964">
      <w:bodyDiv w:val="1"/>
      <w:marLeft w:val="0"/>
      <w:marRight w:val="0"/>
      <w:marTop w:val="0"/>
      <w:marBottom w:val="0"/>
      <w:divBdr>
        <w:top w:val="none" w:sz="0" w:space="0" w:color="auto"/>
        <w:left w:val="none" w:sz="0" w:space="0" w:color="auto"/>
        <w:bottom w:val="none" w:sz="0" w:space="0" w:color="auto"/>
        <w:right w:val="none" w:sz="0" w:space="0" w:color="auto"/>
      </w:divBdr>
      <w:divsChild>
        <w:div w:id="1770000800">
          <w:marLeft w:val="547"/>
          <w:marRight w:val="0"/>
          <w:marTop w:val="0"/>
          <w:marBottom w:val="0"/>
          <w:divBdr>
            <w:top w:val="none" w:sz="0" w:space="0" w:color="auto"/>
            <w:left w:val="none" w:sz="0" w:space="0" w:color="auto"/>
            <w:bottom w:val="none" w:sz="0" w:space="0" w:color="auto"/>
            <w:right w:val="none" w:sz="0" w:space="0" w:color="auto"/>
          </w:divBdr>
        </w:div>
      </w:divsChild>
    </w:div>
    <w:div w:id="1266382495">
      <w:bodyDiv w:val="1"/>
      <w:marLeft w:val="0"/>
      <w:marRight w:val="0"/>
      <w:marTop w:val="0"/>
      <w:marBottom w:val="0"/>
      <w:divBdr>
        <w:top w:val="none" w:sz="0" w:space="0" w:color="auto"/>
        <w:left w:val="none" w:sz="0" w:space="0" w:color="auto"/>
        <w:bottom w:val="none" w:sz="0" w:space="0" w:color="auto"/>
        <w:right w:val="none" w:sz="0" w:space="0" w:color="auto"/>
      </w:divBdr>
    </w:div>
    <w:div w:id="1404449005">
      <w:bodyDiv w:val="1"/>
      <w:marLeft w:val="0"/>
      <w:marRight w:val="0"/>
      <w:marTop w:val="0"/>
      <w:marBottom w:val="0"/>
      <w:divBdr>
        <w:top w:val="none" w:sz="0" w:space="0" w:color="auto"/>
        <w:left w:val="none" w:sz="0" w:space="0" w:color="auto"/>
        <w:bottom w:val="none" w:sz="0" w:space="0" w:color="auto"/>
        <w:right w:val="none" w:sz="0" w:space="0" w:color="auto"/>
      </w:divBdr>
    </w:div>
    <w:div w:id="1594705584">
      <w:bodyDiv w:val="1"/>
      <w:marLeft w:val="0"/>
      <w:marRight w:val="0"/>
      <w:marTop w:val="0"/>
      <w:marBottom w:val="0"/>
      <w:divBdr>
        <w:top w:val="none" w:sz="0" w:space="0" w:color="auto"/>
        <w:left w:val="none" w:sz="0" w:space="0" w:color="auto"/>
        <w:bottom w:val="none" w:sz="0" w:space="0" w:color="auto"/>
        <w:right w:val="none" w:sz="0" w:space="0" w:color="auto"/>
      </w:divBdr>
    </w:div>
    <w:div w:id="1945575472">
      <w:bodyDiv w:val="1"/>
      <w:marLeft w:val="0"/>
      <w:marRight w:val="0"/>
      <w:marTop w:val="0"/>
      <w:marBottom w:val="0"/>
      <w:divBdr>
        <w:top w:val="none" w:sz="0" w:space="0" w:color="auto"/>
        <w:left w:val="none" w:sz="0" w:space="0" w:color="auto"/>
        <w:bottom w:val="none" w:sz="0" w:space="0" w:color="auto"/>
        <w:right w:val="none" w:sz="0" w:space="0" w:color="auto"/>
      </w:divBdr>
      <w:divsChild>
        <w:div w:id="1451708444">
          <w:marLeft w:val="547"/>
          <w:marRight w:val="0"/>
          <w:marTop w:val="0"/>
          <w:marBottom w:val="0"/>
          <w:divBdr>
            <w:top w:val="none" w:sz="0" w:space="0" w:color="auto"/>
            <w:left w:val="none" w:sz="0" w:space="0" w:color="auto"/>
            <w:bottom w:val="none" w:sz="0" w:space="0" w:color="auto"/>
            <w:right w:val="none" w:sz="0" w:space="0" w:color="auto"/>
          </w:divBdr>
        </w:div>
      </w:divsChild>
    </w:div>
    <w:div w:id="19973687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6.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5.png"/><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image" Target="media/image6.png"/><Relationship Id="rId27" Type="http://schemas.openxmlformats.org/officeDocument/2006/relationships/header" Target="head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406228105948907E-2"/>
          <c:y val="0.13597325672128821"/>
          <c:w val="0.91785212605396438"/>
          <c:h val="0.64136128254238489"/>
        </c:manualLayout>
      </c:layout>
      <c:barChart>
        <c:barDir val="col"/>
        <c:grouping val="clustered"/>
        <c:varyColors val="0"/>
        <c:ser>
          <c:idx val="0"/>
          <c:order val="0"/>
          <c:tx>
            <c:strRef>
              <c:f>Sheet1!$B$1</c:f>
              <c:strCache>
                <c:ptCount val="1"/>
                <c:pt idx="0">
                  <c:v>Manner</c:v>
                </c:pt>
              </c:strCache>
            </c:strRef>
          </c:tx>
          <c:spPr>
            <a:solidFill>
              <a:srgbClr val="9CB7D4"/>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B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Strong</c:v>
                </c:pt>
                <c:pt idx="1">
                  <c:v>Weak</c:v>
                </c:pt>
                <c:pt idx="2">
                  <c:v>Indep.</c:v>
                </c:pt>
                <c:pt idx="4">
                  <c:v>Strong</c:v>
                </c:pt>
                <c:pt idx="5">
                  <c:v>Weak</c:v>
                </c:pt>
                <c:pt idx="6">
                  <c:v>Indep.</c:v>
                </c:pt>
              </c:strCache>
            </c:strRef>
          </c:cat>
          <c:val>
            <c:numRef>
              <c:f>Sheet1!$B$2:$B$8</c:f>
              <c:numCache>
                <c:formatCode>General</c:formatCode>
                <c:ptCount val="7"/>
                <c:pt idx="0">
                  <c:v>7</c:v>
                </c:pt>
                <c:pt idx="1">
                  <c:v>39</c:v>
                </c:pt>
                <c:pt idx="2">
                  <c:v>8</c:v>
                </c:pt>
                <c:pt idx="4">
                  <c:v>44</c:v>
                </c:pt>
                <c:pt idx="5">
                  <c:v>35</c:v>
                </c:pt>
                <c:pt idx="6">
                  <c:v>5</c:v>
                </c:pt>
              </c:numCache>
            </c:numRef>
          </c:val>
          <c:extLst>
            <c:ext xmlns:c16="http://schemas.microsoft.com/office/drawing/2014/chart" uri="{C3380CC4-5D6E-409C-BE32-E72D297353CC}">
              <c16:uniqueId val="{00000000-E575-4CD3-85CE-4BC06B366406}"/>
            </c:ext>
          </c:extLst>
        </c:ser>
        <c:ser>
          <c:idx val="1"/>
          <c:order val="1"/>
          <c:tx>
            <c:strRef>
              <c:f>Sheet1!$C$1</c:f>
              <c:strCache>
                <c:ptCount val="1"/>
                <c:pt idx="0">
                  <c:v>Qualification</c:v>
                </c:pt>
              </c:strCache>
            </c:strRef>
          </c:tx>
          <c:spPr>
            <a:solidFill>
              <a:srgbClr val="FFAD29"/>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B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Strong</c:v>
                </c:pt>
                <c:pt idx="1">
                  <c:v>Weak</c:v>
                </c:pt>
                <c:pt idx="2">
                  <c:v>Indep.</c:v>
                </c:pt>
                <c:pt idx="4">
                  <c:v>Strong</c:v>
                </c:pt>
                <c:pt idx="5">
                  <c:v>Weak</c:v>
                </c:pt>
                <c:pt idx="6">
                  <c:v>Indep.</c:v>
                </c:pt>
              </c:strCache>
            </c:strRef>
          </c:cat>
          <c:val>
            <c:numRef>
              <c:f>Sheet1!$C$2:$C$8</c:f>
              <c:numCache>
                <c:formatCode>General</c:formatCode>
                <c:ptCount val="7"/>
                <c:pt idx="0">
                  <c:v>27</c:v>
                </c:pt>
                <c:pt idx="1">
                  <c:v>3</c:v>
                </c:pt>
                <c:pt idx="2">
                  <c:v>17</c:v>
                </c:pt>
                <c:pt idx="4">
                  <c:v>29</c:v>
                </c:pt>
                <c:pt idx="5">
                  <c:v>2</c:v>
                </c:pt>
                <c:pt idx="6">
                  <c:v>34</c:v>
                </c:pt>
              </c:numCache>
            </c:numRef>
          </c:val>
          <c:extLst>
            <c:ext xmlns:c16="http://schemas.microsoft.com/office/drawing/2014/chart" uri="{C3380CC4-5D6E-409C-BE32-E72D297353CC}">
              <c16:uniqueId val="{00000001-E575-4CD3-85CE-4BC06B366406}"/>
            </c:ext>
          </c:extLst>
        </c:ser>
        <c:ser>
          <c:idx val="2"/>
          <c:order val="2"/>
          <c:tx>
            <c:strRef>
              <c:f>Sheet1!$D$1</c:f>
              <c:strCache>
                <c:ptCount val="1"/>
                <c:pt idx="0">
                  <c:v>Cause</c:v>
                </c:pt>
              </c:strCache>
            </c:strRef>
          </c:tx>
          <c:spPr>
            <a:solidFill>
              <a:srgbClr val="008193"/>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B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Strong</c:v>
                </c:pt>
                <c:pt idx="1">
                  <c:v>Weak</c:v>
                </c:pt>
                <c:pt idx="2">
                  <c:v>Indep.</c:v>
                </c:pt>
                <c:pt idx="4">
                  <c:v>Strong</c:v>
                </c:pt>
                <c:pt idx="5">
                  <c:v>Weak</c:v>
                </c:pt>
                <c:pt idx="6">
                  <c:v>Indep.</c:v>
                </c:pt>
              </c:strCache>
            </c:strRef>
          </c:cat>
          <c:val>
            <c:numRef>
              <c:f>Sheet1!$D$2:$D$8</c:f>
              <c:numCache>
                <c:formatCode>General</c:formatCode>
                <c:ptCount val="7"/>
                <c:pt idx="0">
                  <c:v>22</c:v>
                </c:pt>
                <c:pt idx="1">
                  <c:v>0</c:v>
                </c:pt>
                <c:pt idx="2">
                  <c:v>15</c:v>
                </c:pt>
                <c:pt idx="4">
                  <c:v>17</c:v>
                </c:pt>
                <c:pt idx="5">
                  <c:v>1</c:v>
                </c:pt>
                <c:pt idx="6">
                  <c:v>18</c:v>
                </c:pt>
              </c:numCache>
            </c:numRef>
          </c:val>
          <c:extLst>
            <c:ext xmlns:c16="http://schemas.microsoft.com/office/drawing/2014/chart" uri="{C3380CC4-5D6E-409C-BE32-E72D297353CC}">
              <c16:uniqueId val="{00000002-E575-4CD3-85CE-4BC06B366406}"/>
            </c:ext>
          </c:extLst>
        </c:ser>
        <c:ser>
          <c:idx val="3"/>
          <c:order val="3"/>
          <c:tx>
            <c:strRef>
              <c:f>Sheet1!$E$1</c:f>
              <c:strCache>
                <c:ptCount val="1"/>
                <c:pt idx="0">
                  <c:v>Denial of Assumption</c:v>
                </c:pt>
              </c:strCache>
            </c:strRef>
          </c:tx>
          <c:spPr>
            <a:solidFill>
              <a:srgbClr val="00214E"/>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B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Strong</c:v>
                </c:pt>
                <c:pt idx="1">
                  <c:v>Weak</c:v>
                </c:pt>
                <c:pt idx="2">
                  <c:v>Indep.</c:v>
                </c:pt>
                <c:pt idx="4">
                  <c:v>Strong</c:v>
                </c:pt>
                <c:pt idx="5">
                  <c:v>Weak</c:v>
                </c:pt>
                <c:pt idx="6">
                  <c:v>Indep.</c:v>
                </c:pt>
              </c:strCache>
            </c:strRef>
          </c:cat>
          <c:val>
            <c:numRef>
              <c:f>Sheet1!$E$2:$E$8</c:f>
              <c:numCache>
                <c:formatCode>General</c:formatCode>
                <c:ptCount val="7"/>
                <c:pt idx="0">
                  <c:v>0</c:v>
                </c:pt>
                <c:pt idx="1">
                  <c:v>0</c:v>
                </c:pt>
                <c:pt idx="2">
                  <c:v>18</c:v>
                </c:pt>
                <c:pt idx="4">
                  <c:v>0</c:v>
                </c:pt>
                <c:pt idx="5">
                  <c:v>0</c:v>
                </c:pt>
                <c:pt idx="6">
                  <c:v>62</c:v>
                </c:pt>
              </c:numCache>
            </c:numRef>
          </c:val>
          <c:extLst>
            <c:ext xmlns:c16="http://schemas.microsoft.com/office/drawing/2014/chart" uri="{C3380CC4-5D6E-409C-BE32-E72D297353CC}">
              <c16:uniqueId val="{00000003-E575-4CD3-85CE-4BC06B366406}"/>
            </c:ext>
          </c:extLst>
        </c:ser>
        <c:dLbls>
          <c:dLblPos val="outEnd"/>
          <c:showLegendKey val="0"/>
          <c:showVal val="1"/>
          <c:showCatName val="0"/>
          <c:showSerName val="0"/>
          <c:showPercent val="0"/>
          <c:showBubbleSize val="0"/>
        </c:dLbls>
        <c:gapWidth val="50"/>
        <c:axId val="616592544"/>
        <c:axId val="616593200"/>
      </c:barChart>
      <c:catAx>
        <c:axId val="616592544"/>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105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en-BE"/>
          </a:p>
        </c:txPr>
        <c:crossAx val="616593200"/>
        <c:crosses val="autoZero"/>
        <c:auto val="1"/>
        <c:lblAlgn val="ctr"/>
        <c:lblOffset val="100"/>
        <c:noMultiLvlLbl val="0"/>
      </c:catAx>
      <c:valAx>
        <c:axId val="616593200"/>
        <c:scaling>
          <c:orientation val="minMax"/>
        </c:scaling>
        <c:delete val="1"/>
        <c:axPos val="l"/>
        <c:numFmt formatCode="General" sourceLinked="1"/>
        <c:majorTickMark val="none"/>
        <c:minorTickMark val="none"/>
        <c:tickLblPos val="nextTo"/>
        <c:crossAx val="616592544"/>
        <c:crosses val="autoZero"/>
        <c:crossBetween val="between"/>
      </c:valAx>
      <c:spPr>
        <a:noFill/>
        <a:ln>
          <a:noFill/>
        </a:ln>
        <a:effectLst/>
      </c:spPr>
    </c:plotArea>
    <c:legend>
      <c:legendPos val="b"/>
      <c:layout>
        <c:manualLayout>
          <c:xMode val="edge"/>
          <c:yMode val="edge"/>
          <c:x val="7.6082720735605264E-2"/>
          <c:y val="0.90687971436002934"/>
          <c:w val="0.84174971156493883"/>
          <c:h val="7.9533627994804984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B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BE"/>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fr-BE" sz="1200" b="1">
                <a:solidFill>
                  <a:sysClr val="windowText" lastClr="000000"/>
                </a:solidFill>
                <a:latin typeface="Times New Roman" panose="02020603050405020304" pitchFamily="18" charset="0"/>
                <a:cs typeface="Times New Roman" panose="02020603050405020304" pitchFamily="18" charset="0"/>
              </a:rPr>
              <a:t>English </a:t>
            </a:r>
            <a:r>
              <a:rPr lang="fr-BE" sz="1200" b="0">
                <a:solidFill>
                  <a:sysClr val="windowText" lastClr="000000"/>
                </a:solidFill>
                <a:latin typeface="Times New Roman" panose="02020603050405020304" pitchFamily="18" charset="0"/>
                <a:cs typeface="Times New Roman" panose="02020603050405020304" pitchFamily="18" charset="0"/>
              </a:rPr>
              <a:t>(n = 156)</a:t>
            </a:r>
          </a:p>
        </c:rich>
      </c:tx>
      <c:layout>
        <c:manualLayout>
          <c:xMode val="edge"/>
          <c:yMode val="edge"/>
          <c:x val="2.4949532315172017E-2"/>
          <c:y val="3.655233339734972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BE"/>
        </a:p>
      </c:txPr>
    </c:title>
    <c:autoTitleDeleted val="0"/>
    <c:plotArea>
      <c:layout>
        <c:manualLayout>
          <c:layoutTarget val="inner"/>
          <c:xMode val="edge"/>
          <c:yMode val="edge"/>
          <c:x val="0.35870316546002218"/>
          <c:y val="0.1268564506359782"/>
          <c:w val="0.62339974281738264"/>
          <c:h val="0.7111492222008835"/>
        </c:manualLayout>
      </c:layout>
      <c:barChart>
        <c:barDir val="bar"/>
        <c:grouping val="percentStacked"/>
        <c:varyColors val="0"/>
        <c:ser>
          <c:idx val="0"/>
          <c:order val="0"/>
          <c:tx>
            <c:strRef>
              <c:f>Sheet1!$B$1</c:f>
              <c:strCache>
                <c:ptCount val="1"/>
                <c:pt idx="0">
                  <c:v>integrated</c:v>
                </c:pt>
              </c:strCache>
            </c:strRef>
          </c:tx>
          <c:spPr>
            <a:solidFill>
              <a:srgbClr val="9CB7D4"/>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B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Independence (n = 58)</c:v>
                </c:pt>
                <c:pt idx="1">
                  <c:v>Weak dependence (n = 42)</c:v>
                </c:pt>
                <c:pt idx="2">
                  <c:v>Strong dependence (n = 56)</c:v>
                </c:pt>
              </c:strCache>
            </c:strRef>
          </c:cat>
          <c:val>
            <c:numRef>
              <c:f>Sheet1!$B$2:$B$4</c:f>
              <c:numCache>
                <c:formatCode>General</c:formatCode>
                <c:ptCount val="3"/>
                <c:pt idx="0">
                  <c:v>2</c:v>
                </c:pt>
                <c:pt idx="1">
                  <c:v>14</c:v>
                </c:pt>
                <c:pt idx="2">
                  <c:v>53</c:v>
                </c:pt>
              </c:numCache>
            </c:numRef>
          </c:val>
          <c:extLst>
            <c:ext xmlns:c16="http://schemas.microsoft.com/office/drawing/2014/chart" uri="{C3380CC4-5D6E-409C-BE32-E72D297353CC}">
              <c16:uniqueId val="{00000000-5269-405A-B8E0-3A319F72F215}"/>
            </c:ext>
          </c:extLst>
        </c:ser>
        <c:ser>
          <c:idx val="1"/>
          <c:order val="1"/>
          <c:tx>
            <c:strRef>
              <c:f>Sheet1!$C$1</c:f>
              <c:strCache>
                <c:ptCount val="1"/>
                <c:pt idx="0">
                  <c:v>non-integrated</c:v>
                </c:pt>
              </c:strCache>
            </c:strRef>
          </c:tx>
          <c:spPr>
            <a:solidFill>
              <a:srgbClr val="00214E"/>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B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Independence (n = 58)</c:v>
                </c:pt>
                <c:pt idx="1">
                  <c:v>Weak dependence (n = 42)</c:v>
                </c:pt>
                <c:pt idx="2">
                  <c:v>Strong dependence (n = 56)</c:v>
                </c:pt>
              </c:strCache>
            </c:strRef>
          </c:cat>
          <c:val>
            <c:numRef>
              <c:f>Sheet1!$C$2:$C$4</c:f>
              <c:numCache>
                <c:formatCode>General</c:formatCode>
                <c:ptCount val="3"/>
                <c:pt idx="0">
                  <c:v>56</c:v>
                </c:pt>
                <c:pt idx="1">
                  <c:v>28</c:v>
                </c:pt>
                <c:pt idx="2">
                  <c:v>3</c:v>
                </c:pt>
              </c:numCache>
            </c:numRef>
          </c:val>
          <c:extLst>
            <c:ext xmlns:c16="http://schemas.microsoft.com/office/drawing/2014/chart" uri="{C3380CC4-5D6E-409C-BE32-E72D297353CC}">
              <c16:uniqueId val="{00000001-5269-405A-B8E0-3A319F72F215}"/>
            </c:ext>
          </c:extLst>
        </c:ser>
        <c:dLbls>
          <c:showLegendKey val="0"/>
          <c:showVal val="1"/>
          <c:showCatName val="0"/>
          <c:showSerName val="0"/>
          <c:showPercent val="0"/>
          <c:showBubbleSize val="0"/>
        </c:dLbls>
        <c:gapWidth val="50"/>
        <c:overlap val="100"/>
        <c:axId val="622325816"/>
        <c:axId val="622327784"/>
      </c:barChart>
      <c:catAx>
        <c:axId val="622325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BE"/>
          </a:p>
        </c:txPr>
        <c:crossAx val="622327784"/>
        <c:crosses val="autoZero"/>
        <c:auto val="1"/>
        <c:lblAlgn val="ctr"/>
        <c:lblOffset val="100"/>
        <c:noMultiLvlLbl val="0"/>
      </c:catAx>
      <c:valAx>
        <c:axId val="622327784"/>
        <c:scaling>
          <c:orientation val="minMax"/>
        </c:scaling>
        <c:delete val="1"/>
        <c:axPos val="b"/>
        <c:numFmt formatCode="0%" sourceLinked="1"/>
        <c:majorTickMark val="none"/>
        <c:minorTickMark val="none"/>
        <c:tickLblPos val="nextTo"/>
        <c:crossAx val="622325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B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B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fr-BE" sz="1200" b="1">
                <a:solidFill>
                  <a:sysClr val="windowText" lastClr="000000"/>
                </a:solidFill>
                <a:latin typeface="Times New Roman" panose="02020603050405020304" pitchFamily="18" charset="0"/>
                <a:cs typeface="Times New Roman" panose="02020603050405020304" pitchFamily="18" charset="0"/>
              </a:rPr>
              <a:t>Dutch </a:t>
            </a:r>
            <a:r>
              <a:rPr lang="fr-BE" sz="1200" b="0">
                <a:solidFill>
                  <a:sysClr val="windowText" lastClr="000000"/>
                </a:solidFill>
                <a:latin typeface="Times New Roman" panose="02020603050405020304" pitchFamily="18" charset="0"/>
                <a:cs typeface="Times New Roman" panose="02020603050405020304" pitchFamily="18" charset="0"/>
              </a:rPr>
              <a:t>(</a:t>
            </a:r>
            <a:r>
              <a:rPr lang="fr-BE"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rPr>
              <a:t>n = </a:t>
            </a:r>
            <a:r>
              <a:rPr lang="fr-BE" sz="1200" b="0">
                <a:solidFill>
                  <a:sysClr val="windowText" lastClr="000000"/>
                </a:solidFill>
                <a:latin typeface="Times New Roman" panose="02020603050405020304" pitchFamily="18" charset="0"/>
                <a:cs typeface="Times New Roman" panose="02020603050405020304" pitchFamily="18" charset="0"/>
              </a:rPr>
              <a:t>247)</a:t>
            </a:r>
            <a:endParaRPr lang="fr-BE"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2.4949532315172045E-2"/>
          <c:y val="3.167420814479637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fr-BE"/>
        </a:p>
      </c:txPr>
    </c:title>
    <c:autoTitleDeleted val="0"/>
    <c:plotArea>
      <c:layout>
        <c:manualLayout>
          <c:layoutTarget val="inner"/>
          <c:xMode val="edge"/>
          <c:yMode val="edge"/>
          <c:x val="0.35646602899469776"/>
          <c:y val="0.1268564506359782"/>
          <c:w val="0.62563687928270706"/>
          <c:h val="0.7111492222008835"/>
        </c:manualLayout>
      </c:layout>
      <c:barChart>
        <c:barDir val="bar"/>
        <c:grouping val="percentStacked"/>
        <c:varyColors val="0"/>
        <c:ser>
          <c:idx val="0"/>
          <c:order val="0"/>
          <c:tx>
            <c:strRef>
              <c:f>Sheet1!$B$1</c:f>
              <c:strCache>
                <c:ptCount val="1"/>
                <c:pt idx="0">
                  <c:v>integrated</c:v>
                </c:pt>
              </c:strCache>
            </c:strRef>
          </c:tx>
          <c:spPr>
            <a:solidFill>
              <a:srgbClr val="9CB7D4"/>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Independence (n = 119)</c:v>
                </c:pt>
                <c:pt idx="1">
                  <c:v>Weak dependence (n = 38)</c:v>
                </c:pt>
                <c:pt idx="2">
                  <c:v>Strong dependence (n = 90)</c:v>
                </c:pt>
              </c:strCache>
            </c:strRef>
          </c:cat>
          <c:val>
            <c:numRef>
              <c:f>Sheet1!$B$2:$B$4</c:f>
              <c:numCache>
                <c:formatCode>General</c:formatCode>
                <c:ptCount val="3"/>
                <c:pt idx="0">
                  <c:v>1</c:v>
                </c:pt>
                <c:pt idx="1">
                  <c:v>17</c:v>
                </c:pt>
                <c:pt idx="2">
                  <c:v>69</c:v>
                </c:pt>
              </c:numCache>
            </c:numRef>
          </c:val>
          <c:extLst>
            <c:ext xmlns:c16="http://schemas.microsoft.com/office/drawing/2014/chart" uri="{C3380CC4-5D6E-409C-BE32-E72D297353CC}">
              <c16:uniqueId val="{00000000-A00C-46A2-9A29-1F82BDF9ABB8}"/>
            </c:ext>
          </c:extLst>
        </c:ser>
        <c:ser>
          <c:idx val="1"/>
          <c:order val="1"/>
          <c:tx>
            <c:strRef>
              <c:f>Sheet1!$C$1</c:f>
              <c:strCache>
                <c:ptCount val="1"/>
                <c:pt idx="0">
                  <c:v>non-integrated</c:v>
                </c:pt>
              </c:strCache>
            </c:strRef>
          </c:tx>
          <c:spPr>
            <a:solidFill>
              <a:srgbClr val="00214E"/>
            </a:solidFill>
            <a:ln w="3175">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Independence (n = 119)</c:v>
                </c:pt>
                <c:pt idx="1">
                  <c:v>Weak dependence (n = 38)</c:v>
                </c:pt>
                <c:pt idx="2">
                  <c:v>Strong dependence (n = 90)</c:v>
                </c:pt>
              </c:strCache>
            </c:strRef>
          </c:cat>
          <c:val>
            <c:numRef>
              <c:f>Sheet1!$C$2:$C$4</c:f>
              <c:numCache>
                <c:formatCode>General</c:formatCode>
                <c:ptCount val="3"/>
                <c:pt idx="0">
                  <c:v>118</c:v>
                </c:pt>
                <c:pt idx="1">
                  <c:v>21</c:v>
                </c:pt>
                <c:pt idx="2">
                  <c:v>21</c:v>
                </c:pt>
              </c:numCache>
            </c:numRef>
          </c:val>
          <c:extLst>
            <c:ext xmlns:c16="http://schemas.microsoft.com/office/drawing/2014/chart" uri="{C3380CC4-5D6E-409C-BE32-E72D297353CC}">
              <c16:uniqueId val="{00000003-A00C-46A2-9A29-1F82BDF9ABB8}"/>
            </c:ext>
          </c:extLst>
        </c:ser>
        <c:dLbls>
          <c:dLblPos val="ctr"/>
          <c:showLegendKey val="0"/>
          <c:showVal val="1"/>
          <c:showCatName val="0"/>
          <c:showSerName val="0"/>
          <c:showPercent val="0"/>
          <c:showBubbleSize val="0"/>
        </c:dLbls>
        <c:gapWidth val="50"/>
        <c:overlap val="100"/>
        <c:axId val="622325816"/>
        <c:axId val="622327784"/>
      </c:barChart>
      <c:catAx>
        <c:axId val="622325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BE"/>
          </a:p>
        </c:txPr>
        <c:crossAx val="622327784"/>
        <c:crosses val="autoZero"/>
        <c:auto val="1"/>
        <c:lblAlgn val="ctr"/>
        <c:lblOffset val="100"/>
        <c:noMultiLvlLbl val="0"/>
      </c:catAx>
      <c:valAx>
        <c:axId val="622327784"/>
        <c:scaling>
          <c:orientation val="minMax"/>
        </c:scaling>
        <c:delete val="1"/>
        <c:axPos val="b"/>
        <c:numFmt formatCode="0%" sourceLinked="1"/>
        <c:majorTickMark val="none"/>
        <c:minorTickMark val="none"/>
        <c:tickLblPos val="nextTo"/>
        <c:crossAx val="622325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B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B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fr-BE" sz="1200" b="1">
                <a:solidFill>
                  <a:sysClr val="windowText" lastClr="000000"/>
                </a:solidFill>
                <a:latin typeface="Times New Roman" panose="02020603050405020304" pitchFamily="18" charset="0"/>
                <a:cs typeface="Times New Roman" panose="02020603050405020304" pitchFamily="18" charset="0"/>
              </a:rPr>
              <a:t>English </a:t>
            </a:r>
            <a:r>
              <a:rPr lang="fr-BE" sz="1200" b="0">
                <a:solidFill>
                  <a:sysClr val="windowText" lastClr="000000"/>
                </a:solidFill>
                <a:latin typeface="Times New Roman" panose="02020603050405020304" pitchFamily="18" charset="0"/>
                <a:cs typeface="Times New Roman" panose="02020603050405020304" pitchFamily="18" charset="0"/>
              </a:rPr>
              <a:t>(</a:t>
            </a:r>
            <a:r>
              <a:rPr lang="fr-BE"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rPr>
              <a:t>n = </a:t>
            </a:r>
            <a:r>
              <a:rPr lang="fr-BE" sz="1200" b="0">
                <a:solidFill>
                  <a:sysClr val="windowText" lastClr="000000"/>
                </a:solidFill>
                <a:latin typeface="Times New Roman" panose="02020603050405020304" pitchFamily="18" charset="0"/>
                <a:cs typeface="Times New Roman" panose="02020603050405020304" pitchFamily="18" charset="0"/>
              </a:rPr>
              <a:t>156)</a:t>
            </a:r>
          </a:p>
        </c:rich>
      </c:tx>
      <c:layout>
        <c:manualLayout>
          <c:xMode val="edge"/>
          <c:yMode val="edge"/>
          <c:x val="2.4949532315172045E-2"/>
          <c:y val="3.167420814479637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BE"/>
        </a:p>
      </c:txPr>
    </c:title>
    <c:autoTitleDeleted val="0"/>
    <c:plotArea>
      <c:layout>
        <c:manualLayout>
          <c:layoutTarget val="inner"/>
          <c:xMode val="edge"/>
          <c:yMode val="edge"/>
          <c:x val="0.28935193503496631"/>
          <c:y val="0.1268564506359782"/>
          <c:w val="0.69275097324243862"/>
          <c:h val="0.7111492222008835"/>
        </c:manualLayout>
      </c:layout>
      <c:barChart>
        <c:barDir val="bar"/>
        <c:grouping val="percentStacked"/>
        <c:varyColors val="0"/>
        <c:ser>
          <c:idx val="0"/>
          <c:order val="0"/>
          <c:tx>
            <c:strRef>
              <c:f>Sheet1!$B$1</c:f>
              <c:strCache>
                <c:ptCount val="1"/>
                <c:pt idx="0">
                  <c:v>integrated</c:v>
                </c:pt>
              </c:strCache>
            </c:strRef>
          </c:tx>
          <c:spPr>
            <a:solidFill>
              <a:srgbClr val="9CB7D4"/>
            </a:solidFill>
            <a:ln>
              <a:noFill/>
            </a:ln>
            <a:effectLst/>
          </c:spPr>
          <c:invertIfNegative val="0"/>
          <c:dPt>
            <c:idx val="3"/>
            <c:invertIfNegative val="0"/>
            <c:bubble3D val="0"/>
            <c:spPr>
              <a:solidFill>
                <a:srgbClr val="9CB7D4"/>
              </a:solidFill>
              <a:ln w="3175">
                <a:solidFill>
                  <a:schemeClr val="tx1"/>
                </a:solidFill>
              </a:ln>
              <a:effectLst/>
            </c:spPr>
            <c:extLst>
              <c:ext xmlns:c16="http://schemas.microsoft.com/office/drawing/2014/chart" uri="{C3380CC4-5D6E-409C-BE32-E72D297353CC}">
                <c16:uniqueId val="{00000000-DF69-44E7-B61B-27EFE7E11950}"/>
              </c:ext>
            </c:extLst>
          </c:dPt>
          <c:dLbls>
            <c:dLbl>
              <c:idx val="0"/>
              <c:delete val="1"/>
              <c:extLst>
                <c:ext xmlns:c15="http://schemas.microsoft.com/office/drawing/2012/chart" uri="{CE6537A1-D6FC-4f65-9D91-7224C49458BB}"/>
                <c:ext xmlns:c16="http://schemas.microsoft.com/office/drawing/2014/chart" uri="{C3380CC4-5D6E-409C-BE32-E72D297353CC}">
                  <c16:uniqueId val="{00000006-BCE0-414C-9DD3-A0FF9CB1F8B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B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Denial (n = 18)</c:v>
                </c:pt>
                <c:pt idx="1">
                  <c:v>Cause (n = 37)</c:v>
                </c:pt>
                <c:pt idx="2">
                  <c:v>Qualification (n = 47)</c:v>
                </c:pt>
                <c:pt idx="3">
                  <c:v>Manner (n = 54)</c:v>
                </c:pt>
              </c:strCache>
            </c:strRef>
          </c:cat>
          <c:val>
            <c:numRef>
              <c:f>Sheet1!$B$2:$B$5</c:f>
              <c:numCache>
                <c:formatCode>General</c:formatCode>
                <c:ptCount val="4"/>
                <c:pt idx="0">
                  <c:v>0</c:v>
                </c:pt>
                <c:pt idx="1">
                  <c:v>22</c:v>
                </c:pt>
                <c:pt idx="2">
                  <c:v>26</c:v>
                </c:pt>
                <c:pt idx="3">
                  <c:v>21</c:v>
                </c:pt>
              </c:numCache>
            </c:numRef>
          </c:val>
          <c:extLst>
            <c:ext xmlns:c16="http://schemas.microsoft.com/office/drawing/2014/chart" uri="{C3380CC4-5D6E-409C-BE32-E72D297353CC}">
              <c16:uniqueId val="{00000000-BCE0-414C-9DD3-A0FF9CB1F8BD}"/>
            </c:ext>
          </c:extLst>
        </c:ser>
        <c:ser>
          <c:idx val="1"/>
          <c:order val="1"/>
          <c:tx>
            <c:strRef>
              <c:f>Sheet1!$C$1</c:f>
              <c:strCache>
                <c:ptCount val="1"/>
                <c:pt idx="0">
                  <c:v>non-integrated</c:v>
                </c:pt>
              </c:strCache>
            </c:strRef>
          </c:tx>
          <c:spPr>
            <a:solidFill>
              <a:srgbClr val="00214E"/>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B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Denial (n = 18)</c:v>
                </c:pt>
                <c:pt idx="1">
                  <c:v>Cause (n = 37)</c:v>
                </c:pt>
                <c:pt idx="2">
                  <c:v>Qualification (n = 47)</c:v>
                </c:pt>
                <c:pt idx="3">
                  <c:v>Manner (n = 54)</c:v>
                </c:pt>
              </c:strCache>
            </c:strRef>
          </c:cat>
          <c:val>
            <c:numRef>
              <c:f>Sheet1!$C$2:$C$5</c:f>
              <c:numCache>
                <c:formatCode>General</c:formatCode>
                <c:ptCount val="4"/>
                <c:pt idx="0">
                  <c:v>18</c:v>
                </c:pt>
                <c:pt idx="1">
                  <c:v>15</c:v>
                </c:pt>
                <c:pt idx="2">
                  <c:v>21</c:v>
                </c:pt>
                <c:pt idx="3">
                  <c:v>33</c:v>
                </c:pt>
              </c:numCache>
            </c:numRef>
          </c:val>
          <c:extLst>
            <c:ext xmlns:c16="http://schemas.microsoft.com/office/drawing/2014/chart" uri="{C3380CC4-5D6E-409C-BE32-E72D297353CC}">
              <c16:uniqueId val="{00000001-BCE0-414C-9DD3-A0FF9CB1F8BD}"/>
            </c:ext>
          </c:extLst>
        </c:ser>
        <c:dLbls>
          <c:showLegendKey val="0"/>
          <c:showVal val="1"/>
          <c:showCatName val="0"/>
          <c:showSerName val="0"/>
          <c:showPercent val="0"/>
          <c:showBubbleSize val="0"/>
        </c:dLbls>
        <c:gapWidth val="50"/>
        <c:overlap val="100"/>
        <c:axId val="622325816"/>
        <c:axId val="622327784"/>
      </c:barChart>
      <c:catAx>
        <c:axId val="622325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BE"/>
          </a:p>
        </c:txPr>
        <c:crossAx val="622327784"/>
        <c:crosses val="autoZero"/>
        <c:auto val="1"/>
        <c:lblAlgn val="ctr"/>
        <c:lblOffset val="100"/>
        <c:noMultiLvlLbl val="0"/>
      </c:catAx>
      <c:valAx>
        <c:axId val="622327784"/>
        <c:scaling>
          <c:orientation val="minMax"/>
        </c:scaling>
        <c:delete val="1"/>
        <c:axPos val="b"/>
        <c:numFmt formatCode="0%" sourceLinked="1"/>
        <c:majorTickMark val="none"/>
        <c:minorTickMark val="none"/>
        <c:tickLblPos val="nextTo"/>
        <c:crossAx val="622325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B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B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fr-BE" sz="1200" b="1">
                <a:solidFill>
                  <a:sysClr val="windowText" lastClr="000000"/>
                </a:solidFill>
                <a:latin typeface="Times New Roman" panose="02020603050405020304" pitchFamily="18" charset="0"/>
                <a:cs typeface="Times New Roman" panose="02020603050405020304" pitchFamily="18" charset="0"/>
              </a:rPr>
              <a:t>Dutch </a:t>
            </a:r>
            <a:r>
              <a:rPr lang="fr-BE" sz="1200" b="0">
                <a:solidFill>
                  <a:sysClr val="windowText" lastClr="000000"/>
                </a:solidFill>
                <a:latin typeface="Times New Roman" panose="02020603050405020304" pitchFamily="18" charset="0"/>
                <a:cs typeface="Times New Roman" panose="02020603050405020304" pitchFamily="18" charset="0"/>
              </a:rPr>
              <a:t>(</a:t>
            </a:r>
            <a:r>
              <a:rPr lang="fr-BE"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rPr>
              <a:t>n = </a:t>
            </a:r>
            <a:r>
              <a:rPr lang="fr-BE" sz="1200" b="0" baseline="0">
                <a:solidFill>
                  <a:sysClr val="windowText" lastClr="000000"/>
                </a:solidFill>
                <a:latin typeface="Times New Roman" panose="02020603050405020304" pitchFamily="18" charset="0"/>
                <a:cs typeface="Times New Roman" panose="02020603050405020304" pitchFamily="18" charset="0"/>
              </a:rPr>
              <a:t>247)</a:t>
            </a:r>
          </a:p>
        </c:rich>
      </c:tx>
      <c:layout>
        <c:manualLayout>
          <c:xMode val="edge"/>
          <c:yMode val="edge"/>
          <c:x val="2.4949532315172045E-2"/>
          <c:y val="3.167420814479637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BE"/>
        </a:p>
      </c:txPr>
    </c:title>
    <c:autoTitleDeleted val="0"/>
    <c:plotArea>
      <c:layout>
        <c:manualLayout>
          <c:layoutTarget val="inner"/>
          <c:xMode val="edge"/>
          <c:yMode val="edge"/>
          <c:x val="0.28935193503496631"/>
          <c:y val="0.1268564506359782"/>
          <c:w val="0.69275097324243862"/>
          <c:h val="0.7111492222008835"/>
        </c:manualLayout>
      </c:layout>
      <c:barChart>
        <c:barDir val="bar"/>
        <c:grouping val="percentStacked"/>
        <c:varyColors val="0"/>
        <c:ser>
          <c:idx val="0"/>
          <c:order val="0"/>
          <c:tx>
            <c:strRef>
              <c:f>Sheet1!$B$1</c:f>
              <c:strCache>
                <c:ptCount val="1"/>
                <c:pt idx="0">
                  <c:v>integrated</c:v>
                </c:pt>
              </c:strCache>
            </c:strRef>
          </c:tx>
          <c:spPr>
            <a:solidFill>
              <a:srgbClr val="9CB7D4"/>
            </a:solidFill>
            <a:ln w="3175">
              <a:solidFill>
                <a:schemeClr val="tx1"/>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8-E37A-42F8-BAC5-FC7F16F69489}"/>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Denial (n = 62)</c:v>
                </c:pt>
                <c:pt idx="1">
                  <c:v>Cause (n = 36)</c:v>
                </c:pt>
                <c:pt idx="2">
                  <c:v>Qualification (n = 65)</c:v>
                </c:pt>
                <c:pt idx="3">
                  <c:v>Manner (n = 84)</c:v>
                </c:pt>
              </c:strCache>
            </c:strRef>
          </c:cat>
          <c:val>
            <c:numRef>
              <c:f>Sheet1!$B$2:$B$5</c:f>
              <c:numCache>
                <c:formatCode>General</c:formatCode>
                <c:ptCount val="4"/>
                <c:pt idx="0">
                  <c:v>0</c:v>
                </c:pt>
                <c:pt idx="1">
                  <c:v>11</c:v>
                </c:pt>
                <c:pt idx="2">
                  <c:v>23</c:v>
                </c:pt>
                <c:pt idx="3">
                  <c:v>53</c:v>
                </c:pt>
              </c:numCache>
            </c:numRef>
          </c:val>
          <c:extLst>
            <c:ext xmlns:c16="http://schemas.microsoft.com/office/drawing/2014/chart" uri="{C3380CC4-5D6E-409C-BE32-E72D297353CC}">
              <c16:uniqueId val="{00000000-E37A-42F8-BAC5-FC7F16F69489}"/>
            </c:ext>
          </c:extLst>
        </c:ser>
        <c:ser>
          <c:idx val="1"/>
          <c:order val="1"/>
          <c:tx>
            <c:strRef>
              <c:f>Sheet1!$C$1</c:f>
              <c:strCache>
                <c:ptCount val="1"/>
                <c:pt idx="0">
                  <c:v>non-integrated</c:v>
                </c:pt>
              </c:strCache>
            </c:strRef>
          </c:tx>
          <c:spPr>
            <a:solidFill>
              <a:srgbClr val="00214E"/>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Denial (n = 62)</c:v>
                </c:pt>
                <c:pt idx="1">
                  <c:v>Cause (n = 36)</c:v>
                </c:pt>
                <c:pt idx="2">
                  <c:v>Qualification (n = 65)</c:v>
                </c:pt>
                <c:pt idx="3">
                  <c:v>Manner (n = 84)</c:v>
                </c:pt>
              </c:strCache>
            </c:strRef>
          </c:cat>
          <c:val>
            <c:numRef>
              <c:f>Sheet1!$C$2:$C$5</c:f>
              <c:numCache>
                <c:formatCode>General</c:formatCode>
                <c:ptCount val="4"/>
                <c:pt idx="0">
                  <c:v>62</c:v>
                </c:pt>
                <c:pt idx="1">
                  <c:v>25</c:v>
                </c:pt>
                <c:pt idx="2">
                  <c:v>42</c:v>
                </c:pt>
                <c:pt idx="3">
                  <c:v>31</c:v>
                </c:pt>
              </c:numCache>
            </c:numRef>
          </c:val>
          <c:extLst>
            <c:ext xmlns:c16="http://schemas.microsoft.com/office/drawing/2014/chart" uri="{C3380CC4-5D6E-409C-BE32-E72D297353CC}">
              <c16:uniqueId val="{00000001-E37A-42F8-BAC5-FC7F16F69489}"/>
            </c:ext>
          </c:extLst>
        </c:ser>
        <c:dLbls>
          <c:dLblPos val="ctr"/>
          <c:showLegendKey val="0"/>
          <c:showVal val="1"/>
          <c:showCatName val="0"/>
          <c:showSerName val="0"/>
          <c:showPercent val="0"/>
          <c:showBubbleSize val="0"/>
        </c:dLbls>
        <c:gapWidth val="50"/>
        <c:overlap val="100"/>
        <c:axId val="622325816"/>
        <c:axId val="622327784"/>
      </c:barChart>
      <c:catAx>
        <c:axId val="622325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BE"/>
          </a:p>
        </c:txPr>
        <c:crossAx val="622327784"/>
        <c:crosses val="autoZero"/>
        <c:auto val="1"/>
        <c:lblAlgn val="ctr"/>
        <c:lblOffset val="100"/>
        <c:noMultiLvlLbl val="0"/>
      </c:catAx>
      <c:valAx>
        <c:axId val="622327784"/>
        <c:scaling>
          <c:orientation val="minMax"/>
        </c:scaling>
        <c:delete val="1"/>
        <c:axPos val="b"/>
        <c:numFmt formatCode="0%" sourceLinked="1"/>
        <c:majorTickMark val="none"/>
        <c:minorTickMark val="none"/>
        <c:tickLblPos val="nextTo"/>
        <c:crossAx val="622325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B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B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fr-BE" sz="1200" b="1">
                <a:solidFill>
                  <a:sysClr val="windowText" lastClr="000000"/>
                </a:solidFill>
                <a:latin typeface="Times New Roman" panose="02020603050405020304" pitchFamily="18" charset="0"/>
                <a:cs typeface="Times New Roman" panose="02020603050405020304" pitchFamily="18" charset="0"/>
              </a:rPr>
              <a:t>English </a:t>
            </a:r>
            <a:r>
              <a:rPr lang="fr-BE" sz="1200" b="0">
                <a:solidFill>
                  <a:sysClr val="windowText" lastClr="000000"/>
                </a:solidFill>
                <a:latin typeface="Times New Roman" panose="02020603050405020304" pitchFamily="18" charset="0"/>
                <a:cs typeface="Times New Roman" panose="02020603050405020304" pitchFamily="18" charset="0"/>
              </a:rPr>
              <a:t>(</a:t>
            </a:r>
            <a:r>
              <a:rPr lang="fr-BE"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rPr>
              <a:t>n = </a:t>
            </a:r>
            <a:r>
              <a:rPr lang="fr-BE" sz="1200" b="0" baseline="0">
                <a:solidFill>
                  <a:sysClr val="windowText" lastClr="000000"/>
                </a:solidFill>
                <a:latin typeface="Times New Roman" panose="02020603050405020304" pitchFamily="18" charset="0"/>
                <a:cs typeface="Times New Roman" panose="02020603050405020304" pitchFamily="18" charset="0"/>
              </a:rPr>
              <a:t>156)</a:t>
            </a:r>
          </a:p>
        </c:rich>
      </c:tx>
      <c:layout>
        <c:manualLayout>
          <c:xMode val="edge"/>
          <c:yMode val="edge"/>
          <c:x val="2.4949532315172045E-2"/>
          <c:y val="3.167420814479637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BE"/>
        </a:p>
      </c:txPr>
    </c:title>
    <c:autoTitleDeleted val="0"/>
    <c:plotArea>
      <c:layout>
        <c:manualLayout>
          <c:layoutTarget val="inner"/>
          <c:xMode val="edge"/>
          <c:yMode val="edge"/>
          <c:x val="0.3989716218358611"/>
          <c:y val="0.1268564506359782"/>
          <c:w val="0.58313128644154377"/>
          <c:h val="0.7111492222008835"/>
        </c:manualLayout>
      </c:layout>
      <c:barChart>
        <c:barDir val="bar"/>
        <c:grouping val="percentStacked"/>
        <c:varyColors val="0"/>
        <c:ser>
          <c:idx val="0"/>
          <c:order val="0"/>
          <c:tx>
            <c:strRef>
              <c:f>Sheet1!$B$1</c:f>
              <c:strCache>
                <c:ptCount val="1"/>
                <c:pt idx="0">
                  <c:v>fall</c:v>
                </c:pt>
              </c:strCache>
            </c:strRef>
          </c:tx>
          <c:spPr>
            <a:solidFill>
              <a:srgbClr val="4F7D72"/>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Independence (n = 58)</c:v>
                </c:pt>
                <c:pt idx="1">
                  <c:v>Weak dependence (n = 42)</c:v>
                </c:pt>
                <c:pt idx="2">
                  <c:v>Strong dependence (n = 56)</c:v>
                </c:pt>
              </c:strCache>
            </c:strRef>
          </c:cat>
          <c:val>
            <c:numRef>
              <c:f>Sheet1!$B$2:$B$4</c:f>
              <c:numCache>
                <c:formatCode>General</c:formatCode>
                <c:ptCount val="3"/>
                <c:pt idx="0">
                  <c:v>37</c:v>
                </c:pt>
                <c:pt idx="1">
                  <c:v>25</c:v>
                </c:pt>
                <c:pt idx="2">
                  <c:v>39</c:v>
                </c:pt>
              </c:numCache>
            </c:numRef>
          </c:val>
          <c:extLst>
            <c:ext xmlns:c16="http://schemas.microsoft.com/office/drawing/2014/chart" uri="{C3380CC4-5D6E-409C-BE32-E72D297353CC}">
              <c16:uniqueId val="{00000000-EA9C-439B-81AA-12E50A6D9B3E}"/>
            </c:ext>
          </c:extLst>
        </c:ser>
        <c:ser>
          <c:idx val="1"/>
          <c:order val="1"/>
          <c:tx>
            <c:strRef>
              <c:f>Sheet1!$C$1</c:f>
              <c:strCache>
                <c:ptCount val="1"/>
                <c:pt idx="0">
                  <c:v>rise-fall</c:v>
                </c:pt>
              </c:strCache>
            </c:strRef>
          </c:tx>
          <c:spPr>
            <a:solidFill>
              <a:srgbClr val="B4D0C9"/>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Independence (n = 58)</c:v>
                </c:pt>
                <c:pt idx="1">
                  <c:v>Weak dependence (n = 42)</c:v>
                </c:pt>
                <c:pt idx="2">
                  <c:v>Strong dependence (n = 56)</c:v>
                </c:pt>
              </c:strCache>
            </c:strRef>
          </c:cat>
          <c:val>
            <c:numRef>
              <c:f>Sheet1!$C$2:$C$4</c:f>
              <c:numCache>
                <c:formatCode>General</c:formatCode>
                <c:ptCount val="3"/>
                <c:pt idx="0">
                  <c:v>5</c:v>
                </c:pt>
                <c:pt idx="1">
                  <c:v>9</c:v>
                </c:pt>
                <c:pt idx="2">
                  <c:v>13</c:v>
                </c:pt>
              </c:numCache>
            </c:numRef>
          </c:val>
          <c:extLst>
            <c:ext xmlns:c16="http://schemas.microsoft.com/office/drawing/2014/chart" uri="{C3380CC4-5D6E-409C-BE32-E72D297353CC}">
              <c16:uniqueId val="{00000001-EA9C-439B-81AA-12E50A6D9B3E}"/>
            </c:ext>
          </c:extLst>
        </c:ser>
        <c:ser>
          <c:idx val="2"/>
          <c:order val="2"/>
          <c:tx>
            <c:strRef>
              <c:f>Sheet1!$D$1</c:f>
              <c:strCache>
                <c:ptCount val="1"/>
                <c:pt idx="0">
                  <c:v>rise</c:v>
                </c:pt>
              </c:strCache>
            </c:strRef>
          </c:tx>
          <c:spPr>
            <a:solidFill>
              <a:srgbClr val="00214E"/>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Independence (n = 58)</c:v>
                </c:pt>
                <c:pt idx="1">
                  <c:v>Weak dependence (n = 42)</c:v>
                </c:pt>
                <c:pt idx="2">
                  <c:v>Strong dependence (n = 56)</c:v>
                </c:pt>
              </c:strCache>
            </c:strRef>
          </c:cat>
          <c:val>
            <c:numRef>
              <c:f>Sheet1!$D$2:$D$4</c:f>
              <c:numCache>
                <c:formatCode>General</c:formatCode>
                <c:ptCount val="3"/>
                <c:pt idx="0">
                  <c:v>5</c:v>
                </c:pt>
                <c:pt idx="1">
                  <c:v>7</c:v>
                </c:pt>
                <c:pt idx="2">
                  <c:v>2</c:v>
                </c:pt>
              </c:numCache>
            </c:numRef>
          </c:val>
          <c:extLst>
            <c:ext xmlns:c16="http://schemas.microsoft.com/office/drawing/2014/chart" uri="{C3380CC4-5D6E-409C-BE32-E72D297353CC}">
              <c16:uniqueId val="{00000002-EA9C-439B-81AA-12E50A6D9B3E}"/>
            </c:ext>
          </c:extLst>
        </c:ser>
        <c:ser>
          <c:idx val="3"/>
          <c:order val="3"/>
          <c:tx>
            <c:strRef>
              <c:f>Sheet1!$E$1</c:f>
              <c:strCache>
                <c:ptCount val="1"/>
                <c:pt idx="0">
                  <c:v>fall-rise</c:v>
                </c:pt>
              </c:strCache>
            </c:strRef>
          </c:tx>
          <c:spPr>
            <a:solidFill>
              <a:srgbClr val="B3D4FF"/>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Independence (n = 58)</c:v>
                </c:pt>
                <c:pt idx="1">
                  <c:v>Weak dependence (n = 42)</c:v>
                </c:pt>
                <c:pt idx="2">
                  <c:v>Strong dependence (n = 56)</c:v>
                </c:pt>
              </c:strCache>
            </c:strRef>
          </c:cat>
          <c:val>
            <c:numRef>
              <c:f>Sheet1!$E$2:$E$4</c:f>
              <c:numCache>
                <c:formatCode>General</c:formatCode>
                <c:ptCount val="3"/>
                <c:pt idx="0">
                  <c:v>11</c:v>
                </c:pt>
                <c:pt idx="1">
                  <c:v>1</c:v>
                </c:pt>
                <c:pt idx="2">
                  <c:v>2</c:v>
                </c:pt>
              </c:numCache>
            </c:numRef>
          </c:val>
          <c:extLst>
            <c:ext xmlns:c16="http://schemas.microsoft.com/office/drawing/2014/chart" uri="{C3380CC4-5D6E-409C-BE32-E72D297353CC}">
              <c16:uniqueId val="{00000003-EA9C-439B-81AA-12E50A6D9B3E}"/>
            </c:ext>
          </c:extLst>
        </c:ser>
        <c:dLbls>
          <c:dLblPos val="ctr"/>
          <c:showLegendKey val="0"/>
          <c:showVal val="1"/>
          <c:showCatName val="0"/>
          <c:showSerName val="0"/>
          <c:showPercent val="0"/>
          <c:showBubbleSize val="0"/>
        </c:dLbls>
        <c:gapWidth val="50"/>
        <c:overlap val="100"/>
        <c:axId val="622325816"/>
        <c:axId val="622327784"/>
      </c:barChart>
      <c:catAx>
        <c:axId val="622325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BE"/>
          </a:p>
        </c:txPr>
        <c:crossAx val="622327784"/>
        <c:crosses val="autoZero"/>
        <c:auto val="1"/>
        <c:lblAlgn val="ctr"/>
        <c:lblOffset val="100"/>
        <c:noMultiLvlLbl val="0"/>
      </c:catAx>
      <c:valAx>
        <c:axId val="622327784"/>
        <c:scaling>
          <c:orientation val="minMax"/>
        </c:scaling>
        <c:delete val="1"/>
        <c:axPos val="b"/>
        <c:numFmt formatCode="0%" sourceLinked="1"/>
        <c:majorTickMark val="none"/>
        <c:minorTickMark val="none"/>
        <c:tickLblPos val="nextTo"/>
        <c:crossAx val="622325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B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B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fr-BE" sz="1200" b="1">
                <a:solidFill>
                  <a:sysClr val="windowText" lastClr="000000"/>
                </a:solidFill>
                <a:latin typeface="Times New Roman" panose="02020603050405020304" pitchFamily="18" charset="0"/>
                <a:cs typeface="Times New Roman" panose="02020603050405020304" pitchFamily="18" charset="0"/>
              </a:rPr>
              <a:t>Dutch </a:t>
            </a:r>
            <a:r>
              <a:rPr lang="fr-BE" sz="1200" b="0">
                <a:solidFill>
                  <a:sysClr val="windowText" lastClr="000000"/>
                </a:solidFill>
                <a:latin typeface="Times New Roman" panose="02020603050405020304" pitchFamily="18" charset="0"/>
                <a:cs typeface="Times New Roman" panose="02020603050405020304" pitchFamily="18" charset="0"/>
              </a:rPr>
              <a:t>(</a:t>
            </a:r>
            <a:r>
              <a:rPr lang="fr-BE"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rPr>
              <a:t>n = </a:t>
            </a:r>
            <a:r>
              <a:rPr lang="fr-BE" sz="1200" b="0">
                <a:solidFill>
                  <a:sysClr val="windowText" lastClr="000000"/>
                </a:solidFill>
                <a:latin typeface="Times New Roman" panose="02020603050405020304" pitchFamily="18" charset="0"/>
                <a:cs typeface="Times New Roman" panose="02020603050405020304" pitchFamily="18" charset="0"/>
              </a:rPr>
              <a:t>247)</a:t>
            </a:r>
          </a:p>
        </c:rich>
      </c:tx>
      <c:layout>
        <c:manualLayout>
          <c:xMode val="edge"/>
          <c:yMode val="edge"/>
          <c:x val="2.4949532315172045E-2"/>
          <c:y val="3.167420814479637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BE"/>
        </a:p>
      </c:txPr>
    </c:title>
    <c:autoTitleDeleted val="0"/>
    <c:plotArea>
      <c:layout>
        <c:manualLayout>
          <c:layoutTarget val="inner"/>
          <c:xMode val="edge"/>
          <c:yMode val="edge"/>
          <c:x val="0.39673448537053663"/>
          <c:y val="0.1268564506359782"/>
          <c:w val="0.58536842290686808"/>
          <c:h val="0.7111492222008835"/>
        </c:manualLayout>
      </c:layout>
      <c:barChart>
        <c:barDir val="bar"/>
        <c:grouping val="percentStacked"/>
        <c:varyColors val="0"/>
        <c:ser>
          <c:idx val="0"/>
          <c:order val="0"/>
          <c:tx>
            <c:strRef>
              <c:f>Sheet1!$B$1</c:f>
              <c:strCache>
                <c:ptCount val="1"/>
                <c:pt idx="0">
                  <c:v>fall</c:v>
                </c:pt>
              </c:strCache>
            </c:strRef>
          </c:tx>
          <c:spPr>
            <a:solidFill>
              <a:srgbClr val="4F7D72"/>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Independence (n = 119)</c:v>
                </c:pt>
                <c:pt idx="1">
                  <c:v>Weak dependence (n = 38)</c:v>
                </c:pt>
                <c:pt idx="2">
                  <c:v>Strong dependence (n = 90)</c:v>
                </c:pt>
              </c:strCache>
            </c:strRef>
          </c:cat>
          <c:val>
            <c:numRef>
              <c:f>Sheet1!$B$2:$B$4</c:f>
              <c:numCache>
                <c:formatCode>General</c:formatCode>
                <c:ptCount val="3"/>
                <c:pt idx="0">
                  <c:v>83</c:v>
                </c:pt>
                <c:pt idx="1">
                  <c:v>21</c:v>
                </c:pt>
                <c:pt idx="2">
                  <c:v>51</c:v>
                </c:pt>
              </c:numCache>
            </c:numRef>
          </c:val>
          <c:extLst>
            <c:ext xmlns:c16="http://schemas.microsoft.com/office/drawing/2014/chart" uri="{C3380CC4-5D6E-409C-BE32-E72D297353CC}">
              <c16:uniqueId val="{00000000-A3BE-454E-94E0-1FBC5A0A9308}"/>
            </c:ext>
          </c:extLst>
        </c:ser>
        <c:ser>
          <c:idx val="1"/>
          <c:order val="1"/>
          <c:tx>
            <c:strRef>
              <c:f>Sheet1!$C$1</c:f>
              <c:strCache>
                <c:ptCount val="1"/>
                <c:pt idx="0">
                  <c:v>delayed fall</c:v>
                </c:pt>
              </c:strCache>
            </c:strRef>
          </c:tx>
          <c:spPr>
            <a:solidFill>
              <a:srgbClr val="B4D0C9"/>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Independence (n = 119)</c:v>
                </c:pt>
                <c:pt idx="1">
                  <c:v>Weak dependence (n = 38)</c:v>
                </c:pt>
                <c:pt idx="2">
                  <c:v>Strong dependence (n = 90)</c:v>
                </c:pt>
              </c:strCache>
            </c:strRef>
          </c:cat>
          <c:val>
            <c:numRef>
              <c:f>Sheet1!$C$2:$C$4</c:f>
              <c:numCache>
                <c:formatCode>General</c:formatCode>
                <c:ptCount val="3"/>
                <c:pt idx="0">
                  <c:v>22</c:v>
                </c:pt>
                <c:pt idx="1">
                  <c:v>8</c:v>
                </c:pt>
                <c:pt idx="2">
                  <c:v>12</c:v>
                </c:pt>
              </c:numCache>
            </c:numRef>
          </c:val>
          <c:extLst>
            <c:ext xmlns:c16="http://schemas.microsoft.com/office/drawing/2014/chart" uri="{C3380CC4-5D6E-409C-BE32-E72D297353CC}">
              <c16:uniqueId val="{00000001-A3BE-454E-94E0-1FBC5A0A9308}"/>
            </c:ext>
          </c:extLst>
        </c:ser>
        <c:ser>
          <c:idx val="2"/>
          <c:order val="2"/>
          <c:tx>
            <c:strRef>
              <c:f>Sheet1!$D$1</c:f>
              <c:strCache>
                <c:ptCount val="1"/>
                <c:pt idx="0">
                  <c:v>rise</c:v>
                </c:pt>
              </c:strCache>
            </c:strRef>
          </c:tx>
          <c:spPr>
            <a:solidFill>
              <a:srgbClr val="00214E"/>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Independence (n = 119)</c:v>
                </c:pt>
                <c:pt idx="1">
                  <c:v>Weak dependence (n = 38)</c:v>
                </c:pt>
                <c:pt idx="2">
                  <c:v>Strong dependence (n = 90)</c:v>
                </c:pt>
              </c:strCache>
            </c:strRef>
          </c:cat>
          <c:val>
            <c:numRef>
              <c:f>Sheet1!$D$2:$D$4</c:f>
              <c:numCache>
                <c:formatCode>General</c:formatCode>
                <c:ptCount val="3"/>
                <c:pt idx="0">
                  <c:v>11</c:v>
                </c:pt>
                <c:pt idx="1">
                  <c:v>7</c:v>
                </c:pt>
                <c:pt idx="2">
                  <c:v>21</c:v>
                </c:pt>
              </c:numCache>
            </c:numRef>
          </c:val>
          <c:extLst>
            <c:ext xmlns:c16="http://schemas.microsoft.com/office/drawing/2014/chart" uri="{C3380CC4-5D6E-409C-BE32-E72D297353CC}">
              <c16:uniqueId val="{00000002-A3BE-454E-94E0-1FBC5A0A9308}"/>
            </c:ext>
          </c:extLst>
        </c:ser>
        <c:ser>
          <c:idx val="3"/>
          <c:order val="3"/>
          <c:tx>
            <c:strRef>
              <c:f>Sheet1!$E$1</c:f>
              <c:strCache>
                <c:ptCount val="1"/>
                <c:pt idx="0">
                  <c:v>fall-rise</c:v>
                </c:pt>
              </c:strCache>
            </c:strRef>
          </c:tx>
          <c:spPr>
            <a:solidFill>
              <a:srgbClr val="B3D4FF"/>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Independence (n = 119)</c:v>
                </c:pt>
                <c:pt idx="1">
                  <c:v>Weak dependence (n = 38)</c:v>
                </c:pt>
                <c:pt idx="2">
                  <c:v>Strong dependence (n = 90)</c:v>
                </c:pt>
              </c:strCache>
            </c:strRef>
          </c:cat>
          <c:val>
            <c:numRef>
              <c:f>Sheet1!$E$2:$E$4</c:f>
              <c:numCache>
                <c:formatCode>General</c:formatCode>
                <c:ptCount val="3"/>
                <c:pt idx="0">
                  <c:v>3</c:v>
                </c:pt>
                <c:pt idx="1">
                  <c:v>2</c:v>
                </c:pt>
                <c:pt idx="2">
                  <c:v>6</c:v>
                </c:pt>
              </c:numCache>
            </c:numRef>
          </c:val>
          <c:extLst>
            <c:ext xmlns:c16="http://schemas.microsoft.com/office/drawing/2014/chart" uri="{C3380CC4-5D6E-409C-BE32-E72D297353CC}">
              <c16:uniqueId val="{00000003-A3BE-454E-94E0-1FBC5A0A9308}"/>
            </c:ext>
          </c:extLst>
        </c:ser>
        <c:dLbls>
          <c:dLblPos val="ctr"/>
          <c:showLegendKey val="0"/>
          <c:showVal val="1"/>
          <c:showCatName val="0"/>
          <c:showSerName val="0"/>
          <c:showPercent val="0"/>
          <c:showBubbleSize val="0"/>
        </c:dLbls>
        <c:gapWidth val="50"/>
        <c:overlap val="100"/>
        <c:axId val="622325816"/>
        <c:axId val="622327784"/>
      </c:barChart>
      <c:catAx>
        <c:axId val="622325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BE"/>
          </a:p>
        </c:txPr>
        <c:crossAx val="622327784"/>
        <c:crosses val="autoZero"/>
        <c:auto val="1"/>
        <c:lblAlgn val="ctr"/>
        <c:lblOffset val="100"/>
        <c:noMultiLvlLbl val="0"/>
      </c:catAx>
      <c:valAx>
        <c:axId val="622327784"/>
        <c:scaling>
          <c:orientation val="minMax"/>
        </c:scaling>
        <c:delete val="1"/>
        <c:axPos val="b"/>
        <c:numFmt formatCode="0%" sourceLinked="1"/>
        <c:majorTickMark val="none"/>
        <c:minorTickMark val="none"/>
        <c:tickLblPos val="nextTo"/>
        <c:crossAx val="622325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B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B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fr-BE" sz="1200" b="1">
                <a:solidFill>
                  <a:sysClr val="windowText" lastClr="000000"/>
                </a:solidFill>
                <a:latin typeface="Times New Roman" panose="02020603050405020304" pitchFamily="18" charset="0"/>
                <a:cs typeface="Times New Roman" panose="02020603050405020304" pitchFamily="18" charset="0"/>
              </a:rPr>
              <a:t>English </a:t>
            </a:r>
            <a:r>
              <a:rPr lang="fr-BE" sz="1200" b="0">
                <a:solidFill>
                  <a:sysClr val="windowText" lastClr="000000"/>
                </a:solidFill>
                <a:latin typeface="Times New Roman" panose="02020603050405020304" pitchFamily="18" charset="0"/>
                <a:cs typeface="Times New Roman" panose="02020603050405020304" pitchFamily="18" charset="0"/>
              </a:rPr>
              <a:t>(n = 156)</a:t>
            </a:r>
            <a:endParaRPr lang="fr-BE"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2.4949532315172045E-2"/>
          <c:y val="3.167420814479637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fr-BE"/>
        </a:p>
      </c:txPr>
    </c:title>
    <c:autoTitleDeleted val="0"/>
    <c:plotArea>
      <c:layout>
        <c:manualLayout>
          <c:layoutTarget val="inner"/>
          <c:xMode val="edge"/>
          <c:yMode val="edge"/>
          <c:x val="0.28935193503496631"/>
          <c:y val="0.1268564506359782"/>
          <c:w val="0.69275097324243862"/>
          <c:h val="0.7111492222008835"/>
        </c:manualLayout>
      </c:layout>
      <c:barChart>
        <c:barDir val="bar"/>
        <c:grouping val="percentStacked"/>
        <c:varyColors val="0"/>
        <c:ser>
          <c:idx val="0"/>
          <c:order val="0"/>
          <c:tx>
            <c:strRef>
              <c:f>Sheet1!$B$1</c:f>
              <c:strCache>
                <c:ptCount val="1"/>
                <c:pt idx="0">
                  <c:v>fall</c:v>
                </c:pt>
              </c:strCache>
            </c:strRef>
          </c:tx>
          <c:spPr>
            <a:solidFill>
              <a:srgbClr val="4F7D72"/>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Denial (n = 18)</c:v>
                </c:pt>
                <c:pt idx="1">
                  <c:v>Cause (n = 37)</c:v>
                </c:pt>
                <c:pt idx="2">
                  <c:v>Qualification (n = 47)</c:v>
                </c:pt>
                <c:pt idx="3">
                  <c:v>Manner (n = 54)</c:v>
                </c:pt>
              </c:strCache>
            </c:strRef>
          </c:cat>
          <c:val>
            <c:numRef>
              <c:f>Sheet1!$B$2:$B$5</c:f>
              <c:numCache>
                <c:formatCode>General</c:formatCode>
                <c:ptCount val="4"/>
                <c:pt idx="0">
                  <c:v>9</c:v>
                </c:pt>
                <c:pt idx="1">
                  <c:v>27</c:v>
                </c:pt>
                <c:pt idx="2">
                  <c:v>32</c:v>
                </c:pt>
                <c:pt idx="3">
                  <c:v>33</c:v>
                </c:pt>
              </c:numCache>
            </c:numRef>
          </c:val>
          <c:extLst>
            <c:ext xmlns:c16="http://schemas.microsoft.com/office/drawing/2014/chart" uri="{C3380CC4-5D6E-409C-BE32-E72D297353CC}">
              <c16:uniqueId val="{00000000-DF85-43E5-A527-B953BDA9D07D}"/>
            </c:ext>
          </c:extLst>
        </c:ser>
        <c:ser>
          <c:idx val="1"/>
          <c:order val="1"/>
          <c:tx>
            <c:strRef>
              <c:f>Sheet1!$C$1</c:f>
              <c:strCache>
                <c:ptCount val="1"/>
                <c:pt idx="0">
                  <c:v>rise-fall</c:v>
                </c:pt>
              </c:strCache>
            </c:strRef>
          </c:tx>
          <c:spPr>
            <a:solidFill>
              <a:srgbClr val="B4D0C9"/>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Denial (n = 18)</c:v>
                </c:pt>
                <c:pt idx="1">
                  <c:v>Cause (n = 37)</c:v>
                </c:pt>
                <c:pt idx="2">
                  <c:v>Qualification (n = 47)</c:v>
                </c:pt>
                <c:pt idx="3">
                  <c:v>Manner (n = 54)</c:v>
                </c:pt>
              </c:strCache>
            </c:strRef>
          </c:cat>
          <c:val>
            <c:numRef>
              <c:f>Sheet1!$C$2:$C$5</c:f>
              <c:numCache>
                <c:formatCode>General</c:formatCode>
                <c:ptCount val="4"/>
                <c:pt idx="0">
                  <c:v>1</c:v>
                </c:pt>
                <c:pt idx="1">
                  <c:v>6</c:v>
                </c:pt>
                <c:pt idx="2">
                  <c:v>9</c:v>
                </c:pt>
                <c:pt idx="3">
                  <c:v>11</c:v>
                </c:pt>
              </c:numCache>
            </c:numRef>
          </c:val>
          <c:extLst>
            <c:ext xmlns:c16="http://schemas.microsoft.com/office/drawing/2014/chart" uri="{C3380CC4-5D6E-409C-BE32-E72D297353CC}">
              <c16:uniqueId val="{00000001-DF85-43E5-A527-B953BDA9D07D}"/>
            </c:ext>
          </c:extLst>
        </c:ser>
        <c:ser>
          <c:idx val="2"/>
          <c:order val="2"/>
          <c:tx>
            <c:strRef>
              <c:f>Sheet1!$D$1</c:f>
              <c:strCache>
                <c:ptCount val="1"/>
                <c:pt idx="0">
                  <c:v>rise</c:v>
                </c:pt>
              </c:strCache>
            </c:strRef>
          </c:tx>
          <c:spPr>
            <a:solidFill>
              <a:srgbClr val="00214E"/>
            </a:solidFill>
            <a:ln w="3175">
              <a:solidFill>
                <a:schemeClr val="tx1"/>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DF85-43E5-A527-B953BDA9D07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Denial (n = 18)</c:v>
                </c:pt>
                <c:pt idx="1">
                  <c:v>Cause (n = 37)</c:v>
                </c:pt>
                <c:pt idx="2">
                  <c:v>Qualification (n = 47)</c:v>
                </c:pt>
                <c:pt idx="3">
                  <c:v>Manner (n = 54)</c:v>
                </c:pt>
              </c:strCache>
            </c:strRef>
          </c:cat>
          <c:val>
            <c:numRef>
              <c:f>Sheet1!$D$2:$D$5</c:f>
              <c:numCache>
                <c:formatCode>General</c:formatCode>
                <c:ptCount val="4"/>
                <c:pt idx="0">
                  <c:v>0</c:v>
                </c:pt>
                <c:pt idx="1">
                  <c:v>3</c:v>
                </c:pt>
                <c:pt idx="2">
                  <c:v>4</c:v>
                </c:pt>
                <c:pt idx="3">
                  <c:v>7</c:v>
                </c:pt>
              </c:numCache>
            </c:numRef>
          </c:val>
          <c:extLst>
            <c:ext xmlns:c16="http://schemas.microsoft.com/office/drawing/2014/chart" uri="{C3380CC4-5D6E-409C-BE32-E72D297353CC}">
              <c16:uniqueId val="{00000003-DF85-43E5-A527-B953BDA9D07D}"/>
            </c:ext>
          </c:extLst>
        </c:ser>
        <c:ser>
          <c:idx val="3"/>
          <c:order val="3"/>
          <c:tx>
            <c:strRef>
              <c:f>Sheet1!$E$1</c:f>
              <c:strCache>
                <c:ptCount val="1"/>
                <c:pt idx="0">
                  <c:v>fall-rise</c:v>
                </c:pt>
              </c:strCache>
            </c:strRef>
          </c:tx>
          <c:spPr>
            <a:solidFill>
              <a:srgbClr val="B3D4FF"/>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Denial (n = 18)</c:v>
                </c:pt>
                <c:pt idx="1">
                  <c:v>Cause (n = 37)</c:v>
                </c:pt>
                <c:pt idx="2">
                  <c:v>Qualification (n = 47)</c:v>
                </c:pt>
                <c:pt idx="3">
                  <c:v>Manner (n = 54)</c:v>
                </c:pt>
              </c:strCache>
            </c:strRef>
          </c:cat>
          <c:val>
            <c:numRef>
              <c:f>Sheet1!$E$2:$E$5</c:f>
              <c:numCache>
                <c:formatCode>General</c:formatCode>
                <c:ptCount val="4"/>
                <c:pt idx="0">
                  <c:v>8</c:v>
                </c:pt>
                <c:pt idx="1">
                  <c:v>1</c:v>
                </c:pt>
                <c:pt idx="2">
                  <c:v>2</c:v>
                </c:pt>
                <c:pt idx="3">
                  <c:v>3</c:v>
                </c:pt>
              </c:numCache>
            </c:numRef>
          </c:val>
          <c:extLst>
            <c:ext xmlns:c16="http://schemas.microsoft.com/office/drawing/2014/chart" uri="{C3380CC4-5D6E-409C-BE32-E72D297353CC}">
              <c16:uniqueId val="{00000004-DF85-43E5-A527-B953BDA9D07D}"/>
            </c:ext>
          </c:extLst>
        </c:ser>
        <c:dLbls>
          <c:dLblPos val="ctr"/>
          <c:showLegendKey val="0"/>
          <c:showVal val="1"/>
          <c:showCatName val="0"/>
          <c:showSerName val="0"/>
          <c:showPercent val="0"/>
          <c:showBubbleSize val="0"/>
        </c:dLbls>
        <c:gapWidth val="50"/>
        <c:overlap val="100"/>
        <c:axId val="622325816"/>
        <c:axId val="622327784"/>
      </c:barChart>
      <c:catAx>
        <c:axId val="622325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BE"/>
          </a:p>
        </c:txPr>
        <c:crossAx val="622327784"/>
        <c:crosses val="autoZero"/>
        <c:auto val="1"/>
        <c:lblAlgn val="ctr"/>
        <c:lblOffset val="100"/>
        <c:noMultiLvlLbl val="0"/>
      </c:catAx>
      <c:valAx>
        <c:axId val="622327784"/>
        <c:scaling>
          <c:orientation val="minMax"/>
        </c:scaling>
        <c:delete val="1"/>
        <c:axPos val="b"/>
        <c:numFmt formatCode="0%" sourceLinked="1"/>
        <c:majorTickMark val="none"/>
        <c:minorTickMark val="none"/>
        <c:tickLblPos val="nextTo"/>
        <c:crossAx val="622325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B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B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fr-BE" sz="1200" b="1">
                <a:solidFill>
                  <a:sysClr val="windowText" lastClr="000000"/>
                </a:solidFill>
                <a:latin typeface="Times New Roman" panose="02020603050405020304" pitchFamily="18" charset="0"/>
                <a:cs typeface="Times New Roman" panose="02020603050405020304" pitchFamily="18" charset="0"/>
              </a:rPr>
              <a:t>Dutch</a:t>
            </a:r>
            <a:r>
              <a:rPr lang="fr-BE" sz="1200" b="0">
                <a:solidFill>
                  <a:sysClr val="windowText" lastClr="000000"/>
                </a:solidFill>
                <a:latin typeface="Times New Roman" panose="02020603050405020304" pitchFamily="18" charset="0"/>
                <a:cs typeface="Times New Roman" panose="02020603050405020304" pitchFamily="18" charset="0"/>
              </a:rPr>
              <a:t> (n = 247)</a:t>
            </a:r>
            <a:endParaRPr lang="fr-BE"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2.4949532315172045E-2"/>
          <c:y val="3.167420814479637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fr-BE"/>
        </a:p>
      </c:txPr>
    </c:title>
    <c:autoTitleDeleted val="0"/>
    <c:plotArea>
      <c:layout>
        <c:manualLayout>
          <c:layoutTarget val="inner"/>
          <c:xMode val="edge"/>
          <c:yMode val="edge"/>
          <c:x val="0.28935193503496631"/>
          <c:y val="0.1268564506359782"/>
          <c:w val="0.69275097324243862"/>
          <c:h val="0.7111492222008835"/>
        </c:manualLayout>
      </c:layout>
      <c:barChart>
        <c:barDir val="bar"/>
        <c:grouping val="percentStacked"/>
        <c:varyColors val="0"/>
        <c:ser>
          <c:idx val="0"/>
          <c:order val="0"/>
          <c:tx>
            <c:strRef>
              <c:f>Sheet1!$B$1</c:f>
              <c:strCache>
                <c:ptCount val="1"/>
                <c:pt idx="0">
                  <c:v>fall</c:v>
                </c:pt>
              </c:strCache>
            </c:strRef>
          </c:tx>
          <c:spPr>
            <a:solidFill>
              <a:srgbClr val="4F7D72"/>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Denial (n = 62)</c:v>
                </c:pt>
                <c:pt idx="1">
                  <c:v>Cause (n = 36)</c:v>
                </c:pt>
                <c:pt idx="2">
                  <c:v>Qualification (n = 65)</c:v>
                </c:pt>
                <c:pt idx="3">
                  <c:v>Manner (n = 84)</c:v>
                </c:pt>
              </c:strCache>
            </c:strRef>
          </c:cat>
          <c:val>
            <c:numRef>
              <c:f>Sheet1!$B$2:$B$5</c:f>
              <c:numCache>
                <c:formatCode>General</c:formatCode>
                <c:ptCount val="4"/>
                <c:pt idx="0">
                  <c:v>36</c:v>
                </c:pt>
                <c:pt idx="1">
                  <c:v>23</c:v>
                </c:pt>
                <c:pt idx="2">
                  <c:v>53</c:v>
                </c:pt>
                <c:pt idx="3">
                  <c:v>43</c:v>
                </c:pt>
              </c:numCache>
            </c:numRef>
          </c:val>
          <c:extLst>
            <c:ext xmlns:c16="http://schemas.microsoft.com/office/drawing/2014/chart" uri="{C3380CC4-5D6E-409C-BE32-E72D297353CC}">
              <c16:uniqueId val="{00000000-29D5-4311-90A8-7C5250CA20C4}"/>
            </c:ext>
          </c:extLst>
        </c:ser>
        <c:ser>
          <c:idx val="1"/>
          <c:order val="1"/>
          <c:tx>
            <c:strRef>
              <c:f>Sheet1!$C$1</c:f>
              <c:strCache>
                <c:ptCount val="1"/>
                <c:pt idx="0">
                  <c:v>delayed fall</c:v>
                </c:pt>
              </c:strCache>
            </c:strRef>
          </c:tx>
          <c:spPr>
            <a:solidFill>
              <a:srgbClr val="B4D0C9"/>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Denial (n = 62)</c:v>
                </c:pt>
                <c:pt idx="1">
                  <c:v>Cause (n = 36)</c:v>
                </c:pt>
                <c:pt idx="2">
                  <c:v>Qualification (n = 65)</c:v>
                </c:pt>
                <c:pt idx="3">
                  <c:v>Manner (n = 84)</c:v>
                </c:pt>
              </c:strCache>
            </c:strRef>
          </c:cat>
          <c:val>
            <c:numRef>
              <c:f>Sheet1!$C$2:$C$5</c:f>
              <c:numCache>
                <c:formatCode>General</c:formatCode>
                <c:ptCount val="4"/>
                <c:pt idx="0">
                  <c:v>20</c:v>
                </c:pt>
                <c:pt idx="1">
                  <c:v>7</c:v>
                </c:pt>
                <c:pt idx="2">
                  <c:v>1</c:v>
                </c:pt>
                <c:pt idx="3">
                  <c:v>14</c:v>
                </c:pt>
              </c:numCache>
            </c:numRef>
          </c:val>
          <c:extLst>
            <c:ext xmlns:c16="http://schemas.microsoft.com/office/drawing/2014/chart" uri="{C3380CC4-5D6E-409C-BE32-E72D297353CC}">
              <c16:uniqueId val="{00000001-29D5-4311-90A8-7C5250CA20C4}"/>
            </c:ext>
          </c:extLst>
        </c:ser>
        <c:ser>
          <c:idx val="2"/>
          <c:order val="2"/>
          <c:tx>
            <c:strRef>
              <c:f>Sheet1!$D$1</c:f>
              <c:strCache>
                <c:ptCount val="1"/>
                <c:pt idx="0">
                  <c:v>rise</c:v>
                </c:pt>
              </c:strCache>
            </c:strRef>
          </c:tx>
          <c:spPr>
            <a:solidFill>
              <a:srgbClr val="00214E"/>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Denial (n = 62)</c:v>
                </c:pt>
                <c:pt idx="1">
                  <c:v>Cause (n = 36)</c:v>
                </c:pt>
                <c:pt idx="2">
                  <c:v>Qualification (n = 65)</c:v>
                </c:pt>
                <c:pt idx="3">
                  <c:v>Manner (n = 84)</c:v>
                </c:pt>
              </c:strCache>
            </c:strRef>
          </c:cat>
          <c:val>
            <c:numRef>
              <c:f>Sheet1!$D$2:$D$5</c:f>
              <c:numCache>
                <c:formatCode>General</c:formatCode>
                <c:ptCount val="4"/>
                <c:pt idx="0">
                  <c:v>5</c:v>
                </c:pt>
                <c:pt idx="1">
                  <c:v>3</c:v>
                </c:pt>
                <c:pt idx="2">
                  <c:v>10</c:v>
                </c:pt>
                <c:pt idx="3">
                  <c:v>21</c:v>
                </c:pt>
              </c:numCache>
            </c:numRef>
          </c:val>
          <c:extLst>
            <c:ext xmlns:c16="http://schemas.microsoft.com/office/drawing/2014/chart" uri="{C3380CC4-5D6E-409C-BE32-E72D297353CC}">
              <c16:uniqueId val="{00000002-29D5-4311-90A8-7C5250CA20C4}"/>
            </c:ext>
          </c:extLst>
        </c:ser>
        <c:ser>
          <c:idx val="3"/>
          <c:order val="3"/>
          <c:tx>
            <c:strRef>
              <c:f>Sheet1!$E$1</c:f>
              <c:strCache>
                <c:ptCount val="1"/>
                <c:pt idx="0">
                  <c:v>fall-rise</c:v>
                </c:pt>
              </c:strCache>
            </c:strRef>
          </c:tx>
          <c:spPr>
            <a:solidFill>
              <a:srgbClr val="B3D4FF"/>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Denial (n = 62)</c:v>
                </c:pt>
                <c:pt idx="1">
                  <c:v>Cause (n = 36)</c:v>
                </c:pt>
                <c:pt idx="2">
                  <c:v>Qualification (n = 65)</c:v>
                </c:pt>
                <c:pt idx="3">
                  <c:v>Manner (n = 84)</c:v>
                </c:pt>
              </c:strCache>
            </c:strRef>
          </c:cat>
          <c:val>
            <c:numRef>
              <c:f>Sheet1!$E$2:$E$5</c:f>
              <c:numCache>
                <c:formatCode>General</c:formatCode>
                <c:ptCount val="4"/>
                <c:pt idx="0">
                  <c:v>1</c:v>
                </c:pt>
                <c:pt idx="1">
                  <c:v>3</c:v>
                </c:pt>
                <c:pt idx="2">
                  <c:v>1</c:v>
                </c:pt>
                <c:pt idx="3">
                  <c:v>6</c:v>
                </c:pt>
              </c:numCache>
            </c:numRef>
          </c:val>
          <c:extLst>
            <c:ext xmlns:c16="http://schemas.microsoft.com/office/drawing/2014/chart" uri="{C3380CC4-5D6E-409C-BE32-E72D297353CC}">
              <c16:uniqueId val="{00000003-29D5-4311-90A8-7C5250CA20C4}"/>
            </c:ext>
          </c:extLst>
        </c:ser>
        <c:dLbls>
          <c:dLblPos val="ctr"/>
          <c:showLegendKey val="0"/>
          <c:showVal val="1"/>
          <c:showCatName val="0"/>
          <c:showSerName val="0"/>
          <c:showPercent val="0"/>
          <c:showBubbleSize val="0"/>
        </c:dLbls>
        <c:gapWidth val="50"/>
        <c:overlap val="100"/>
        <c:axId val="622325816"/>
        <c:axId val="622327784"/>
      </c:barChart>
      <c:catAx>
        <c:axId val="622325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BE"/>
          </a:p>
        </c:txPr>
        <c:crossAx val="622327784"/>
        <c:crosses val="autoZero"/>
        <c:auto val="1"/>
        <c:lblAlgn val="ctr"/>
        <c:lblOffset val="100"/>
        <c:noMultiLvlLbl val="0"/>
      </c:catAx>
      <c:valAx>
        <c:axId val="622327784"/>
        <c:scaling>
          <c:orientation val="minMax"/>
        </c:scaling>
        <c:delete val="1"/>
        <c:axPos val="b"/>
        <c:numFmt formatCode="0%" sourceLinked="1"/>
        <c:majorTickMark val="none"/>
        <c:minorTickMark val="none"/>
        <c:tickLblPos val="nextTo"/>
        <c:crossAx val="622325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B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B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0.01941</cdr:x>
      <cdr:y>0.04269</cdr:y>
    </cdr:from>
    <cdr:to>
      <cdr:x>0.46685</cdr:x>
      <cdr:y>0.88019</cdr:y>
    </cdr:to>
    <cdr:sp macro="" textlink="">
      <cdr:nvSpPr>
        <cdr:cNvPr id="4" name="Rectangle 3"/>
        <cdr:cNvSpPr/>
      </cdr:nvSpPr>
      <cdr:spPr>
        <a:xfrm xmlns:a="http://schemas.openxmlformats.org/drawingml/2006/main">
          <a:off x="111369" y="123093"/>
          <a:ext cx="2567354" cy="2414954"/>
        </a:xfrm>
        <a:prstGeom xmlns:a="http://schemas.openxmlformats.org/drawingml/2006/main" prst="rect">
          <a:avLst/>
        </a:prstGeom>
        <a:noFill xmlns:a="http://schemas.openxmlformats.org/drawingml/2006/main"/>
        <a:ln xmlns:a="http://schemas.openxmlformats.org/drawingml/2006/main">
          <a:solidFill>
            <a:schemeClr val="bg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fr-FR"/>
        </a:p>
      </cdr:txBody>
    </cdr:sp>
  </cdr:relSizeAnchor>
  <cdr:relSizeAnchor xmlns:cdr="http://schemas.openxmlformats.org/drawingml/2006/chartDrawing">
    <cdr:from>
      <cdr:x>0.537</cdr:x>
      <cdr:y>0.04404</cdr:y>
    </cdr:from>
    <cdr:to>
      <cdr:x>0.98444</cdr:x>
      <cdr:y>0.88154</cdr:y>
    </cdr:to>
    <cdr:sp macro="" textlink="">
      <cdr:nvSpPr>
        <cdr:cNvPr id="5" name="Rectangle 4"/>
        <cdr:cNvSpPr/>
      </cdr:nvSpPr>
      <cdr:spPr>
        <a:xfrm xmlns:a="http://schemas.openxmlformats.org/drawingml/2006/main">
          <a:off x="3081216" y="127001"/>
          <a:ext cx="2567354" cy="2414954"/>
        </a:xfrm>
        <a:prstGeom xmlns:a="http://schemas.openxmlformats.org/drawingml/2006/main" prst="rect">
          <a:avLst/>
        </a:prstGeom>
        <a:noFill xmlns:a="http://schemas.openxmlformats.org/drawingml/2006/main"/>
        <a:ln xmlns:a="http://schemas.openxmlformats.org/drawingml/2006/main">
          <a:solidFill>
            <a:schemeClr val="bg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fr-F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F5461-3B5F-41D1-AB28-65ECBEBFD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48</Pages>
  <Words>15656</Words>
  <Characters>89243</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 Van Praet</dc:creator>
  <cp:keywords/>
  <dc:description/>
  <cp:lastModifiedBy>Reviewer</cp:lastModifiedBy>
  <cp:revision>4</cp:revision>
  <cp:lastPrinted>2024-09-30T13:56:00Z</cp:lastPrinted>
  <dcterms:created xsi:type="dcterms:W3CDTF">2025-02-10T08:38:00Z</dcterms:created>
  <dcterms:modified xsi:type="dcterms:W3CDTF">2025-02-10T08:58:00Z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id="pbhHU3og"/&gt;&lt;style id="http://www.zotero.org/styles/journal-of-linguistics" hasBibliography="1" bibliographyStyleHasBeenSet="1"/&gt;&lt;prefs&gt;&lt;pref name="fieldType" value="Field"/&gt;&lt;pref name="automaticJ</vt:lpwstr>
  </property>
  <property fmtid="{D5CDD505-2E9C-101B-9397-08002B2CF9AE}" pid="3" name="ZOTERO_PREF_2">
    <vt:lpwstr>ournalAbbreviations" value="true"/&gt;&lt;/prefs&gt;&lt;/data&gt;</vt:lpwstr>
  </property>
</Properties>
</file>