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8FE40A" w14:textId="70760F21" w:rsidR="00704FBD" w:rsidRPr="008509F4" w:rsidRDefault="000D3882" w:rsidP="000D3882">
      <w:pPr>
        <w:jc w:val="center"/>
        <w:rPr>
          <w:sz w:val="32"/>
          <w:szCs w:val="32"/>
        </w:rPr>
      </w:pPr>
      <w:r w:rsidRPr="008509F4">
        <w:rPr>
          <w:sz w:val="32"/>
          <w:szCs w:val="32"/>
        </w:rPr>
        <w:t>Le G5S</w:t>
      </w:r>
      <w:r w:rsidR="007939BE" w:rsidRPr="008509F4">
        <w:rPr>
          <w:sz w:val="32"/>
          <w:szCs w:val="32"/>
        </w:rPr>
        <w:t> : état des lieux et perspectives</w:t>
      </w:r>
    </w:p>
    <w:p w14:paraId="572C022A" w14:textId="54CF93C2" w:rsidR="00D515A8" w:rsidRPr="008509F4" w:rsidRDefault="007939BE" w:rsidP="000D3882">
      <w:pPr>
        <w:jc w:val="center"/>
        <w:rPr>
          <w:sz w:val="32"/>
          <w:szCs w:val="32"/>
        </w:rPr>
      </w:pPr>
      <w:r w:rsidRPr="008509F4">
        <w:rPr>
          <w:sz w:val="32"/>
          <w:szCs w:val="32"/>
        </w:rPr>
        <w:t xml:space="preserve">Panel 1 : G5 Sahel : contexte, défis, dynamiques actuelles et </w:t>
      </w:r>
      <w:r w:rsidR="008509F4" w:rsidRPr="008509F4">
        <w:rPr>
          <w:sz w:val="32"/>
          <w:szCs w:val="32"/>
        </w:rPr>
        <w:t>perspectives</w:t>
      </w:r>
    </w:p>
    <w:p w14:paraId="3EE350D2" w14:textId="77777777" w:rsidR="007939BE" w:rsidRDefault="007939BE" w:rsidP="000D3882">
      <w:pPr>
        <w:jc w:val="center"/>
        <w:rPr>
          <w:sz w:val="28"/>
          <w:szCs w:val="28"/>
        </w:rPr>
      </w:pPr>
    </w:p>
    <w:p w14:paraId="3A6461B4" w14:textId="4C394B1D" w:rsidR="008509F4" w:rsidRPr="008509F4" w:rsidRDefault="007939BE" w:rsidP="0004335A">
      <w:pPr>
        <w:jc w:val="center"/>
        <w:rPr>
          <w:b/>
          <w:sz w:val="28"/>
          <w:szCs w:val="28"/>
          <w:u w:val="single"/>
        </w:rPr>
      </w:pPr>
      <w:r w:rsidRPr="008509F4">
        <w:rPr>
          <w:b/>
          <w:sz w:val="28"/>
          <w:szCs w:val="28"/>
          <w:u w:val="single"/>
        </w:rPr>
        <w:t>Le G5 Sahel vu d’Europe</w:t>
      </w:r>
      <w:bookmarkStart w:id="0" w:name="_GoBack"/>
      <w:bookmarkEnd w:id="0"/>
    </w:p>
    <w:p w14:paraId="47E51CC1" w14:textId="449B2CD7" w:rsidR="007939BE" w:rsidRPr="008509F4" w:rsidRDefault="007939BE" w:rsidP="008509F4">
      <w:pPr>
        <w:pBdr>
          <w:bottom w:val="single" w:sz="4" w:space="1" w:color="auto"/>
        </w:pBdr>
        <w:jc w:val="center"/>
        <w:rPr>
          <w:sz w:val="22"/>
          <w:szCs w:val="22"/>
        </w:rPr>
      </w:pPr>
      <w:r w:rsidRPr="008509F4">
        <w:rPr>
          <w:sz w:val="22"/>
          <w:szCs w:val="22"/>
        </w:rPr>
        <w:t>Professeur Michel Liégeois – Université catholique de Louvain (Belgique)</w:t>
      </w:r>
    </w:p>
    <w:p w14:paraId="101409AD" w14:textId="77777777" w:rsidR="007939BE" w:rsidRDefault="007939BE" w:rsidP="000D3882">
      <w:pPr>
        <w:jc w:val="center"/>
        <w:rPr>
          <w:sz w:val="28"/>
          <w:szCs w:val="28"/>
        </w:rPr>
      </w:pPr>
    </w:p>
    <w:p w14:paraId="6BC3F5F5" w14:textId="27221B5E" w:rsidR="007939BE" w:rsidRDefault="007939BE" w:rsidP="007939BE">
      <w:pPr>
        <w:jc w:val="both"/>
        <w:rPr>
          <w:sz w:val="28"/>
          <w:szCs w:val="28"/>
        </w:rPr>
      </w:pPr>
      <w:r>
        <w:rPr>
          <w:sz w:val="28"/>
          <w:szCs w:val="28"/>
        </w:rPr>
        <w:t>A titre de remarques préliminaires, il est précisé que l’auteur n’entend pas exprimer une quelconque position officielle de l’Europe si tant est qu’il en existe une sur le sujet abordé au cours de cette conférence. Bien que ce ne soit pas l’objet de cette communication, une étude détaillée des points de vues et des sensibilités à la question du G5 Sahel (G5S) donnerait certainement lieux à la mise en évidence d’une grande diversité d’intérêts et de points de vues entre les différents acteurs européens. Certa</w:t>
      </w:r>
      <w:r w:rsidR="00E6376C">
        <w:rPr>
          <w:sz w:val="28"/>
          <w:szCs w:val="28"/>
        </w:rPr>
        <w:t>ins seront présentés ici par les représentants diplomatiques.</w:t>
      </w:r>
      <w:r>
        <w:rPr>
          <w:sz w:val="28"/>
          <w:szCs w:val="28"/>
        </w:rPr>
        <w:t xml:space="preserve"> Quant aux initiatives de l’Union européenne elle-même, elles auront l’occasion de s’exprimer au cours de cette journée, notamment au travers des </w:t>
      </w:r>
      <w:r w:rsidR="00E6376C">
        <w:rPr>
          <w:sz w:val="28"/>
          <w:szCs w:val="28"/>
        </w:rPr>
        <w:t>représentant d’EUCAP-Sahel.</w:t>
      </w:r>
    </w:p>
    <w:p w14:paraId="01DD7019" w14:textId="77777777" w:rsidR="00E6376C" w:rsidRDefault="00E6376C" w:rsidP="007939BE">
      <w:pPr>
        <w:jc w:val="both"/>
        <w:rPr>
          <w:sz w:val="28"/>
          <w:szCs w:val="28"/>
        </w:rPr>
      </w:pPr>
    </w:p>
    <w:p w14:paraId="6280A609" w14:textId="7395A1DB" w:rsidR="00E6376C" w:rsidRDefault="00E6376C" w:rsidP="007939BE">
      <w:pPr>
        <w:jc w:val="both"/>
        <w:rPr>
          <w:sz w:val="28"/>
          <w:szCs w:val="28"/>
        </w:rPr>
      </w:pPr>
      <w:r>
        <w:rPr>
          <w:sz w:val="28"/>
          <w:szCs w:val="28"/>
        </w:rPr>
        <w:t>Ce qui fera l’objet de la contribution qui suit se veut plutôt le regard d’un académique européen sur la question « De quoi le G5S est-il l’expression ? ».</w:t>
      </w:r>
    </w:p>
    <w:p w14:paraId="2E50FA0D" w14:textId="0D5DA0AF" w:rsidR="00E6376C" w:rsidRDefault="00E6376C" w:rsidP="007939BE">
      <w:pPr>
        <w:jc w:val="both"/>
        <w:rPr>
          <w:sz w:val="28"/>
          <w:szCs w:val="28"/>
        </w:rPr>
      </w:pPr>
      <w:r>
        <w:rPr>
          <w:sz w:val="28"/>
          <w:szCs w:val="28"/>
        </w:rPr>
        <w:t>A cet égard, il convient de replacer l’analyse dans un contexte international contemporain marqué par plusieurs tendances de fond.</w:t>
      </w:r>
    </w:p>
    <w:p w14:paraId="4A788A47" w14:textId="5371CD9A" w:rsidR="00E6376C" w:rsidRDefault="00E6376C" w:rsidP="007939BE">
      <w:pPr>
        <w:jc w:val="both"/>
        <w:rPr>
          <w:sz w:val="28"/>
          <w:szCs w:val="28"/>
        </w:rPr>
      </w:pPr>
      <w:r>
        <w:rPr>
          <w:sz w:val="28"/>
          <w:szCs w:val="28"/>
        </w:rPr>
        <w:t>La première est la concentration géographique de la conflictualité armée. En diminution tendancielle depuis plusieurs décennies, la conflictualité tend à  se concentrer dans deux zones : le Moyen-Orient d’une part et le continent africain d’autre part.</w:t>
      </w:r>
    </w:p>
    <w:p w14:paraId="4FE97A44" w14:textId="7B8BA08F" w:rsidR="00E6376C" w:rsidRDefault="00E6376C" w:rsidP="007939BE">
      <w:pPr>
        <w:jc w:val="both"/>
        <w:rPr>
          <w:sz w:val="28"/>
          <w:szCs w:val="28"/>
        </w:rPr>
      </w:pPr>
      <w:r>
        <w:rPr>
          <w:sz w:val="28"/>
          <w:szCs w:val="28"/>
        </w:rPr>
        <w:t>La deuxième tendance est d’ordre qualitatif et prend la forme d’une transformation profonde des conflits armés. Cette mutation touche tous les aspects des conflits armés :</w:t>
      </w:r>
    </w:p>
    <w:p w14:paraId="369B77AD" w14:textId="3981A7C4" w:rsidR="00E6376C" w:rsidRDefault="00E6376C" w:rsidP="00E6376C">
      <w:pPr>
        <w:pStyle w:val="Paragraphedeliste"/>
        <w:numPr>
          <w:ilvl w:val="0"/>
          <w:numId w:val="1"/>
        </w:numPr>
        <w:jc w:val="both"/>
        <w:rPr>
          <w:sz w:val="28"/>
          <w:szCs w:val="28"/>
        </w:rPr>
      </w:pPr>
      <w:r>
        <w:rPr>
          <w:sz w:val="28"/>
          <w:szCs w:val="28"/>
        </w:rPr>
        <w:t>Acteurs : dans une très grande majorité des cas, les conflits impliquent des acteurs non-étatiques variés (groupes armés non-étatiques, forces multinationales, cellules terroristes, compagnie privée de sécurité</w:t>
      </w:r>
      <w:proofErr w:type="gramStart"/>
      <w:r>
        <w:rPr>
          <w:sz w:val="28"/>
          <w:szCs w:val="28"/>
        </w:rPr>
        <w:t>,…)</w:t>
      </w:r>
      <w:proofErr w:type="gramEnd"/>
      <w:r w:rsidR="00A140F9">
        <w:rPr>
          <w:sz w:val="28"/>
          <w:szCs w:val="28"/>
        </w:rPr>
        <w:t> :</w:t>
      </w:r>
    </w:p>
    <w:p w14:paraId="5181848C" w14:textId="019A33BE" w:rsidR="00E6376C" w:rsidRDefault="00E6376C" w:rsidP="00E6376C">
      <w:pPr>
        <w:pStyle w:val="Paragraphedeliste"/>
        <w:numPr>
          <w:ilvl w:val="0"/>
          <w:numId w:val="1"/>
        </w:numPr>
        <w:jc w:val="both"/>
        <w:rPr>
          <w:sz w:val="28"/>
          <w:szCs w:val="28"/>
        </w:rPr>
      </w:pPr>
      <w:r>
        <w:rPr>
          <w:sz w:val="28"/>
          <w:szCs w:val="28"/>
        </w:rPr>
        <w:t>Diffusion : les conflits ne prennent pas la forme de lignes de front</w:t>
      </w:r>
      <w:r w:rsidR="00A140F9">
        <w:rPr>
          <w:sz w:val="28"/>
          <w:szCs w:val="28"/>
        </w:rPr>
        <w:t xml:space="preserve"> définies ; la violence ne s’exerce pas dans une zone définie et relativement stable. Les conflits contemporains tendent au contraire à générer une insécurité diffuse et pérenne sur de larges territoires qui débordent les frontières des Etats ;</w:t>
      </w:r>
    </w:p>
    <w:p w14:paraId="3E0DCB6E" w14:textId="65789900" w:rsidR="00A140F9" w:rsidRDefault="00A140F9" w:rsidP="00E6376C">
      <w:pPr>
        <w:pStyle w:val="Paragraphedeliste"/>
        <w:numPr>
          <w:ilvl w:val="0"/>
          <w:numId w:val="1"/>
        </w:numPr>
        <w:jc w:val="both"/>
        <w:rPr>
          <w:sz w:val="28"/>
          <w:szCs w:val="28"/>
        </w:rPr>
      </w:pPr>
      <w:r>
        <w:rPr>
          <w:sz w:val="28"/>
          <w:szCs w:val="28"/>
        </w:rPr>
        <w:t xml:space="preserve">Modalité : contrairement à la violence codifiée et relativement prévisible des conflits interétatiques traditionnels, les conflits contemporains tendent à générer une hyper-violence qui semble </w:t>
      </w:r>
      <w:r>
        <w:rPr>
          <w:sz w:val="28"/>
          <w:szCs w:val="28"/>
        </w:rPr>
        <w:lastRenderedPageBreak/>
        <w:t>d’autant plus exacerbée que les moyens technologiques dont disposent les belligérants sont frustres. Cette hyper-violence prend notamment la forme de l’absence de toute restriction morale dans l’exercice de la violence à l’encontre des populations civiles. Ces pratiques visent la soumission des populations civiles sous l’empire de la terreur et apparaît comme alternative stratégique à la conquête territoriale traditionnelle ;</w:t>
      </w:r>
    </w:p>
    <w:p w14:paraId="1E1609B9" w14:textId="6692F84D" w:rsidR="00A140F9" w:rsidRDefault="00A140F9" w:rsidP="00E6376C">
      <w:pPr>
        <w:pStyle w:val="Paragraphedeliste"/>
        <w:numPr>
          <w:ilvl w:val="0"/>
          <w:numId w:val="1"/>
        </w:numPr>
        <w:jc w:val="both"/>
        <w:rPr>
          <w:sz w:val="28"/>
          <w:szCs w:val="28"/>
        </w:rPr>
      </w:pPr>
      <w:r>
        <w:rPr>
          <w:sz w:val="28"/>
          <w:szCs w:val="28"/>
        </w:rPr>
        <w:t>Motivation : les motivations des acteurs sont peu claires et évolutives. Elle semble négliger la conquête du pouvoir institu</w:t>
      </w:r>
      <w:r w:rsidR="00D6584D">
        <w:rPr>
          <w:sz w:val="28"/>
          <w:szCs w:val="28"/>
        </w:rPr>
        <w:t>tionnalisé et le contrôle formel</w:t>
      </w:r>
      <w:r>
        <w:rPr>
          <w:sz w:val="28"/>
          <w:szCs w:val="28"/>
        </w:rPr>
        <w:t xml:space="preserve"> de territoires au profit d’un pouvoir de fait, d’une capacité à diffuser des normes sociales alternatives (fondamentalisme religieux notamment)</w:t>
      </w:r>
      <w:r w:rsidR="00D6584D">
        <w:rPr>
          <w:sz w:val="28"/>
          <w:szCs w:val="28"/>
        </w:rPr>
        <w:t xml:space="preserve"> ainsi que l’enrichissement, soit en vue de financer le projet politique sous-jacent soit comme fin en soi.</w:t>
      </w:r>
    </w:p>
    <w:p w14:paraId="25BD9AA6" w14:textId="77777777" w:rsidR="00D6584D" w:rsidRDefault="00D6584D" w:rsidP="00D6584D">
      <w:pPr>
        <w:pStyle w:val="Paragraphedeliste"/>
        <w:jc w:val="both"/>
        <w:rPr>
          <w:sz w:val="28"/>
          <w:szCs w:val="28"/>
        </w:rPr>
      </w:pPr>
    </w:p>
    <w:p w14:paraId="75E29450" w14:textId="6284B1E4" w:rsidR="00D6584D" w:rsidRDefault="00D6584D" w:rsidP="00D6584D">
      <w:pPr>
        <w:pStyle w:val="Paragraphedeliste"/>
        <w:jc w:val="both"/>
        <w:rPr>
          <w:sz w:val="28"/>
          <w:szCs w:val="28"/>
        </w:rPr>
      </w:pPr>
      <w:r>
        <w:rPr>
          <w:sz w:val="28"/>
          <w:szCs w:val="28"/>
        </w:rPr>
        <w:t>La troisième tendance résulte des deux premières et prend la forme d’un changement de paradigme dans les réponses à apporter à ces nouvelles formes d’insécurité.</w:t>
      </w:r>
    </w:p>
    <w:p w14:paraId="50A845A5" w14:textId="7FDADE78" w:rsidR="00D6584D" w:rsidRDefault="00D6584D" w:rsidP="00D6584D">
      <w:pPr>
        <w:pStyle w:val="Paragraphedeliste"/>
        <w:jc w:val="both"/>
        <w:rPr>
          <w:sz w:val="28"/>
          <w:szCs w:val="28"/>
        </w:rPr>
      </w:pPr>
      <w:r>
        <w:rPr>
          <w:sz w:val="28"/>
          <w:szCs w:val="28"/>
        </w:rPr>
        <w:t xml:space="preserve">Ce nouveau paradigme prend tout d’abord acte de l’inadéquation des réponses militaires traditionnelles en raison de l’absence de centre gravité sur lequel concentrer l’action des forces armées. Il constate ensuite que les opérations de paix ne sont pas davantage adaptées à ce nouveau contexte en raison de l’absence d’acteurs politiques fiables avec lesquels conclure des accords de paix et desquels obtenir un consentement au déploiement d’une force de maintien de la paix. De surcroît, le caractère </w:t>
      </w:r>
      <w:proofErr w:type="spellStart"/>
      <w:r>
        <w:rPr>
          <w:sz w:val="28"/>
          <w:szCs w:val="28"/>
        </w:rPr>
        <w:t>stato</w:t>
      </w:r>
      <w:proofErr w:type="spellEnd"/>
      <w:r>
        <w:rPr>
          <w:sz w:val="28"/>
          <w:szCs w:val="28"/>
        </w:rPr>
        <w:t>-centré des opérations de paix onusienne est inadapté face à des formes conflictuelles à la géographie mouvante et, le plus souvent, transfrontalière.</w:t>
      </w:r>
    </w:p>
    <w:p w14:paraId="677B4A36" w14:textId="1DCA7D58" w:rsidR="00D6584D" w:rsidRDefault="00D6584D" w:rsidP="00D6584D">
      <w:pPr>
        <w:pStyle w:val="Paragraphedeliste"/>
        <w:jc w:val="both"/>
        <w:rPr>
          <w:sz w:val="28"/>
          <w:szCs w:val="28"/>
        </w:rPr>
      </w:pPr>
      <w:r>
        <w:rPr>
          <w:sz w:val="28"/>
          <w:szCs w:val="28"/>
        </w:rPr>
        <w:t>A ces éléments s’ajoutent une visible fatigue des pays occidentaux qui ne sont plus prêts à soutenir comme ils l’ont fait dans le passé</w:t>
      </w:r>
      <w:r w:rsidR="00EB7F54">
        <w:rPr>
          <w:sz w:val="28"/>
          <w:szCs w:val="28"/>
        </w:rPr>
        <w:t xml:space="preserve"> - en particulier au cours de la dernière décennie du XXème siècle -</w:t>
      </w:r>
      <w:r>
        <w:rPr>
          <w:sz w:val="28"/>
          <w:szCs w:val="28"/>
        </w:rPr>
        <w:t xml:space="preserve"> le coût humain et financier de la stabilisation</w:t>
      </w:r>
      <w:r w:rsidR="00EB7F54">
        <w:rPr>
          <w:sz w:val="28"/>
          <w:szCs w:val="28"/>
        </w:rPr>
        <w:t xml:space="preserve"> de nombreux conflits dans le monde.</w:t>
      </w:r>
    </w:p>
    <w:p w14:paraId="266C24BF" w14:textId="77777777" w:rsidR="00EB7F54" w:rsidRDefault="00EB7F54" w:rsidP="00D6584D">
      <w:pPr>
        <w:pStyle w:val="Paragraphedeliste"/>
        <w:jc w:val="both"/>
        <w:rPr>
          <w:sz w:val="28"/>
          <w:szCs w:val="28"/>
        </w:rPr>
      </w:pPr>
    </w:p>
    <w:p w14:paraId="7C375728" w14:textId="5765DD5B" w:rsidR="00EB7F54" w:rsidRDefault="00EB7F54" w:rsidP="00D6584D">
      <w:pPr>
        <w:pStyle w:val="Paragraphedeliste"/>
        <w:jc w:val="both"/>
        <w:rPr>
          <w:sz w:val="28"/>
          <w:szCs w:val="28"/>
        </w:rPr>
      </w:pPr>
      <w:r>
        <w:rPr>
          <w:sz w:val="28"/>
          <w:szCs w:val="28"/>
        </w:rPr>
        <w:t>A bien des égards, la mise sur pied du G5S est la conséquence de ces évolutions et constitue un prototype novateur d’appropriation sous une forme ad hoc à un niveau sous régional des enjeux de sécurité et de développement appréhendés dans leurs caractères multidimensionnel et transfrontalier.</w:t>
      </w:r>
    </w:p>
    <w:p w14:paraId="2AEB9241" w14:textId="77777777" w:rsidR="00EB7F54" w:rsidRDefault="00EB7F54" w:rsidP="00D6584D">
      <w:pPr>
        <w:pStyle w:val="Paragraphedeliste"/>
        <w:jc w:val="both"/>
        <w:rPr>
          <w:sz w:val="28"/>
          <w:szCs w:val="28"/>
        </w:rPr>
      </w:pPr>
    </w:p>
    <w:p w14:paraId="79E9D58E" w14:textId="703C2357" w:rsidR="00EB7F54" w:rsidRDefault="00EB7F54" w:rsidP="00D6584D">
      <w:pPr>
        <w:pStyle w:val="Paragraphedeliste"/>
        <w:jc w:val="both"/>
        <w:rPr>
          <w:sz w:val="28"/>
          <w:szCs w:val="28"/>
        </w:rPr>
      </w:pPr>
      <w:r>
        <w:rPr>
          <w:sz w:val="28"/>
          <w:szCs w:val="28"/>
        </w:rPr>
        <w:t>Cette construction sera inévitablement confrontée à cinq défis :</w:t>
      </w:r>
    </w:p>
    <w:p w14:paraId="4E24A77B" w14:textId="53F8DB26" w:rsidR="00EB7F54" w:rsidRDefault="00EB7F54" w:rsidP="00EB7F54">
      <w:pPr>
        <w:pStyle w:val="Paragraphedeliste"/>
        <w:numPr>
          <w:ilvl w:val="0"/>
          <w:numId w:val="2"/>
        </w:numPr>
        <w:jc w:val="both"/>
        <w:rPr>
          <w:sz w:val="28"/>
          <w:szCs w:val="28"/>
        </w:rPr>
      </w:pPr>
      <w:r>
        <w:rPr>
          <w:sz w:val="28"/>
          <w:szCs w:val="28"/>
        </w:rPr>
        <w:t xml:space="preserve">Le caractère ad hoc de la structure institutionnelle du G5S présente indubitablement les avantages de l’agilité et de la flexibilité mais il ne faut pas en sous-estimer les inconvénients. Le temps de montée en puissance est un facteur qui joue en sa défaveur alors que les évolutions sur les terrains s’accélèrent. La gestion des relations avec des structures concurrentes et des conflits de légitimité inévitables qui en résultent peut générer des pertes de temps et d’énergie préjudiciables. Le risque de dispersion des ressources financières et des expertises en matière de sécurité est à cet égard réel. Enfin, les ambitions affichées créent des attentes importantes au sein des populations touchées par l’insécurité et le sous-développement. En l’absence de résultats rapides, la légitimité démocratique d’une structure </w:t>
      </w:r>
      <w:r w:rsidR="0079180B">
        <w:rPr>
          <w:sz w:val="28"/>
          <w:szCs w:val="28"/>
        </w:rPr>
        <w:t>construite au niveau intergouvernemental pourrait rapidement être questionnée.</w:t>
      </w:r>
    </w:p>
    <w:p w14:paraId="7063AF30" w14:textId="090E2BDF" w:rsidR="00EB7F54" w:rsidRDefault="0079180B" w:rsidP="00EB7F54">
      <w:pPr>
        <w:pStyle w:val="Paragraphedeliste"/>
        <w:numPr>
          <w:ilvl w:val="0"/>
          <w:numId w:val="2"/>
        </w:numPr>
        <w:jc w:val="both"/>
        <w:rPr>
          <w:sz w:val="28"/>
          <w:szCs w:val="28"/>
        </w:rPr>
      </w:pPr>
      <w:r>
        <w:rPr>
          <w:sz w:val="28"/>
          <w:szCs w:val="28"/>
        </w:rPr>
        <w:t>Le deuxième défi est de nature capacitaire. A cet égard, la composante militaire du G5S – la Force conjointe – se trouve confrontée à la taille de la zone, aux difficultés liées à un terrain terriblement exigeant ainsi qu’à la dispersion des théâtres d’opération. A cet égard, la structuration initiale de la Force en trois fuseaux non-contigus – et donc sans possibilité d’appui entre ceux-ci illustre à suffisance les défis proprement militaires que doit relever cette entreprise.</w:t>
      </w:r>
    </w:p>
    <w:p w14:paraId="5E5F4CB2" w14:textId="495FE6A1" w:rsidR="0079180B" w:rsidRDefault="0079180B" w:rsidP="00EB7F54">
      <w:pPr>
        <w:pStyle w:val="Paragraphedeliste"/>
        <w:numPr>
          <w:ilvl w:val="0"/>
          <w:numId w:val="2"/>
        </w:numPr>
        <w:jc w:val="both"/>
        <w:rPr>
          <w:sz w:val="28"/>
          <w:szCs w:val="28"/>
        </w:rPr>
      </w:pPr>
      <w:r>
        <w:rPr>
          <w:sz w:val="28"/>
          <w:szCs w:val="28"/>
        </w:rPr>
        <w:t>Le troisième défi est celui de la soutenabilité. Jusqu’ici, les ambitions de l’Architecture africaine de paix et de sécurité (AAPS) ont buté sur cette difficulté. Au Darfour, au Mali et en République centrafricaine, les projets initiaux d’opérations de stabilisation sous conduite africaine ont dû faire place à des opérations de l’ONU en raison de l’impossibilité de dégager des solutions</w:t>
      </w:r>
      <w:r w:rsidR="00AD210F">
        <w:rPr>
          <w:sz w:val="28"/>
          <w:szCs w:val="28"/>
        </w:rPr>
        <w:t xml:space="preserve"> africaines pérennes de soutien logistique et de financement en dehors du système éprouvé de l’ONU. A cet égard, la demande du G5S Sahel de voir son action endossée par une résolution du Conseil de sécurité de l’ONU et ses dépenses couvertes par le système de remboursement de l’ONU illustre une fois de plus la difficulté fondamentale à laquelle se heurte l’appropriation par les acteurs africains de la gestion de la sécurité sur leur propre continent.</w:t>
      </w:r>
    </w:p>
    <w:p w14:paraId="3C7F4298" w14:textId="63E2603D" w:rsidR="001E7550" w:rsidRDefault="001E7550" w:rsidP="00EB7F54">
      <w:pPr>
        <w:pStyle w:val="Paragraphedeliste"/>
        <w:numPr>
          <w:ilvl w:val="0"/>
          <w:numId w:val="2"/>
        </w:numPr>
        <w:jc w:val="both"/>
        <w:rPr>
          <w:sz w:val="28"/>
          <w:szCs w:val="28"/>
        </w:rPr>
      </w:pPr>
      <w:r>
        <w:rPr>
          <w:sz w:val="28"/>
          <w:szCs w:val="28"/>
        </w:rPr>
        <w:t>Le quatrième défi est la conséquence immédiate du précédent. En l’absence de ressources endogènes suffisantes, le G5S se trouve d’emblée en situation de dépendance à l’égard de bailleurs de fonds qui lui sont extérieurs et qui peuvent dès lors avoir la tentation de conditionner leurs apports à un droit de regard sur l’agenda du G5S.</w:t>
      </w:r>
    </w:p>
    <w:p w14:paraId="3D759BAF" w14:textId="27E071BD" w:rsidR="001E7550" w:rsidRDefault="001E7550" w:rsidP="00EB7F54">
      <w:pPr>
        <w:pStyle w:val="Paragraphedeliste"/>
        <w:numPr>
          <w:ilvl w:val="0"/>
          <w:numId w:val="2"/>
        </w:numPr>
        <w:jc w:val="both"/>
        <w:rPr>
          <w:sz w:val="28"/>
          <w:szCs w:val="28"/>
        </w:rPr>
      </w:pPr>
      <w:r>
        <w:rPr>
          <w:sz w:val="28"/>
          <w:szCs w:val="28"/>
        </w:rPr>
        <w:t>Le dernier défi est celui de l’approche régionale qui caractérise le G5S. Cette caractéristique correspond à une vraie nécessité mais elle ne va pas sans poser des problèmes spécifiques. Le premier est celui de la délimitation du club. En dehors de toute considération d’ordre politique et diplomatique, la pure logique géopolitique ne permet pas de comprendre pourquoi des pays comme le Nigéria, le Maroc et l’Algérie ne sont pas inclus dans un dispositif visant à assurer la sécurité dans la zone Sahara-Sahel.</w:t>
      </w:r>
    </w:p>
    <w:p w14:paraId="16391B7E" w14:textId="33482739" w:rsidR="001E7550" w:rsidRDefault="001E7550" w:rsidP="001E7550">
      <w:pPr>
        <w:pStyle w:val="Paragraphedeliste"/>
        <w:ind w:left="1440"/>
        <w:jc w:val="both"/>
        <w:rPr>
          <w:sz w:val="28"/>
          <w:szCs w:val="28"/>
        </w:rPr>
      </w:pPr>
      <w:r>
        <w:rPr>
          <w:sz w:val="28"/>
          <w:szCs w:val="28"/>
        </w:rPr>
        <w:t>Ensuite, il ne faut jamais perdre de vue que l’efficacité de toute coopération intergouvernementale dépend en définitive des Etats qui y sont parties prenantes. L’addition de leu</w:t>
      </w:r>
      <w:r w:rsidR="008509F4">
        <w:rPr>
          <w:sz w:val="28"/>
          <w:szCs w:val="28"/>
        </w:rPr>
        <w:t>rs faiblesses respectives ne va</w:t>
      </w:r>
      <w:r>
        <w:rPr>
          <w:sz w:val="28"/>
          <w:szCs w:val="28"/>
        </w:rPr>
        <w:t xml:space="preserve"> pas créer des solutions par le simple fait qu’ils coopèrent. Il convient donc de garder à l’esprit que le G5S ne pourra r</w:t>
      </w:r>
      <w:r w:rsidR="008509F4">
        <w:rPr>
          <w:sz w:val="28"/>
          <w:szCs w:val="28"/>
        </w:rPr>
        <w:t>elever les défis qui lui sont assignés sans que les Etats qui le composent prennent la pleine mesure de leur responsabilité individuelle en matière d’efficacité des politiques publiques, de performance en matière de gouvernance, de cohérence nationale entre les politiques de sécurité, d’une part, et les politiques économiques et sociales, d’autre part.</w:t>
      </w:r>
    </w:p>
    <w:p w14:paraId="314B5D54" w14:textId="77777777" w:rsidR="008509F4" w:rsidRDefault="008509F4" w:rsidP="001E7550">
      <w:pPr>
        <w:pStyle w:val="Paragraphedeliste"/>
        <w:ind w:left="1440"/>
        <w:jc w:val="both"/>
        <w:rPr>
          <w:sz w:val="28"/>
          <w:szCs w:val="28"/>
        </w:rPr>
      </w:pPr>
    </w:p>
    <w:p w14:paraId="72158906" w14:textId="63200817" w:rsidR="008509F4" w:rsidRDefault="008509F4" w:rsidP="001E7550">
      <w:pPr>
        <w:pStyle w:val="Paragraphedeliste"/>
        <w:ind w:left="1440"/>
        <w:jc w:val="both"/>
        <w:rPr>
          <w:sz w:val="28"/>
          <w:szCs w:val="28"/>
        </w:rPr>
      </w:pPr>
      <w:r>
        <w:rPr>
          <w:sz w:val="28"/>
          <w:szCs w:val="28"/>
        </w:rPr>
        <w:t>Si aujourd’hui le discours qui associé sécurité et développement comme dépendant étroitement l’un de l’autre fait l’objet d’un large consensus, il ne doit pas masquer la désagréable réalité qu’en situation de rareté budgétaire, les choix politiques posés reviennent malgré tout à devoir arbitré en des dépenses de sécurité et des dépenses en faveur des besoins primaires des populations (alimentation, santé, éducation)</w:t>
      </w:r>
    </w:p>
    <w:p w14:paraId="5BE8A8CD" w14:textId="57EE8B98" w:rsidR="008509F4" w:rsidRPr="00E6376C" w:rsidRDefault="008509F4" w:rsidP="001E7550">
      <w:pPr>
        <w:pStyle w:val="Paragraphedeliste"/>
        <w:ind w:left="1440"/>
        <w:jc w:val="both"/>
        <w:rPr>
          <w:sz w:val="28"/>
          <w:szCs w:val="28"/>
        </w:rPr>
      </w:pPr>
      <w:r>
        <w:rPr>
          <w:sz w:val="28"/>
          <w:szCs w:val="28"/>
        </w:rPr>
        <w:t xml:space="preserve">Au travers des exemples illustres – Jules César, Winston Churchill ou, plus récemment, </w:t>
      </w:r>
      <w:proofErr w:type="spellStart"/>
      <w:r>
        <w:rPr>
          <w:sz w:val="28"/>
          <w:szCs w:val="28"/>
        </w:rPr>
        <w:t>G.H.Bush</w:t>
      </w:r>
      <w:proofErr w:type="spellEnd"/>
      <w:r>
        <w:rPr>
          <w:sz w:val="28"/>
          <w:szCs w:val="28"/>
        </w:rPr>
        <w:t xml:space="preserve"> - l’histoire nous enseigne que les peuples peuvent se révéler impitoyables à l’égard des dirigeants qui, bien qu’ayant remporté de grandes victoires militaires ou les ayant préservé de grands périls, n’ont pas su répondre aux défis économiques et sociaux qui touchent le quotidien des populations.</w:t>
      </w:r>
    </w:p>
    <w:p w14:paraId="4E5BD761" w14:textId="77777777" w:rsidR="000D3882" w:rsidRDefault="000D3882" w:rsidP="000D3882">
      <w:pPr>
        <w:jc w:val="center"/>
        <w:rPr>
          <w:sz w:val="28"/>
          <w:szCs w:val="28"/>
        </w:rPr>
      </w:pPr>
    </w:p>
    <w:p w14:paraId="34628113" w14:textId="77777777" w:rsidR="000D3882" w:rsidRPr="004C10C4" w:rsidRDefault="000D3882" w:rsidP="00D515A8">
      <w:pPr>
        <w:jc w:val="both"/>
        <w:rPr>
          <w:sz w:val="28"/>
          <w:szCs w:val="28"/>
        </w:rPr>
      </w:pPr>
    </w:p>
    <w:sectPr w:rsidR="000D3882" w:rsidRPr="004C10C4" w:rsidSect="008017D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2581"/>
    <w:multiLevelType w:val="hybridMultilevel"/>
    <w:tmpl w:val="FA821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F391F84"/>
    <w:multiLevelType w:val="hybridMultilevel"/>
    <w:tmpl w:val="8B4EC47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0C4"/>
    <w:rsid w:val="0004335A"/>
    <w:rsid w:val="000D3882"/>
    <w:rsid w:val="001E7550"/>
    <w:rsid w:val="004C10C4"/>
    <w:rsid w:val="00704FBD"/>
    <w:rsid w:val="0079180B"/>
    <w:rsid w:val="007939BE"/>
    <w:rsid w:val="008017D2"/>
    <w:rsid w:val="008509F4"/>
    <w:rsid w:val="00A140F9"/>
    <w:rsid w:val="00AD210F"/>
    <w:rsid w:val="00D515A8"/>
    <w:rsid w:val="00D6584D"/>
    <w:rsid w:val="00E6376C"/>
    <w:rsid w:val="00EB7F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E2ADA3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376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37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1428</Words>
  <Characters>7859</Characters>
  <Application>Microsoft Macintosh Word</Application>
  <DocSecurity>0</DocSecurity>
  <Lines>65</Lines>
  <Paragraphs>18</Paragraphs>
  <ScaleCrop>false</ScaleCrop>
  <Company>UCL</Company>
  <LinksUpToDate>false</LinksUpToDate>
  <CharactersWithSpaces>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Liegeois</dc:creator>
  <cp:keywords/>
  <dc:description/>
  <cp:lastModifiedBy>Michel Liegeois</cp:lastModifiedBy>
  <cp:revision>4</cp:revision>
  <dcterms:created xsi:type="dcterms:W3CDTF">2018-10-05T12:16:00Z</dcterms:created>
  <dcterms:modified xsi:type="dcterms:W3CDTF">2018-10-26T14:58:00Z</dcterms:modified>
</cp:coreProperties>
</file>