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135F32" w14:textId="77777777" w:rsidR="00E95972" w:rsidRDefault="00E95972" w:rsidP="00E95972">
      <w:pPr>
        <w:jc w:val="center"/>
        <w:rPr>
          <w:b/>
          <w:sz w:val="32"/>
          <w:szCs w:val="32"/>
        </w:rPr>
      </w:pPr>
    </w:p>
    <w:p w14:paraId="01665A38" w14:textId="77777777" w:rsidR="00C04CA8" w:rsidRDefault="00C04CA8" w:rsidP="00E95972">
      <w:pPr>
        <w:jc w:val="center"/>
        <w:rPr>
          <w:b/>
          <w:sz w:val="32"/>
          <w:szCs w:val="32"/>
        </w:rPr>
      </w:pPr>
    </w:p>
    <w:p w14:paraId="4E9FC852" w14:textId="77777777" w:rsidR="00C04CA8" w:rsidRDefault="00C04CA8" w:rsidP="00E95972">
      <w:pPr>
        <w:jc w:val="center"/>
        <w:rPr>
          <w:b/>
          <w:sz w:val="32"/>
          <w:szCs w:val="32"/>
        </w:rPr>
      </w:pPr>
    </w:p>
    <w:p w14:paraId="3737DBE7" w14:textId="1947C8D6" w:rsidR="00E95972" w:rsidRPr="00A34706" w:rsidRDefault="00723F20" w:rsidP="00E95972">
      <w:pPr>
        <w:jc w:val="center"/>
        <w:rPr>
          <w:b/>
          <w:sz w:val="32"/>
          <w:szCs w:val="32"/>
        </w:rPr>
      </w:pPr>
      <w:r>
        <w:rPr>
          <w:b/>
          <w:sz w:val="32"/>
          <w:szCs w:val="32"/>
        </w:rPr>
        <w:t>C</w:t>
      </w:r>
      <w:r w:rsidR="00E95972" w:rsidRPr="00A34706">
        <w:rPr>
          <w:b/>
          <w:sz w:val="32"/>
          <w:szCs w:val="32"/>
        </w:rPr>
        <w:t>hristologie</w:t>
      </w:r>
      <w:r w:rsidR="00E95972">
        <w:rPr>
          <w:b/>
          <w:sz w:val="32"/>
          <w:szCs w:val="32"/>
        </w:rPr>
        <w:t xml:space="preserve"> et anthropologie</w:t>
      </w:r>
      <w:r w:rsidR="00E95972" w:rsidRPr="00A34706">
        <w:rPr>
          <w:b/>
          <w:sz w:val="32"/>
          <w:szCs w:val="32"/>
        </w:rPr>
        <w:t xml:space="preserve"> des </w:t>
      </w:r>
      <w:r w:rsidR="00E95972" w:rsidRPr="00A34706">
        <w:rPr>
          <w:b/>
          <w:i/>
          <w:sz w:val="32"/>
          <w:szCs w:val="32"/>
        </w:rPr>
        <w:t>Couronnes d’amour</w:t>
      </w:r>
      <w:r w:rsidR="00E95972" w:rsidRPr="00A34706">
        <w:rPr>
          <w:b/>
          <w:sz w:val="32"/>
          <w:szCs w:val="32"/>
        </w:rPr>
        <w:t xml:space="preserve"> du P. </w:t>
      </w:r>
      <w:proofErr w:type="spellStart"/>
      <w:r w:rsidR="00E95972" w:rsidRPr="00A34706">
        <w:rPr>
          <w:b/>
          <w:sz w:val="32"/>
          <w:szCs w:val="32"/>
        </w:rPr>
        <w:t>Dehon</w:t>
      </w:r>
      <w:proofErr w:type="spellEnd"/>
    </w:p>
    <w:p w14:paraId="74FC057B" w14:textId="77777777" w:rsidR="00E95972" w:rsidRDefault="00E95972" w:rsidP="00E95972">
      <w:pPr>
        <w:jc w:val="center"/>
      </w:pPr>
    </w:p>
    <w:p w14:paraId="036B345A" w14:textId="77777777" w:rsidR="00E95972" w:rsidRDefault="00E95972" w:rsidP="00E95972">
      <w:pPr>
        <w:jc w:val="center"/>
      </w:pPr>
    </w:p>
    <w:p w14:paraId="24CFC4DD" w14:textId="77777777" w:rsidR="00C04CA8" w:rsidRDefault="00C04CA8" w:rsidP="00E95972">
      <w:pPr>
        <w:jc w:val="center"/>
      </w:pPr>
    </w:p>
    <w:p w14:paraId="7BAC0D4B" w14:textId="0AD37B12" w:rsidR="005A2F03" w:rsidRPr="00E430B1" w:rsidRDefault="005A2F03" w:rsidP="00E95972">
      <w:pPr>
        <w:jc w:val="both"/>
        <w:rPr>
          <w:i/>
          <w:sz w:val="26"/>
          <w:szCs w:val="26"/>
        </w:rPr>
      </w:pPr>
      <w:r w:rsidRPr="00E430B1">
        <w:rPr>
          <w:i/>
          <w:sz w:val="26"/>
          <w:szCs w:val="26"/>
        </w:rPr>
        <w:t>Introduction</w:t>
      </w:r>
    </w:p>
    <w:p w14:paraId="1286EA8A" w14:textId="76259D06" w:rsidR="005A2F03" w:rsidRDefault="005A2F03" w:rsidP="005A2F03">
      <w:pPr>
        <w:ind w:firstLine="284"/>
        <w:jc w:val="both"/>
      </w:pPr>
      <w:r>
        <w:t xml:space="preserve">La présente étude se limite à la Première Couronne des </w:t>
      </w:r>
      <w:r w:rsidRPr="004E75D7">
        <w:rPr>
          <w:i/>
        </w:rPr>
        <w:t>Couronnes d’amour au Sacré-Cœur</w:t>
      </w:r>
      <w:r w:rsidR="003F5975">
        <w:t xml:space="preserve"> (CAM</w:t>
      </w:r>
      <w:r w:rsidR="00B340F8">
        <w:t xml:space="preserve"> 1</w:t>
      </w:r>
      <w:r w:rsidR="003F5975">
        <w:t>)</w:t>
      </w:r>
      <w:r w:rsidR="00450202">
        <w:t xml:space="preserve">, publiées par le T.R.P. </w:t>
      </w:r>
      <w:proofErr w:type="spellStart"/>
      <w:r w:rsidR="00450202">
        <w:t>Dehon</w:t>
      </w:r>
      <w:proofErr w:type="spellEnd"/>
      <w:r w:rsidR="00450202">
        <w:t xml:space="preserve">, Supérieur Général des Prêtres du Sacré-Cœur de Jésus, </w:t>
      </w:r>
      <w:proofErr w:type="gramStart"/>
      <w:r w:rsidR="00450202">
        <w:t>c</w:t>
      </w:r>
      <w:r w:rsidR="004E75D7">
        <w:t>hez</w:t>
      </w:r>
      <w:proofErr w:type="gramEnd"/>
      <w:r w:rsidR="004E75D7">
        <w:t xml:space="preserve"> Casterman à Tournai (Belgique, près de Lille), en 1905.</w:t>
      </w:r>
      <w:r w:rsidR="00372B3B">
        <w:t xml:space="preserve"> Il a fondé cette congrégation 27 ans plus tôt, en 1878, à Saint-Quentin</w:t>
      </w:r>
      <w:r w:rsidR="00390A53">
        <w:t xml:space="preserve">. </w:t>
      </w:r>
      <w:r w:rsidR="000108EB">
        <w:t xml:space="preserve">Depuis 1901 et 1904, les lois anti-congréganistes font rage en France. C’est dans ce contexte général que le P. </w:t>
      </w:r>
      <w:proofErr w:type="spellStart"/>
      <w:r w:rsidR="000108EB">
        <w:t>Dehon</w:t>
      </w:r>
      <w:proofErr w:type="spellEnd"/>
      <w:r w:rsidR="000108EB">
        <w:t xml:space="preserve"> publie cet ouvrage de prière et de dévotion au Sacré-Cœur.</w:t>
      </w:r>
    </w:p>
    <w:p w14:paraId="26FF26AA" w14:textId="48445C36" w:rsidR="000108EB" w:rsidRDefault="000108EB" w:rsidP="005A2F03">
      <w:pPr>
        <w:ind w:firstLine="284"/>
        <w:jc w:val="both"/>
      </w:pPr>
      <w:r>
        <w:t xml:space="preserve">Selon le sous-titre, les </w:t>
      </w:r>
      <w:r w:rsidRPr="00D97E15">
        <w:rPr>
          <w:i/>
        </w:rPr>
        <w:t>Couronnes d’amour</w:t>
      </w:r>
      <w:r w:rsidR="00D97E15">
        <w:t xml:space="preserve"> se conçoivent comme « Trois mois de méditations sur la Vie d’amour envers le Sacré-Cœur de Jésus en union avec ses mystères ». La Première Couronne </w:t>
      </w:r>
      <w:r w:rsidR="000F7A5F">
        <w:t>est consacrée aux</w:t>
      </w:r>
      <w:r w:rsidR="00D97E15">
        <w:t xml:space="preserve"> mystères de l’</w:t>
      </w:r>
      <w:r w:rsidR="00D97E15" w:rsidRPr="00D26498">
        <w:rPr>
          <w:b/>
        </w:rPr>
        <w:t>Incarnation</w:t>
      </w:r>
      <w:r w:rsidR="00253C4A">
        <w:t xml:space="preserve"> (conception, enfance</w:t>
      </w:r>
      <w:r w:rsidR="00451799">
        <w:t xml:space="preserve">, </w:t>
      </w:r>
      <w:r w:rsidR="00EB4E4A">
        <w:t>vie cachée, v</w:t>
      </w:r>
      <w:r w:rsidR="00451799">
        <w:t>ie apostolique</w:t>
      </w:r>
      <w:r w:rsidR="00D26498">
        <w:t xml:space="preserve">, </w:t>
      </w:r>
      <w:r w:rsidR="008A32E0">
        <w:t>miséricorde du Cœur de Jésus</w:t>
      </w:r>
      <w:r w:rsidR="00EB4E4A">
        <w:t>).</w:t>
      </w:r>
      <w:r w:rsidR="00655ABD">
        <w:t xml:space="preserve"> Les deux autres concernent respectivement la Passion et l’Eucharistie.</w:t>
      </w:r>
    </w:p>
    <w:p w14:paraId="68CF279D" w14:textId="77777777" w:rsidR="00EC3A2D" w:rsidRDefault="00EC3A2D" w:rsidP="005A2F03">
      <w:pPr>
        <w:ind w:firstLine="284"/>
        <w:jc w:val="both"/>
      </w:pPr>
    </w:p>
    <w:p w14:paraId="0C376EDF" w14:textId="51C00709" w:rsidR="00EC3A2D" w:rsidRDefault="00892A11" w:rsidP="00C04CA8">
      <w:pPr>
        <w:ind w:firstLine="284"/>
        <w:jc w:val="both"/>
      </w:pPr>
      <w:r>
        <w:t xml:space="preserve">Le propos de cette recherche est de mettre en lumière quelques éléments de la christologie plus ou moins explicite du P. </w:t>
      </w:r>
      <w:proofErr w:type="spellStart"/>
      <w:r>
        <w:t>Dehon</w:t>
      </w:r>
      <w:proofErr w:type="spellEnd"/>
      <w:r>
        <w:t xml:space="preserve"> dans cette Première Couronne d’amour</w:t>
      </w:r>
      <w:r w:rsidR="00524E2D">
        <w:t>. S’y ajouteront quelques aspects de son anthropologie.</w:t>
      </w:r>
    </w:p>
    <w:p w14:paraId="45A516F6" w14:textId="581FC582" w:rsidR="00EC3A2D" w:rsidRDefault="00EC3A2D" w:rsidP="00EC3A2D">
      <w:pPr>
        <w:ind w:firstLine="284"/>
        <w:jc w:val="both"/>
      </w:pPr>
      <w:r>
        <w:t xml:space="preserve">Dans l’ensemble des </w:t>
      </w:r>
      <w:r w:rsidRPr="00EC3A2D">
        <w:rPr>
          <w:i/>
        </w:rPr>
        <w:t>Couronnes d’amour</w:t>
      </w:r>
      <w:r>
        <w:t xml:space="preserve">, la christologie du P. </w:t>
      </w:r>
      <w:proofErr w:type="spellStart"/>
      <w:r>
        <w:t>Dehon</w:t>
      </w:r>
      <w:proofErr w:type="spellEnd"/>
      <w:r>
        <w:t xml:space="preserve"> est centrée sur l’Incarnation, la Passion (Rédemption) et l’Eucharistie (Présence réelle </w:t>
      </w:r>
      <w:r w:rsidRPr="005C033B">
        <w:rPr>
          <w:i/>
        </w:rPr>
        <w:t xml:space="preserve">post </w:t>
      </w:r>
      <w:proofErr w:type="spellStart"/>
      <w:r w:rsidRPr="005C033B">
        <w:rPr>
          <w:i/>
        </w:rPr>
        <w:t>Ascensionem</w:t>
      </w:r>
      <w:proofErr w:type="spellEnd"/>
      <w:r w:rsidRPr="005C033B">
        <w:rPr>
          <w:i/>
        </w:rPr>
        <w:t xml:space="preserve"> et ante </w:t>
      </w:r>
      <w:proofErr w:type="spellStart"/>
      <w:r w:rsidRPr="005C033B">
        <w:rPr>
          <w:i/>
        </w:rPr>
        <w:t>Parousiam</w:t>
      </w:r>
      <w:proofErr w:type="spellEnd"/>
      <w:r>
        <w:t>).</w:t>
      </w:r>
      <w:r w:rsidR="00924129">
        <w:t xml:space="preserve"> La Résurrection (Gloire) n’est pas explicitement présente</w:t>
      </w:r>
      <w:r w:rsidR="00304933">
        <w:rPr>
          <w:rStyle w:val="Appelnotedebasdep"/>
        </w:rPr>
        <w:footnoteReference w:id="1"/>
      </w:r>
      <w:r w:rsidR="00924129">
        <w:t xml:space="preserve">, elle l’est implicitement par </w:t>
      </w:r>
      <w:r w:rsidR="00205A93">
        <w:t xml:space="preserve">l’Eucharistie. Pour l’Incarnation, la Passion et l’Eucharistie, on pourrait parler respectivement d’une Présence charnelle, d’une Présence souffrante et d’une Présence </w:t>
      </w:r>
      <w:r w:rsidR="00924129">
        <w:t>eucharistique (</w:t>
      </w:r>
      <w:r w:rsidR="00205A93">
        <w:t>sacramentelle et spirituelle ou intérieure)</w:t>
      </w:r>
      <w:r w:rsidR="00924129">
        <w:t xml:space="preserve"> du Christ.</w:t>
      </w:r>
    </w:p>
    <w:p w14:paraId="4C11EED1" w14:textId="7E2440BD" w:rsidR="00205A93" w:rsidRDefault="00205A93" w:rsidP="00EC3A2D">
      <w:pPr>
        <w:ind w:firstLine="284"/>
        <w:jc w:val="both"/>
      </w:pPr>
      <w:r>
        <w:t xml:space="preserve">Dans la Première Couronne, l’accent est mis, </w:t>
      </w:r>
      <w:r w:rsidR="001F60B1">
        <w:t>logiqu</w:t>
      </w:r>
      <w:r w:rsidR="00037EBD">
        <w:t>ement</w:t>
      </w:r>
      <w:r>
        <w:t xml:space="preserve">, sur </w:t>
      </w:r>
      <w:r w:rsidR="00037EBD">
        <w:t xml:space="preserve">une christologie de l’Incarnation. Celle-ci a un caractère oblatif marqué et s’inspire, de manière plus ou moins </w:t>
      </w:r>
      <w:r w:rsidR="007933CD">
        <w:t>ex</w:t>
      </w:r>
      <w:r w:rsidR="00037EBD">
        <w:t>plicite, de la Lettre aux Hébreux</w:t>
      </w:r>
      <w:r w:rsidR="007933CD">
        <w:t>. Elle s’alimente aussi manifestement, même s’ils ne sont pas cités, chez certains auteurs de l’École française de spiritualité.</w:t>
      </w:r>
    </w:p>
    <w:p w14:paraId="696EACD0" w14:textId="77777777" w:rsidR="00EC3A2D" w:rsidRDefault="00EC3A2D" w:rsidP="00EC3A2D">
      <w:pPr>
        <w:ind w:firstLine="284"/>
        <w:jc w:val="both"/>
      </w:pPr>
    </w:p>
    <w:p w14:paraId="7BA6F9AC" w14:textId="77777777" w:rsidR="00E430B1" w:rsidRDefault="00E430B1" w:rsidP="00EC3A2D">
      <w:pPr>
        <w:ind w:firstLine="284"/>
        <w:jc w:val="both"/>
      </w:pPr>
    </w:p>
    <w:p w14:paraId="55E89269" w14:textId="77777777" w:rsidR="00EC3A2D" w:rsidRPr="00E430B1" w:rsidRDefault="00EC3A2D" w:rsidP="000B496E">
      <w:pPr>
        <w:jc w:val="both"/>
        <w:rPr>
          <w:i/>
          <w:sz w:val="26"/>
          <w:szCs w:val="26"/>
        </w:rPr>
      </w:pPr>
      <w:r w:rsidRPr="00E430B1">
        <w:rPr>
          <w:i/>
          <w:sz w:val="26"/>
          <w:szCs w:val="26"/>
        </w:rPr>
        <w:t>Une christologie de l’Incarnation</w:t>
      </w:r>
    </w:p>
    <w:p w14:paraId="5645A0BB" w14:textId="5C489AB0" w:rsidR="00EC3A2D" w:rsidRDefault="00EC3A2D" w:rsidP="00EC3A2D">
      <w:pPr>
        <w:ind w:firstLine="284"/>
        <w:jc w:val="both"/>
      </w:pPr>
      <w:r>
        <w:t>Jésus le Christ (le S</w:t>
      </w:r>
      <w:r w:rsidR="00A92053">
        <w:t>acré-</w:t>
      </w:r>
      <w:r>
        <w:t>C</w:t>
      </w:r>
      <w:r w:rsidR="00A92053">
        <w:t xml:space="preserve">œur de </w:t>
      </w:r>
      <w:r>
        <w:t>J</w:t>
      </w:r>
      <w:r w:rsidR="00A92053">
        <w:t>ésus</w:t>
      </w:r>
      <w:r w:rsidR="002A0090">
        <w:t xml:space="preserve"> dans le langage </w:t>
      </w:r>
      <w:r w:rsidR="001F60B1">
        <w:t>de Jean-Léon</w:t>
      </w:r>
      <w:r w:rsidR="002A0090">
        <w:t xml:space="preserve"> </w:t>
      </w:r>
      <w:proofErr w:type="spellStart"/>
      <w:r w:rsidR="002A0090">
        <w:t>Dehon</w:t>
      </w:r>
      <w:proofErr w:type="spellEnd"/>
      <w:r>
        <w:t xml:space="preserve">) est le Verbe incarné, le Fils de Dieu fait homme. </w:t>
      </w:r>
      <w:r w:rsidR="00956940">
        <w:t>Il s’agit ainsi surtout d’une c</w:t>
      </w:r>
      <w:r>
        <w:t xml:space="preserve">hristologie </w:t>
      </w:r>
      <w:r w:rsidR="00956940">
        <w:t>« </w:t>
      </w:r>
      <w:r>
        <w:t>descendante</w:t>
      </w:r>
      <w:r w:rsidR="00956940">
        <w:t> »</w:t>
      </w:r>
      <w:r>
        <w:t xml:space="preserve"> ou </w:t>
      </w:r>
      <w:r w:rsidR="00956940">
        <w:t>« </w:t>
      </w:r>
      <w:r>
        <w:t>d’en haut</w:t>
      </w:r>
      <w:r w:rsidR="00956940">
        <w:t> »</w:t>
      </w:r>
      <w:r w:rsidR="00BA1BA7">
        <w:t xml:space="preserve"> (cf. Prologue de l’Évangile selon Jean)</w:t>
      </w:r>
      <w:r>
        <w:t xml:space="preserve">. </w:t>
      </w:r>
      <w:r w:rsidR="00956940">
        <w:t xml:space="preserve">On peut la qualifier aussi de </w:t>
      </w:r>
      <w:r w:rsidR="00956940">
        <w:lastRenderedPageBreak/>
        <w:t>c</w:t>
      </w:r>
      <w:r>
        <w:t>hristologie cyrillienne</w:t>
      </w:r>
      <w:r w:rsidR="00956940">
        <w:t xml:space="preserve"> ou alexandrine</w:t>
      </w:r>
      <w:r w:rsidR="00956940">
        <w:rPr>
          <w:rStyle w:val="Appelnotedebasdep"/>
        </w:rPr>
        <w:footnoteReference w:id="2"/>
      </w:r>
      <w:r>
        <w:t>, insistant sur la divinité du Verbe incarné, tout en affirmant sa véritable humanité (les sentiments de son Cœur, sa compassion…</w:t>
      </w:r>
      <w:r w:rsidR="002076DF">
        <w:t>,</w:t>
      </w:r>
      <w:r>
        <w:t xml:space="preserve"> son enfance, sa vie </w:t>
      </w:r>
      <w:r w:rsidR="003E0B1C">
        <w:t>cach</w:t>
      </w:r>
      <w:r>
        <w:t>ée…)</w:t>
      </w:r>
      <w:r w:rsidR="003E0B1C">
        <w:rPr>
          <w:rStyle w:val="Appelnotedebasdep"/>
        </w:rPr>
        <w:footnoteReference w:id="3"/>
      </w:r>
      <w:r>
        <w:t>. Présence charnelle</w:t>
      </w:r>
      <w:r w:rsidR="000F72D4">
        <w:t xml:space="preserve"> de Jésus-Verbe de Dieu</w:t>
      </w:r>
      <w:r>
        <w:t xml:space="preserve">, mais aussi présence souffrante surtout au cours de la Passion : cette christologie </w:t>
      </w:r>
      <w:proofErr w:type="spellStart"/>
      <w:r>
        <w:t>incarnationnelle</w:t>
      </w:r>
      <w:proofErr w:type="spellEnd"/>
      <w:r>
        <w:t xml:space="preserve"> est inséparablement une christologie sotériologique ou rédemptrice. L’Incarnation est en vue de la Passion rédemptrice, elle est </w:t>
      </w:r>
      <w:proofErr w:type="spellStart"/>
      <w:r w:rsidRPr="0067288A">
        <w:rPr>
          <w:i/>
        </w:rPr>
        <w:t>propter</w:t>
      </w:r>
      <w:proofErr w:type="spellEnd"/>
      <w:r w:rsidRPr="0067288A">
        <w:rPr>
          <w:i/>
        </w:rPr>
        <w:t xml:space="preserve"> </w:t>
      </w:r>
      <w:proofErr w:type="spellStart"/>
      <w:r w:rsidRPr="0067288A">
        <w:rPr>
          <w:i/>
        </w:rPr>
        <w:t>nostram</w:t>
      </w:r>
      <w:proofErr w:type="spellEnd"/>
      <w:r w:rsidRPr="0067288A">
        <w:rPr>
          <w:i/>
        </w:rPr>
        <w:t xml:space="preserve"> </w:t>
      </w:r>
      <w:proofErr w:type="spellStart"/>
      <w:r w:rsidRPr="0067288A">
        <w:rPr>
          <w:i/>
        </w:rPr>
        <w:t>salutem</w:t>
      </w:r>
      <w:proofErr w:type="spellEnd"/>
      <w:r>
        <w:t>. Cette présence charnelle et rédemptrice se maintient, transformée, en présence (réelle) eucharistique, sans que la Résurrection ne soit explicitement mentionnée.</w:t>
      </w:r>
      <w:r w:rsidR="006540A1">
        <w:t xml:space="preserve"> On perçoit ainsi l’articulation intrinsèque entre les trois Couronnes d’amour : l’Incarnation est </w:t>
      </w:r>
      <w:r w:rsidR="00F12A42">
        <w:t>finalisée par</w:t>
      </w:r>
      <w:r w:rsidR="006540A1">
        <w:t xml:space="preserve"> la Passion rédemptrice, celle-ci </w:t>
      </w:r>
      <w:r w:rsidR="00F12A42">
        <w:t>« prolongeant » ses effets salutaires dans l’Eucharistie.</w:t>
      </w:r>
    </w:p>
    <w:p w14:paraId="483416ED" w14:textId="77777777" w:rsidR="00EC3A2D" w:rsidRDefault="00EC3A2D" w:rsidP="00EC3A2D">
      <w:pPr>
        <w:ind w:firstLine="284"/>
        <w:jc w:val="both"/>
      </w:pPr>
      <w:r>
        <w:t>Indissociablement aussi, on peut parler d’une christologie d’amour et d’oblation (au Père, à nous les humains).</w:t>
      </w:r>
    </w:p>
    <w:p w14:paraId="116058A5" w14:textId="77777777" w:rsidR="00EC3A2D" w:rsidRDefault="00EC3A2D" w:rsidP="00EC3A2D">
      <w:pPr>
        <w:ind w:firstLine="284"/>
        <w:jc w:val="both"/>
      </w:pPr>
    </w:p>
    <w:p w14:paraId="4FC53AA3" w14:textId="77777777" w:rsidR="00E430B1" w:rsidRDefault="00E430B1" w:rsidP="00EC3A2D">
      <w:pPr>
        <w:ind w:firstLine="284"/>
        <w:jc w:val="both"/>
      </w:pPr>
    </w:p>
    <w:p w14:paraId="38355D8D" w14:textId="77777777" w:rsidR="00EC3A2D" w:rsidRPr="00E430B1" w:rsidRDefault="00EC3A2D" w:rsidP="006D5449">
      <w:pPr>
        <w:jc w:val="both"/>
        <w:rPr>
          <w:i/>
          <w:sz w:val="26"/>
          <w:szCs w:val="26"/>
        </w:rPr>
      </w:pPr>
      <w:r w:rsidRPr="00E430B1">
        <w:rPr>
          <w:i/>
          <w:sz w:val="26"/>
          <w:szCs w:val="26"/>
        </w:rPr>
        <w:t>Une christologie oblative</w:t>
      </w:r>
    </w:p>
    <w:p w14:paraId="7252B91F" w14:textId="77777777" w:rsidR="00EC3A2D" w:rsidRDefault="00EC3A2D" w:rsidP="00EC3A2D">
      <w:pPr>
        <w:ind w:firstLine="284"/>
        <w:jc w:val="both"/>
      </w:pPr>
      <w:r>
        <w:t>Le Christ est appelé « le Sacré-Cœur de Jésus ». L’accent est mis sur l’amour, le feu d’amour que le Christ est venu allumer sur la terre.</w:t>
      </w:r>
    </w:p>
    <w:p w14:paraId="6A94BE5D" w14:textId="2E504C4C" w:rsidR="00EC3A2D" w:rsidRDefault="00EC3A2D" w:rsidP="00EC3A2D">
      <w:pPr>
        <w:ind w:firstLine="284"/>
        <w:jc w:val="both"/>
      </w:pPr>
      <w:r>
        <w:t>L’</w:t>
      </w:r>
      <w:r w:rsidRPr="00A233FB">
        <w:rPr>
          <w:i/>
        </w:rPr>
        <w:t>oblation</w:t>
      </w:r>
      <w:r>
        <w:t xml:space="preserve"> me semble être la marque dominante de cette christologie </w:t>
      </w:r>
      <w:proofErr w:type="spellStart"/>
      <w:r>
        <w:t>dehonienne</w:t>
      </w:r>
      <w:proofErr w:type="spellEnd"/>
      <w:r>
        <w:t> : offrande de soi du Fils à son Père et à nous les humains</w:t>
      </w:r>
      <w:r w:rsidR="0028667E">
        <w:rPr>
          <w:rStyle w:val="Appelnotedebasdep"/>
        </w:rPr>
        <w:footnoteReference w:id="4"/>
      </w:r>
      <w:r>
        <w:t>. Cette christologie « oblative » (</w:t>
      </w:r>
      <w:r w:rsidR="00060082">
        <w:t xml:space="preserve">ou </w:t>
      </w:r>
      <w:r>
        <w:t>de l’oblation existentielle) semble bien</w:t>
      </w:r>
      <w:r w:rsidR="006E43C6">
        <w:t>,</w:t>
      </w:r>
      <w:r>
        <w:t xml:space="preserve"> implicitement</w:t>
      </w:r>
      <w:r w:rsidR="006E43C6">
        <w:t xml:space="preserve"> du moins,</w:t>
      </w:r>
      <w:r>
        <w:t xml:space="preserve"> inspirée de la Lettre aux Hébreux : </w:t>
      </w:r>
      <w:r w:rsidRPr="00ED6846">
        <w:rPr>
          <w:i/>
        </w:rPr>
        <w:t xml:space="preserve">ecce </w:t>
      </w:r>
      <w:proofErr w:type="spellStart"/>
      <w:r w:rsidRPr="00ED6846">
        <w:rPr>
          <w:i/>
        </w:rPr>
        <w:t>venio</w:t>
      </w:r>
      <w:proofErr w:type="spellEnd"/>
      <w:r>
        <w:t>. Ce</w:t>
      </w:r>
      <w:r w:rsidR="00060082">
        <w:t>ci</w:t>
      </w:r>
      <w:r>
        <w:t xml:space="preserve"> </w:t>
      </w:r>
      <w:r w:rsidR="00A233FB">
        <w:t>devra</w:t>
      </w:r>
      <w:r>
        <w:t xml:space="preserve"> être approfondi scripturairement (les idées sont consonantes, mais il n’y a pratiquement pas de références </w:t>
      </w:r>
      <w:r w:rsidR="006E43C6">
        <w:t xml:space="preserve">ou de citations </w:t>
      </w:r>
      <w:r>
        <w:t xml:space="preserve">explicites </w:t>
      </w:r>
      <w:r w:rsidR="006E43C6">
        <w:t>des</w:t>
      </w:r>
      <w:r>
        <w:t xml:space="preserve"> Hébreux</w:t>
      </w:r>
      <w:r w:rsidR="00F7712C">
        <w:rPr>
          <w:rStyle w:val="Appelnotedebasdep"/>
        </w:rPr>
        <w:footnoteReference w:id="5"/>
      </w:r>
      <w:r>
        <w:t xml:space="preserve">). </w:t>
      </w:r>
      <w:r>
        <w:lastRenderedPageBreak/>
        <w:t>L’influence des Hébreux vient peut-être plus directement de l’École française de spiritualité, plus particulièrement du cardinal Pierre de Bérulle (christologie de l’incarnation) et surtout du P. Charles de Condren (christologie du sacrifice). Ce</w:t>
      </w:r>
      <w:r w:rsidR="00C04CA8">
        <w:t>ci</w:t>
      </w:r>
      <w:r>
        <w:t xml:space="preserve"> </w:t>
      </w:r>
      <w:r w:rsidR="005D7A85">
        <w:t>d</w:t>
      </w:r>
      <w:r w:rsidR="00A233FB">
        <w:t>evra aussi</w:t>
      </w:r>
      <w:r w:rsidR="005D7A85">
        <w:t xml:space="preserve"> être</w:t>
      </w:r>
      <w:r>
        <w:t xml:space="preserve"> vérifi</w:t>
      </w:r>
      <w:r w:rsidR="005D7A85">
        <w:t>é</w:t>
      </w:r>
      <w:r>
        <w:t>.</w:t>
      </w:r>
    </w:p>
    <w:p w14:paraId="1250EC75" w14:textId="77777777" w:rsidR="0003777C" w:rsidRDefault="001227D5" w:rsidP="00EC3A2D">
      <w:pPr>
        <w:ind w:firstLine="284"/>
        <w:jc w:val="both"/>
      </w:pPr>
      <w:r>
        <w:t>Oblative, la christologie des CAM</w:t>
      </w:r>
      <w:r w:rsidR="00203CD4">
        <w:t xml:space="preserve"> peut être aussi qualifiée de </w:t>
      </w:r>
      <w:r w:rsidR="008A2119" w:rsidRPr="00A233FB">
        <w:rPr>
          <w:i/>
        </w:rPr>
        <w:t>« </w:t>
      </w:r>
      <w:r w:rsidR="00203CD4" w:rsidRPr="00A233FB">
        <w:rPr>
          <w:i/>
        </w:rPr>
        <w:t>sacerdotale</w:t>
      </w:r>
      <w:r w:rsidR="008A2119" w:rsidRPr="00A233FB">
        <w:rPr>
          <w:i/>
        </w:rPr>
        <w:t> </w:t>
      </w:r>
      <w:r w:rsidR="008A2119">
        <w:t>»</w:t>
      </w:r>
      <w:r w:rsidR="00203CD4">
        <w:t>, au sens où (le Cœur de) Jésus est désigné, par exemple, comme « vrai prêtre de la Présentation »</w:t>
      </w:r>
      <w:r w:rsidR="00203CD4">
        <w:rPr>
          <w:rStyle w:val="Appelnotedebasdep"/>
        </w:rPr>
        <w:footnoteReference w:id="6"/>
      </w:r>
      <w:r w:rsidR="00203CD4">
        <w:t> : son oblation au Père est sans restriction, pour faire sa volonté ; il s’abandonne tout entier ; il est en même temps le donateur et le don, le Prêtre et l’</w:t>
      </w:r>
      <w:r w:rsidR="00AC3E84">
        <w:t>oblation, amour pour son Père et amour pour les humains.</w:t>
      </w:r>
      <w:r w:rsidR="00DB66AC">
        <w:t xml:space="preserve"> Dans la même ligne d’une offrande sacrificielle</w:t>
      </w:r>
      <w:r w:rsidR="008A2119">
        <w:t xml:space="preserve"> de soi</w:t>
      </w:r>
      <w:r w:rsidR="00DB66AC">
        <w:t xml:space="preserve">, on pourrait parler d’une christologie </w:t>
      </w:r>
      <w:r w:rsidR="00C31BE1" w:rsidRPr="00A233FB">
        <w:rPr>
          <w:i/>
        </w:rPr>
        <w:t>« </w:t>
      </w:r>
      <w:proofErr w:type="spellStart"/>
      <w:r w:rsidR="00C31BE1" w:rsidRPr="00A233FB">
        <w:rPr>
          <w:i/>
        </w:rPr>
        <w:t>victimale</w:t>
      </w:r>
      <w:proofErr w:type="spellEnd"/>
      <w:r w:rsidR="00C31BE1" w:rsidRPr="00A233FB">
        <w:rPr>
          <w:i/>
        </w:rPr>
        <w:t> »</w:t>
      </w:r>
      <w:r w:rsidR="008A2119">
        <w:t xml:space="preserve"> ou </w:t>
      </w:r>
      <w:r w:rsidR="008A2119" w:rsidRPr="00A233FB">
        <w:rPr>
          <w:i/>
        </w:rPr>
        <w:t>« sacrificielle </w:t>
      </w:r>
      <w:r w:rsidR="008A2119">
        <w:t>»</w:t>
      </w:r>
      <w:r w:rsidR="00C31BE1">
        <w:t xml:space="preserve"> : </w:t>
      </w:r>
      <w:r w:rsidR="00A71168">
        <w:t xml:space="preserve">« Ces petits martyrs, écrit le P. </w:t>
      </w:r>
      <w:proofErr w:type="spellStart"/>
      <w:r w:rsidR="00A71168">
        <w:t>Dehon</w:t>
      </w:r>
      <w:proofErr w:type="spellEnd"/>
      <w:r w:rsidR="00A71168">
        <w:t xml:space="preserve"> à propos des saints Innocents, sont aussi les prémices des victimes du Sacré-Cœur. Ils ont été des victimes innocentes. L’esprit de victime de Jésus débordait sur leurs jeunes âmes et les revêtait de la grâce du martyre »</w:t>
      </w:r>
      <w:r w:rsidR="00A71168">
        <w:rPr>
          <w:rStyle w:val="Appelnotedebasdep"/>
        </w:rPr>
        <w:footnoteReference w:id="7"/>
      </w:r>
      <w:r w:rsidR="0003777C">
        <w:t>.</w:t>
      </w:r>
    </w:p>
    <w:p w14:paraId="6757E966" w14:textId="3A3313D9" w:rsidR="00EC3A2D" w:rsidRDefault="005C395A" w:rsidP="00E430B1">
      <w:pPr>
        <w:ind w:firstLine="284"/>
        <w:jc w:val="both"/>
      </w:pPr>
      <w:r>
        <w:t>Au début de la sixième méditation du même mystère de l’enfance de Jésus, on peut lire aussi : « Après son oblation au Temple, le Sacré</w:t>
      </w:r>
      <w:r w:rsidR="00CA225E">
        <w:t>-Cœur de Jésus</w:t>
      </w:r>
      <w:r w:rsidR="004F6732">
        <w:t xml:space="preserve"> veut vivre de suite de la vie de sacrifice. Il est avide de souffrir pour notre amour</w:t>
      </w:r>
      <w:r w:rsidR="00E61697">
        <w:t> »</w:t>
      </w:r>
      <w:r w:rsidR="003952FA">
        <w:rPr>
          <w:rStyle w:val="Appelnotedebasdep"/>
        </w:rPr>
        <w:footnoteReference w:id="8"/>
      </w:r>
      <w:r w:rsidR="003952FA">
        <w:t>.</w:t>
      </w:r>
      <w:r w:rsidR="00D12E2D">
        <w:t xml:space="preserve"> Son</w:t>
      </w:r>
      <w:r w:rsidR="006D7D07">
        <w:t xml:space="preserve"> amour pour </w:t>
      </w:r>
      <w:r w:rsidR="005F53A5">
        <w:t>les humains</w:t>
      </w:r>
      <w:r w:rsidR="00D12E2D">
        <w:t xml:space="preserve"> (</w:t>
      </w:r>
      <w:r w:rsidR="00D12E2D" w:rsidRPr="00D12E2D">
        <w:rPr>
          <w:i/>
        </w:rPr>
        <w:t>pro-</w:t>
      </w:r>
      <w:proofErr w:type="spellStart"/>
      <w:r w:rsidR="00D12E2D" w:rsidRPr="00D12E2D">
        <w:rPr>
          <w:i/>
        </w:rPr>
        <w:t>existenz</w:t>
      </w:r>
      <w:proofErr w:type="spellEnd"/>
      <w:r w:rsidR="00A925C0">
        <w:t>, « </w:t>
      </w:r>
      <w:r w:rsidR="00A925C0" w:rsidRPr="00A925C0">
        <w:rPr>
          <w:i/>
        </w:rPr>
        <w:t>pro me</w:t>
      </w:r>
      <w:r w:rsidR="00A925C0" w:rsidRPr="00A925C0">
        <w:t> »</w:t>
      </w:r>
      <w:r w:rsidR="00D12E2D">
        <w:t xml:space="preserve">), sa compassion « au labeur, aux privations, aux souffrances des ouvriers de tous les temps » dessine une christologie de </w:t>
      </w:r>
      <w:r w:rsidR="00D12E2D" w:rsidRPr="002841F9">
        <w:rPr>
          <w:i/>
        </w:rPr>
        <w:t>compassion</w:t>
      </w:r>
      <w:r w:rsidR="00D12E2D">
        <w:t xml:space="preserve">, de </w:t>
      </w:r>
      <w:r w:rsidR="00D12E2D" w:rsidRPr="002841F9">
        <w:rPr>
          <w:i/>
        </w:rPr>
        <w:t>solidarité</w:t>
      </w:r>
      <w:r w:rsidR="00D12E2D">
        <w:t xml:space="preserve"> avec (les souffrances de) tous les humains</w:t>
      </w:r>
      <w:r w:rsidR="00E058C9">
        <w:t xml:space="preserve">, en l’occurrence </w:t>
      </w:r>
      <w:r w:rsidR="00C04CA8">
        <w:t>(</w:t>
      </w:r>
      <w:r w:rsidR="00E058C9">
        <w:t>de</w:t>
      </w:r>
      <w:r w:rsidR="00C04CA8">
        <w:t>)</w:t>
      </w:r>
      <w:r w:rsidR="00E058C9">
        <w:t xml:space="preserve"> tous les ouvriers</w:t>
      </w:r>
      <w:r w:rsidR="00D4698E">
        <w:rPr>
          <w:rStyle w:val="Appelnotedebasdep"/>
        </w:rPr>
        <w:footnoteReference w:id="9"/>
      </w:r>
      <w:r w:rsidR="00E058C9">
        <w:t>.</w:t>
      </w:r>
      <w:r w:rsidR="00774DD9">
        <w:t xml:space="preserve"> On peut même parler d’une </w:t>
      </w:r>
      <w:r w:rsidR="00774DD9" w:rsidRPr="00774DD9">
        <w:rPr>
          <w:i/>
        </w:rPr>
        <w:t>solidarité « substitutive »</w:t>
      </w:r>
      <w:r w:rsidR="00774DD9">
        <w:t xml:space="preserve"> radicale avec les pécheurs : « </w:t>
      </w:r>
      <w:r w:rsidR="0008718F">
        <w:t>en qualité de victime, (Notre-Seigneur) portait tous nos péchés et se regardait comme digne de tous les fléaux de la colère divine »</w:t>
      </w:r>
      <w:r w:rsidR="0008718F">
        <w:rPr>
          <w:rStyle w:val="Appelnotedebasdep"/>
        </w:rPr>
        <w:footnoteReference w:id="10"/>
      </w:r>
      <w:r w:rsidR="0008718F">
        <w:t>.</w:t>
      </w:r>
      <w:r w:rsidR="0003777C">
        <w:t xml:space="preserve"> </w:t>
      </w:r>
      <w:r w:rsidR="00AD5B43">
        <w:t>Dans cette ligne, les CAM sont porteuses aussi d’une christologie d’</w:t>
      </w:r>
      <w:r w:rsidR="00AD5B43" w:rsidRPr="00AD5B43">
        <w:rPr>
          <w:i/>
        </w:rPr>
        <w:t>intercession</w:t>
      </w:r>
      <w:r w:rsidR="00AD5B43">
        <w:t xml:space="preserve"> (le Christ est l’Intercesseur pour les humains auprès du Père) : « Entrons donc dans son Cœur pour y formuler ces demandes : pour que le Père céleste les confonde avec celles de son Fils, prions Dieu de leur donner toutes les significations et toute la puissance d’intercession qu’elles ont sur </w:t>
      </w:r>
      <w:r w:rsidR="001A16C0">
        <w:t>les lèvres de son Fils »</w:t>
      </w:r>
      <w:r w:rsidR="001A16C0">
        <w:rPr>
          <w:rStyle w:val="Appelnotedebasdep"/>
        </w:rPr>
        <w:footnoteReference w:id="11"/>
      </w:r>
      <w:r w:rsidR="00DD330D">
        <w:t>.</w:t>
      </w:r>
      <w:r w:rsidR="003905E6">
        <w:t xml:space="preserve"> Sur cet amour du Sacré-Cœur pour les humains, le P. </w:t>
      </w:r>
      <w:proofErr w:type="spellStart"/>
      <w:r w:rsidR="003905E6">
        <w:t>Dehon</w:t>
      </w:r>
      <w:proofErr w:type="spellEnd"/>
      <w:r w:rsidR="003905E6">
        <w:t xml:space="preserve"> a même des paroles assez audacieuses : « ‘</w:t>
      </w:r>
      <w:r w:rsidR="003905E6" w:rsidRPr="003905E6">
        <w:rPr>
          <w:i/>
        </w:rPr>
        <w:t>Voilà ce Cœur qui a tant aimé les hommes !</w:t>
      </w:r>
      <w:r w:rsidR="003905E6">
        <w:t>’ (…) il semble n’être venu que pour les hommes, et son amour pour son Père, il le sous-entend. De même, dans l’Évangile, il est toujours question du salut des hommes, rarement de la gloire de Dieu ; le Cœur de Jésus semble avoir aimé premièrement les hommes</w:t>
      </w:r>
      <w:r w:rsidR="00170597">
        <w:t>, tant il mit de soin</w:t>
      </w:r>
      <w:r w:rsidR="00F94968">
        <w:t xml:space="preserve"> à affirmer cet amour. Nous aimer, c’est sa manière à lui d’aimer Dieu</w:t>
      </w:r>
      <w:r w:rsidR="00A925C0">
        <w:t xml:space="preserve"> (…) </w:t>
      </w:r>
      <w:proofErr w:type="spellStart"/>
      <w:r w:rsidR="00A925C0" w:rsidRPr="00A925C0">
        <w:rPr>
          <w:i/>
        </w:rPr>
        <w:t>Majorem</w:t>
      </w:r>
      <w:proofErr w:type="spellEnd"/>
      <w:r w:rsidR="00A925C0" w:rsidRPr="00A925C0">
        <w:rPr>
          <w:i/>
        </w:rPr>
        <w:t xml:space="preserve"> </w:t>
      </w:r>
      <w:proofErr w:type="spellStart"/>
      <w:r w:rsidR="00A925C0" w:rsidRPr="00A925C0">
        <w:rPr>
          <w:i/>
        </w:rPr>
        <w:t>hac</w:t>
      </w:r>
      <w:proofErr w:type="spellEnd"/>
      <w:r w:rsidR="00A925C0" w:rsidRPr="00A925C0">
        <w:rPr>
          <w:i/>
        </w:rPr>
        <w:t xml:space="preserve"> </w:t>
      </w:r>
      <w:proofErr w:type="spellStart"/>
      <w:r w:rsidR="00A925C0" w:rsidRPr="00A925C0">
        <w:rPr>
          <w:i/>
        </w:rPr>
        <w:lastRenderedPageBreak/>
        <w:t>dilectionem</w:t>
      </w:r>
      <w:proofErr w:type="spellEnd"/>
      <w:r w:rsidR="00A925C0" w:rsidRPr="00A925C0">
        <w:rPr>
          <w:i/>
        </w:rPr>
        <w:t xml:space="preserve"> </w:t>
      </w:r>
      <w:proofErr w:type="spellStart"/>
      <w:r w:rsidR="00A925C0" w:rsidRPr="00A925C0">
        <w:rPr>
          <w:i/>
        </w:rPr>
        <w:t>nemo</w:t>
      </w:r>
      <w:proofErr w:type="spellEnd"/>
      <w:r w:rsidR="00A925C0" w:rsidRPr="00A925C0">
        <w:rPr>
          <w:i/>
        </w:rPr>
        <w:t xml:space="preserve"> </w:t>
      </w:r>
      <w:proofErr w:type="spellStart"/>
      <w:r w:rsidR="00A925C0" w:rsidRPr="00A925C0">
        <w:rPr>
          <w:i/>
        </w:rPr>
        <w:t>habet</w:t>
      </w:r>
      <w:proofErr w:type="spellEnd"/>
      <w:r w:rsidR="00A925C0" w:rsidRPr="00A925C0">
        <w:rPr>
          <w:i/>
        </w:rPr>
        <w:t xml:space="preserve"> ut </w:t>
      </w:r>
      <w:proofErr w:type="spellStart"/>
      <w:r w:rsidR="00A925C0" w:rsidRPr="00A925C0">
        <w:rPr>
          <w:i/>
        </w:rPr>
        <w:t>animam</w:t>
      </w:r>
      <w:proofErr w:type="spellEnd"/>
      <w:r w:rsidR="00A925C0" w:rsidRPr="00A925C0">
        <w:rPr>
          <w:i/>
        </w:rPr>
        <w:t xml:space="preserve"> </w:t>
      </w:r>
      <w:proofErr w:type="spellStart"/>
      <w:r w:rsidR="00A925C0" w:rsidRPr="00A925C0">
        <w:rPr>
          <w:i/>
        </w:rPr>
        <w:t>suam</w:t>
      </w:r>
      <w:proofErr w:type="spellEnd"/>
      <w:r w:rsidR="00A925C0" w:rsidRPr="00A925C0">
        <w:rPr>
          <w:i/>
        </w:rPr>
        <w:t xml:space="preserve"> </w:t>
      </w:r>
      <w:proofErr w:type="spellStart"/>
      <w:r w:rsidR="00A925C0" w:rsidRPr="00A925C0">
        <w:rPr>
          <w:i/>
        </w:rPr>
        <w:t>ponat</w:t>
      </w:r>
      <w:proofErr w:type="spellEnd"/>
      <w:r w:rsidR="00A925C0" w:rsidRPr="00A925C0">
        <w:rPr>
          <w:i/>
        </w:rPr>
        <w:t xml:space="preserve"> </w:t>
      </w:r>
      <w:proofErr w:type="spellStart"/>
      <w:r w:rsidR="00A925C0" w:rsidRPr="00A925C0">
        <w:rPr>
          <w:i/>
        </w:rPr>
        <w:t>quis</w:t>
      </w:r>
      <w:proofErr w:type="spellEnd"/>
      <w:r w:rsidR="00A925C0" w:rsidRPr="00A925C0">
        <w:rPr>
          <w:i/>
        </w:rPr>
        <w:t xml:space="preserve"> pro </w:t>
      </w:r>
      <w:proofErr w:type="spellStart"/>
      <w:r w:rsidR="00A925C0" w:rsidRPr="00A925C0">
        <w:rPr>
          <w:i/>
        </w:rPr>
        <w:t>amicis</w:t>
      </w:r>
      <w:proofErr w:type="spellEnd"/>
      <w:r w:rsidR="00A925C0" w:rsidRPr="00A925C0">
        <w:rPr>
          <w:i/>
        </w:rPr>
        <w:t xml:space="preserve"> suis</w:t>
      </w:r>
      <w:r w:rsidR="00A925C0">
        <w:t xml:space="preserve"> (…) </w:t>
      </w:r>
      <w:r w:rsidR="00A925C0" w:rsidRPr="00A925C0">
        <w:rPr>
          <w:i/>
        </w:rPr>
        <w:t xml:space="preserve">Christus </w:t>
      </w:r>
      <w:proofErr w:type="spellStart"/>
      <w:r w:rsidR="00A925C0" w:rsidRPr="00A925C0">
        <w:rPr>
          <w:i/>
        </w:rPr>
        <w:t>dilexit</w:t>
      </w:r>
      <w:proofErr w:type="spellEnd"/>
      <w:r w:rsidR="00A925C0" w:rsidRPr="00A925C0">
        <w:rPr>
          <w:i/>
        </w:rPr>
        <w:t xml:space="preserve"> me et </w:t>
      </w:r>
      <w:proofErr w:type="spellStart"/>
      <w:r w:rsidR="00A925C0" w:rsidRPr="00A925C0">
        <w:rPr>
          <w:i/>
        </w:rPr>
        <w:t>tradidit</w:t>
      </w:r>
      <w:proofErr w:type="spellEnd"/>
      <w:r w:rsidR="00A925C0" w:rsidRPr="00A925C0">
        <w:rPr>
          <w:i/>
        </w:rPr>
        <w:t xml:space="preserve"> </w:t>
      </w:r>
      <w:proofErr w:type="spellStart"/>
      <w:r w:rsidR="00A925C0" w:rsidRPr="00A925C0">
        <w:rPr>
          <w:i/>
        </w:rPr>
        <w:t>semetipsum</w:t>
      </w:r>
      <w:proofErr w:type="spellEnd"/>
      <w:r w:rsidR="00A925C0" w:rsidRPr="00A925C0">
        <w:rPr>
          <w:i/>
        </w:rPr>
        <w:t xml:space="preserve"> pro me</w:t>
      </w:r>
      <w:r w:rsidR="00F94968">
        <w:t> »</w:t>
      </w:r>
      <w:r w:rsidR="00F94968">
        <w:rPr>
          <w:rStyle w:val="Appelnotedebasdep"/>
        </w:rPr>
        <w:footnoteReference w:id="12"/>
      </w:r>
      <w:r w:rsidR="00A925C0">
        <w:t>.</w:t>
      </w:r>
    </w:p>
    <w:p w14:paraId="1977D269" w14:textId="77777777" w:rsidR="00C04CA8" w:rsidRDefault="00C04CA8" w:rsidP="002E24F3">
      <w:pPr>
        <w:jc w:val="both"/>
        <w:rPr>
          <w:i/>
        </w:rPr>
      </w:pPr>
    </w:p>
    <w:p w14:paraId="4EDAB950" w14:textId="77777777" w:rsidR="00C04CA8" w:rsidRDefault="00C04CA8" w:rsidP="002E24F3">
      <w:pPr>
        <w:jc w:val="both"/>
        <w:rPr>
          <w:i/>
        </w:rPr>
      </w:pPr>
    </w:p>
    <w:p w14:paraId="32A1D24F" w14:textId="77777777" w:rsidR="00EC3A2D" w:rsidRPr="00E430B1" w:rsidRDefault="00EC3A2D" w:rsidP="002E24F3">
      <w:pPr>
        <w:jc w:val="both"/>
        <w:rPr>
          <w:i/>
          <w:sz w:val="26"/>
          <w:szCs w:val="26"/>
        </w:rPr>
      </w:pPr>
      <w:r w:rsidRPr="00E430B1">
        <w:rPr>
          <w:i/>
          <w:sz w:val="26"/>
          <w:szCs w:val="26"/>
        </w:rPr>
        <w:t>Lettre aux Hébreux</w:t>
      </w:r>
    </w:p>
    <w:p w14:paraId="04850F7B" w14:textId="6487FAF0" w:rsidR="00EC3A2D" w:rsidRDefault="00EC3A2D" w:rsidP="00EC3A2D">
      <w:pPr>
        <w:ind w:firstLine="284"/>
        <w:jc w:val="both"/>
      </w:pPr>
      <w:r>
        <w:t xml:space="preserve">Indirectement au moins, </w:t>
      </w:r>
      <w:r w:rsidR="00263CAE">
        <w:t>avons-nous indiqué, le contenu de la</w:t>
      </w:r>
      <w:r>
        <w:t xml:space="preserve"> Lettre</w:t>
      </w:r>
      <w:r w:rsidR="00263CAE">
        <w:t xml:space="preserve"> aux Hébreux est sous-jacent</w:t>
      </w:r>
      <w:r>
        <w:t xml:space="preserve"> à la christologie de Léon </w:t>
      </w:r>
      <w:proofErr w:type="spellStart"/>
      <w:r>
        <w:t>Dehon</w:t>
      </w:r>
      <w:proofErr w:type="spellEnd"/>
      <w:r>
        <w:t> : le sacerdoce du Christ « entre » Dieu et les hommes, la mort du Christ-offrande personnelle parfaite…</w:t>
      </w:r>
    </w:p>
    <w:p w14:paraId="5D5D1E06" w14:textId="75A43D99" w:rsidR="005D7A85" w:rsidRDefault="00263CAE" w:rsidP="00EC3A2D">
      <w:pPr>
        <w:ind w:firstLine="284"/>
        <w:jc w:val="both"/>
      </w:pPr>
      <w:r>
        <w:t>Pour le vérifier, i</w:t>
      </w:r>
      <w:r w:rsidR="00CE4C54">
        <w:t xml:space="preserve">l est </w:t>
      </w:r>
      <w:r>
        <w:t>dès lors</w:t>
      </w:r>
      <w:r w:rsidR="00CE4C54">
        <w:t xml:space="preserve"> bon de rappeler la doctrine centrale de </w:t>
      </w:r>
      <w:r>
        <w:t>cette épître</w:t>
      </w:r>
      <w:r w:rsidR="00BF70DF">
        <w:t>, que l’on tro</w:t>
      </w:r>
      <w:r>
        <w:t>uve tout particulièrement dans s</w:t>
      </w:r>
      <w:r w:rsidR="00BF70DF">
        <w:t>a troisième partie (5, 11 – 10, 39). Cette doctrine met en lumière les traits propres du sacerdoce du Christ : le Christ est un grand-prêtre (</w:t>
      </w:r>
      <w:proofErr w:type="spellStart"/>
      <w:r w:rsidR="007150A0" w:rsidRPr="007150A0">
        <w:rPr>
          <w:i/>
        </w:rPr>
        <w:t>pontifex</w:t>
      </w:r>
      <w:proofErr w:type="spellEnd"/>
      <w:r w:rsidR="007150A0">
        <w:t xml:space="preserve">, </w:t>
      </w:r>
      <w:proofErr w:type="spellStart"/>
      <w:r w:rsidR="00BF70DF" w:rsidRPr="00BF70DF">
        <w:rPr>
          <w:i/>
        </w:rPr>
        <w:t>sacerdos</w:t>
      </w:r>
      <w:proofErr w:type="spellEnd"/>
      <w:r w:rsidR="00BF70DF">
        <w:t xml:space="preserve">, </w:t>
      </w:r>
      <w:proofErr w:type="spellStart"/>
      <w:r w:rsidR="004D4F31" w:rsidRPr="004D4F31">
        <w:rPr>
          <w:i/>
        </w:rPr>
        <w:t>hiéreus</w:t>
      </w:r>
      <w:proofErr w:type="spellEnd"/>
      <w:r w:rsidR="004D4F31">
        <w:t xml:space="preserve">, </w:t>
      </w:r>
      <w:proofErr w:type="spellStart"/>
      <w:r w:rsidR="00BF70DF" w:rsidRPr="00BF70DF">
        <w:rPr>
          <w:i/>
        </w:rPr>
        <w:t>archiéreus</w:t>
      </w:r>
      <w:proofErr w:type="spellEnd"/>
      <w:r w:rsidR="00BF70DF">
        <w:t>)</w:t>
      </w:r>
      <w:r w:rsidR="0041791F">
        <w:t xml:space="preserve"> d’un genre nouveau (7, 1-28) ; son sacrifice de soi-même, très différent des sacrifices anciens d’animaux, a ouvert</w:t>
      </w:r>
      <w:r w:rsidR="00413CB4">
        <w:t>, une fois pour toutes (</w:t>
      </w:r>
      <w:proofErr w:type="spellStart"/>
      <w:r w:rsidR="00413CB4" w:rsidRPr="00413CB4">
        <w:rPr>
          <w:i/>
        </w:rPr>
        <w:t>éphapax</w:t>
      </w:r>
      <w:proofErr w:type="spellEnd"/>
      <w:r w:rsidR="00413CB4">
        <w:t>),</w:t>
      </w:r>
      <w:r w:rsidR="0041791F">
        <w:t xml:space="preserve"> l’accès au véritable sanctuaire (8, 1 – 9, 28) ; il nous a réellement obtenu</w:t>
      </w:r>
      <w:r w:rsidR="00413CB4">
        <w:t>, une fois pour toutes,</w:t>
      </w:r>
      <w:r w:rsidR="0041791F">
        <w:t xml:space="preserve"> le pardon de nos péchés (10, 1-18). Le sacrifice du Christ met ainsi fin à l’ancien sacerdoce, à l’ancienne Loi, à l’ancienne Alliance.</w:t>
      </w:r>
    </w:p>
    <w:p w14:paraId="513368EF" w14:textId="6DDE9A2B" w:rsidR="00554D0B" w:rsidRDefault="00554D0B" w:rsidP="00EC3A2D">
      <w:pPr>
        <w:ind w:firstLine="284"/>
        <w:jc w:val="both"/>
      </w:pPr>
      <w:r>
        <w:t>La Lettre aux Hébreux consiste essentiellement en une présentation sacerdotale du mystère du Christ.</w:t>
      </w:r>
      <w:r w:rsidR="00844D88">
        <w:t xml:space="preserve"> Elle est le seul écrit néotestamentaire qui applique au Christ les titres de prêtre (</w:t>
      </w:r>
      <w:proofErr w:type="spellStart"/>
      <w:r w:rsidR="00844D88" w:rsidRPr="00844D88">
        <w:rPr>
          <w:i/>
        </w:rPr>
        <w:t>hiéreus</w:t>
      </w:r>
      <w:proofErr w:type="spellEnd"/>
      <w:r w:rsidR="00844D88">
        <w:t>) et de grand-prêtre (</w:t>
      </w:r>
      <w:proofErr w:type="spellStart"/>
      <w:r w:rsidR="00844D88" w:rsidRPr="00844D88">
        <w:rPr>
          <w:i/>
        </w:rPr>
        <w:t>archiéreus</w:t>
      </w:r>
      <w:proofErr w:type="spellEnd"/>
      <w:r w:rsidR="00844D88">
        <w:t>).</w:t>
      </w:r>
      <w:r w:rsidR="00587F95">
        <w:t xml:space="preserve"> </w:t>
      </w:r>
      <w:r w:rsidR="00B27FDE">
        <w:t xml:space="preserve">Sont </w:t>
      </w:r>
      <w:r w:rsidR="004A2D36">
        <w:t xml:space="preserve">exprimés de la sorte les rapports existant entre la foi chrétienne et un des courants principaux </w:t>
      </w:r>
      <w:r w:rsidR="009A527E">
        <w:t xml:space="preserve">de </w:t>
      </w:r>
      <w:r w:rsidR="0064792E">
        <w:t>l’AT</w:t>
      </w:r>
      <w:r w:rsidR="009A527E">
        <w:t>, celui qui concerne le culte (rites et sacrifices, sacerdoce, sanctuaire du Di</w:t>
      </w:r>
      <w:r w:rsidR="00005243">
        <w:t>e</w:t>
      </w:r>
      <w:r w:rsidR="009A527E">
        <w:t xml:space="preserve">u d’Israël). Ou, mieux peut-être, la foi </w:t>
      </w:r>
      <w:r w:rsidR="002F6D9B">
        <w:t xml:space="preserve">(néotestamentaire) </w:t>
      </w:r>
      <w:r w:rsidR="009A527E">
        <w:t>au salut en Christ est exprimée</w:t>
      </w:r>
      <w:r w:rsidR="00506A35">
        <w:t xml:space="preserve"> </w:t>
      </w:r>
      <w:r w:rsidR="002F6D9B">
        <w:t>en termes cultuels hébraïques (vétérotestamentaires).</w:t>
      </w:r>
    </w:p>
    <w:p w14:paraId="6E6472FD" w14:textId="7E422509" w:rsidR="00C04F56" w:rsidRDefault="00C04F56" w:rsidP="00EC3A2D">
      <w:pPr>
        <w:ind w:firstLine="284"/>
        <w:jc w:val="both"/>
      </w:pPr>
      <w:r>
        <w:t>À première vue, la personne et la vie de Jésus n’ont pas de lien avec la classe sacerdotale d’Israël, bien au contraire</w:t>
      </w:r>
      <w:r w:rsidR="00713893">
        <w:t xml:space="preserve"> (la classe sacerdotale est parmi ses adversaires)</w:t>
      </w:r>
      <w:r>
        <w:t>.</w:t>
      </w:r>
      <w:r w:rsidR="00713893">
        <w:t xml:space="preserve"> La mort de Jésus sur la croix n’a rien non plus de rituel : elle apparaît comme une peine légale infamante, qui </w:t>
      </w:r>
      <w:r w:rsidR="0030783A">
        <w:t>retranche</w:t>
      </w:r>
      <w:r w:rsidR="00713893">
        <w:t xml:space="preserve"> du peuple de Dieu</w:t>
      </w:r>
      <w:r w:rsidR="0030783A">
        <w:t xml:space="preserve">, alors que le rite sacrificiel est censé unir à </w:t>
      </w:r>
      <w:r w:rsidR="004C7A57">
        <w:t xml:space="preserve">(la gloire de) </w:t>
      </w:r>
      <w:r w:rsidR="0030783A">
        <w:t>Dieu</w:t>
      </w:r>
      <w:r w:rsidR="004C7A57">
        <w:t>.</w:t>
      </w:r>
    </w:p>
    <w:p w14:paraId="0BC1FFBE" w14:textId="07445D58" w:rsidR="00013504" w:rsidRDefault="00013504" w:rsidP="00EC3A2D">
      <w:pPr>
        <w:ind w:firstLine="284"/>
        <w:jc w:val="both"/>
      </w:pPr>
      <w:r>
        <w:t>Grâce à l’approfondissement du sens de l’événement de la Croix et à l’élargissement des conceptions traditionnelles relatives aux rites</w:t>
      </w:r>
      <w:r w:rsidR="00F837C6">
        <w:t>, sous l’inspiration de livres prophétiques (Is 53, 10) et de paroles de Jésus</w:t>
      </w:r>
      <w:r w:rsidR="00A1555B">
        <w:t xml:space="preserve"> lui-même</w:t>
      </w:r>
      <w:r w:rsidR="00F837C6">
        <w:t xml:space="preserve"> (1 Co 11, 25),</w:t>
      </w:r>
      <w:r w:rsidR="00EB2C79">
        <w:t xml:space="preserve"> sans oublier le contexte pascal de la Passion, </w:t>
      </w:r>
      <w:r w:rsidR="004766EB">
        <w:t>la mort</w:t>
      </w:r>
      <w:r w:rsidR="00373331">
        <w:t xml:space="preserve"> et la résurrection </w:t>
      </w:r>
      <w:r w:rsidR="004766EB">
        <w:t>de Jésus ont pu être relues dans les catégories vétérotestamentaires du rite, du sacrifice et de l’expiation</w:t>
      </w:r>
      <w:r w:rsidR="00357892">
        <w:t xml:space="preserve"> (1 Co 5, 7 ; </w:t>
      </w:r>
      <w:proofErr w:type="spellStart"/>
      <w:r w:rsidR="00357892">
        <w:t>Rm</w:t>
      </w:r>
      <w:proofErr w:type="spellEnd"/>
      <w:r w:rsidR="00357892">
        <w:t xml:space="preserve"> 3, 25 ; Ep 5, 2 ; 1 P 1, 19)</w:t>
      </w:r>
      <w:r w:rsidR="004766EB">
        <w:t>, mais en leur conférant un sens radicalement nouveau.</w:t>
      </w:r>
      <w:r w:rsidR="00357892">
        <w:t xml:space="preserve"> Cette relecture atteint son plus haut degré et est la plus complète dans la Lettre aux Hébreux, mais l’évocation minutieuse des rites et sacrifices anciens n’est là que pour entraîner le croyant au-delà.</w:t>
      </w:r>
    </w:p>
    <w:p w14:paraId="292A5E9C" w14:textId="51673D82" w:rsidR="002C08AE" w:rsidRDefault="002C08AE" w:rsidP="00EC3A2D">
      <w:pPr>
        <w:ind w:firstLine="284"/>
        <w:jc w:val="both"/>
      </w:pPr>
      <w:r>
        <w:t>L’épître voit dans le Christ glorifié à l’issue de la passion (ressuscité) le parfait accomplissement du sacerdoce : Fils de Dieu et frère des humains, il assure à ceux-ci l’accès auprès de Dieu (en ce sens, il est grand-prêtre, et même l’unique véritable grand-prêtre). Son sacerdoce succède à celui d’Aaron (5, 4-5)</w:t>
      </w:r>
      <w:r w:rsidR="00F32D82">
        <w:t xml:space="preserve">, mais en le dépassant : il est un prêtre d’un genre nouveau, « dans la ligne de </w:t>
      </w:r>
      <w:proofErr w:type="spellStart"/>
      <w:r w:rsidR="00F32D82">
        <w:t>Melchisédek</w:t>
      </w:r>
      <w:proofErr w:type="spellEnd"/>
      <w:r w:rsidR="00F32D82">
        <w:t xml:space="preserve"> » (7, 1-28 ; cf. Ps 110). La mort et la glorification du Christ sont un véritable sacrifice, et même le seul véritable sacrifice, qui </w:t>
      </w:r>
      <w:r w:rsidR="006A57A2">
        <w:t>remplace et rend caducs tous les sacrifices anciens. Confinés au niveau terrestre, ceux-ci ne pouvaient purifier véritablement la conscience (9,9 ; 10, 1-4), ni élever l’être humain jusqu’à Dieu. Au contraire, la mort du Christ est une offrande personnelle parfaite de soi-même (9, 14), qui soumet l’être humain tout entier à la volonté de Dieu (5, 8 ; 10, 9-10)</w:t>
      </w:r>
      <w:r w:rsidR="00997A2B">
        <w:t xml:space="preserve">, le renouvelle ainsi de fond en comble </w:t>
      </w:r>
      <w:r w:rsidR="00997A2B">
        <w:lastRenderedPageBreak/>
        <w:t>et l’établit dans l’intimité de Dieu</w:t>
      </w:r>
      <w:r w:rsidR="007B56B0">
        <w:t xml:space="preserve">. Devenu par sa mort prêtre céleste (9, 24), le Christ </w:t>
      </w:r>
      <w:r w:rsidR="005C4281">
        <w:t xml:space="preserve">a réalisé la purification des péchés et fondé une alliance nouvelle et éternelle (9, 15 ; 13, 20). Son sang </w:t>
      </w:r>
      <w:r w:rsidR="00004607">
        <w:t>versé</w:t>
      </w:r>
      <w:r w:rsidR="003A03CF">
        <w:t xml:space="preserve"> une fois pour toutes</w:t>
      </w:r>
      <w:r w:rsidR="00004607">
        <w:t xml:space="preserve"> a </w:t>
      </w:r>
      <w:r w:rsidR="005C4281">
        <w:t>donn</w:t>
      </w:r>
      <w:r w:rsidR="00004607">
        <w:t>é</w:t>
      </w:r>
      <w:r w:rsidR="005C4281">
        <w:t xml:space="preserve"> aux humains un accès libre auprès de Dieu (10, 19).</w:t>
      </w:r>
      <w:r w:rsidR="006E43C6">
        <w:t xml:space="preserve"> C’est le don fait par Dieu en son Fils aux êtres humains</w:t>
      </w:r>
      <w:r w:rsidR="006E43C6">
        <w:rPr>
          <w:rStyle w:val="Appelnotedebasdep"/>
        </w:rPr>
        <w:footnoteReference w:id="13"/>
      </w:r>
      <w:r w:rsidR="006E43C6">
        <w:t>.</w:t>
      </w:r>
    </w:p>
    <w:p w14:paraId="70CEA405" w14:textId="24939F77" w:rsidR="003C379E" w:rsidRDefault="003C379E" w:rsidP="00EC3A2D">
      <w:pPr>
        <w:ind w:firstLine="284"/>
        <w:jc w:val="both"/>
      </w:pPr>
      <w:r>
        <w:t xml:space="preserve">Quand on lit les CAM, </w:t>
      </w:r>
      <w:r w:rsidR="00935F45">
        <w:t xml:space="preserve">on perçoit plusieurs échos de la Lettre aux Hébreux, même s’ils ne sont pas toujours tout à fait explicites. L’influence de l’École française de spiritualité est sans doute plus directe, comme nous allons nous efforcer de le vérifier. </w:t>
      </w:r>
    </w:p>
    <w:p w14:paraId="7FAF9741" w14:textId="77777777" w:rsidR="00EC3A2D" w:rsidRDefault="00EC3A2D" w:rsidP="00EC3A2D">
      <w:pPr>
        <w:ind w:firstLine="284"/>
        <w:jc w:val="both"/>
      </w:pPr>
    </w:p>
    <w:p w14:paraId="5C67627E" w14:textId="77777777" w:rsidR="00E430B1" w:rsidRDefault="00E430B1" w:rsidP="00EC3A2D">
      <w:pPr>
        <w:ind w:firstLine="284"/>
        <w:jc w:val="both"/>
      </w:pPr>
    </w:p>
    <w:p w14:paraId="0E4A93F3" w14:textId="77777777" w:rsidR="00EC3A2D" w:rsidRPr="00E430B1" w:rsidRDefault="00EC3A2D" w:rsidP="002E24F3">
      <w:pPr>
        <w:jc w:val="both"/>
        <w:rPr>
          <w:i/>
          <w:sz w:val="26"/>
          <w:szCs w:val="26"/>
        </w:rPr>
      </w:pPr>
      <w:r w:rsidRPr="00E430B1">
        <w:rPr>
          <w:i/>
          <w:sz w:val="26"/>
          <w:szCs w:val="26"/>
        </w:rPr>
        <w:t>École française de spiritualité</w:t>
      </w:r>
    </w:p>
    <w:p w14:paraId="5E1A8427" w14:textId="40E3C65A" w:rsidR="00EC3A2D" w:rsidRDefault="00C605F7" w:rsidP="00EC3A2D">
      <w:pPr>
        <w:ind w:firstLine="284"/>
        <w:jc w:val="both"/>
      </w:pPr>
      <w:r>
        <w:t>Je m’inspire ici de la précieuse étude d’un jeune confrère indonésien</w:t>
      </w:r>
      <w:r w:rsidR="008D0223">
        <w:t xml:space="preserve"> sur l’évolution de la christologie de l’École française de spiritualité</w:t>
      </w:r>
      <w:r w:rsidR="008D0223">
        <w:rPr>
          <w:rStyle w:val="Appelnotedebasdep"/>
        </w:rPr>
        <w:footnoteReference w:id="14"/>
      </w:r>
      <w:r w:rsidR="008D0223">
        <w:t>.</w:t>
      </w:r>
    </w:p>
    <w:p w14:paraId="3B73EAB8" w14:textId="14AE70E1" w:rsidR="00C13C76" w:rsidRDefault="005D6B51" w:rsidP="00EC3A2D">
      <w:pPr>
        <w:ind w:firstLine="284"/>
        <w:jc w:val="both"/>
      </w:pPr>
      <w:r>
        <w:rPr>
          <w:i/>
        </w:rPr>
        <w:t xml:space="preserve">Pierre de </w:t>
      </w:r>
      <w:r w:rsidR="00C13C76" w:rsidRPr="00624326">
        <w:rPr>
          <w:i/>
        </w:rPr>
        <w:t>Bérulle</w:t>
      </w:r>
      <w:r w:rsidR="00325C91">
        <w:t xml:space="preserve">, dans ses </w:t>
      </w:r>
      <w:r w:rsidR="00325C91" w:rsidRPr="00325C91">
        <w:rPr>
          <w:i/>
        </w:rPr>
        <w:t>Discours de l’état et des grandeurs de Jésus</w:t>
      </w:r>
      <w:r w:rsidR="00A563DD" w:rsidRPr="00BB7BD8">
        <w:rPr>
          <w:rStyle w:val="Appelnotedebasdep"/>
        </w:rPr>
        <w:footnoteReference w:id="15"/>
      </w:r>
      <w:r w:rsidR="00325C91">
        <w:t xml:space="preserve">, </w:t>
      </w:r>
      <w:r w:rsidR="00593B78">
        <w:t xml:space="preserve">commence par </w:t>
      </w:r>
      <w:r w:rsidR="00924D02">
        <w:t>met</w:t>
      </w:r>
      <w:r w:rsidR="00593B78">
        <w:t>tre</w:t>
      </w:r>
      <w:r w:rsidR="00924D02">
        <w:t xml:space="preserve"> en évidence</w:t>
      </w:r>
      <w:r w:rsidR="00593B78">
        <w:t>, parmi les grandeurs du Christ,</w:t>
      </w:r>
      <w:r w:rsidR="00924D02">
        <w:t xml:space="preserve"> ce qu’il appelle « l’excellence et la singularité du mystère de l’Incarnation »</w:t>
      </w:r>
      <w:r w:rsidR="00C11843">
        <w:t xml:space="preserve">. Il considère </w:t>
      </w:r>
      <w:r w:rsidR="00A563DD">
        <w:t>ce mystère « si élevé qu’il surpasse la hautesse de toutes les pensées des hommes et des anges, mystère si excellent qu’il contient et comprend Dieu et le monde ensemble dedans soi-même, mystère si profond qu’il est caché de toute éternité dans la plus secrète pensée de l’Ancien des jours et dans le sein propre du Père éternel »</w:t>
      </w:r>
      <w:r w:rsidR="00302411">
        <w:rPr>
          <w:rStyle w:val="Appelnotedebasdep"/>
        </w:rPr>
        <w:footnoteReference w:id="16"/>
      </w:r>
      <w:r w:rsidR="003641AD">
        <w:t>.</w:t>
      </w:r>
    </w:p>
    <w:p w14:paraId="4181E8CA" w14:textId="57FB73E6" w:rsidR="00C51898" w:rsidRDefault="003A7652" w:rsidP="00EC3A2D">
      <w:pPr>
        <w:ind w:firstLine="284"/>
        <w:jc w:val="both"/>
      </w:pPr>
      <w:r>
        <w:t>Dieu est un être parfaitement infini et ineffable, il est source de l’être et parfaitement autosuffisant. En même temps</w:t>
      </w:r>
      <w:r w:rsidR="00FC59C8">
        <w:t>, ce Dieu un et unique est un Dieu en relation (trinitaire) et en mouvement d’amour.</w:t>
      </w:r>
      <w:r w:rsidR="00F65679">
        <w:t xml:space="preserve"> Quant à l’être humain, Bérulle le regarde </w:t>
      </w:r>
      <w:r w:rsidR="00777D9A">
        <w:t>de deux points de vue, cosmique et spirituel. Du point de vue cosmique, l’homme est un miracle de la création</w:t>
      </w:r>
      <w:r w:rsidR="00FC1DCC">
        <w:t>, unissant de manière admirable une nature corporelle et une nature spirituelle.</w:t>
      </w:r>
      <w:r w:rsidR="001A5C18">
        <w:t xml:space="preserve"> D’un point de vue spirituel, l’homme apparaît absolument dépendant de son Créateur ; en ce sens, il est un néant dépendant de Dieu</w:t>
      </w:r>
      <w:r w:rsidR="005937A5">
        <w:t>, l’Être ultime</w:t>
      </w:r>
      <w:r w:rsidR="00E77D87">
        <w:t xml:space="preserve"> et unique</w:t>
      </w:r>
      <w:r w:rsidR="005937A5">
        <w:t xml:space="preserve">, un néant </w:t>
      </w:r>
      <w:r w:rsidR="00F275DB">
        <w:t>toutefoi</w:t>
      </w:r>
      <w:r w:rsidR="005937A5">
        <w:t>s « capable de</w:t>
      </w:r>
      <w:r w:rsidR="00582A64">
        <w:t xml:space="preserve"> (se tourner vers)</w:t>
      </w:r>
      <w:r w:rsidR="005937A5">
        <w:t xml:space="preserve"> Dieu »</w:t>
      </w:r>
      <w:r w:rsidR="00582A64">
        <w:t>. L</w:t>
      </w:r>
      <w:r w:rsidR="00E77D87">
        <w:t>e péché</w:t>
      </w:r>
      <w:r w:rsidR="003903FC">
        <w:t>, second néant pire que le premier,</w:t>
      </w:r>
      <w:r w:rsidR="00E77D87">
        <w:t xml:space="preserve"> est le refu</w:t>
      </w:r>
      <w:r w:rsidR="00582A64">
        <w:t xml:space="preserve">s de reconnaître ce </w:t>
      </w:r>
      <w:r w:rsidR="00E77D87">
        <w:t xml:space="preserve">(nécessaire) </w:t>
      </w:r>
      <w:r w:rsidR="00582A64">
        <w:t>mouvement de retour vers Dieu</w:t>
      </w:r>
      <w:r w:rsidR="00E77D87">
        <w:t>, le Créateur dont l’homme dépend</w:t>
      </w:r>
      <w:r w:rsidR="00582A64">
        <w:t>.</w:t>
      </w:r>
      <w:r w:rsidR="003903FC">
        <w:t xml:space="preserve"> Dieu seu</w:t>
      </w:r>
      <w:r w:rsidR="0053704A">
        <w:t>l peut le tirer de cette misère, de cette indignité le rendant incapable d’adorer Dieu.</w:t>
      </w:r>
      <w:r w:rsidR="00DE6CA3">
        <w:t xml:space="preserve"> Dieu veut dès lors « sortir » de son autosuffisance et imprégner l’univers de son unité pour rendre possible l’accomplissement de l’adoration. Ce mouvement de Dieu se réalise dans l’Incarnation.</w:t>
      </w:r>
    </w:p>
    <w:p w14:paraId="3A4CB2D2" w14:textId="2AF50821" w:rsidR="00EC3A2D" w:rsidRDefault="000E2929" w:rsidP="00EC3A2D">
      <w:pPr>
        <w:ind w:firstLine="284"/>
        <w:jc w:val="both"/>
      </w:pPr>
      <w:r>
        <w:t>« </w:t>
      </w:r>
      <w:r w:rsidR="00EC3A2D">
        <w:t>Bérulle fait louange à l’incarnation comme un mystère singulier et rare car ce mystère rend présent l’unique ordre de l’union hypostatique en Jésus Christ. Ainsi, avant tout, pour Bérulle, l’Incarnation est le moment de la présence de Jésus-Christ, l’Homme-Dieu dans le monde</w:t>
      </w:r>
      <w:r>
        <w:t> »</w:t>
      </w:r>
      <w:r w:rsidR="00EC3A2D">
        <w:rPr>
          <w:rStyle w:val="Appelnotedebasdep"/>
        </w:rPr>
        <w:footnoteReference w:id="17"/>
      </w:r>
      <w:r w:rsidR="00EC3A2D">
        <w:t>.</w:t>
      </w:r>
      <w:r w:rsidR="00CF509D">
        <w:t xml:space="preserve"> Cet Homme-Dieu est la réponse à l’incapacité de l’homme d’accomplir son service </w:t>
      </w:r>
      <w:r w:rsidR="00CF509D">
        <w:lastRenderedPageBreak/>
        <w:t>d’adoration. Il est l’Adorateur parfait de Dieu et par lui s’opère l’œuvre du salut.</w:t>
      </w:r>
      <w:r w:rsidR="00215673">
        <w:t xml:space="preserve"> Par son Incarnation,</w:t>
      </w:r>
      <w:r w:rsidR="00F85A2D">
        <w:t xml:space="preserve"> son union hypostatique entre la divinité</w:t>
      </w:r>
      <w:r w:rsidR="009955A9">
        <w:t xml:space="preserve"> (glorieuse)</w:t>
      </w:r>
      <w:r w:rsidR="00F85A2D">
        <w:t xml:space="preserve"> et l’humanité</w:t>
      </w:r>
      <w:r w:rsidR="009955A9">
        <w:t xml:space="preserve"> (dans son abaissement)</w:t>
      </w:r>
      <w:r w:rsidR="00F85A2D">
        <w:t>,</w:t>
      </w:r>
      <w:r w:rsidR="00215673">
        <w:t xml:space="preserve"> le Fils unique de Dieu devient </w:t>
      </w:r>
      <w:r w:rsidR="0046638D">
        <w:t>à la fois serviteur et</w:t>
      </w:r>
      <w:r w:rsidR="00215673">
        <w:t xml:space="preserve"> chef de l’humanité, capable d’élever l’homme à la divinité, donc de le diviniser</w:t>
      </w:r>
      <w:r w:rsidR="006429FC">
        <w:t> : dans le Verbe incarné, Dieu partag</w:t>
      </w:r>
      <w:r w:rsidR="00785B2E">
        <w:t>e</w:t>
      </w:r>
      <w:r w:rsidR="006429FC">
        <w:t xml:space="preserve"> sa vie en plénitude avec l’être humain.</w:t>
      </w:r>
      <w:r w:rsidR="00EA0000">
        <w:t xml:space="preserve"> Cette médiation du Verbe incarné</w:t>
      </w:r>
      <w:r w:rsidR="000901AF">
        <w:t>, nouveau centre de l’univers,</w:t>
      </w:r>
      <w:r w:rsidR="00EA0000">
        <w:t xml:space="preserve"> s’étend </w:t>
      </w:r>
      <w:r w:rsidR="000901AF">
        <w:t xml:space="preserve">ainsi </w:t>
      </w:r>
      <w:r w:rsidR="00EA0000">
        <w:t>à l’univers, au cosmos</w:t>
      </w:r>
      <w:r w:rsidR="000901AF">
        <w:t xml:space="preserve"> tout entier</w:t>
      </w:r>
      <w:r w:rsidR="00EA0000">
        <w:t xml:space="preserve">, </w:t>
      </w:r>
      <w:r w:rsidR="005A50F7">
        <w:t xml:space="preserve">revivifié et </w:t>
      </w:r>
      <w:r w:rsidR="00EA0000">
        <w:t>renouvelé par elle</w:t>
      </w:r>
      <w:r w:rsidR="005A50F7">
        <w:rPr>
          <w:rStyle w:val="Appelnotedebasdep"/>
        </w:rPr>
        <w:footnoteReference w:id="18"/>
      </w:r>
      <w:r w:rsidR="00EA0000">
        <w:t>.</w:t>
      </w:r>
    </w:p>
    <w:p w14:paraId="0DAA9290" w14:textId="2676C1BC" w:rsidR="00D55AF1" w:rsidRDefault="00624326" w:rsidP="00EC3A2D">
      <w:pPr>
        <w:ind w:firstLine="284"/>
        <w:jc w:val="both"/>
      </w:pPr>
      <w:r>
        <w:t xml:space="preserve">En raison de sa formation au Séminaire français de Rome, le futur abbé </w:t>
      </w:r>
      <w:proofErr w:type="spellStart"/>
      <w:r>
        <w:t>Dehon</w:t>
      </w:r>
      <w:proofErr w:type="spellEnd"/>
      <w:r>
        <w:t xml:space="preserve"> a probablement été, directement ou à travers des épigones, marqué par la pensée et la spiritualité de l’Apôtre du Verbe incarné, comme </w:t>
      </w:r>
      <w:r w:rsidR="0093744B">
        <w:t xml:space="preserve">on </w:t>
      </w:r>
      <w:r>
        <w:t xml:space="preserve">a surnommé le cardinal de Bérulle. On peut relever en tout cas de nombreuses harmoniques entre les approches </w:t>
      </w:r>
      <w:proofErr w:type="spellStart"/>
      <w:r>
        <w:t>dehonienne</w:t>
      </w:r>
      <w:proofErr w:type="spellEnd"/>
      <w:r>
        <w:t xml:space="preserve"> et bérullienne de l’Incarnation, à commencer par </w:t>
      </w:r>
      <w:r w:rsidR="005D6B51">
        <w:t xml:space="preserve">la très grande place de celle-ci dans la spiritualité du Fondateur des Prêtres du Sacré-Cœur. Un disciple de Bérulle, Charles </w:t>
      </w:r>
      <w:proofErr w:type="gramStart"/>
      <w:r w:rsidR="00CE3715">
        <w:t xml:space="preserve">de  </w:t>
      </w:r>
      <w:r w:rsidR="005D6B51">
        <w:t>Condren</w:t>
      </w:r>
      <w:proofErr w:type="gramEnd"/>
      <w:r w:rsidR="005D6B51">
        <w:t>,</w:t>
      </w:r>
      <w:r w:rsidR="00CE3715">
        <w:t xml:space="preserve"> quant à lui,</w:t>
      </w:r>
      <w:r w:rsidR="005D6B51">
        <w:t xml:space="preserve"> </w:t>
      </w:r>
      <w:r w:rsidR="00CE3715">
        <w:t xml:space="preserve">semble bien avoir </w:t>
      </w:r>
      <w:r w:rsidR="005D6B51">
        <w:t xml:space="preserve">eu, directement ou à travers des épigones, une influence plus grande et </w:t>
      </w:r>
      <w:r w:rsidR="00E60F4F">
        <w:t>plus n</w:t>
      </w:r>
      <w:r w:rsidR="00185309">
        <w:t xml:space="preserve">ette sur le séminariste de Rome, bien que, dans les deux cas, </w:t>
      </w:r>
      <w:r w:rsidR="00F7114F">
        <w:t xml:space="preserve">le P. </w:t>
      </w:r>
      <w:proofErr w:type="spellStart"/>
      <w:r w:rsidR="00F7114F">
        <w:t>Dehon</w:t>
      </w:r>
      <w:proofErr w:type="spellEnd"/>
      <w:r w:rsidR="00F7114F">
        <w:t xml:space="preserve"> relise leurs thématiques dans la perspective dominante de l’amour, celui du Sacré-Cœur.</w:t>
      </w:r>
    </w:p>
    <w:p w14:paraId="63C55742" w14:textId="6AD1F2D6" w:rsidR="00D55AF1" w:rsidRDefault="00460C1E" w:rsidP="00EC3A2D">
      <w:pPr>
        <w:ind w:firstLine="284"/>
        <w:jc w:val="both"/>
      </w:pPr>
      <w:r>
        <w:t xml:space="preserve">La pensée christologique de </w:t>
      </w:r>
      <w:r w:rsidR="00E60F4F" w:rsidRPr="007A2C8D">
        <w:rPr>
          <w:i/>
        </w:rPr>
        <w:t xml:space="preserve">Charles </w:t>
      </w:r>
      <w:r w:rsidR="00CE3715">
        <w:rPr>
          <w:i/>
        </w:rPr>
        <w:t xml:space="preserve">de </w:t>
      </w:r>
      <w:r w:rsidR="00D55AF1" w:rsidRPr="007A2C8D">
        <w:rPr>
          <w:i/>
        </w:rPr>
        <w:t>Condren</w:t>
      </w:r>
      <w:r>
        <w:t xml:space="preserve"> </w:t>
      </w:r>
      <w:r w:rsidR="007A2C8D">
        <w:t xml:space="preserve">ressort particulièrement bien de son ouvrage (posthume), </w:t>
      </w:r>
      <w:r w:rsidR="007A2C8D" w:rsidRPr="00CE3715">
        <w:rPr>
          <w:i/>
        </w:rPr>
        <w:t>L’idée du sacerdoce et du sacrifice de Jésus-Christ</w:t>
      </w:r>
      <w:r w:rsidR="00CE3715">
        <w:rPr>
          <w:rStyle w:val="Appelnotedebasdep"/>
        </w:rPr>
        <w:footnoteReference w:id="19"/>
      </w:r>
      <w:r w:rsidR="007A2C8D">
        <w:t>.</w:t>
      </w:r>
      <w:r w:rsidR="00E14092">
        <w:t xml:space="preserve"> Celui-ci est le fruit de sa méditation sur la Lettre aux Hébreux.</w:t>
      </w:r>
      <w:r w:rsidR="009037E4">
        <w:t xml:space="preserve"> La notion de sacrifice (et de sace</w:t>
      </w:r>
      <w:r w:rsidR="001A0063">
        <w:t>r</w:t>
      </w:r>
      <w:r w:rsidR="009037E4">
        <w:t>doce) y est centrale.</w:t>
      </w:r>
      <w:r w:rsidR="009C1F8A">
        <w:t xml:space="preserve"> Je m’arrêterai plus d</w:t>
      </w:r>
      <w:r w:rsidR="002D0F3E">
        <w:t>i</w:t>
      </w:r>
      <w:r w:rsidR="009C1F8A">
        <w:t xml:space="preserve">rectement à </w:t>
      </w:r>
      <w:r w:rsidR="00202622">
        <w:t xml:space="preserve">un aspect </w:t>
      </w:r>
      <w:r w:rsidR="0093744B">
        <w:t xml:space="preserve">de </w:t>
      </w:r>
      <w:r w:rsidR="00202622">
        <w:t xml:space="preserve">celle-ci, qui, comme on l’a vu, est déterminant pour le P. </w:t>
      </w:r>
      <w:proofErr w:type="spellStart"/>
      <w:r w:rsidR="00202622">
        <w:t>D</w:t>
      </w:r>
      <w:r w:rsidR="00336D3C">
        <w:t>ehon</w:t>
      </w:r>
      <w:proofErr w:type="spellEnd"/>
      <w:r w:rsidR="00336D3C">
        <w:t> : l’ob</w:t>
      </w:r>
      <w:r w:rsidR="004F7DA5">
        <w:t>l</w:t>
      </w:r>
      <w:r w:rsidR="00336D3C">
        <w:t>ation.</w:t>
      </w:r>
      <w:r w:rsidR="003E4CEA">
        <w:t xml:space="preserve"> Cette dernière est la deuxième des cinq phases du sacrifice repérées par Condren : sanctification, oblation, immolation, consomption, communion.</w:t>
      </w:r>
      <w:r w:rsidR="00B66308">
        <w:t xml:space="preserve"> De sa lecture de la Lettre aux Hébreux, le successeur de Bérulle conclut à la singularité et à la supériorité du sacrifice du Christ par rapport aux sacrifices anciens : celui-ci est le seul véritable et parfait sacrifice, capable d’accomplir le devoir que toute créature doit rendre au Créateur</w:t>
      </w:r>
      <w:r w:rsidR="0032798E">
        <w:t>. Le Christ est parfait comme prêtre et victime.</w:t>
      </w:r>
    </w:p>
    <w:p w14:paraId="1341D72B" w14:textId="419D1635" w:rsidR="00EE11C0" w:rsidRDefault="00EE11C0" w:rsidP="00EC3A2D">
      <w:pPr>
        <w:ind w:firstLine="284"/>
        <w:jc w:val="both"/>
      </w:pPr>
      <w:r>
        <w:t>Condren conçoit le sacrifice du Christ comme une totalité de mystères, depuis l’Incarnation</w:t>
      </w:r>
      <w:r w:rsidR="00B8402E">
        <w:t xml:space="preserve"> (</w:t>
      </w:r>
      <w:r w:rsidR="00B8402E" w:rsidRPr="00B8402E">
        <w:rPr>
          <w:i/>
        </w:rPr>
        <w:t xml:space="preserve">ecce </w:t>
      </w:r>
      <w:proofErr w:type="spellStart"/>
      <w:r w:rsidR="00B8402E" w:rsidRPr="00B8402E">
        <w:rPr>
          <w:i/>
        </w:rPr>
        <w:t>venio</w:t>
      </w:r>
      <w:proofErr w:type="spellEnd"/>
      <w:r w:rsidR="00B8402E">
        <w:t>)</w:t>
      </w:r>
      <w:r>
        <w:t xml:space="preserve"> jusque dans l’éternité (sur la terre, au ciel et dans l’Eucharistie). Ce sacrifice, il l’appell</w:t>
      </w:r>
      <w:r w:rsidR="00A737EB">
        <w:t>e oblation : cette oblation au Père parfait le devoir de la créature et la rend digne devant son Créateur.</w:t>
      </w:r>
      <w:r w:rsidR="008452F6">
        <w:t xml:space="preserve"> « L’Incarnation est le point de départ, le commencement de l’oblation du Christ. Cette oblation se continue à travers tous les mystères du temps et de l’éternité »</w:t>
      </w:r>
      <w:r w:rsidR="008452F6">
        <w:rPr>
          <w:rStyle w:val="Appelnotedebasdep"/>
        </w:rPr>
        <w:footnoteReference w:id="20"/>
      </w:r>
      <w:r w:rsidR="009627A1">
        <w:t xml:space="preserve">. Le sacrifice « sur la terre » </w:t>
      </w:r>
      <w:r w:rsidR="00A606E9">
        <w:t xml:space="preserve">atteint son </w:t>
      </w:r>
      <w:r w:rsidR="009627A1">
        <w:t>accompli</w:t>
      </w:r>
      <w:r w:rsidR="00A606E9">
        <w:t>ssement</w:t>
      </w:r>
      <w:r w:rsidR="009627A1">
        <w:t xml:space="preserve"> sur la croix.</w:t>
      </w:r>
      <w:r w:rsidR="00B63F5E">
        <w:t xml:space="preserve"> Christ-Victime, « dès ce moment de l’Incarnation le Fils de Dieu s’offre à son Père et s’offre en qualité d’hostie, pour être un jour immolé en son honneur. Ce que Saint Paul nous représente par ces paroles : Me voici, je viens, pour faire mon Dieu ta volonté</w:t>
      </w:r>
      <w:r w:rsidR="005B078E">
        <w:t xml:space="preserve">. </w:t>
      </w:r>
      <w:r w:rsidR="005B078E" w:rsidRPr="005B078E">
        <w:rPr>
          <w:i/>
        </w:rPr>
        <w:t xml:space="preserve">Ecce </w:t>
      </w:r>
      <w:proofErr w:type="spellStart"/>
      <w:r w:rsidR="005B078E" w:rsidRPr="005B078E">
        <w:rPr>
          <w:i/>
        </w:rPr>
        <w:t>venio</w:t>
      </w:r>
      <w:proofErr w:type="spellEnd"/>
      <w:r w:rsidR="005B078E" w:rsidRPr="005B078E">
        <w:rPr>
          <w:i/>
        </w:rPr>
        <w:t xml:space="preserve">, ut </w:t>
      </w:r>
      <w:proofErr w:type="spellStart"/>
      <w:r w:rsidR="005B078E" w:rsidRPr="005B078E">
        <w:rPr>
          <w:i/>
        </w:rPr>
        <w:t>faciam</w:t>
      </w:r>
      <w:proofErr w:type="spellEnd"/>
      <w:r w:rsidR="005B078E" w:rsidRPr="005B078E">
        <w:rPr>
          <w:i/>
        </w:rPr>
        <w:t xml:space="preserve"> Deus </w:t>
      </w:r>
      <w:proofErr w:type="spellStart"/>
      <w:r w:rsidR="005B078E" w:rsidRPr="005B078E">
        <w:rPr>
          <w:i/>
        </w:rPr>
        <w:t>voluntatem</w:t>
      </w:r>
      <w:proofErr w:type="spellEnd"/>
      <w:r w:rsidR="005B078E" w:rsidRPr="005B078E">
        <w:rPr>
          <w:i/>
        </w:rPr>
        <w:t xml:space="preserve"> </w:t>
      </w:r>
      <w:proofErr w:type="spellStart"/>
      <w:r w:rsidR="005B078E" w:rsidRPr="005B078E">
        <w:rPr>
          <w:i/>
        </w:rPr>
        <w:t>tuam</w:t>
      </w:r>
      <w:proofErr w:type="spellEnd"/>
      <w:r w:rsidR="005B078E" w:rsidRPr="005B078E">
        <w:rPr>
          <w:i/>
        </w:rPr>
        <w:t> </w:t>
      </w:r>
      <w:r w:rsidR="005B078E">
        <w:t>»</w:t>
      </w:r>
      <w:r w:rsidR="005B078E">
        <w:rPr>
          <w:rStyle w:val="Appelnotedebasdep"/>
        </w:rPr>
        <w:footnoteReference w:id="21"/>
      </w:r>
      <w:r w:rsidR="005B078E">
        <w:t>.</w:t>
      </w:r>
    </w:p>
    <w:p w14:paraId="22C680B7" w14:textId="48956DBA" w:rsidR="00B55FBA" w:rsidRDefault="00B55FBA" w:rsidP="00EC3A2D">
      <w:pPr>
        <w:ind w:firstLine="284"/>
        <w:jc w:val="both"/>
      </w:pPr>
      <w:r>
        <w:lastRenderedPageBreak/>
        <w:t>Le Christ est ainsi le médiateur du salut et de la nouvelle alliance, le prêtre (</w:t>
      </w:r>
      <w:proofErr w:type="spellStart"/>
      <w:r w:rsidRPr="00B55FBA">
        <w:rPr>
          <w:i/>
        </w:rPr>
        <w:t>sacerdos</w:t>
      </w:r>
      <w:proofErr w:type="spellEnd"/>
      <w:r>
        <w:t>) par excellence</w:t>
      </w:r>
      <w:r w:rsidR="00815EE7">
        <w:t>, dans son oblation depuis l’Incarnation, accomplie sur la croix, perpétuée au ciel et dans l’Eucharistie.</w:t>
      </w:r>
    </w:p>
    <w:p w14:paraId="138534B4" w14:textId="6D8F1FFA" w:rsidR="004C0C2F" w:rsidRDefault="004C0C2F" w:rsidP="00EC3A2D">
      <w:pPr>
        <w:ind w:firstLine="284"/>
        <w:jc w:val="both"/>
      </w:pPr>
      <w:r>
        <w:t xml:space="preserve">Je voudrais à présent terminer cette évocation de la christologie </w:t>
      </w:r>
      <w:proofErr w:type="spellStart"/>
      <w:r>
        <w:t>dehonienne</w:t>
      </w:r>
      <w:proofErr w:type="spellEnd"/>
      <w:r>
        <w:t xml:space="preserve"> et de ses « sources » plus ou moins directes, par quelques éléments de l’anthropologie des CAM. Je la qualifierai d’oblative, précisément en réponse, en correspondance à une christologie oblative.</w:t>
      </w:r>
    </w:p>
    <w:p w14:paraId="26CAA592" w14:textId="77777777" w:rsidR="004C0C2F" w:rsidRDefault="004C0C2F" w:rsidP="00EC3A2D">
      <w:pPr>
        <w:ind w:firstLine="284"/>
        <w:jc w:val="both"/>
      </w:pPr>
    </w:p>
    <w:p w14:paraId="6931C1C2" w14:textId="77777777" w:rsidR="008A5AC0" w:rsidRDefault="008A5AC0" w:rsidP="00F244D8">
      <w:pPr>
        <w:jc w:val="both"/>
        <w:rPr>
          <w:i/>
        </w:rPr>
      </w:pPr>
    </w:p>
    <w:p w14:paraId="4D5E521F" w14:textId="45BFDD2D" w:rsidR="00F244D8" w:rsidRPr="00E430B1" w:rsidRDefault="00F244D8" w:rsidP="00F244D8">
      <w:pPr>
        <w:jc w:val="both"/>
        <w:rPr>
          <w:sz w:val="26"/>
          <w:szCs w:val="26"/>
        </w:rPr>
      </w:pPr>
      <w:r w:rsidRPr="00E430B1">
        <w:rPr>
          <w:i/>
          <w:sz w:val="26"/>
          <w:szCs w:val="26"/>
        </w:rPr>
        <w:t>Une anthropologie oblative</w:t>
      </w:r>
    </w:p>
    <w:p w14:paraId="1B484051" w14:textId="4F1E5025" w:rsidR="00F244D8" w:rsidRDefault="0086238F" w:rsidP="00F244D8">
      <w:pPr>
        <w:ind w:firstLine="284"/>
        <w:jc w:val="both"/>
      </w:pPr>
      <w:r>
        <w:t xml:space="preserve">Dans la foulée de </w:t>
      </w:r>
      <w:r w:rsidR="00230681">
        <w:t xml:space="preserve">son </w:t>
      </w:r>
      <w:r>
        <w:t>oblation (par exemple, dans la présentation au Temple)</w:t>
      </w:r>
      <w:r w:rsidR="00767BDE">
        <w:t xml:space="preserve">, </w:t>
      </w:r>
      <w:r w:rsidR="00230681">
        <w:t xml:space="preserve">Jésus, note </w:t>
      </w:r>
      <w:r w:rsidR="00767BDE">
        <w:t xml:space="preserve">le P. </w:t>
      </w:r>
      <w:proofErr w:type="spellStart"/>
      <w:r w:rsidR="00767BDE">
        <w:t>Dehon</w:t>
      </w:r>
      <w:proofErr w:type="spellEnd"/>
      <w:r w:rsidR="00230681">
        <w:t>, nous présente avec lui à son Père : « L’Agneau de Dieu, en unissant à son oblation ces deux pures colombes, les Cœurs de Marie et de Joseph, nous offrait avec lui et avec eux</w:t>
      </w:r>
      <w:r w:rsidR="004360FD">
        <w:t>. (…) (notre Oblation) doit être sans restriction (…) toute aimante et toute pure</w:t>
      </w:r>
      <w:r w:rsidR="003F1344">
        <w:t>. (…) chez nous tout se fait par amour ; (…) l’amour est le principe de tout, tout le reste n’est qu’une conséquence de l’amour »</w:t>
      </w:r>
      <w:r w:rsidR="003F1344">
        <w:rPr>
          <w:rStyle w:val="Appelnotedebasdep"/>
        </w:rPr>
        <w:footnoteReference w:id="22"/>
      </w:r>
      <w:r w:rsidR="003F1344">
        <w:t>.</w:t>
      </w:r>
      <w:r w:rsidR="003A6F94">
        <w:t xml:space="preserve"> L’anthropologie sous-jacente est </w:t>
      </w:r>
      <w:proofErr w:type="spellStart"/>
      <w:r w:rsidR="003A6F94">
        <w:t>responsoriale</w:t>
      </w:r>
      <w:proofErr w:type="spellEnd"/>
      <w:r w:rsidR="003A6F94">
        <w:t xml:space="preserve"> par rapport au don et l’œuvre du Christ : l’être humain (chrétien), selon </w:t>
      </w:r>
      <w:proofErr w:type="spellStart"/>
      <w:r w:rsidR="003A6F94">
        <w:t>Dehon</w:t>
      </w:r>
      <w:proofErr w:type="spellEnd"/>
      <w:r w:rsidR="003A6F94">
        <w:t>, est appelé à faire de toute son existence une offrande (filiale) en union à l’offrande (filiale) du Christ à son Père.</w:t>
      </w:r>
    </w:p>
    <w:p w14:paraId="6030BF3B" w14:textId="42B51983" w:rsidR="002152E5" w:rsidRDefault="002152E5" w:rsidP="00F244D8">
      <w:pPr>
        <w:ind w:firstLine="284"/>
        <w:jc w:val="both"/>
      </w:pPr>
      <w:r>
        <w:t>On pourrait parler aussi d’une anthropologie « passive » ou « réceptive », au sens où l’être humain est invité à se laisser « passivement » transform</w:t>
      </w:r>
      <w:r w:rsidR="008B4BC0">
        <w:t>er</w:t>
      </w:r>
      <w:r>
        <w:t xml:space="preserve"> par la grâce de Dieu</w:t>
      </w:r>
      <w:r w:rsidR="008B4BC0">
        <w:t> : « Mais pour obtenir cet amour, pas d’efforts humains, (…) ; tenons-nous paisiblement, doucement en présence du Sacré-Cœur, sous ce rayonnement d’amour »</w:t>
      </w:r>
      <w:r w:rsidR="008B4BC0">
        <w:rPr>
          <w:rStyle w:val="Appelnotedebasdep"/>
        </w:rPr>
        <w:footnoteReference w:id="23"/>
      </w:r>
      <w:r w:rsidR="00F20B6C">
        <w:t xml:space="preserve">. </w:t>
      </w:r>
      <w:r w:rsidR="00345F11">
        <w:t xml:space="preserve">De même, cette anthropologie a un caractère eschatologique, elle est celle d’un </w:t>
      </w:r>
      <w:r w:rsidR="00345F11" w:rsidRPr="00345F11">
        <w:rPr>
          <w:i/>
        </w:rPr>
        <w:t xml:space="preserve">homo </w:t>
      </w:r>
      <w:proofErr w:type="spellStart"/>
      <w:r w:rsidR="00345F11" w:rsidRPr="00345F11">
        <w:rPr>
          <w:i/>
        </w:rPr>
        <w:t>viator</w:t>
      </w:r>
      <w:proofErr w:type="spellEnd"/>
      <w:r w:rsidR="00345F11">
        <w:t xml:space="preserve">, compagnon de voyage du Christ en chemin vers sa Patrie céleste : « À la lumière de votre vie, dit </w:t>
      </w:r>
      <w:proofErr w:type="spellStart"/>
      <w:r w:rsidR="00345F11">
        <w:t>Dehon</w:t>
      </w:r>
      <w:proofErr w:type="spellEnd"/>
      <w:r w:rsidR="00345F11">
        <w:t xml:space="preserve"> dans une prière adressée à Jésus-enfant, je comprends que ma patrie, ce n’est pas la terre. Je ne suis ici qu’un voyageur. Prenez-moi pour compagnon, faites-moi vivre dans la plus constante union d’amour avec vous ! »</w:t>
      </w:r>
      <w:r w:rsidR="00345F11">
        <w:rPr>
          <w:rStyle w:val="Appelnotedebasdep"/>
        </w:rPr>
        <w:footnoteReference w:id="24"/>
      </w:r>
      <w:r w:rsidR="007F0D3E">
        <w:t>.</w:t>
      </w:r>
    </w:p>
    <w:p w14:paraId="14F4DC68" w14:textId="5A9F43BA" w:rsidR="00A0048C" w:rsidRDefault="00A0048C" w:rsidP="00F244D8">
      <w:pPr>
        <w:ind w:firstLine="284"/>
        <w:jc w:val="both"/>
      </w:pPr>
      <w:r>
        <w:t>Dans cette riche anthropologie spirituelle, il faut aussi reconnaître certains accents « pessimistes » (au moins dans l’expression) hérités de l’École française de spiritualité (Bérulle, Condren)</w:t>
      </w:r>
      <w:r w:rsidR="001F10B0">
        <w:t xml:space="preserve">. </w:t>
      </w:r>
      <w:proofErr w:type="spellStart"/>
      <w:r w:rsidR="001F10B0">
        <w:t>Dehon</w:t>
      </w:r>
      <w:proofErr w:type="spellEnd"/>
      <w:r w:rsidR="001F10B0">
        <w:t xml:space="preserve"> mentionne ainsi le « néant de la créature devant Dieu »</w:t>
      </w:r>
      <w:r w:rsidR="00A95369">
        <w:t xml:space="preserve"> ou sa « misère » en contraste avec la « Majesté » de Dieu</w:t>
      </w:r>
      <w:r w:rsidR="00DB6513">
        <w:t> : « </w:t>
      </w:r>
      <w:proofErr w:type="spellStart"/>
      <w:r w:rsidR="00DB6513">
        <w:t>Dieu</w:t>
      </w:r>
      <w:proofErr w:type="spellEnd"/>
      <w:r w:rsidR="00DB6513">
        <w:t>, c’est-à-dire tout ; homme, c’est-à-dire rien »</w:t>
      </w:r>
      <w:r w:rsidR="00DB6513">
        <w:rPr>
          <w:rStyle w:val="Appelnotedebasdep"/>
        </w:rPr>
        <w:footnoteReference w:id="25"/>
      </w:r>
      <w:r w:rsidR="004A78C8">
        <w:t>.</w:t>
      </w:r>
      <w:r w:rsidR="006F132E">
        <w:t xml:space="preserve"> Dans la même ligne, on peut noter aussi une certaine méfiance vis-à-vis des « sciences profanes »</w:t>
      </w:r>
      <w:r w:rsidR="00007143">
        <w:rPr>
          <w:rStyle w:val="Appelnotedebasdep"/>
        </w:rPr>
        <w:footnoteReference w:id="26"/>
      </w:r>
      <w:r w:rsidR="006F132E">
        <w:t>.</w:t>
      </w:r>
      <w:r w:rsidR="004A78C8">
        <w:t xml:space="preserve"> Mais</w:t>
      </w:r>
      <w:r w:rsidR="006F132E">
        <w:t>, quels que soient ces accents</w:t>
      </w:r>
      <w:r w:rsidR="006B6D88">
        <w:t>,</w:t>
      </w:r>
      <w:r w:rsidR="004A78C8">
        <w:t xml:space="preserve"> </w:t>
      </w:r>
      <w:r w:rsidR="006B6D88">
        <w:t xml:space="preserve">ils sont </w:t>
      </w:r>
      <w:r w:rsidR="004A78C8">
        <w:t>tou</w:t>
      </w:r>
      <w:r w:rsidR="005B6D96">
        <w:t>j</w:t>
      </w:r>
      <w:r w:rsidR="004A78C8">
        <w:t>ours repris</w:t>
      </w:r>
      <w:r w:rsidR="005304CB">
        <w:t xml:space="preserve">, chez le P. </w:t>
      </w:r>
      <w:proofErr w:type="spellStart"/>
      <w:r w:rsidR="005304CB">
        <w:t>Dehon</w:t>
      </w:r>
      <w:proofErr w:type="spellEnd"/>
      <w:r w:rsidR="005304CB">
        <w:t>, dans une perspective de « pur amour » du Sacré-Cœur envers le Père et envers les humains</w:t>
      </w:r>
      <w:r w:rsidR="00F028D2">
        <w:t xml:space="preserve">, un « pur amour » </w:t>
      </w:r>
      <w:r w:rsidR="00A7173C">
        <w:t xml:space="preserve">que ceux-ci sont invités </w:t>
      </w:r>
      <w:r w:rsidR="00F028D2">
        <w:t>à pratiquer envers le Cœur de Jésus</w:t>
      </w:r>
      <w:r w:rsidR="00F028D2">
        <w:rPr>
          <w:rStyle w:val="Appelnotedebasdep"/>
        </w:rPr>
        <w:footnoteReference w:id="27"/>
      </w:r>
      <w:r w:rsidR="00F028D2">
        <w:t>.</w:t>
      </w:r>
    </w:p>
    <w:p w14:paraId="3F64EC1D" w14:textId="77777777" w:rsidR="00C97701" w:rsidRDefault="00C97701" w:rsidP="00F244D8">
      <w:pPr>
        <w:ind w:firstLine="284"/>
        <w:jc w:val="both"/>
      </w:pPr>
    </w:p>
    <w:p w14:paraId="3AEA1058" w14:textId="77777777" w:rsidR="0073137F" w:rsidRDefault="0073137F" w:rsidP="00F244D8">
      <w:pPr>
        <w:ind w:firstLine="284"/>
        <w:jc w:val="both"/>
      </w:pPr>
    </w:p>
    <w:p w14:paraId="3487DE75" w14:textId="1084249A" w:rsidR="00C97701" w:rsidRPr="008A5AC0" w:rsidRDefault="00C97701" w:rsidP="00C97701">
      <w:pPr>
        <w:ind w:firstLine="284"/>
        <w:jc w:val="right"/>
        <w:rPr>
          <w:i/>
        </w:rPr>
      </w:pPr>
      <w:r w:rsidRPr="008A5AC0">
        <w:rPr>
          <w:i/>
        </w:rPr>
        <w:t>Joseph Famerée</w:t>
      </w:r>
    </w:p>
    <w:p w14:paraId="186ECDCE" w14:textId="77777777" w:rsidR="00614667" w:rsidRDefault="00614667" w:rsidP="00C97701">
      <w:pPr>
        <w:ind w:firstLine="284"/>
        <w:jc w:val="right"/>
      </w:pPr>
    </w:p>
    <w:p w14:paraId="34E31B60" w14:textId="77777777" w:rsidR="008A5AC0" w:rsidRDefault="008A5AC0" w:rsidP="00C97701">
      <w:pPr>
        <w:ind w:firstLine="284"/>
        <w:jc w:val="right"/>
      </w:pPr>
    </w:p>
    <w:p w14:paraId="053A6F77" w14:textId="77777777" w:rsidR="00E430B1" w:rsidRDefault="00E430B1" w:rsidP="00C97701">
      <w:pPr>
        <w:ind w:firstLine="284"/>
        <w:jc w:val="right"/>
      </w:pPr>
    </w:p>
    <w:p w14:paraId="2DD2ED17" w14:textId="77777777" w:rsidR="00E430B1" w:rsidRDefault="00E430B1" w:rsidP="00C97701">
      <w:pPr>
        <w:ind w:firstLine="284"/>
        <w:jc w:val="right"/>
      </w:pPr>
    </w:p>
    <w:p w14:paraId="0FDE626D" w14:textId="77777777" w:rsidR="00E430B1" w:rsidRDefault="00E430B1" w:rsidP="00C97701">
      <w:pPr>
        <w:ind w:firstLine="284"/>
        <w:jc w:val="right"/>
      </w:pPr>
    </w:p>
    <w:p w14:paraId="079DFAEF" w14:textId="77777777" w:rsidR="008A5AC0" w:rsidRDefault="008A5AC0" w:rsidP="00C97701">
      <w:pPr>
        <w:ind w:firstLine="284"/>
        <w:jc w:val="right"/>
      </w:pPr>
    </w:p>
    <w:p w14:paraId="06489D2E" w14:textId="77777777" w:rsidR="00E430B1" w:rsidRDefault="00E430B1" w:rsidP="0073137F"/>
    <w:p w14:paraId="6DDA21B6" w14:textId="77777777" w:rsidR="00614667" w:rsidRDefault="00614667" w:rsidP="00C97701">
      <w:pPr>
        <w:ind w:firstLine="284"/>
        <w:jc w:val="right"/>
      </w:pPr>
    </w:p>
    <w:p w14:paraId="644C4710" w14:textId="77777777" w:rsidR="00614667" w:rsidRDefault="00614667" w:rsidP="00C97701">
      <w:pPr>
        <w:ind w:firstLine="284"/>
        <w:jc w:val="right"/>
      </w:pPr>
    </w:p>
    <w:p w14:paraId="5D4F2C11" w14:textId="4806B03B" w:rsidR="00614667" w:rsidRPr="0073137F" w:rsidRDefault="00614667" w:rsidP="007C4D65">
      <w:pPr>
        <w:pBdr>
          <w:top w:val="single" w:sz="4" w:space="1" w:color="auto"/>
          <w:left w:val="single" w:sz="4" w:space="4" w:color="auto"/>
          <w:bottom w:val="single" w:sz="4" w:space="1" w:color="auto"/>
          <w:right w:val="single" w:sz="4" w:space="4" w:color="auto"/>
        </w:pBdr>
        <w:jc w:val="center"/>
        <w:rPr>
          <w:b/>
          <w:i/>
          <w:sz w:val="32"/>
          <w:szCs w:val="32"/>
        </w:rPr>
      </w:pPr>
      <w:r w:rsidRPr="0073137F">
        <w:rPr>
          <w:b/>
          <w:i/>
          <w:sz w:val="32"/>
          <w:szCs w:val="32"/>
        </w:rPr>
        <w:t>Méditations choisies</w:t>
      </w:r>
    </w:p>
    <w:p w14:paraId="5AD045B6" w14:textId="77777777" w:rsidR="00614667" w:rsidRPr="0073137F" w:rsidRDefault="00614667" w:rsidP="00614667">
      <w:pPr>
        <w:pBdr>
          <w:top w:val="single" w:sz="4" w:space="1" w:color="auto"/>
          <w:left w:val="single" w:sz="4" w:space="4" w:color="auto"/>
          <w:bottom w:val="single" w:sz="4" w:space="1" w:color="auto"/>
          <w:right w:val="single" w:sz="4" w:space="4" w:color="auto"/>
        </w:pBdr>
        <w:ind w:firstLine="284"/>
        <w:jc w:val="center"/>
      </w:pPr>
    </w:p>
    <w:p w14:paraId="2F628F4F" w14:textId="5DC6C267" w:rsidR="00614667" w:rsidRPr="0073137F" w:rsidRDefault="00614667" w:rsidP="00614667">
      <w:pPr>
        <w:pBdr>
          <w:top w:val="single" w:sz="4" w:space="1" w:color="auto"/>
          <w:left w:val="single" w:sz="4" w:space="4" w:color="auto"/>
          <w:bottom w:val="single" w:sz="4" w:space="1" w:color="auto"/>
          <w:right w:val="single" w:sz="4" w:space="4" w:color="auto"/>
        </w:pBdr>
        <w:ind w:firstLine="284"/>
        <w:jc w:val="center"/>
        <w:rPr>
          <w:sz w:val="28"/>
          <w:szCs w:val="28"/>
        </w:rPr>
      </w:pPr>
      <w:r w:rsidRPr="0073137F">
        <w:rPr>
          <w:sz w:val="28"/>
          <w:szCs w:val="28"/>
        </w:rPr>
        <w:t>CAM 1/</w:t>
      </w:r>
      <w:r w:rsidR="0075122B" w:rsidRPr="0073137F">
        <w:rPr>
          <w:sz w:val="28"/>
          <w:szCs w:val="28"/>
        </w:rPr>
        <w:t xml:space="preserve">93-100 : </w:t>
      </w:r>
      <w:r w:rsidRPr="0073137F">
        <w:rPr>
          <w:sz w:val="28"/>
          <w:szCs w:val="28"/>
        </w:rPr>
        <w:t>II</w:t>
      </w:r>
      <w:r w:rsidRPr="00445ED3">
        <w:rPr>
          <w:sz w:val="28"/>
          <w:szCs w:val="28"/>
          <w:vertAlign w:val="superscript"/>
        </w:rPr>
        <w:t>e</w:t>
      </w:r>
      <w:r w:rsidRPr="0073137F">
        <w:rPr>
          <w:sz w:val="28"/>
          <w:szCs w:val="28"/>
        </w:rPr>
        <w:t xml:space="preserve"> Mystère, III</w:t>
      </w:r>
      <w:r w:rsidRPr="00445ED3">
        <w:rPr>
          <w:sz w:val="28"/>
          <w:szCs w:val="28"/>
          <w:vertAlign w:val="superscript"/>
        </w:rPr>
        <w:t>e</w:t>
      </w:r>
      <w:r w:rsidRPr="0073137F">
        <w:rPr>
          <w:sz w:val="28"/>
          <w:szCs w:val="28"/>
        </w:rPr>
        <w:t xml:space="preserve"> Méditation</w:t>
      </w:r>
    </w:p>
    <w:p w14:paraId="46D56F4E" w14:textId="77777777" w:rsidR="00614667" w:rsidRPr="0073137F" w:rsidRDefault="00614667" w:rsidP="00614667">
      <w:pPr>
        <w:pBdr>
          <w:top w:val="single" w:sz="4" w:space="1" w:color="auto"/>
          <w:left w:val="single" w:sz="4" w:space="4" w:color="auto"/>
          <w:bottom w:val="single" w:sz="4" w:space="1" w:color="auto"/>
          <w:right w:val="single" w:sz="4" w:space="4" w:color="auto"/>
        </w:pBdr>
        <w:ind w:firstLine="284"/>
        <w:jc w:val="center"/>
        <w:rPr>
          <w:sz w:val="28"/>
          <w:szCs w:val="28"/>
        </w:rPr>
      </w:pPr>
    </w:p>
    <w:p w14:paraId="051BD3E3" w14:textId="14BA4B26" w:rsidR="00614667" w:rsidRPr="0073137F" w:rsidRDefault="007C4D65" w:rsidP="00614667">
      <w:pPr>
        <w:pBdr>
          <w:top w:val="single" w:sz="4" w:space="1" w:color="auto"/>
          <w:left w:val="single" w:sz="4" w:space="4" w:color="auto"/>
          <w:bottom w:val="single" w:sz="4" w:space="1" w:color="auto"/>
          <w:right w:val="single" w:sz="4" w:space="4" w:color="auto"/>
        </w:pBdr>
        <w:ind w:firstLine="284"/>
        <w:jc w:val="center"/>
        <w:rPr>
          <w:sz w:val="28"/>
          <w:szCs w:val="28"/>
        </w:rPr>
      </w:pPr>
      <w:r w:rsidRPr="0073137F">
        <w:rPr>
          <w:sz w:val="28"/>
          <w:szCs w:val="28"/>
        </w:rPr>
        <w:t>CAM 1/</w:t>
      </w:r>
      <w:r w:rsidR="0075122B" w:rsidRPr="0073137F">
        <w:rPr>
          <w:sz w:val="28"/>
          <w:szCs w:val="28"/>
        </w:rPr>
        <w:t xml:space="preserve">132-143 : </w:t>
      </w:r>
      <w:r w:rsidRPr="0073137F">
        <w:rPr>
          <w:sz w:val="28"/>
          <w:szCs w:val="28"/>
        </w:rPr>
        <w:t>III</w:t>
      </w:r>
      <w:r w:rsidRPr="00445ED3">
        <w:rPr>
          <w:sz w:val="28"/>
          <w:szCs w:val="28"/>
          <w:vertAlign w:val="superscript"/>
        </w:rPr>
        <w:t>e</w:t>
      </w:r>
      <w:r w:rsidRPr="0073137F">
        <w:rPr>
          <w:sz w:val="28"/>
          <w:szCs w:val="28"/>
        </w:rPr>
        <w:t xml:space="preserve"> Mystère, II</w:t>
      </w:r>
      <w:r w:rsidRPr="00445ED3">
        <w:rPr>
          <w:sz w:val="28"/>
          <w:szCs w:val="28"/>
          <w:vertAlign w:val="superscript"/>
        </w:rPr>
        <w:t>e</w:t>
      </w:r>
      <w:r w:rsidRPr="0073137F">
        <w:rPr>
          <w:sz w:val="28"/>
          <w:szCs w:val="28"/>
        </w:rPr>
        <w:t xml:space="preserve"> Méditation</w:t>
      </w:r>
    </w:p>
    <w:p w14:paraId="3729D754" w14:textId="77777777" w:rsidR="007C4D65" w:rsidRDefault="007C4D65" w:rsidP="007C4D65">
      <w:pPr>
        <w:pBdr>
          <w:top w:val="single" w:sz="4" w:space="1" w:color="auto"/>
          <w:left w:val="single" w:sz="4" w:space="4" w:color="auto"/>
          <w:bottom w:val="single" w:sz="4" w:space="1" w:color="auto"/>
          <w:right w:val="single" w:sz="4" w:space="4" w:color="auto"/>
        </w:pBdr>
      </w:pPr>
    </w:p>
    <w:p w14:paraId="415A80A9" w14:textId="77777777" w:rsidR="00614667" w:rsidRDefault="00614667" w:rsidP="00614667">
      <w:pPr>
        <w:ind w:firstLine="284"/>
        <w:jc w:val="center"/>
      </w:pPr>
      <w:bookmarkStart w:id="0" w:name="_GoBack"/>
      <w:bookmarkEnd w:id="0"/>
    </w:p>
    <w:p w14:paraId="25BCF1AE" w14:textId="77777777" w:rsidR="007F0D3E" w:rsidRDefault="007F0D3E"/>
    <w:sectPr w:rsidR="007F0D3E" w:rsidSect="007F0D3E">
      <w:headerReference w:type="even" r:id="rId7"/>
      <w:headerReference w:type="default" r:id="rId8"/>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C74226" w14:textId="77777777" w:rsidR="00933085" w:rsidRDefault="00933085" w:rsidP="00E95972">
      <w:r>
        <w:separator/>
      </w:r>
    </w:p>
  </w:endnote>
  <w:endnote w:type="continuationSeparator" w:id="0">
    <w:p w14:paraId="1FBD35A6" w14:textId="77777777" w:rsidR="00933085" w:rsidRDefault="00933085" w:rsidP="00E95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DF536B" w14:textId="77777777" w:rsidR="00933085" w:rsidRDefault="00933085" w:rsidP="00E95972">
      <w:r>
        <w:separator/>
      </w:r>
    </w:p>
  </w:footnote>
  <w:footnote w:type="continuationSeparator" w:id="0">
    <w:p w14:paraId="0CB82BFF" w14:textId="77777777" w:rsidR="00933085" w:rsidRDefault="00933085" w:rsidP="00E95972">
      <w:r>
        <w:continuationSeparator/>
      </w:r>
    </w:p>
  </w:footnote>
  <w:footnote w:id="1">
    <w:p w14:paraId="55E9041C" w14:textId="36264B5A" w:rsidR="007F0D3E" w:rsidRPr="00304933" w:rsidRDefault="007F0D3E" w:rsidP="00304933">
      <w:pPr>
        <w:pStyle w:val="Notedebasdepage"/>
        <w:jc w:val="both"/>
        <w:rPr>
          <w:sz w:val="20"/>
          <w:szCs w:val="20"/>
        </w:rPr>
      </w:pPr>
      <w:r w:rsidRPr="00304933">
        <w:rPr>
          <w:rStyle w:val="Appelnotedebasdep"/>
          <w:sz w:val="20"/>
          <w:szCs w:val="20"/>
        </w:rPr>
        <w:footnoteRef/>
      </w:r>
      <w:r w:rsidRPr="00304933">
        <w:rPr>
          <w:sz w:val="20"/>
          <w:szCs w:val="20"/>
        </w:rPr>
        <w:t xml:space="preserve"> </w:t>
      </w:r>
      <w:r>
        <w:rPr>
          <w:sz w:val="20"/>
          <w:szCs w:val="20"/>
        </w:rPr>
        <w:t xml:space="preserve">On peut cependant noter une mention explicite de la résurrection de Jésus comme ouverture du ciel </w:t>
      </w:r>
      <w:r w:rsidR="007B453F">
        <w:rPr>
          <w:sz w:val="20"/>
          <w:szCs w:val="20"/>
        </w:rPr>
        <w:t xml:space="preserve">dans </w:t>
      </w:r>
      <w:r>
        <w:rPr>
          <w:sz w:val="20"/>
          <w:szCs w:val="20"/>
        </w:rPr>
        <w:t>une méditation sur Jésus enfant et les saints Innocents, ses premiers martyrs : « C’est le premier groupe des saints du Nouveau Testament, qui va attendre aux Limbes la résurrection de Jésus et l’ouverture du ciel » (</w:t>
      </w:r>
      <w:r w:rsidR="007B453F">
        <w:rPr>
          <w:sz w:val="20"/>
          <w:szCs w:val="20"/>
        </w:rPr>
        <w:t>CAM 1/109</w:t>
      </w:r>
      <w:r w:rsidR="00B340F8">
        <w:rPr>
          <w:sz w:val="20"/>
          <w:szCs w:val="20"/>
        </w:rPr>
        <w:t xml:space="preserve"> [numérotation de </w:t>
      </w:r>
      <w:proofErr w:type="spellStart"/>
      <w:r w:rsidR="00B340F8">
        <w:rPr>
          <w:sz w:val="20"/>
          <w:szCs w:val="20"/>
        </w:rPr>
        <w:t>Dehondocs</w:t>
      </w:r>
      <w:proofErr w:type="spellEnd"/>
      <w:r w:rsidR="00B340F8">
        <w:rPr>
          <w:sz w:val="20"/>
          <w:szCs w:val="20"/>
        </w:rPr>
        <w:t>]</w:t>
      </w:r>
      <w:r w:rsidR="007B453F">
        <w:rPr>
          <w:sz w:val="20"/>
          <w:szCs w:val="20"/>
        </w:rPr>
        <w:t xml:space="preserve"> : </w:t>
      </w:r>
      <w:r w:rsidR="007B453F">
        <w:rPr>
          <w:sz w:val="20"/>
          <w:szCs w:val="20"/>
        </w:rPr>
        <w:t>II</w:t>
      </w:r>
      <w:r w:rsidR="007B453F" w:rsidRPr="007B453F">
        <w:rPr>
          <w:sz w:val="20"/>
          <w:szCs w:val="20"/>
          <w:vertAlign w:val="superscript"/>
        </w:rPr>
        <w:t>e</w:t>
      </w:r>
      <w:r w:rsidR="007B453F">
        <w:rPr>
          <w:sz w:val="20"/>
          <w:szCs w:val="20"/>
        </w:rPr>
        <w:t xml:space="preserve"> Mystère, V</w:t>
      </w:r>
      <w:r w:rsidR="007B453F" w:rsidRPr="007B453F">
        <w:rPr>
          <w:sz w:val="20"/>
          <w:szCs w:val="20"/>
          <w:vertAlign w:val="superscript"/>
        </w:rPr>
        <w:t>e</w:t>
      </w:r>
      <w:r w:rsidR="007B453F">
        <w:rPr>
          <w:sz w:val="20"/>
          <w:szCs w:val="20"/>
        </w:rPr>
        <w:t xml:space="preserve"> Méditation</w:t>
      </w:r>
      <w:r>
        <w:rPr>
          <w:sz w:val="20"/>
          <w:szCs w:val="20"/>
        </w:rPr>
        <w:t>)</w:t>
      </w:r>
      <w:r w:rsidR="007B453F">
        <w:rPr>
          <w:sz w:val="20"/>
          <w:szCs w:val="20"/>
        </w:rPr>
        <w:t>.</w:t>
      </w:r>
    </w:p>
  </w:footnote>
  <w:footnote w:id="2">
    <w:p w14:paraId="5CBF9017" w14:textId="7CADB1A3" w:rsidR="007F0D3E" w:rsidRPr="00956940" w:rsidRDefault="007F0D3E" w:rsidP="00956940">
      <w:pPr>
        <w:pStyle w:val="Notedebasdepage"/>
        <w:jc w:val="both"/>
        <w:rPr>
          <w:sz w:val="20"/>
          <w:szCs w:val="20"/>
        </w:rPr>
      </w:pPr>
      <w:r w:rsidRPr="00956940">
        <w:rPr>
          <w:rStyle w:val="Appelnotedebasdep"/>
          <w:sz w:val="20"/>
          <w:szCs w:val="20"/>
        </w:rPr>
        <w:footnoteRef/>
      </w:r>
      <w:r w:rsidRPr="00956940">
        <w:rPr>
          <w:sz w:val="20"/>
          <w:szCs w:val="20"/>
        </w:rPr>
        <w:t xml:space="preserve"> </w:t>
      </w:r>
      <w:r>
        <w:rPr>
          <w:sz w:val="20"/>
          <w:szCs w:val="20"/>
        </w:rPr>
        <w:t xml:space="preserve">Adjectif désignant Cyrille d’Alexandrie (Égypte), principal protagoniste du Concile œcuménique d’Éphèse de 431 et grand défenseur de la qualification de la Vierge Marie comme </w:t>
      </w:r>
      <w:proofErr w:type="spellStart"/>
      <w:r w:rsidRPr="00956940">
        <w:rPr>
          <w:i/>
          <w:sz w:val="20"/>
          <w:szCs w:val="20"/>
        </w:rPr>
        <w:t>Théotokos</w:t>
      </w:r>
      <w:proofErr w:type="spellEnd"/>
      <w:r>
        <w:rPr>
          <w:sz w:val="20"/>
          <w:szCs w:val="20"/>
        </w:rPr>
        <w:t>, « Celle qui a engendré Dieu » (</w:t>
      </w:r>
      <w:r w:rsidRPr="00956940">
        <w:rPr>
          <w:i/>
          <w:sz w:val="20"/>
          <w:szCs w:val="20"/>
        </w:rPr>
        <w:t xml:space="preserve">Dei </w:t>
      </w:r>
      <w:proofErr w:type="spellStart"/>
      <w:r w:rsidRPr="00956940">
        <w:rPr>
          <w:i/>
          <w:sz w:val="20"/>
          <w:szCs w:val="20"/>
        </w:rPr>
        <w:t>Genitrix</w:t>
      </w:r>
      <w:proofErr w:type="spellEnd"/>
      <w:r>
        <w:rPr>
          <w:sz w:val="20"/>
          <w:szCs w:val="20"/>
        </w:rPr>
        <w:t>, Mère de Dieu).</w:t>
      </w:r>
    </w:p>
  </w:footnote>
  <w:footnote w:id="3">
    <w:p w14:paraId="2FBA74A2" w14:textId="6737E50F" w:rsidR="007F0D3E" w:rsidRPr="003E0B1C" w:rsidRDefault="007F0D3E" w:rsidP="003E0B1C">
      <w:pPr>
        <w:pStyle w:val="Notedebasdepage"/>
        <w:jc w:val="both"/>
        <w:rPr>
          <w:sz w:val="20"/>
          <w:szCs w:val="20"/>
        </w:rPr>
      </w:pPr>
      <w:r w:rsidRPr="003E0B1C">
        <w:rPr>
          <w:rStyle w:val="Appelnotedebasdep"/>
          <w:sz w:val="20"/>
          <w:szCs w:val="20"/>
        </w:rPr>
        <w:footnoteRef/>
      </w:r>
      <w:r w:rsidRPr="003E0B1C">
        <w:rPr>
          <w:sz w:val="20"/>
          <w:szCs w:val="20"/>
        </w:rPr>
        <w:t xml:space="preserve"> </w:t>
      </w:r>
      <w:r>
        <w:rPr>
          <w:sz w:val="20"/>
          <w:szCs w:val="20"/>
        </w:rPr>
        <w:t>Cf. CAM 1, passim, avec néanmoins une tendance « monophysite » (« une seule nature », la nature divine), minimisant un peu la finitude et la contingence de la véritable et parfaite humanité de Jésus. Sur ce point, voir, par exemple, CAM 1/</w:t>
      </w:r>
      <w:r w:rsidR="00060082">
        <w:rPr>
          <w:sz w:val="20"/>
          <w:szCs w:val="20"/>
        </w:rPr>
        <w:t>159 (</w:t>
      </w:r>
      <w:r>
        <w:rPr>
          <w:sz w:val="20"/>
          <w:szCs w:val="20"/>
        </w:rPr>
        <w:t>III</w:t>
      </w:r>
      <w:r w:rsidRPr="003952FA">
        <w:rPr>
          <w:sz w:val="20"/>
          <w:szCs w:val="20"/>
          <w:vertAlign w:val="superscript"/>
        </w:rPr>
        <w:t>e</w:t>
      </w:r>
      <w:r>
        <w:rPr>
          <w:sz w:val="20"/>
          <w:szCs w:val="20"/>
        </w:rPr>
        <w:t xml:space="preserve"> </w:t>
      </w:r>
      <w:proofErr w:type="spellStart"/>
      <w:r>
        <w:rPr>
          <w:sz w:val="20"/>
          <w:szCs w:val="20"/>
        </w:rPr>
        <w:t>Myst</w:t>
      </w:r>
      <w:proofErr w:type="spellEnd"/>
      <w:r w:rsidR="00060082">
        <w:rPr>
          <w:sz w:val="20"/>
          <w:szCs w:val="20"/>
        </w:rPr>
        <w:t>.,</w:t>
      </w:r>
      <w:r>
        <w:rPr>
          <w:sz w:val="20"/>
          <w:szCs w:val="20"/>
        </w:rPr>
        <w:t xml:space="preserve"> IV</w:t>
      </w:r>
      <w:r w:rsidRPr="003952FA">
        <w:rPr>
          <w:sz w:val="20"/>
          <w:szCs w:val="20"/>
          <w:vertAlign w:val="superscript"/>
        </w:rPr>
        <w:t>e</w:t>
      </w:r>
      <w:r>
        <w:rPr>
          <w:sz w:val="20"/>
          <w:szCs w:val="20"/>
        </w:rPr>
        <w:t xml:space="preserve"> Méd</w:t>
      </w:r>
      <w:r w:rsidR="00060082">
        <w:rPr>
          <w:sz w:val="20"/>
          <w:szCs w:val="20"/>
        </w:rPr>
        <w:t>.)</w:t>
      </w:r>
      <w:r>
        <w:rPr>
          <w:sz w:val="20"/>
          <w:szCs w:val="20"/>
        </w:rPr>
        <w:t xml:space="preserve"> : « Uni à son Père dans l’unité d’essence, et sa sainte humanité jouissant de la vision béatifique, il ne pouvait y avoir qu’une parfaite conformité entre sa volonté et celle de son Père ». N’y </w:t>
      </w:r>
      <w:proofErr w:type="spellStart"/>
      <w:r>
        <w:rPr>
          <w:sz w:val="20"/>
          <w:szCs w:val="20"/>
        </w:rPr>
        <w:t>a-t-il</w:t>
      </w:r>
      <w:proofErr w:type="spellEnd"/>
      <w:r>
        <w:rPr>
          <w:sz w:val="20"/>
          <w:szCs w:val="20"/>
        </w:rPr>
        <w:t xml:space="preserve"> pas là une tendance « monothélite » (« une seule volonté », la volonté divine), qui, dans l’expression du moins, ne fait pas suffisamment droit à la tension, au conflit intérieur vécu par Jésus entre sa volonté divine et sa volonté humaine à Gethsémani, par exemple (Mt 26, 39 ; Mc 14, 35-36 ; </w:t>
      </w:r>
      <w:proofErr w:type="spellStart"/>
      <w:r>
        <w:rPr>
          <w:sz w:val="20"/>
          <w:szCs w:val="20"/>
        </w:rPr>
        <w:t>Lc</w:t>
      </w:r>
      <w:proofErr w:type="spellEnd"/>
      <w:r>
        <w:rPr>
          <w:sz w:val="20"/>
          <w:szCs w:val="20"/>
        </w:rPr>
        <w:t xml:space="preserve"> 22, 42-44) ? Voir aussi CAM 1/</w:t>
      </w:r>
      <w:r w:rsidR="00B340F8">
        <w:rPr>
          <w:sz w:val="20"/>
          <w:szCs w:val="20"/>
        </w:rPr>
        <w:t>116 (</w:t>
      </w:r>
      <w:r>
        <w:rPr>
          <w:sz w:val="20"/>
          <w:szCs w:val="20"/>
        </w:rPr>
        <w:t>II</w:t>
      </w:r>
      <w:r w:rsidRPr="003952FA">
        <w:rPr>
          <w:sz w:val="20"/>
          <w:szCs w:val="20"/>
          <w:vertAlign w:val="superscript"/>
        </w:rPr>
        <w:t>e</w:t>
      </w:r>
      <w:r>
        <w:rPr>
          <w:sz w:val="20"/>
          <w:szCs w:val="20"/>
        </w:rPr>
        <w:t xml:space="preserve"> </w:t>
      </w:r>
      <w:proofErr w:type="spellStart"/>
      <w:r>
        <w:rPr>
          <w:sz w:val="20"/>
          <w:szCs w:val="20"/>
        </w:rPr>
        <w:t>Myst</w:t>
      </w:r>
      <w:proofErr w:type="spellEnd"/>
      <w:r w:rsidR="00B340F8">
        <w:rPr>
          <w:sz w:val="20"/>
          <w:szCs w:val="20"/>
        </w:rPr>
        <w:t>.</w:t>
      </w:r>
      <w:r>
        <w:rPr>
          <w:sz w:val="20"/>
          <w:szCs w:val="20"/>
        </w:rPr>
        <w:t>, VI</w:t>
      </w:r>
      <w:r w:rsidRPr="003952FA">
        <w:rPr>
          <w:sz w:val="20"/>
          <w:szCs w:val="20"/>
          <w:vertAlign w:val="superscript"/>
        </w:rPr>
        <w:t>e</w:t>
      </w:r>
      <w:r>
        <w:rPr>
          <w:sz w:val="20"/>
          <w:szCs w:val="20"/>
        </w:rPr>
        <w:t xml:space="preserve"> Méd</w:t>
      </w:r>
      <w:r w:rsidR="00B340F8">
        <w:rPr>
          <w:sz w:val="20"/>
          <w:szCs w:val="20"/>
        </w:rPr>
        <w:t xml:space="preserve">. : </w:t>
      </w:r>
      <w:r>
        <w:rPr>
          <w:sz w:val="20"/>
          <w:szCs w:val="20"/>
        </w:rPr>
        <w:t>« Le Sacré-Cœur</w:t>
      </w:r>
      <w:r w:rsidR="00B340F8">
        <w:rPr>
          <w:sz w:val="20"/>
          <w:szCs w:val="20"/>
        </w:rPr>
        <w:t xml:space="preserve"> et la fuite en Égypte »)</w:t>
      </w:r>
      <w:r>
        <w:rPr>
          <w:sz w:val="20"/>
          <w:szCs w:val="20"/>
        </w:rPr>
        <w:t xml:space="preserve"> : « Jésus pleure parfois, parce qu’il </w:t>
      </w:r>
      <w:r w:rsidRPr="00A27D34">
        <w:rPr>
          <w:i/>
          <w:sz w:val="20"/>
          <w:szCs w:val="20"/>
        </w:rPr>
        <w:t>veut</w:t>
      </w:r>
      <w:r>
        <w:rPr>
          <w:sz w:val="20"/>
          <w:szCs w:val="20"/>
        </w:rPr>
        <w:t xml:space="preserve"> ressembler à tous les enfants » (je souligne). N’y </w:t>
      </w:r>
      <w:proofErr w:type="spellStart"/>
      <w:r>
        <w:rPr>
          <w:sz w:val="20"/>
          <w:szCs w:val="20"/>
        </w:rPr>
        <w:t>a-t-il</w:t>
      </w:r>
      <w:proofErr w:type="spellEnd"/>
      <w:r>
        <w:rPr>
          <w:sz w:val="20"/>
          <w:szCs w:val="20"/>
        </w:rPr>
        <w:t xml:space="preserve"> pas une pointe ou un risque de docétisme (ou du moins de monophysisme) dans cette expression, au sens où Jésus voudrait prendre « l’apparence » de l’humanité commune, ne pleurant pas comme tout petit enfant par « nature » (humaine) ? Voir également CAM 1/</w:t>
      </w:r>
      <w:r w:rsidR="00B340F8">
        <w:rPr>
          <w:sz w:val="20"/>
          <w:szCs w:val="20"/>
        </w:rPr>
        <w:t>151 (</w:t>
      </w:r>
      <w:r>
        <w:rPr>
          <w:sz w:val="20"/>
          <w:szCs w:val="20"/>
        </w:rPr>
        <w:t>III</w:t>
      </w:r>
      <w:r w:rsidRPr="003952FA">
        <w:rPr>
          <w:sz w:val="20"/>
          <w:szCs w:val="20"/>
          <w:vertAlign w:val="superscript"/>
        </w:rPr>
        <w:t>e</w:t>
      </w:r>
      <w:r>
        <w:rPr>
          <w:sz w:val="20"/>
          <w:szCs w:val="20"/>
        </w:rPr>
        <w:t xml:space="preserve"> </w:t>
      </w:r>
      <w:proofErr w:type="spellStart"/>
      <w:r>
        <w:rPr>
          <w:sz w:val="20"/>
          <w:szCs w:val="20"/>
        </w:rPr>
        <w:t>Myst</w:t>
      </w:r>
      <w:proofErr w:type="spellEnd"/>
      <w:r w:rsidR="00B340F8">
        <w:rPr>
          <w:sz w:val="20"/>
          <w:szCs w:val="20"/>
        </w:rPr>
        <w:t>.</w:t>
      </w:r>
      <w:r>
        <w:rPr>
          <w:sz w:val="20"/>
          <w:szCs w:val="20"/>
        </w:rPr>
        <w:t>, III</w:t>
      </w:r>
      <w:r w:rsidRPr="003952FA">
        <w:rPr>
          <w:sz w:val="20"/>
          <w:szCs w:val="20"/>
          <w:vertAlign w:val="superscript"/>
        </w:rPr>
        <w:t>e</w:t>
      </w:r>
      <w:r>
        <w:rPr>
          <w:sz w:val="20"/>
          <w:szCs w:val="20"/>
        </w:rPr>
        <w:t xml:space="preserve"> Méd</w:t>
      </w:r>
      <w:r w:rsidR="00B340F8">
        <w:rPr>
          <w:sz w:val="20"/>
          <w:szCs w:val="20"/>
        </w:rPr>
        <w:t>.</w:t>
      </w:r>
      <w:r>
        <w:rPr>
          <w:sz w:val="20"/>
          <w:szCs w:val="20"/>
        </w:rPr>
        <w:t xml:space="preserve"> (Jésus « paraissait » étudier l’Écriture sainte). En revanche, un peu plus loin dans la sixième méditation du deuxième mystère, on trouve une expression bouleversante de la pleine et véritable humanité de Dieu en Jésus petit enfant apprenant à marcher, à parler ou à travailler : « Adorons les premiers pas de ce Dieu qui chancelle, et les premières paroles du Verbe incarné qui balbutie » (</w:t>
      </w:r>
      <w:r w:rsidR="00B340F8">
        <w:rPr>
          <w:sz w:val="20"/>
          <w:szCs w:val="20"/>
        </w:rPr>
        <w:t>CAM 1/117</w:t>
      </w:r>
      <w:r>
        <w:rPr>
          <w:sz w:val="20"/>
          <w:szCs w:val="20"/>
        </w:rPr>
        <w:t>), ou « Le Créateur et le Maître du monde s’essaie à soulever un morceau de bois pour aider saint Joseph » (</w:t>
      </w:r>
      <w:r w:rsidR="00B340F8">
        <w:rPr>
          <w:sz w:val="20"/>
          <w:szCs w:val="20"/>
        </w:rPr>
        <w:t>CAM1/118</w:t>
      </w:r>
      <w:r>
        <w:rPr>
          <w:sz w:val="20"/>
          <w:szCs w:val="20"/>
        </w:rPr>
        <w:t xml:space="preserve">). Cette christologie de l’incarnation est aussi une christologie de l’enfouissement ou </w:t>
      </w:r>
      <w:proofErr w:type="spellStart"/>
      <w:r w:rsidRPr="00F22718">
        <w:rPr>
          <w:i/>
          <w:sz w:val="20"/>
          <w:szCs w:val="20"/>
        </w:rPr>
        <w:t>kénotique</w:t>
      </w:r>
      <w:proofErr w:type="spellEnd"/>
      <w:r>
        <w:rPr>
          <w:sz w:val="20"/>
          <w:szCs w:val="20"/>
        </w:rPr>
        <w:t> : « La vie cachée du Sacré-Cœur, c’est une vie commune qui ne se compose que d’actes obscurs, qui n’attirent pas sur eux l’attention. (…) C’est donc à ces actions, dédaignées, méprisées, que nous devons rattacher notre sainteté. C’est la vie préférée de Jésus, de Marie et de Joseph » (CAM 1/</w:t>
      </w:r>
      <w:r w:rsidR="009A260B">
        <w:rPr>
          <w:sz w:val="20"/>
          <w:szCs w:val="20"/>
        </w:rPr>
        <w:t xml:space="preserve">145-146 : </w:t>
      </w:r>
      <w:r>
        <w:rPr>
          <w:sz w:val="20"/>
          <w:szCs w:val="20"/>
        </w:rPr>
        <w:t>III</w:t>
      </w:r>
      <w:r w:rsidRPr="003952FA">
        <w:rPr>
          <w:sz w:val="20"/>
          <w:szCs w:val="20"/>
          <w:vertAlign w:val="superscript"/>
        </w:rPr>
        <w:t>e</w:t>
      </w:r>
      <w:r>
        <w:rPr>
          <w:sz w:val="20"/>
          <w:szCs w:val="20"/>
        </w:rPr>
        <w:t xml:space="preserve"> </w:t>
      </w:r>
      <w:proofErr w:type="spellStart"/>
      <w:r>
        <w:rPr>
          <w:sz w:val="20"/>
          <w:szCs w:val="20"/>
        </w:rPr>
        <w:t>Myst</w:t>
      </w:r>
      <w:proofErr w:type="spellEnd"/>
      <w:r w:rsidR="009A260B">
        <w:rPr>
          <w:sz w:val="20"/>
          <w:szCs w:val="20"/>
        </w:rPr>
        <w:t>.</w:t>
      </w:r>
      <w:r>
        <w:rPr>
          <w:sz w:val="20"/>
          <w:szCs w:val="20"/>
        </w:rPr>
        <w:t>, III</w:t>
      </w:r>
      <w:r w:rsidRPr="003952FA">
        <w:rPr>
          <w:sz w:val="20"/>
          <w:szCs w:val="20"/>
          <w:vertAlign w:val="superscript"/>
        </w:rPr>
        <w:t>e</w:t>
      </w:r>
      <w:r>
        <w:rPr>
          <w:sz w:val="20"/>
          <w:szCs w:val="20"/>
        </w:rPr>
        <w:t xml:space="preserve"> Méd</w:t>
      </w:r>
      <w:r w:rsidR="009A260B">
        <w:rPr>
          <w:sz w:val="20"/>
          <w:szCs w:val="20"/>
        </w:rPr>
        <w:t>.</w:t>
      </w:r>
      <w:r>
        <w:rPr>
          <w:sz w:val="20"/>
          <w:szCs w:val="20"/>
        </w:rPr>
        <w:t>).</w:t>
      </w:r>
    </w:p>
  </w:footnote>
  <w:footnote w:id="4">
    <w:p w14:paraId="09FA4B2B" w14:textId="638CFA93" w:rsidR="007F0D3E" w:rsidRPr="002328F3" w:rsidRDefault="007F0D3E" w:rsidP="002328F3">
      <w:pPr>
        <w:pStyle w:val="Notedebasdepage"/>
        <w:jc w:val="both"/>
        <w:rPr>
          <w:sz w:val="20"/>
          <w:szCs w:val="20"/>
        </w:rPr>
      </w:pPr>
      <w:r w:rsidRPr="002328F3">
        <w:rPr>
          <w:rStyle w:val="Appelnotedebasdep"/>
          <w:sz w:val="20"/>
          <w:szCs w:val="20"/>
        </w:rPr>
        <w:footnoteRef/>
      </w:r>
      <w:r w:rsidRPr="002328F3">
        <w:rPr>
          <w:sz w:val="20"/>
          <w:szCs w:val="20"/>
        </w:rPr>
        <w:t xml:space="preserve"> </w:t>
      </w:r>
      <w:r w:rsidR="00883D89">
        <w:rPr>
          <w:sz w:val="20"/>
          <w:szCs w:val="20"/>
        </w:rPr>
        <w:t xml:space="preserve">Cf. </w:t>
      </w:r>
      <w:r>
        <w:rPr>
          <w:sz w:val="20"/>
          <w:szCs w:val="20"/>
        </w:rPr>
        <w:t>CAM 1/</w:t>
      </w:r>
      <w:r w:rsidR="001E59D4">
        <w:rPr>
          <w:sz w:val="20"/>
          <w:szCs w:val="20"/>
        </w:rPr>
        <w:t>93ss</w:t>
      </w:r>
      <w:r w:rsidR="00430B5B">
        <w:rPr>
          <w:sz w:val="20"/>
          <w:szCs w:val="20"/>
        </w:rPr>
        <w:t xml:space="preserve"> : </w:t>
      </w:r>
      <w:r>
        <w:rPr>
          <w:sz w:val="20"/>
          <w:szCs w:val="20"/>
        </w:rPr>
        <w:t>II</w:t>
      </w:r>
      <w:r w:rsidRPr="00833390">
        <w:rPr>
          <w:sz w:val="20"/>
          <w:szCs w:val="20"/>
          <w:vertAlign w:val="superscript"/>
        </w:rPr>
        <w:t>e</w:t>
      </w:r>
      <w:r>
        <w:rPr>
          <w:sz w:val="20"/>
          <w:szCs w:val="20"/>
        </w:rPr>
        <w:t xml:space="preserve"> </w:t>
      </w:r>
      <w:proofErr w:type="spellStart"/>
      <w:r>
        <w:rPr>
          <w:sz w:val="20"/>
          <w:szCs w:val="20"/>
        </w:rPr>
        <w:t>Myst</w:t>
      </w:r>
      <w:proofErr w:type="spellEnd"/>
      <w:r w:rsidR="00430B5B">
        <w:rPr>
          <w:sz w:val="20"/>
          <w:szCs w:val="20"/>
        </w:rPr>
        <w:t>.</w:t>
      </w:r>
      <w:r>
        <w:rPr>
          <w:sz w:val="20"/>
          <w:szCs w:val="20"/>
        </w:rPr>
        <w:t>, III</w:t>
      </w:r>
      <w:r w:rsidRPr="00833390">
        <w:rPr>
          <w:sz w:val="20"/>
          <w:szCs w:val="20"/>
          <w:vertAlign w:val="superscript"/>
        </w:rPr>
        <w:t>e</w:t>
      </w:r>
      <w:r>
        <w:rPr>
          <w:sz w:val="20"/>
          <w:szCs w:val="20"/>
        </w:rPr>
        <w:t xml:space="preserve"> Méd.</w:t>
      </w:r>
    </w:p>
  </w:footnote>
  <w:footnote w:id="5">
    <w:p w14:paraId="3206787F" w14:textId="697B36E8" w:rsidR="007F0D3E" w:rsidRPr="00833390" w:rsidRDefault="007F0D3E" w:rsidP="00833390">
      <w:pPr>
        <w:pStyle w:val="Notedebasdepage"/>
        <w:jc w:val="both"/>
        <w:rPr>
          <w:sz w:val="20"/>
          <w:szCs w:val="20"/>
        </w:rPr>
      </w:pPr>
      <w:r w:rsidRPr="00833390">
        <w:rPr>
          <w:rStyle w:val="Appelnotedebasdep"/>
          <w:sz w:val="20"/>
          <w:szCs w:val="20"/>
        </w:rPr>
        <w:footnoteRef/>
      </w:r>
      <w:r w:rsidRPr="00833390">
        <w:rPr>
          <w:sz w:val="20"/>
          <w:szCs w:val="20"/>
        </w:rPr>
        <w:t xml:space="preserve"> </w:t>
      </w:r>
      <w:r w:rsidR="00883D89">
        <w:rPr>
          <w:sz w:val="20"/>
          <w:szCs w:val="20"/>
        </w:rPr>
        <w:t>Cf.</w:t>
      </w:r>
      <w:r>
        <w:rPr>
          <w:sz w:val="20"/>
          <w:szCs w:val="20"/>
        </w:rPr>
        <w:t xml:space="preserve"> CAM 1/</w:t>
      </w:r>
      <w:r w:rsidR="00D8393B">
        <w:rPr>
          <w:sz w:val="20"/>
          <w:szCs w:val="20"/>
        </w:rPr>
        <w:t>121ss (</w:t>
      </w:r>
      <w:r>
        <w:rPr>
          <w:sz w:val="20"/>
          <w:szCs w:val="20"/>
        </w:rPr>
        <w:t>III</w:t>
      </w:r>
      <w:r w:rsidRPr="00833390">
        <w:rPr>
          <w:sz w:val="20"/>
          <w:szCs w:val="20"/>
          <w:vertAlign w:val="superscript"/>
        </w:rPr>
        <w:t>e</w:t>
      </w:r>
      <w:r>
        <w:rPr>
          <w:sz w:val="20"/>
          <w:szCs w:val="20"/>
        </w:rPr>
        <w:t xml:space="preserve"> </w:t>
      </w:r>
      <w:proofErr w:type="spellStart"/>
      <w:r>
        <w:rPr>
          <w:sz w:val="20"/>
          <w:szCs w:val="20"/>
        </w:rPr>
        <w:t>Myst</w:t>
      </w:r>
      <w:proofErr w:type="spellEnd"/>
      <w:r w:rsidR="00D8393B">
        <w:rPr>
          <w:sz w:val="20"/>
          <w:szCs w:val="20"/>
        </w:rPr>
        <w:t>.</w:t>
      </w:r>
      <w:r>
        <w:rPr>
          <w:sz w:val="20"/>
          <w:szCs w:val="20"/>
        </w:rPr>
        <w:t>, I</w:t>
      </w:r>
      <w:r w:rsidRPr="00833390">
        <w:rPr>
          <w:sz w:val="20"/>
          <w:szCs w:val="20"/>
          <w:vertAlign w:val="superscript"/>
        </w:rPr>
        <w:t>ère</w:t>
      </w:r>
      <w:r>
        <w:rPr>
          <w:sz w:val="20"/>
          <w:szCs w:val="20"/>
        </w:rPr>
        <w:t xml:space="preserve"> Méd</w:t>
      </w:r>
      <w:r w:rsidR="00D8393B">
        <w:rPr>
          <w:sz w:val="20"/>
          <w:szCs w:val="20"/>
        </w:rPr>
        <w:t>.</w:t>
      </w:r>
      <w:r>
        <w:rPr>
          <w:sz w:val="20"/>
          <w:szCs w:val="20"/>
        </w:rPr>
        <w:t xml:space="preserve">) : le P. </w:t>
      </w:r>
      <w:proofErr w:type="spellStart"/>
      <w:r>
        <w:rPr>
          <w:sz w:val="20"/>
          <w:szCs w:val="20"/>
        </w:rPr>
        <w:t>Dehon</w:t>
      </w:r>
      <w:proofErr w:type="spellEnd"/>
      <w:r>
        <w:rPr>
          <w:sz w:val="20"/>
          <w:szCs w:val="20"/>
        </w:rPr>
        <w:t xml:space="preserve"> cite l’extrait de verset « </w:t>
      </w:r>
      <w:proofErr w:type="spellStart"/>
      <w:r>
        <w:rPr>
          <w:sz w:val="20"/>
          <w:szCs w:val="20"/>
        </w:rPr>
        <w:t>Initiavit</w:t>
      </w:r>
      <w:proofErr w:type="spellEnd"/>
      <w:r>
        <w:rPr>
          <w:sz w:val="20"/>
          <w:szCs w:val="20"/>
        </w:rPr>
        <w:t xml:space="preserve"> </w:t>
      </w:r>
      <w:proofErr w:type="spellStart"/>
      <w:r>
        <w:rPr>
          <w:sz w:val="20"/>
          <w:szCs w:val="20"/>
        </w:rPr>
        <w:t>nobis</w:t>
      </w:r>
      <w:proofErr w:type="spellEnd"/>
      <w:r>
        <w:rPr>
          <w:sz w:val="20"/>
          <w:szCs w:val="20"/>
        </w:rPr>
        <w:t xml:space="preserve"> </w:t>
      </w:r>
      <w:proofErr w:type="spellStart"/>
      <w:r>
        <w:rPr>
          <w:sz w:val="20"/>
          <w:szCs w:val="20"/>
        </w:rPr>
        <w:t>viam</w:t>
      </w:r>
      <w:proofErr w:type="spellEnd"/>
      <w:r>
        <w:rPr>
          <w:sz w:val="20"/>
          <w:szCs w:val="20"/>
        </w:rPr>
        <w:t xml:space="preserve"> </w:t>
      </w:r>
      <w:proofErr w:type="spellStart"/>
      <w:r>
        <w:rPr>
          <w:sz w:val="20"/>
          <w:szCs w:val="20"/>
        </w:rPr>
        <w:t>novam</w:t>
      </w:r>
      <w:proofErr w:type="spellEnd"/>
      <w:r>
        <w:rPr>
          <w:sz w:val="20"/>
          <w:szCs w:val="20"/>
        </w:rPr>
        <w:t xml:space="preserve"> » d’après la Vulgate (la référence précise, He 10, 20, n’est pas donnée ici) ; la « traduction » française qu’il en donne, avec un renvoi global à He 10 [ad </w:t>
      </w:r>
      <w:proofErr w:type="spellStart"/>
      <w:r>
        <w:rPr>
          <w:sz w:val="20"/>
          <w:szCs w:val="20"/>
        </w:rPr>
        <w:t>Hebr</w:t>
      </w:r>
      <w:proofErr w:type="spellEnd"/>
      <w:r>
        <w:rPr>
          <w:sz w:val="20"/>
          <w:szCs w:val="20"/>
        </w:rPr>
        <w:t xml:space="preserve">. </w:t>
      </w:r>
      <w:r w:rsidRPr="0079650C">
        <w:rPr>
          <w:smallCaps/>
          <w:sz w:val="20"/>
          <w:szCs w:val="20"/>
        </w:rPr>
        <w:t>x</w:t>
      </w:r>
      <w:r>
        <w:rPr>
          <w:sz w:val="20"/>
          <w:szCs w:val="20"/>
        </w:rPr>
        <w:t xml:space="preserve">], est une périphrase interprétative : « (Jésus-Christ) est venu abroger la loi de crainte et nous ouvrir la voie nouvelle, la voie d’amour ». La relecture </w:t>
      </w:r>
      <w:proofErr w:type="spellStart"/>
      <w:r>
        <w:rPr>
          <w:sz w:val="20"/>
          <w:szCs w:val="20"/>
        </w:rPr>
        <w:t>dehonienne</w:t>
      </w:r>
      <w:proofErr w:type="spellEnd"/>
      <w:r>
        <w:rPr>
          <w:sz w:val="20"/>
          <w:szCs w:val="20"/>
        </w:rPr>
        <w:t xml:space="preserve"> tire le verset dans le sens de l’amour du Cœur de Jésus, objet des méditations des </w:t>
      </w:r>
      <w:r w:rsidRPr="005C329D">
        <w:rPr>
          <w:i/>
          <w:sz w:val="20"/>
          <w:szCs w:val="20"/>
        </w:rPr>
        <w:t>Couronnes d’amour</w:t>
      </w:r>
      <w:r>
        <w:rPr>
          <w:sz w:val="20"/>
          <w:szCs w:val="20"/>
        </w:rPr>
        <w:t xml:space="preserve">, alors que la « voie nouvelle et vivante » dont il est ici question désigne l’accès direct des humains au sanctuaire céleste (au Père) par le sang de Jésus. Il faut certes reconnaître que le « cœur » humain et la charité ne sont pas absents du contexte immédiat (He 10, 16.22.24). Plus intéressant : He 10, qui est l’arrière-plan global implicite de la citation du P. </w:t>
      </w:r>
      <w:proofErr w:type="spellStart"/>
      <w:r>
        <w:rPr>
          <w:sz w:val="20"/>
          <w:szCs w:val="20"/>
        </w:rPr>
        <w:t>Dehon</w:t>
      </w:r>
      <w:proofErr w:type="spellEnd"/>
      <w:r>
        <w:rPr>
          <w:sz w:val="20"/>
          <w:szCs w:val="20"/>
        </w:rPr>
        <w:t>, est le climax de la troisième partie de l’épître, exposant le sacerdoce du Christ. C’est le chapitre de l’</w:t>
      </w:r>
      <w:r w:rsidRPr="00146CA3">
        <w:rPr>
          <w:i/>
          <w:sz w:val="20"/>
          <w:szCs w:val="20"/>
        </w:rPr>
        <w:t xml:space="preserve">ecce </w:t>
      </w:r>
      <w:proofErr w:type="spellStart"/>
      <w:r w:rsidRPr="00146CA3">
        <w:rPr>
          <w:i/>
          <w:sz w:val="20"/>
          <w:szCs w:val="20"/>
        </w:rPr>
        <w:t>venio</w:t>
      </w:r>
      <w:proofErr w:type="spellEnd"/>
      <w:r>
        <w:rPr>
          <w:sz w:val="20"/>
          <w:szCs w:val="20"/>
        </w:rPr>
        <w:t xml:space="preserve"> (He 10, 7.9 ; cf. Ps 40) ; il y est question de « l’offrande du corps de Jésus Christ, faite une fois pour toutes » (He 10, 10 ; trad. TOB/NT) ; il y est encore dit de Jésus Christ que « par une offrande unique, en effet, il a mené pour toujours à l’accomplissement ceux qu’il sanctifie » et que « nous avons ainsi, frères, pleine assurance d’accéder au sanctuaire par le sang de Jésus. Nous avons là une voie nouvelle et vivante, qu’il a inaugurée à travers le voile, c’est-à-dire par son humanité » (He 10, 14.19-20 ; trad. TOB/NT).</w:t>
      </w:r>
    </w:p>
  </w:footnote>
  <w:footnote w:id="6">
    <w:p w14:paraId="5E2EEF8B" w14:textId="69052EF7" w:rsidR="007F0D3E" w:rsidRPr="00203CD4" w:rsidRDefault="007F0D3E" w:rsidP="00203CD4">
      <w:pPr>
        <w:pStyle w:val="Notedebasdepage"/>
        <w:jc w:val="both"/>
        <w:rPr>
          <w:sz w:val="20"/>
          <w:szCs w:val="20"/>
        </w:rPr>
      </w:pPr>
      <w:r w:rsidRPr="00203CD4">
        <w:rPr>
          <w:rStyle w:val="Appelnotedebasdep"/>
          <w:sz w:val="20"/>
          <w:szCs w:val="20"/>
        </w:rPr>
        <w:footnoteRef/>
      </w:r>
      <w:r w:rsidRPr="00203CD4">
        <w:rPr>
          <w:sz w:val="20"/>
          <w:szCs w:val="20"/>
        </w:rPr>
        <w:t xml:space="preserve"> </w:t>
      </w:r>
      <w:r>
        <w:rPr>
          <w:sz w:val="20"/>
          <w:szCs w:val="20"/>
        </w:rPr>
        <w:t>CAM 1/</w:t>
      </w:r>
      <w:r w:rsidR="00C04CA8">
        <w:rPr>
          <w:sz w:val="20"/>
          <w:szCs w:val="20"/>
        </w:rPr>
        <w:t xml:space="preserve">93ss : </w:t>
      </w:r>
      <w:r>
        <w:rPr>
          <w:sz w:val="20"/>
          <w:szCs w:val="20"/>
        </w:rPr>
        <w:t>II</w:t>
      </w:r>
      <w:r w:rsidRPr="00833390">
        <w:rPr>
          <w:sz w:val="20"/>
          <w:szCs w:val="20"/>
          <w:vertAlign w:val="superscript"/>
        </w:rPr>
        <w:t>e</w:t>
      </w:r>
      <w:r>
        <w:rPr>
          <w:sz w:val="20"/>
          <w:szCs w:val="20"/>
        </w:rPr>
        <w:t xml:space="preserve"> </w:t>
      </w:r>
      <w:proofErr w:type="spellStart"/>
      <w:r>
        <w:rPr>
          <w:sz w:val="20"/>
          <w:szCs w:val="20"/>
        </w:rPr>
        <w:t>Myst</w:t>
      </w:r>
      <w:proofErr w:type="spellEnd"/>
      <w:r w:rsidR="00C04CA8">
        <w:rPr>
          <w:sz w:val="20"/>
          <w:szCs w:val="20"/>
        </w:rPr>
        <w:t>.</w:t>
      </w:r>
      <w:r>
        <w:rPr>
          <w:sz w:val="20"/>
          <w:szCs w:val="20"/>
        </w:rPr>
        <w:t>, III</w:t>
      </w:r>
      <w:r w:rsidRPr="00833390">
        <w:rPr>
          <w:sz w:val="20"/>
          <w:szCs w:val="20"/>
          <w:vertAlign w:val="superscript"/>
        </w:rPr>
        <w:t>e</w:t>
      </w:r>
      <w:r>
        <w:rPr>
          <w:sz w:val="20"/>
          <w:szCs w:val="20"/>
        </w:rPr>
        <w:t xml:space="preserve"> Méd.</w:t>
      </w:r>
    </w:p>
  </w:footnote>
  <w:footnote w:id="7">
    <w:p w14:paraId="4BD6C73B" w14:textId="633B0DF8" w:rsidR="007F0D3E" w:rsidRPr="00A71168" w:rsidRDefault="007F0D3E" w:rsidP="00A71168">
      <w:pPr>
        <w:pStyle w:val="Notedebasdepage"/>
        <w:jc w:val="both"/>
        <w:rPr>
          <w:sz w:val="20"/>
          <w:szCs w:val="20"/>
        </w:rPr>
      </w:pPr>
      <w:r w:rsidRPr="00A71168">
        <w:rPr>
          <w:rStyle w:val="Appelnotedebasdep"/>
          <w:sz w:val="20"/>
          <w:szCs w:val="20"/>
        </w:rPr>
        <w:footnoteRef/>
      </w:r>
      <w:r w:rsidRPr="00A71168">
        <w:rPr>
          <w:sz w:val="20"/>
          <w:szCs w:val="20"/>
        </w:rPr>
        <w:t xml:space="preserve"> </w:t>
      </w:r>
      <w:r>
        <w:rPr>
          <w:sz w:val="20"/>
          <w:szCs w:val="20"/>
        </w:rPr>
        <w:t>CAM 1/</w:t>
      </w:r>
      <w:r w:rsidR="00C04CA8">
        <w:rPr>
          <w:sz w:val="20"/>
          <w:szCs w:val="20"/>
        </w:rPr>
        <w:t xml:space="preserve">111 : </w:t>
      </w:r>
      <w:r>
        <w:rPr>
          <w:sz w:val="20"/>
          <w:szCs w:val="20"/>
        </w:rPr>
        <w:t>II</w:t>
      </w:r>
      <w:r w:rsidRPr="003952FA">
        <w:rPr>
          <w:sz w:val="20"/>
          <w:szCs w:val="20"/>
          <w:vertAlign w:val="superscript"/>
        </w:rPr>
        <w:t>e</w:t>
      </w:r>
      <w:r>
        <w:rPr>
          <w:sz w:val="20"/>
          <w:szCs w:val="20"/>
        </w:rPr>
        <w:t xml:space="preserve"> </w:t>
      </w:r>
      <w:proofErr w:type="spellStart"/>
      <w:r>
        <w:rPr>
          <w:sz w:val="20"/>
          <w:szCs w:val="20"/>
        </w:rPr>
        <w:t>Myst</w:t>
      </w:r>
      <w:proofErr w:type="spellEnd"/>
      <w:r w:rsidR="00C04CA8">
        <w:rPr>
          <w:sz w:val="20"/>
          <w:szCs w:val="20"/>
        </w:rPr>
        <w:t>.</w:t>
      </w:r>
      <w:r>
        <w:rPr>
          <w:sz w:val="20"/>
          <w:szCs w:val="20"/>
        </w:rPr>
        <w:t>, V</w:t>
      </w:r>
      <w:r w:rsidRPr="003952FA">
        <w:rPr>
          <w:sz w:val="20"/>
          <w:szCs w:val="20"/>
          <w:vertAlign w:val="superscript"/>
        </w:rPr>
        <w:t>e</w:t>
      </w:r>
      <w:r>
        <w:rPr>
          <w:sz w:val="20"/>
          <w:szCs w:val="20"/>
        </w:rPr>
        <w:t xml:space="preserve"> Méd.</w:t>
      </w:r>
    </w:p>
  </w:footnote>
  <w:footnote w:id="8">
    <w:p w14:paraId="74E75943" w14:textId="1B9F27D2" w:rsidR="007F0D3E" w:rsidRPr="003952FA" w:rsidRDefault="007F0D3E" w:rsidP="003952FA">
      <w:pPr>
        <w:pStyle w:val="Notedebasdepage"/>
        <w:jc w:val="both"/>
        <w:rPr>
          <w:sz w:val="20"/>
          <w:szCs w:val="20"/>
        </w:rPr>
      </w:pPr>
      <w:r w:rsidRPr="003952FA">
        <w:rPr>
          <w:rStyle w:val="Appelnotedebasdep"/>
          <w:sz w:val="20"/>
          <w:szCs w:val="20"/>
        </w:rPr>
        <w:footnoteRef/>
      </w:r>
      <w:r w:rsidRPr="003952FA">
        <w:rPr>
          <w:sz w:val="20"/>
          <w:szCs w:val="20"/>
        </w:rPr>
        <w:t xml:space="preserve"> </w:t>
      </w:r>
      <w:r>
        <w:rPr>
          <w:sz w:val="20"/>
          <w:szCs w:val="20"/>
        </w:rPr>
        <w:t>CAM 1/</w:t>
      </w:r>
      <w:r w:rsidR="00C04CA8">
        <w:rPr>
          <w:sz w:val="20"/>
          <w:szCs w:val="20"/>
        </w:rPr>
        <w:t xml:space="preserve">114 : </w:t>
      </w:r>
      <w:r>
        <w:rPr>
          <w:sz w:val="20"/>
          <w:szCs w:val="20"/>
        </w:rPr>
        <w:t>II</w:t>
      </w:r>
      <w:r w:rsidRPr="003952FA">
        <w:rPr>
          <w:sz w:val="20"/>
          <w:szCs w:val="20"/>
          <w:vertAlign w:val="superscript"/>
        </w:rPr>
        <w:t>e</w:t>
      </w:r>
      <w:r>
        <w:rPr>
          <w:sz w:val="20"/>
          <w:szCs w:val="20"/>
        </w:rPr>
        <w:t xml:space="preserve"> </w:t>
      </w:r>
      <w:proofErr w:type="spellStart"/>
      <w:r>
        <w:rPr>
          <w:sz w:val="20"/>
          <w:szCs w:val="20"/>
        </w:rPr>
        <w:t>Myst</w:t>
      </w:r>
      <w:proofErr w:type="spellEnd"/>
      <w:r w:rsidR="00C04CA8">
        <w:rPr>
          <w:sz w:val="20"/>
          <w:szCs w:val="20"/>
        </w:rPr>
        <w:t>.</w:t>
      </w:r>
      <w:r>
        <w:rPr>
          <w:sz w:val="20"/>
          <w:szCs w:val="20"/>
        </w:rPr>
        <w:t>, VI</w:t>
      </w:r>
      <w:r w:rsidRPr="003952FA">
        <w:rPr>
          <w:sz w:val="20"/>
          <w:szCs w:val="20"/>
          <w:vertAlign w:val="superscript"/>
        </w:rPr>
        <w:t>e</w:t>
      </w:r>
      <w:r>
        <w:rPr>
          <w:sz w:val="20"/>
          <w:szCs w:val="20"/>
        </w:rPr>
        <w:t xml:space="preserve"> Méd.</w:t>
      </w:r>
    </w:p>
  </w:footnote>
  <w:footnote w:id="9">
    <w:p w14:paraId="67652AC1" w14:textId="40AE3E4A" w:rsidR="007F0D3E" w:rsidRPr="00D4698E" w:rsidRDefault="007F0D3E" w:rsidP="00D4698E">
      <w:pPr>
        <w:pStyle w:val="Notedebasdepage"/>
        <w:jc w:val="both"/>
        <w:rPr>
          <w:sz w:val="20"/>
          <w:szCs w:val="20"/>
        </w:rPr>
      </w:pPr>
      <w:r w:rsidRPr="00D4698E">
        <w:rPr>
          <w:rStyle w:val="Appelnotedebasdep"/>
          <w:sz w:val="20"/>
          <w:szCs w:val="20"/>
        </w:rPr>
        <w:footnoteRef/>
      </w:r>
      <w:r w:rsidRPr="00D4698E">
        <w:rPr>
          <w:sz w:val="20"/>
          <w:szCs w:val="20"/>
        </w:rPr>
        <w:t xml:space="preserve"> </w:t>
      </w:r>
      <w:r>
        <w:rPr>
          <w:sz w:val="20"/>
          <w:szCs w:val="20"/>
        </w:rPr>
        <w:t>CAM 1/</w:t>
      </w:r>
      <w:r w:rsidR="00C04CA8">
        <w:rPr>
          <w:sz w:val="20"/>
          <w:szCs w:val="20"/>
        </w:rPr>
        <w:t xml:space="preserve">118 : </w:t>
      </w:r>
      <w:r>
        <w:rPr>
          <w:sz w:val="20"/>
          <w:szCs w:val="20"/>
        </w:rPr>
        <w:t>II</w:t>
      </w:r>
      <w:r w:rsidRPr="003952FA">
        <w:rPr>
          <w:sz w:val="20"/>
          <w:szCs w:val="20"/>
          <w:vertAlign w:val="superscript"/>
        </w:rPr>
        <w:t>e</w:t>
      </w:r>
      <w:r>
        <w:rPr>
          <w:sz w:val="20"/>
          <w:szCs w:val="20"/>
        </w:rPr>
        <w:t xml:space="preserve"> </w:t>
      </w:r>
      <w:proofErr w:type="spellStart"/>
      <w:r>
        <w:rPr>
          <w:sz w:val="20"/>
          <w:szCs w:val="20"/>
        </w:rPr>
        <w:t>Myst</w:t>
      </w:r>
      <w:proofErr w:type="spellEnd"/>
      <w:r w:rsidR="00C04CA8">
        <w:rPr>
          <w:sz w:val="20"/>
          <w:szCs w:val="20"/>
        </w:rPr>
        <w:t>.</w:t>
      </w:r>
      <w:r>
        <w:rPr>
          <w:sz w:val="20"/>
          <w:szCs w:val="20"/>
        </w:rPr>
        <w:t>, VI</w:t>
      </w:r>
      <w:r w:rsidRPr="003952FA">
        <w:rPr>
          <w:sz w:val="20"/>
          <w:szCs w:val="20"/>
          <w:vertAlign w:val="superscript"/>
        </w:rPr>
        <w:t>e</w:t>
      </w:r>
      <w:r>
        <w:rPr>
          <w:sz w:val="20"/>
          <w:szCs w:val="20"/>
        </w:rPr>
        <w:t xml:space="preserve"> Méd. Cette attitude spirituelle attribuée au Cœur de Jésus traduit aussi l’attention, spirituelle et sociale, du P. </w:t>
      </w:r>
      <w:proofErr w:type="spellStart"/>
      <w:r>
        <w:rPr>
          <w:sz w:val="20"/>
          <w:szCs w:val="20"/>
        </w:rPr>
        <w:t>Dehon</w:t>
      </w:r>
      <w:proofErr w:type="spellEnd"/>
      <w:r>
        <w:rPr>
          <w:sz w:val="20"/>
          <w:szCs w:val="20"/>
        </w:rPr>
        <w:t xml:space="preserve"> à la situation souvent déplorable des ouvriers de son temps, certes dans une perspective de « charité publique ou privée ».</w:t>
      </w:r>
    </w:p>
  </w:footnote>
  <w:footnote w:id="10">
    <w:p w14:paraId="61E6AE28" w14:textId="0AA3A7F2" w:rsidR="007F0D3E" w:rsidRPr="0008718F" w:rsidRDefault="007F0D3E" w:rsidP="0008718F">
      <w:pPr>
        <w:pStyle w:val="Notedebasdepage"/>
        <w:jc w:val="both"/>
        <w:rPr>
          <w:sz w:val="20"/>
          <w:szCs w:val="20"/>
        </w:rPr>
      </w:pPr>
      <w:r w:rsidRPr="0008718F">
        <w:rPr>
          <w:rStyle w:val="Appelnotedebasdep"/>
          <w:sz w:val="20"/>
          <w:szCs w:val="20"/>
        </w:rPr>
        <w:footnoteRef/>
      </w:r>
      <w:r w:rsidRPr="0008718F">
        <w:rPr>
          <w:sz w:val="20"/>
          <w:szCs w:val="20"/>
        </w:rPr>
        <w:t xml:space="preserve"> </w:t>
      </w:r>
      <w:r>
        <w:rPr>
          <w:sz w:val="20"/>
          <w:szCs w:val="20"/>
        </w:rPr>
        <w:t>CAM 1/</w:t>
      </w:r>
      <w:r w:rsidR="00C04CA8">
        <w:rPr>
          <w:sz w:val="20"/>
          <w:szCs w:val="20"/>
        </w:rPr>
        <w:t xml:space="preserve">134 : </w:t>
      </w:r>
      <w:r>
        <w:rPr>
          <w:sz w:val="20"/>
          <w:szCs w:val="20"/>
        </w:rPr>
        <w:t>III</w:t>
      </w:r>
      <w:r w:rsidRPr="003952FA">
        <w:rPr>
          <w:sz w:val="20"/>
          <w:szCs w:val="20"/>
          <w:vertAlign w:val="superscript"/>
        </w:rPr>
        <w:t>e</w:t>
      </w:r>
      <w:r>
        <w:rPr>
          <w:sz w:val="20"/>
          <w:szCs w:val="20"/>
        </w:rPr>
        <w:t xml:space="preserve"> </w:t>
      </w:r>
      <w:proofErr w:type="spellStart"/>
      <w:r>
        <w:rPr>
          <w:sz w:val="20"/>
          <w:szCs w:val="20"/>
        </w:rPr>
        <w:t>Myst</w:t>
      </w:r>
      <w:proofErr w:type="spellEnd"/>
      <w:r w:rsidR="00C04CA8">
        <w:rPr>
          <w:sz w:val="20"/>
          <w:szCs w:val="20"/>
        </w:rPr>
        <w:t>.</w:t>
      </w:r>
      <w:r>
        <w:rPr>
          <w:sz w:val="20"/>
          <w:szCs w:val="20"/>
        </w:rPr>
        <w:t>, II</w:t>
      </w:r>
      <w:r w:rsidRPr="003952FA">
        <w:rPr>
          <w:sz w:val="20"/>
          <w:szCs w:val="20"/>
          <w:vertAlign w:val="superscript"/>
        </w:rPr>
        <w:t>e</w:t>
      </w:r>
      <w:r>
        <w:rPr>
          <w:sz w:val="20"/>
          <w:szCs w:val="20"/>
        </w:rPr>
        <w:t xml:space="preserve"> Méd</w:t>
      </w:r>
      <w:r w:rsidR="00C04CA8">
        <w:rPr>
          <w:sz w:val="20"/>
          <w:szCs w:val="20"/>
        </w:rPr>
        <w:t>.</w:t>
      </w:r>
      <w:r>
        <w:rPr>
          <w:sz w:val="20"/>
          <w:szCs w:val="20"/>
        </w:rPr>
        <w:t xml:space="preserve"> (Prières du Sacré-Cœur dans sa vie cachée).</w:t>
      </w:r>
    </w:p>
  </w:footnote>
  <w:footnote w:id="11">
    <w:p w14:paraId="1DAF19B8" w14:textId="024B6538" w:rsidR="007F0D3E" w:rsidRPr="001A16C0" w:rsidRDefault="007F0D3E" w:rsidP="001A16C0">
      <w:pPr>
        <w:pStyle w:val="Notedebasdepage"/>
        <w:jc w:val="both"/>
        <w:rPr>
          <w:sz w:val="20"/>
          <w:szCs w:val="20"/>
        </w:rPr>
      </w:pPr>
      <w:r w:rsidRPr="001A16C0">
        <w:rPr>
          <w:rStyle w:val="Appelnotedebasdep"/>
          <w:sz w:val="20"/>
          <w:szCs w:val="20"/>
        </w:rPr>
        <w:footnoteRef/>
      </w:r>
      <w:r w:rsidRPr="001A16C0">
        <w:rPr>
          <w:sz w:val="20"/>
          <w:szCs w:val="20"/>
        </w:rPr>
        <w:t xml:space="preserve"> </w:t>
      </w:r>
      <w:r>
        <w:rPr>
          <w:sz w:val="20"/>
          <w:szCs w:val="20"/>
        </w:rPr>
        <w:t>CAM 1/</w:t>
      </w:r>
      <w:r w:rsidR="00FA07CA">
        <w:rPr>
          <w:sz w:val="20"/>
          <w:szCs w:val="20"/>
        </w:rPr>
        <w:t xml:space="preserve">137 : </w:t>
      </w:r>
      <w:r>
        <w:rPr>
          <w:sz w:val="20"/>
          <w:szCs w:val="20"/>
        </w:rPr>
        <w:t>III</w:t>
      </w:r>
      <w:r w:rsidRPr="003952FA">
        <w:rPr>
          <w:sz w:val="20"/>
          <w:szCs w:val="20"/>
          <w:vertAlign w:val="superscript"/>
        </w:rPr>
        <w:t>e</w:t>
      </w:r>
      <w:r>
        <w:rPr>
          <w:sz w:val="20"/>
          <w:szCs w:val="20"/>
        </w:rPr>
        <w:t xml:space="preserve"> </w:t>
      </w:r>
      <w:proofErr w:type="spellStart"/>
      <w:r>
        <w:rPr>
          <w:sz w:val="20"/>
          <w:szCs w:val="20"/>
        </w:rPr>
        <w:t>Myst</w:t>
      </w:r>
      <w:proofErr w:type="spellEnd"/>
      <w:r w:rsidR="00FA07CA">
        <w:rPr>
          <w:sz w:val="20"/>
          <w:szCs w:val="20"/>
        </w:rPr>
        <w:t>.</w:t>
      </w:r>
      <w:r>
        <w:rPr>
          <w:sz w:val="20"/>
          <w:szCs w:val="20"/>
        </w:rPr>
        <w:t>, II</w:t>
      </w:r>
      <w:r w:rsidRPr="003952FA">
        <w:rPr>
          <w:sz w:val="20"/>
          <w:szCs w:val="20"/>
          <w:vertAlign w:val="superscript"/>
        </w:rPr>
        <w:t>e</w:t>
      </w:r>
      <w:r>
        <w:rPr>
          <w:sz w:val="20"/>
          <w:szCs w:val="20"/>
        </w:rPr>
        <w:t xml:space="preserve"> Méd.</w:t>
      </w:r>
    </w:p>
  </w:footnote>
  <w:footnote w:id="12">
    <w:p w14:paraId="24A8BCB0" w14:textId="33A35595" w:rsidR="007F0D3E" w:rsidRPr="00F94968" w:rsidRDefault="007F0D3E" w:rsidP="00F94968">
      <w:pPr>
        <w:pStyle w:val="Notedebasdepage"/>
        <w:jc w:val="both"/>
        <w:rPr>
          <w:sz w:val="20"/>
          <w:szCs w:val="20"/>
        </w:rPr>
      </w:pPr>
      <w:r w:rsidRPr="00F94968">
        <w:rPr>
          <w:rStyle w:val="Appelnotedebasdep"/>
          <w:sz w:val="20"/>
          <w:szCs w:val="20"/>
        </w:rPr>
        <w:footnoteRef/>
      </w:r>
      <w:r w:rsidRPr="00F94968">
        <w:rPr>
          <w:sz w:val="20"/>
          <w:szCs w:val="20"/>
        </w:rPr>
        <w:t xml:space="preserve"> </w:t>
      </w:r>
      <w:r>
        <w:rPr>
          <w:sz w:val="20"/>
          <w:szCs w:val="20"/>
        </w:rPr>
        <w:t>CAM 1/</w:t>
      </w:r>
      <w:r w:rsidR="0071384C">
        <w:rPr>
          <w:sz w:val="20"/>
          <w:szCs w:val="20"/>
        </w:rPr>
        <w:t>139-140 : </w:t>
      </w:r>
      <w:r>
        <w:rPr>
          <w:sz w:val="20"/>
          <w:szCs w:val="20"/>
        </w:rPr>
        <w:t>III</w:t>
      </w:r>
      <w:r w:rsidRPr="003952FA">
        <w:rPr>
          <w:sz w:val="20"/>
          <w:szCs w:val="20"/>
          <w:vertAlign w:val="superscript"/>
        </w:rPr>
        <w:t>e</w:t>
      </w:r>
      <w:r>
        <w:rPr>
          <w:sz w:val="20"/>
          <w:szCs w:val="20"/>
        </w:rPr>
        <w:t xml:space="preserve"> </w:t>
      </w:r>
      <w:proofErr w:type="spellStart"/>
      <w:r>
        <w:rPr>
          <w:sz w:val="20"/>
          <w:szCs w:val="20"/>
        </w:rPr>
        <w:t>Myst</w:t>
      </w:r>
      <w:proofErr w:type="spellEnd"/>
      <w:r w:rsidR="0071384C">
        <w:rPr>
          <w:sz w:val="20"/>
          <w:szCs w:val="20"/>
        </w:rPr>
        <w:t>.</w:t>
      </w:r>
      <w:r>
        <w:rPr>
          <w:sz w:val="20"/>
          <w:szCs w:val="20"/>
        </w:rPr>
        <w:t>, II</w:t>
      </w:r>
      <w:r w:rsidRPr="003952FA">
        <w:rPr>
          <w:sz w:val="20"/>
          <w:szCs w:val="20"/>
          <w:vertAlign w:val="superscript"/>
        </w:rPr>
        <w:t>e</w:t>
      </w:r>
      <w:r>
        <w:rPr>
          <w:sz w:val="20"/>
          <w:szCs w:val="20"/>
        </w:rPr>
        <w:t xml:space="preserve"> Méd</w:t>
      </w:r>
      <w:r w:rsidR="0071384C">
        <w:rPr>
          <w:sz w:val="20"/>
          <w:szCs w:val="20"/>
        </w:rPr>
        <w:t>. L</w:t>
      </w:r>
      <w:r>
        <w:rPr>
          <w:sz w:val="20"/>
          <w:szCs w:val="20"/>
        </w:rPr>
        <w:t xml:space="preserve">es deux citations néotestamentaires non référencées sont </w:t>
      </w:r>
      <w:proofErr w:type="spellStart"/>
      <w:r>
        <w:rPr>
          <w:sz w:val="20"/>
          <w:szCs w:val="20"/>
        </w:rPr>
        <w:t>Jn</w:t>
      </w:r>
      <w:proofErr w:type="spellEnd"/>
      <w:r>
        <w:rPr>
          <w:sz w:val="20"/>
          <w:szCs w:val="20"/>
        </w:rPr>
        <w:t xml:space="preserve"> 15, 13 et Ga 2, 20.</w:t>
      </w:r>
    </w:p>
  </w:footnote>
  <w:footnote w:id="13">
    <w:p w14:paraId="4BC5D296" w14:textId="5993B147" w:rsidR="007F0D3E" w:rsidRPr="006E43C6" w:rsidRDefault="007F0D3E" w:rsidP="006E43C6">
      <w:pPr>
        <w:pStyle w:val="Notedebasdepage"/>
        <w:jc w:val="both"/>
        <w:rPr>
          <w:sz w:val="20"/>
          <w:szCs w:val="20"/>
        </w:rPr>
      </w:pPr>
      <w:r w:rsidRPr="006E43C6">
        <w:rPr>
          <w:rStyle w:val="Appelnotedebasdep"/>
          <w:sz w:val="20"/>
          <w:szCs w:val="20"/>
        </w:rPr>
        <w:footnoteRef/>
      </w:r>
      <w:r w:rsidRPr="006E43C6">
        <w:rPr>
          <w:sz w:val="20"/>
          <w:szCs w:val="20"/>
        </w:rPr>
        <w:t xml:space="preserve"> </w:t>
      </w:r>
      <w:r>
        <w:rPr>
          <w:sz w:val="20"/>
          <w:szCs w:val="20"/>
        </w:rPr>
        <w:t xml:space="preserve">Pour cette présentation de la Lettre aux Hébreux, cf. </w:t>
      </w:r>
      <w:r w:rsidRPr="006E43C6">
        <w:rPr>
          <w:i/>
          <w:sz w:val="20"/>
          <w:szCs w:val="20"/>
        </w:rPr>
        <w:t>Traduction œcuménique de la Bible. Nouveau Testament</w:t>
      </w:r>
      <w:r>
        <w:rPr>
          <w:sz w:val="20"/>
          <w:szCs w:val="20"/>
        </w:rPr>
        <w:t xml:space="preserve"> (TOB/NT), Paris, Cerf – Les Bergers et les Mages, 1977, p. 668-669, que je suis de près.</w:t>
      </w:r>
    </w:p>
  </w:footnote>
  <w:footnote w:id="14">
    <w:p w14:paraId="0EC80BF0" w14:textId="09D8E7E0" w:rsidR="007F0D3E" w:rsidRPr="008D0223" w:rsidRDefault="007F0D3E" w:rsidP="008D0223">
      <w:pPr>
        <w:pStyle w:val="Notedebasdepage"/>
        <w:jc w:val="both"/>
        <w:rPr>
          <w:sz w:val="20"/>
          <w:szCs w:val="20"/>
        </w:rPr>
      </w:pPr>
      <w:r w:rsidRPr="008D0223">
        <w:rPr>
          <w:rStyle w:val="Appelnotedebasdep"/>
          <w:sz w:val="20"/>
          <w:szCs w:val="20"/>
        </w:rPr>
        <w:footnoteRef/>
      </w:r>
      <w:r w:rsidRPr="008D0223">
        <w:rPr>
          <w:sz w:val="20"/>
          <w:szCs w:val="20"/>
        </w:rPr>
        <w:t xml:space="preserve"> </w:t>
      </w:r>
      <w:proofErr w:type="spellStart"/>
      <w:r w:rsidRPr="008D0223">
        <w:rPr>
          <w:sz w:val="20"/>
          <w:szCs w:val="20"/>
        </w:rPr>
        <w:t>Aloysius</w:t>
      </w:r>
      <w:proofErr w:type="spellEnd"/>
      <w:r w:rsidRPr="008D0223">
        <w:rPr>
          <w:sz w:val="20"/>
          <w:szCs w:val="20"/>
        </w:rPr>
        <w:t xml:space="preserve"> </w:t>
      </w:r>
      <w:proofErr w:type="spellStart"/>
      <w:r w:rsidRPr="008D0223">
        <w:rPr>
          <w:smallCaps/>
          <w:sz w:val="20"/>
          <w:szCs w:val="20"/>
        </w:rPr>
        <w:t>Yudistiro</w:t>
      </w:r>
      <w:proofErr w:type="spellEnd"/>
      <w:r w:rsidRPr="008D0223">
        <w:rPr>
          <w:smallCaps/>
          <w:sz w:val="20"/>
          <w:szCs w:val="20"/>
        </w:rPr>
        <w:t xml:space="preserve"> </w:t>
      </w:r>
      <w:proofErr w:type="spellStart"/>
      <w:r w:rsidRPr="008D0223">
        <w:rPr>
          <w:smallCaps/>
          <w:sz w:val="20"/>
          <w:szCs w:val="20"/>
        </w:rPr>
        <w:t>Adifitri</w:t>
      </w:r>
      <w:proofErr w:type="spellEnd"/>
      <w:r w:rsidRPr="008D0223">
        <w:rPr>
          <w:smallCaps/>
          <w:sz w:val="20"/>
          <w:szCs w:val="20"/>
        </w:rPr>
        <w:t xml:space="preserve"> </w:t>
      </w:r>
      <w:proofErr w:type="spellStart"/>
      <w:r w:rsidRPr="008D0223">
        <w:rPr>
          <w:smallCaps/>
          <w:sz w:val="20"/>
          <w:szCs w:val="20"/>
        </w:rPr>
        <w:t>Tyassanto</w:t>
      </w:r>
      <w:proofErr w:type="spellEnd"/>
      <w:r w:rsidRPr="008D0223">
        <w:rPr>
          <w:sz w:val="20"/>
          <w:szCs w:val="20"/>
        </w:rPr>
        <w:t xml:space="preserve">, </w:t>
      </w:r>
      <w:r w:rsidRPr="008D0223">
        <w:rPr>
          <w:i/>
          <w:sz w:val="20"/>
          <w:szCs w:val="20"/>
        </w:rPr>
        <w:t>De Bérulle à Condren : l’évolution de la christologie de l’école française de spiritualité</w:t>
      </w:r>
      <w:r w:rsidRPr="008D0223">
        <w:rPr>
          <w:sz w:val="20"/>
          <w:szCs w:val="20"/>
        </w:rPr>
        <w:t>, Mémoire de master en théologie, Louvain-la-Neuve, 2013-2014, p. 13ss.</w:t>
      </w:r>
    </w:p>
  </w:footnote>
  <w:footnote w:id="15">
    <w:p w14:paraId="46B04F7D" w14:textId="7C88FF51" w:rsidR="007F0D3E" w:rsidRPr="00A563DD" w:rsidRDefault="007F0D3E" w:rsidP="00A563DD">
      <w:pPr>
        <w:pStyle w:val="Notedebasdepage"/>
        <w:jc w:val="both"/>
        <w:rPr>
          <w:sz w:val="20"/>
          <w:szCs w:val="20"/>
        </w:rPr>
      </w:pPr>
      <w:r w:rsidRPr="00A563DD">
        <w:rPr>
          <w:rStyle w:val="Appelnotedebasdep"/>
          <w:sz w:val="20"/>
          <w:szCs w:val="20"/>
        </w:rPr>
        <w:footnoteRef/>
      </w:r>
      <w:r w:rsidRPr="00A563DD">
        <w:rPr>
          <w:sz w:val="20"/>
          <w:szCs w:val="20"/>
        </w:rPr>
        <w:t xml:space="preserve"> </w:t>
      </w:r>
      <w:r>
        <w:rPr>
          <w:sz w:val="20"/>
          <w:szCs w:val="20"/>
        </w:rPr>
        <w:t>Tome 1 (Œuvres de Pierre de Bérulle, 7), Paris, Cerf, 1996.</w:t>
      </w:r>
    </w:p>
  </w:footnote>
  <w:footnote w:id="16">
    <w:p w14:paraId="18FD29F5" w14:textId="6128A548" w:rsidR="007F0D3E" w:rsidRPr="00302411" w:rsidRDefault="007F0D3E" w:rsidP="00302411">
      <w:pPr>
        <w:pStyle w:val="Notedebasdepage"/>
        <w:jc w:val="both"/>
        <w:rPr>
          <w:sz w:val="20"/>
          <w:szCs w:val="20"/>
        </w:rPr>
      </w:pPr>
      <w:r w:rsidRPr="00302411">
        <w:rPr>
          <w:rStyle w:val="Appelnotedebasdep"/>
          <w:sz w:val="20"/>
          <w:szCs w:val="20"/>
        </w:rPr>
        <w:footnoteRef/>
      </w:r>
      <w:r w:rsidRPr="00302411">
        <w:rPr>
          <w:sz w:val="20"/>
          <w:szCs w:val="20"/>
        </w:rPr>
        <w:t xml:space="preserve"> </w:t>
      </w:r>
      <w:r w:rsidRPr="00302411">
        <w:rPr>
          <w:i/>
          <w:sz w:val="20"/>
          <w:szCs w:val="20"/>
        </w:rPr>
        <w:t>Ibid.</w:t>
      </w:r>
      <w:r>
        <w:rPr>
          <w:sz w:val="20"/>
          <w:szCs w:val="20"/>
        </w:rPr>
        <w:t xml:space="preserve">, Discours I, p. 72, cité dans </w:t>
      </w:r>
      <w:proofErr w:type="spellStart"/>
      <w:r w:rsidRPr="008D0223">
        <w:rPr>
          <w:smallCaps/>
          <w:sz w:val="20"/>
          <w:szCs w:val="20"/>
        </w:rPr>
        <w:t>Yudistiro</w:t>
      </w:r>
      <w:proofErr w:type="spellEnd"/>
      <w:r w:rsidRPr="008D0223">
        <w:rPr>
          <w:smallCaps/>
          <w:sz w:val="20"/>
          <w:szCs w:val="20"/>
        </w:rPr>
        <w:t xml:space="preserve"> </w:t>
      </w:r>
      <w:proofErr w:type="spellStart"/>
      <w:r w:rsidRPr="008D0223">
        <w:rPr>
          <w:smallCaps/>
          <w:sz w:val="20"/>
          <w:szCs w:val="20"/>
        </w:rPr>
        <w:t>Adifitri</w:t>
      </w:r>
      <w:proofErr w:type="spellEnd"/>
      <w:r w:rsidRPr="008D0223">
        <w:rPr>
          <w:smallCaps/>
          <w:sz w:val="20"/>
          <w:szCs w:val="20"/>
        </w:rPr>
        <w:t xml:space="preserve"> </w:t>
      </w:r>
      <w:proofErr w:type="spellStart"/>
      <w:r w:rsidRPr="008D0223">
        <w:rPr>
          <w:smallCaps/>
          <w:sz w:val="20"/>
          <w:szCs w:val="20"/>
        </w:rPr>
        <w:t>Tyassanto</w:t>
      </w:r>
      <w:proofErr w:type="spellEnd"/>
      <w:r w:rsidRPr="008D0223">
        <w:rPr>
          <w:sz w:val="20"/>
          <w:szCs w:val="20"/>
        </w:rPr>
        <w:t xml:space="preserve">, </w:t>
      </w:r>
      <w:r w:rsidRPr="008D0223">
        <w:rPr>
          <w:i/>
          <w:sz w:val="20"/>
          <w:szCs w:val="20"/>
        </w:rPr>
        <w:t>De Bérulle à Condren</w:t>
      </w:r>
      <w:r>
        <w:rPr>
          <w:sz w:val="20"/>
          <w:szCs w:val="20"/>
        </w:rPr>
        <w:t xml:space="preserve">, </w:t>
      </w:r>
      <w:r w:rsidRPr="00302411">
        <w:rPr>
          <w:i/>
          <w:sz w:val="20"/>
          <w:szCs w:val="20"/>
        </w:rPr>
        <w:t xml:space="preserve">op. </w:t>
      </w:r>
      <w:proofErr w:type="spellStart"/>
      <w:proofErr w:type="gramStart"/>
      <w:r w:rsidRPr="00302411">
        <w:rPr>
          <w:i/>
          <w:sz w:val="20"/>
          <w:szCs w:val="20"/>
        </w:rPr>
        <w:t>cit</w:t>
      </w:r>
      <w:proofErr w:type="spellEnd"/>
      <w:proofErr w:type="gramEnd"/>
      <w:r w:rsidRPr="00302411">
        <w:rPr>
          <w:i/>
          <w:sz w:val="20"/>
          <w:szCs w:val="20"/>
        </w:rPr>
        <w:t>.</w:t>
      </w:r>
      <w:r>
        <w:rPr>
          <w:sz w:val="20"/>
          <w:szCs w:val="20"/>
        </w:rPr>
        <w:t xml:space="preserve"> (</w:t>
      </w:r>
      <w:proofErr w:type="gramStart"/>
      <w:r>
        <w:rPr>
          <w:sz w:val="20"/>
          <w:szCs w:val="20"/>
        </w:rPr>
        <w:t>cité</w:t>
      </w:r>
      <w:proofErr w:type="gramEnd"/>
      <w:r>
        <w:rPr>
          <w:sz w:val="20"/>
          <w:szCs w:val="20"/>
        </w:rPr>
        <w:t xml:space="preserve"> désormais </w:t>
      </w:r>
      <w:proofErr w:type="spellStart"/>
      <w:r w:rsidRPr="008D0223">
        <w:rPr>
          <w:smallCaps/>
          <w:sz w:val="20"/>
          <w:szCs w:val="20"/>
        </w:rPr>
        <w:t>Yudistiro</w:t>
      </w:r>
      <w:proofErr w:type="spellEnd"/>
      <w:r>
        <w:rPr>
          <w:smallCaps/>
          <w:sz w:val="20"/>
          <w:szCs w:val="20"/>
        </w:rPr>
        <w:t>)</w:t>
      </w:r>
      <w:r>
        <w:rPr>
          <w:sz w:val="20"/>
          <w:szCs w:val="20"/>
        </w:rPr>
        <w:t>, p. 14.</w:t>
      </w:r>
    </w:p>
  </w:footnote>
  <w:footnote w:id="17">
    <w:p w14:paraId="6E62806D" w14:textId="7FA69A59" w:rsidR="007F0D3E" w:rsidRPr="00127A8D" w:rsidRDefault="007F0D3E" w:rsidP="00EC3A2D">
      <w:pPr>
        <w:pStyle w:val="Notedebasdepage"/>
        <w:jc w:val="both"/>
        <w:rPr>
          <w:sz w:val="20"/>
          <w:szCs w:val="20"/>
        </w:rPr>
      </w:pPr>
      <w:r w:rsidRPr="00127A8D">
        <w:rPr>
          <w:rStyle w:val="Appelnotedebasdep"/>
          <w:sz w:val="20"/>
          <w:szCs w:val="20"/>
        </w:rPr>
        <w:footnoteRef/>
      </w:r>
      <w:r w:rsidRPr="00127A8D">
        <w:rPr>
          <w:sz w:val="20"/>
          <w:szCs w:val="20"/>
        </w:rPr>
        <w:t xml:space="preserve"> </w:t>
      </w:r>
      <w:proofErr w:type="spellStart"/>
      <w:r w:rsidRPr="008D0223">
        <w:rPr>
          <w:smallCaps/>
          <w:sz w:val="20"/>
          <w:szCs w:val="20"/>
        </w:rPr>
        <w:t>Yudistiro</w:t>
      </w:r>
      <w:proofErr w:type="spellEnd"/>
      <w:r>
        <w:rPr>
          <w:sz w:val="20"/>
          <w:szCs w:val="20"/>
        </w:rPr>
        <w:t>, p. 19. Cf. CAM 1/</w:t>
      </w:r>
      <w:r w:rsidR="000176EC">
        <w:rPr>
          <w:sz w:val="20"/>
          <w:szCs w:val="20"/>
        </w:rPr>
        <w:t>134 (</w:t>
      </w:r>
      <w:r>
        <w:rPr>
          <w:sz w:val="20"/>
          <w:szCs w:val="20"/>
        </w:rPr>
        <w:t>III</w:t>
      </w:r>
      <w:r w:rsidRPr="003952FA">
        <w:rPr>
          <w:sz w:val="20"/>
          <w:szCs w:val="20"/>
          <w:vertAlign w:val="superscript"/>
        </w:rPr>
        <w:t>e</w:t>
      </w:r>
      <w:r>
        <w:rPr>
          <w:sz w:val="20"/>
          <w:szCs w:val="20"/>
        </w:rPr>
        <w:t xml:space="preserve"> </w:t>
      </w:r>
      <w:proofErr w:type="spellStart"/>
      <w:r>
        <w:rPr>
          <w:sz w:val="20"/>
          <w:szCs w:val="20"/>
        </w:rPr>
        <w:t>Myst</w:t>
      </w:r>
      <w:proofErr w:type="spellEnd"/>
      <w:r w:rsidR="000176EC">
        <w:rPr>
          <w:sz w:val="20"/>
          <w:szCs w:val="20"/>
        </w:rPr>
        <w:t>.</w:t>
      </w:r>
      <w:r>
        <w:rPr>
          <w:sz w:val="20"/>
          <w:szCs w:val="20"/>
        </w:rPr>
        <w:t>, II</w:t>
      </w:r>
      <w:r w:rsidRPr="003952FA">
        <w:rPr>
          <w:sz w:val="20"/>
          <w:szCs w:val="20"/>
          <w:vertAlign w:val="superscript"/>
        </w:rPr>
        <w:t>e</w:t>
      </w:r>
      <w:r>
        <w:rPr>
          <w:sz w:val="20"/>
          <w:szCs w:val="20"/>
        </w:rPr>
        <w:t xml:space="preserve"> Méd</w:t>
      </w:r>
      <w:r w:rsidR="000176EC">
        <w:rPr>
          <w:sz w:val="20"/>
          <w:szCs w:val="20"/>
        </w:rPr>
        <w:t>.</w:t>
      </w:r>
      <w:r w:rsidR="00C63115">
        <w:rPr>
          <w:sz w:val="20"/>
          <w:szCs w:val="20"/>
        </w:rPr>
        <w:t xml:space="preserve"> : </w:t>
      </w:r>
      <w:r>
        <w:rPr>
          <w:sz w:val="20"/>
          <w:szCs w:val="20"/>
        </w:rPr>
        <w:t>Prières d</w:t>
      </w:r>
      <w:r w:rsidR="00C63115">
        <w:rPr>
          <w:sz w:val="20"/>
          <w:szCs w:val="20"/>
        </w:rPr>
        <w:t>u Sacré-Cœur dans sa vie cachée</w:t>
      </w:r>
      <w:r>
        <w:rPr>
          <w:sz w:val="20"/>
          <w:szCs w:val="20"/>
        </w:rPr>
        <w:t>, I. Ses dispositions vis-à-vis de son Père</w:t>
      </w:r>
      <w:r w:rsidR="00C63115">
        <w:rPr>
          <w:sz w:val="20"/>
          <w:szCs w:val="20"/>
        </w:rPr>
        <w:t>)</w:t>
      </w:r>
      <w:r>
        <w:rPr>
          <w:sz w:val="20"/>
          <w:szCs w:val="20"/>
        </w:rPr>
        <w:t> : « Un troisième motif [d’humilité], c’était l’union hypostatique elle-même ; son humanité n’avait point de subsistance propre et ne subsistait que par son union avec la personne du Verbe. Comme cette vue lui faisait sentir le néant de sa nature humaine ! » ; CAM 1/</w:t>
      </w:r>
      <w:r w:rsidR="00C63115">
        <w:rPr>
          <w:sz w:val="20"/>
          <w:szCs w:val="20"/>
        </w:rPr>
        <w:t>159 (</w:t>
      </w:r>
      <w:r>
        <w:rPr>
          <w:sz w:val="20"/>
          <w:szCs w:val="20"/>
        </w:rPr>
        <w:t>III</w:t>
      </w:r>
      <w:r w:rsidRPr="003952FA">
        <w:rPr>
          <w:sz w:val="20"/>
          <w:szCs w:val="20"/>
          <w:vertAlign w:val="superscript"/>
        </w:rPr>
        <w:t>e</w:t>
      </w:r>
      <w:r>
        <w:rPr>
          <w:sz w:val="20"/>
          <w:szCs w:val="20"/>
        </w:rPr>
        <w:t xml:space="preserve"> </w:t>
      </w:r>
      <w:proofErr w:type="spellStart"/>
      <w:r>
        <w:rPr>
          <w:sz w:val="20"/>
          <w:szCs w:val="20"/>
        </w:rPr>
        <w:t>Myst</w:t>
      </w:r>
      <w:proofErr w:type="spellEnd"/>
      <w:r w:rsidR="00C63115">
        <w:rPr>
          <w:sz w:val="20"/>
          <w:szCs w:val="20"/>
        </w:rPr>
        <w:t>.</w:t>
      </w:r>
      <w:r>
        <w:rPr>
          <w:sz w:val="20"/>
          <w:szCs w:val="20"/>
        </w:rPr>
        <w:t>, IV</w:t>
      </w:r>
      <w:r w:rsidRPr="003952FA">
        <w:rPr>
          <w:sz w:val="20"/>
          <w:szCs w:val="20"/>
          <w:vertAlign w:val="superscript"/>
        </w:rPr>
        <w:t>e</w:t>
      </w:r>
      <w:r>
        <w:rPr>
          <w:sz w:val="20"/>
          <w:szCs w:val="20"/>
        </w:rPr>
        <w:t xml:space="preserve"> Méd</w:t>
      </w:r>
      <w:r w:rsidR="00C63115">
        <w:rPr>
          <w:sz w:val="20"/>
          <w:szCs w:val="20"/>
        </w:rPr>
        <w:t xml:space="preserve">. : </w:t>
      </w:r>
      <w:r>
        <w:rPr>
          <w:sz w:val="20"/>
          <w:szCs w:val="20"/>
        </w:rPr>
        <w:t>La dépendance du Cœur de Jésus) : « C’est une dépendance toute filiale [vis-à-vis de son Père] ; la filiation éternelle du Verbe divin s’est comme étendue à la nature humaine par l’union hypostatique ; le Cœur de Jésus est un cœur de Fils, par conséquent un cœur aimant et dépendant par amour ». Cette christologie cyrillienne comporte l</w:t>
      </w:r>
      <w:proofErr w:type="gramStart"/>
      <w:r>
        <w:rPr>
          <w:sz w:val="20"/>
          <w:szCs w:val="20"/>
        </w:rPr>
        <w:t>’«</w:t>
      </w:r>
      <w:proofErr w:type="gramEnd"/>
      <w:r>
        <w:rPr>
          <w:sz w:val="20"/>
          <w:szCs w:val="20"/>
        </w:rPr>
        <w:t> anéantissement » de la nature humaine (cf. CAM 1/</w:t>
      </w:r>
      <w:r w:rsidR="00A3573A">
        <w:rPr>
          <w:sz w:val="20"/>
          <w:szCs w:val="20"/>
        </w:rPr>
        <w:t xml:space="preserve">133 : </w:t>
      </w:r>
      <w:r>
        <w:rPr>
          <w:sz w:val="20"/>
          <w:szCs w:val="20"/>
        </w:rPr>
        <w:t>III</w:t>
      </w:r>
      <w:r w:rsidRPr="00F24918">
        <w:rPr>
          <w:sz w:val="20"/>
          <w:szCs w:val="20"/>
          <w:vertAlign w:val="superscript"/>
        </w:rPr>
        <w:t>e</w:t>
      </w:r>
      <w:r>
        <w:rPr>
          <w:sz w:val="20"/>
          <w:szCs w:val="20"/>
        </w:rPr>
        <w:t xml:space="preserve"> </w:t>
      </w:r>
      <w:proofErr w:type="spellStart"/>
      <w:r>
        <w:rPr>
          <w:sz w:val="20"/>
          <w:szCs w:val="20"/>
        </w:rPr>
        <w:t>Myst</w:t>
      </w:r>
      <w:proofErr w:type="spellEnd"/>
      <w:r w:rsidR="00A3573A">
        <w:rPr>
          <w:sz w:val="20"/>
          <w:szCs w:val="20"/>
        </w:rPr>
        <w:t>.</w:t>
      </w:r>
      <w:r>
        <w:rPr>
          <w:sz w:val="20"/>
          <w:szCs w:val="20"/>
        </w:rPr>
        <w:t>, II</w:t>
      </w:r>
      <w:r w:rsidRPr="00F24918">
        <w:rPr>
          <w:sz w:val="20"/>
          <w:szCs w:val="20"/>
          <w:vertAlign w:val="superscript"/>
        </w:rPr>
        <w:t>e</w:t>
      </w:r>
      <w:r>
        <w:rPr>
          <w:sz w:val="20"/>
          <w:szCs w:val="20"/>
        </w:rPr>
        <w:t xml:space="preserve"> Méd</w:t>
      </w:r>
      <w:r w:rsidR="00A3573A">
        <w:rPr>
          <w:sz w:val="20"/>
          <w:szCs w:val="20"/>
        </w:rPr>
        <w:t>.</w:t>
      </w:r>
      <w:r>
        <w:rPr>
          <w:sz w:val="20"/>
          <w:szCs w:val="20"/>
        </w:rPr>
        <w:t> ; CAM 1/</w:t>
      </w:r>
      <w:r w:rsidR="00A3573A">
        <w:rPr>
          <w:sz w:val="20"/>
          <w:szCs w:val="20"/>
        </w:rPr>
        <w:t xml:space="preserve">149 : </w:t>
      </w:r>
      <w:r>
        <w:rPr>
          <w:sz w:val="20"/>
          <w:szCs w:val="20"/>
        </w:rPr>
        <w:t>III</w:t>
      </w:r>
      <w:r w:rsidRPr="003952FA">
        <w:rPr>
          <w:sz w:val="20"/>
          <w:szCs w:val="20"/>
          <w:vertAlign w:val="superscript"/>
        </w:rPr>
        <w:t>e</w:t>
      </w:r>
      <w:r>
        <w:rPr>
          <w:sz w:val="20"/>
          <w:szCs w:val="20"/>
        </w:rPr>
        <w:t xml:space="preserve"> </w:t>
      </w:r>
      <w:proofErr w:type="spellStart"/>
      <w:r>
        <w:rPr>
          <w:sz w:val="20"/>
          <w:szCs w:val="20"/>
        </w:rPr>
        <w:t>Myst</w:t>
      </w:r>
      <w:proofErr w:type="spellEnd"/>
      <w:r w:rsidR="00A3573A">
        <w:rPr>
          <w:sz w:val="20"/>
          <w:szCs w:val="20"/>
        </w:rPr>
        <w:t>.</w:t>
      </w:r>
      <w:r>
        <w:rPr>
          <w:sz w:val="20"/>
          <w:szCs w:val="20"/>
        </w:rPr>
        <w:t>, III</w:t>
      </w:r>
      <w:r w:rsidRPr="003952FA">
        <w:rPr>
          <w:sz w:val="20"/>
          <w:szCs w:val="20"/>
          <w:vertAlign w:val="superscript"/>
        </w:rPr>
        <w:t>e</w:t>
      </w:r>
      <w:r>
        <w:rPr>
          <w:sz w:val="20"/>
          <w:szCs w:val="20"/>
        </w:rPr>
        <w:t xml:space="preserve"> Méd</w:t>
      </w:r>
      <w:r w:rsidR="00A3573A">
        <w:rPr>
          <w:sz w:val="20"/>
          <w:szCs w:val="20"/>
        </w:rPr>
        <w:t>.</w:t>
      </w:r>
      <w:r>
        <w:rPr>
          <w:sz w:val="20"/>
          <w:szCs w:val="20"/>
        </w:rPr>
        <w:t>), comme chez Bérulle.</w:t>
      </w:r>
    </w:p>
  </w:footnote>
  <w:footnote w:id="18">
    <w:p w14:paraId="15459C4E" w14:textId="6B34B465" w:rsidR="007F0D3E" w:rsidRPr="005A50F7" w:rsidRDefault="007F0D3E" w:rsidP="005A50F7">
      <w:pPr>
        <w:pStyle w:val="Notedebasdepage"/>
        <w:jc w:val="both"/>
        <w:rPr>
          <w:sz w:val="20"/>
          <w:szCs w:val="20"/>
        </w:rPr>
      </w:pPr>
      <w:r w:rsidRPr="005A50F7">
        <w:rPr>
          <w:rStyle w:val="Appelnotedebasdep"/>
          <w:sz w:val="20"/>
          <w:szCs w:val="20"/>
        </w:rPr>
        <w:footnoteRef/>
      </w:r>
      <w:r>
        <w:rPr>
          <w:sz w:val="20"/>
          <w:szCs w:val="20"/>
        </w:rPr>
        <w:t xml:space="preserve"> Cf.</w:t>
      </w:r>
      <w:r w:rsidRPr="005A50F7">
        <w:rPr>
          <w:sz w:val="20"/>
          <w:szCs w:val="20"/>
        </w:rPr>
        <w:t xml:space="preserve"> </w:t>
      </w:r>
      <w:proofErr w:type="spellStart"/>
      <w:r w:rsidRPr="008D0223">
        <w:rPr>
          <w:smallCaps/>
          <w:sz w:val="20"/>
          <w:szCs w:val="20"/>
        </w:rPr>
        <w:t>Yudistiro</w:t>
      </w:r>
      <w:proofErr w:type="spellEnd"/>
      <w:r>
        <w:rPr>
          <w:sz w:val="20"/>
          <w:szCs w:val="20"/>
        </w:rPr>
        <w:t>, p. 20-38.</w:t>
      </w:r>
    </w:p>
  </w:footnote>
  <w:footnote w:id="19">
    <w:p w14:paraId="32BDDC5D" w14:textId="529022AA" w:rsidR="007F0D3E" w:rsidRPr="00CE3715" w:rsidRDefault="007F0D3E" w:rsidP="00CE3715">
      <w:pPr>
        <w:pStyle w:val="Notedebasdepage"/>
        <w:jc w:val="both"/>
        <w:rPr>
          <w:sz w:val="20"/>
          <w:szCs w:val="20"/>
        </w:rPr>
      </w:pPr>
      <w:r w:rsidRPr="00CE3715">
        <w:rPr>
          <w:rStyle w:val="Appelnotedebasdep"/>
          <w:sz w:val="20"/>
          <w:szCs w:val="20"/>
        </w:rPr>
        <w:footnoteRef/>
      </w:r>
      <w:r w:rsidRPr="00CE3715">
        <w:rPr>
          <w:sz w:val="20"/>
          <w:szCs w:val="20"/>
        </w:rPr>
        <w:t xml:space="preserve"> </w:t>
      </w:r>
      <w:r w:rsidRPr="00CE3715">
        <w:rPr>
          <w:smallCaps/>
          <w:sz w:val="20"/>
          <w:szCs w:val="20"/>
        </w:rPr>
        <w:t>Un Prêtre de l’Oratoire</w:t>
      </w:r>
      <w:r>
        <w:rPr>
          <w:sz w:val="20"/>
          <w:szCs w:val="20"/>
        </w:rPr>
        <w:t xml:space="preserve">, </w:t>
      </w:r>
      <w:r w:rsidRPr="008A53BF">
        <w:rPr>
          <w:i/>
          <w:sz w:val="20"/>
          <w:szCs w:val="20"/>
        </w:rPr>
        <w:t>L’idée du sacerdoce et du sacrifice de Jésus-Christ, donnée par le R.P. De Condren, second Supérieur Général de l’Oratoire de Jésus, avec quelques éclaircissements, et une explication des prières de la messe</w:t>
      </w:r>
      <w:r>
        <w:rPr>
          <w:sz w:val="20"/>
          <w:szCs w:val="20"/>
        </w:rPr>
        <w:t xml:space="preserve">, Paris, Jean-Baptiste </w:t>
      </w:r>
      <w:proofErr w:type="spellStart"/>
      <w:r>
        <w:rPr>
          <w:sz w:val="20"/>
          <w:szCs w:val="20"/>
        </w:rPr>
        <w:t>Coignard</w:t>
      </w:r>
      <w:proofErr w:type="spellEnd"/>
      <w:r>
        <w:rPr>
          <w:sz w:val="20"/>
          <w:szCs w:val="20"/>
        </w:rPr>
        <w:t xml:space="preserve">, 1677 ; cf. </w:t>
      </w:r>
      <w:proofErr w:type="spellStart"/>
      <w:r w:rsidRPr="008D0223">
        <w:rPr>
          <w:smallCaps/>
          <w:sz w:val="20"/>
          <w:szCs w:val="20"/>
        </w:rPr>
        <w:t>Yudistiro</w:t>
      </w:r>
      <w:proofErr w:type="spellEnd"/>
      <w:r>
        <w:rPr>
          <w:sz w:val="20"/>
          <w:szCs w:val="20"/>
        </w:rPr>
        <w:t>, p. 39-73.</w:t>
      </w:r>
    </w:p>
  </w:footnote>
  <w:footnote w:id="20">
    <w:p w14:paraId="480BA076" w14:textId="2F4C627F" w:rsidR="007F0D3E" w:rsidRPr="008452F6" w:rsidRDefault="007F0D3E" w:rsidP="008452F6">
      <w:pPr>
        <w:pStyle w:val="Notedebasdepage"/>
        <w:jc w:val="both"/>
        <w:rPr>
          <w:sz w:val="20"/>
          <w:szCs w:val="20"/>
        </w:rPr>
      </w:pPr>
      <w:r w:rsidRPr="008452F6">
        <w:rPr>
          <w:rStyle w:val="Appelnotedebasdep"/>
          <w:sz w:val="20"/>
          <w:szCs w:val="20"/>
        </w:rPr>
        <w:footnoteRef/>
      </w:r>
      <w:r w:rsidRPr="008452F6">
        <w:rPr>
          <w:sz w:val="20"/>
          <w:szCs w:val="20"/>
        </w:rPr>
        <w:t xml:space="preserve"> </w:t>
      </w:r>
      <w:proofErr w:type="spellStart"/>
      <w:r w:rsidRPr="008D0223">
        <w:rPr>
          <w:smallCaps/>
          <w:sz w:val="20"/>
          <w:szCs w:val="20"/>
        </w:rPr>
        <w:t>Yudistiro</w:t>
      </w:r>
      <w:proofErr w:type="spellEnd"/>
      <w:r>
        <w:rPr>
          <w:sz w:val="20"/>
          <w:szCs w:val="20"/>
        </w:rPr>
        <w:t>, p. 64.</w:t>
      </w:r>
    </w:p>
  </w:footnote>
  <w:footnote w:id="21">
    <w:p w14:paraId="578E4174" w14:textId="76E4AAC3" w:rsidR="007F0D3E" w:rsidRPr="005B078E" w:rsidRDefault="007F0D3E" w:rsidP="005B078E">
      <w:pPr>
        <w:pStyle w:val="Notedebasdepage"/>
        <w:jc w:val="both"/>
        <w:rPr>
          <w:sz w:val="20"/>
          <w:szCs w:val="20"/>
        </w:rPr>
      </w:pPr>
      <w:r w:rsidRPr="005B078E">
        <w:rPr>
          <w:rStyle w:val="Appelnotedebasdep"/>
          <w:sz w:val="20"/>
          <w:szCs w:val="20"/>
        </w:rPr>
        <w:footnoteRef/>
      </w:r>
      <w:r w:rsidRPr="005B078E">
        <w:rPr>
          <w:sz w:val="20"/>
          <w:szCs w:val="20"/>
        </w:rPr>
        <w:t xml:space="preserve"> </w:t>
      </w:r>
      <w:r w:rsidRPr="00CE3715">
        <w:rPr>
          <w:smallCaps/>
          <w:sz w:val="20"/>
          <w:szCs w:val="20"/>
        </w:rPr>
        <w:t>Un Prêtre de l’Oratoire</w:t>
      </w:r>
      <w:r>
        <w:rPr>
          <w:sz w:val="20"/>
          <w:szCs w:val="20"/>
        </w:rPr>
        <w:t xml:space="preserve">, </w:t>
      </w:r>
      <w:r w:rsidRPr="008A53BF">
        <w:rPr>
          <w:i/>
          <w:sz w:val="20"/>
          <w:szCs w:val="20"/>
        </w:rPr>
        <w:t>L’idée du sacerdoce et du sacrifice de Jésus-Christ</w:t>
      </w:r>
      <w:r w:rsidRPr="005B078E">
        <w:rPr>
          <w:sz w:val="20"/>
          <w:szCs w:val="20"/>
        </w:rPr>
        <w:t>,</w:t>
      </w:r>
      <w:r>
        <w:rPr>
          <w:i/>
          <w:sz w:val="20"/>
          <w:szCs w:val="20"/>
        </w:rPr>
        <w:t xml:space="preserve"> op. </w:t>
      </w:r>
      <w:proofErr w:type="spellStart"/>
      <w:proofErr w:type="gramStart"/>
      <w:r>
        <w:rPr>
          <w:i/>
          <w:sz w:val="20"/>
          <w:szCs w:val="20"/>
        </w:rPr>
        <w:t>cit</w:t>
      </w:r>
      <w:proofErr w:type="spellEnd"/>
      <w:proofErr w:type="gramEnd"/>
      <w:r>
        <w:rPr>
          <w:i/>
          <w:sz w:val="20"/>
          <w:szCs w:val="20"/>
        </w:rPr>
        <w:t>.</w:t>
      </w:r>
      <w:r w:rsidRPr="005B078E">
        <w:rPr>
          <w:sz w:val="20"/>
          <w:szCs w:val="20"/>
        </w:rPr>
        <w:t>,</w:t>
      </w:r>
      <w:r>
        <w:rPr>
          <w:sz w:val="20"/>
          <w:szCs w:val="20"/>
        </w:rPr>
        <w:t xml:space="preserve"> p. 86-87, cité dans </w:t>
      </w:r>
      <w:proofErr w:type="spellStart"/>
      <w:r w:rsidRPr="008D0223">
        <w:rPr>
          <w:smallCaps/>
          <w:sz w:val="20"/>
          <w:szCs w:val="20"/>
        </w:rPr>
        <w:t>Yudistiro</w:t>
      </w:r>
      <w:proofErr w:type="spellEnd"/>
      <w:r>
        <w:rPr>
          <w:sz w:val="20"/>
          <w:szCs w:val="20"/>
        </w:rPr>
        <w:t>, p. 64-65.</w:t>
      </w:r>
    </w:p>
  </w:footnote>
  <w:footnote w:id="22">
    <w:p w14:paraId="176EEEE3" w14:textId="610BBCD3" w:rsidR="007F0D3E" w:rsidRPr="003F1344" w:rsidRDefault="007F0D3E" w:rsidP="003F1344">
      <w:pPr>
        <w:pStyle w:val="Notedebasdepage"/>
        <w:jc w:val="both"/>
        <w:rPr>
          <w:sz w:val="20"/>
          <w:szCs w:val="20"/>
        </w:rPr>
      </w:pPr>
      <w:r w:rsidRPr="003F1344">
        <w:rPr>
          <w:rStyle w:val="Appelnotedebasdep"/>
          <w:sz w:val="20"/>
          <w:szCs w:val="20"/>
        </w:rPr>
        <w:footnoteRef/>
      </w:r>
      <w:r w:rsidRPr="003F1344">
        <w:rPr>
          <w:sz w:val="20"/>
          <w:szCs w:val="20"/>
        </w:rPr>
        <w:t xml:space="preserve"> </w:t>
      </w:r>
      <w:r>
        <w:rPr>
          <w:sz w:val="20"/>
          <w:szCs w:val="20"/>
        </w:rPr>
        <w:t>CAM 1/</w:t>
      </w:r>
      <w:r w:rsidR="0075122B">
        <w:rPr>
          <w:sz w:val="20"/>
          <w:szCs w:val="20"/>
        </w:rPr>
        <w:t xml:space="preserve">97 : </w:t>
      </w:r>
      <w:r>
        <w:rPr>
          <w:sz w:val="20"/>
          <w:szCs w:val="20"/>
        </w:rPr>
        <w:t>II</w:t>
      </w:r>
      <w:r w:rsidRPr="003F1344">
        <w:rPr>
          <w:sz w:val="20"/>
          <w:szCs w:val="20"/>
          <w:vertAlign w:val="superscript"/>
        </w:rPr>
        <w:t>e</w:t>
      </w:r>
      <w:r>
        <w:rPr>
          <w:sz w:val="20"/>
          <w:szCs w:val="20"/>
        </w:rPr>
        <w:t xml:space="preserve"> </w:t>
      </w:r>
      <w:proofErr w:type="spellStart"/>
      <w:r>
        <w:rPr>
          <w:sz w:val="20"/>
          <w:szCs w:val="20"/>
        </w:rPr>
        <w:t>Myst</w:t>
      </w:r>
      <w:proofErr w:type="spellEnd"/>
      <w:r w:rsidR="0075122B">
        <w:rPr>
          <w:sz w:val="20"/>
          <w:szCs w:val="20"/>
        </w:rPr>
        <w:t>.</w:t>
      </w:r>
      <w:r>
        <w:rPr>
          <w:sz w:val="20"/>
          <w:szCs w:val="20"/>
        </w:rPr>
        <w:t>, III</w:t>
      </w:r>
      <w:r w:rsidRPr="003F1344">
        <w:rPr>
          <w:sz w:val="20"/>
          <w:szCs w:val="20"/>
          <w:vertAlign w:val="superscript"/>
        </w:rPr>
        <w:t>e</w:t>
      </w:r>
      <w:r>
        <w:rPr>
          <w:sz w:val="20"/>
          <w:szCs w:val="20"/>
        </w:rPr>
        <w:t xml:space="preserve"> Méd.</w:t>
      </w:r>
    </w:p>
  </w:footnote>
  <w:footnote w:id="23">
    <w:p w14:paraId="57642F22" w14:textId="1D1CB7F6" w:rsidR="007F0D3E" w:rsidRPr="008B4BC0" w:rsidRDefault="007F0D3E" w:rsidP="008B4BC0">
      <w:pPr>
        <w:pStyle w:val="Notedebasdepage"/>
        <w:jc w:val="both"/>
        <w:rPr>
          <w:sz w:val="20"/>
          <w:szCs w:val="20"/>
        </w:rPr>
      </w:pPr>
      <w:r w:rsidRPr="008B4BC0">
        <w:rPr>
          <w:rStyle w:val="Appelnotedebasdep"/>
          <w:sz w:val="20"/>
          <w:szCs w:val="20"/>
        </w:rPr>
        <w:footnoteRef/>
      </w:r>
      <w:r w:rsidRPr="008B4BC0">
        <w:rPr>
          <w:sz w:val="20"/>
          <w:szCs w:val="20"/>
        </w:rPr>
        <w:t xml:space="preserve"> </w:t>
      </w:r>
      <w:r w:rsidR="0075122B" w:rsidRPr="0075122B">
        <w:rPr>
          <w:i/>
          <w:sz w:val="20"/>
          <w:szCs w:val="20"/>
        </w:rPr>
        <w:t>Ibid</w:t>
      </w:r>
      <w:r w:rsidR="0075122B">
        <w:rPr>
          <w:sz w:val="20"/>
          <w:szCs w:val="20"/>
        </w:rPr>
        <w:t>.</w:t>
      </w:r>
    </w:p>
  </w:footnote>
  <w:footnote w:id="24">
    <w:p w14:paraId="5ABAFDF6" w14:textId="3D216EEB" w:rsidR="007F0D3E" w:rsidRPr="00345F11" w:rsidRDefault="007F0D3E" w:rsidP="00345F11">
      <w:pPr>
        <w:pStyle w:val="Notedebasdepage"/>
        <w:jc w:val="both"/>
        <w:rPr>
          <w:sz w:val="20"/>
          <w:szCs w:val="20"/>
        </w:rPr>
      </w:pPr>
      <w:r w:rsidRPr="00345F11">
        <w:rPr>
          <w:rStyle w:val="Appelnotedebasdep"/>
          <w:sz w:val="20"/>
          <w:szCs w:val="20"/>
        </w:rPr>
        <w:footnoteRef/>
      </w:r>
      <w:r w:rsidRPr="00345F11">
        <w:rPr>
          <w:sz w:val="20"/>
          <w:szCs w:val="20"/>
        </w:rPr>
        <w:t xml:space="preserve"> </w:t>
      </w:r>
      <w:r>
        <w:rPr>
          <w:sz w:val="20"/>
          <w:szCs w:val="20"/>
        </w:rPr>
        <w:t>CAM 1/</w:t>
      </w:r>
      <w:r w:rsidR="009A1A99">
        <w:rPr>
          <w:sz w:val="20"/>
          <w:szCs w:val="20"/>
        </w:rPr>
        <w:t xml:space="preserve">120 : </w:t>
      </w:r>
      <w:r>
        <w:rPr>
          <w:sz w:val="20"/>
          <w:szCs w:val="20"/>
        </w:rPr>
        <w:t>II</w:t>
      </w:r>
      <w:r w:rsidRPr="003F1344">
        <w:rPr>
          <w:sz w:val="20"/>
          <w:szCs w:val="20"/>
          <w:vertAlign w:val="superscript"/>
        </w:rPr>
        <w:t>e</w:t>
      </w:r>
      <w:r>
        <w:rPr>
          <w:sz w:val="20"/>
          <w:szCs w:val="20"/>
        </w:rPr>
        <w:t xml:space="preserve"> </w:t>
      </w:r>
      <w:proofErr w:type="spellStart"/>
      <w:r>
        <w:rPr>
          <w:sz w:val="20"/>
          <w:szCs w:val="20"/>
        </w:rPr>
        <w:t>Myst</w:t>
      </w:r>
      <w:proofErr w:type="spellEnd"/>
      <w:r w:rsidR="009A1A99">
        <w:rPr>
          <w:sz w:val="20"/>
          <w:szCs w:val="20"/>
        </w:rPr>
        <w:t>.</w:t>
      </w:r>
      <w:r>
        <w:rPr>
          <w:sz w:val="20"/>
          <w:szCs w:val="20"/>
        </w:rPr>
        <w:t>, VI</w:t>
      </w:r>
      <w:r w:rsidRPr="003F1344">
        <w:rPr>
          <w:sz w:val="20"/>
          <w:szCs w:val="20"/>
          <w:vertAlign w:val="superscript"/>
        </w:rPr>
        <w:t>e</w:t>
      </w:r>
      <w:r>
        <w:rPr>
          <w:sz w:val="20"/>
          <w:szCs w:val="20"/>
        </w:rPr>
        <w:t xml:space="preserve"> Méd.</w:t>
      </w:r>
    </w:p>
  </w:footnote>
  <w:footnote w:id="25">
    <w:p w14:paraId="50EED7E8" w14:textId="3A2149D5" w:rsidR="00DB6513" w:rsidRPr="00DB6513" w:rsidRDefault="00DB6513" w:rsidP="00DB6513">
      <w:pPr>
        <w:pStyle w:val="Notedebasdepage"/>
        <w:jc w:val="both"/>
        <w:rPr>
          <w:sz w:val="20"/>
          <w:szCs w:val="20"/>
        </w:rPr>
      </w:pPr>
      <w:r w:rsidRPr="00DB6513">
        <w:rPr>
          <w:rStyle w:val="Appelnotedebasdep"/>
          <w:sz w:val="20"/>
          <w:szCs w:val="20"/>
        </w:rPr>
        <w:footnoteRef/>
      </w:r>
      <w:r w:rsidRPr="00DB6513">
        <w:rPr>
          <w:sz w:val="20"/>
          <w:szCs w:val="20"/>
        </w:rPr>
        <w:t xml:space="preserve"> </w:t>
      </w:r>
      <w:r>
        <w:rPr>
          <w:sz w:val="20"/>
          <w:szCs w:val="20"/>
        </w:rPr>
        <w:t>CAM 1/</w:t>
      </w:r>
      <w:r w:rsidR="009A1A99">
        <w:rPr>
          <w:sz w:val="20"/>
          <w:szCs w:val="20"/>
        </w:rPr>
        <w:t xml:space="preserve">133 : </w:t>
      </w:r>
      <w:r>
        <w:rPr>
          <w:sz w:val="20"/>
          <w:szCs w:val="20"/>
        </w:rPr>
        <w:t>III</w:t>
      </w:r>
      <w:r w:rsidRPr="003F1344">
        <w:rPr>
          <w:sz w:val="20"/>
          <w:szCs w:val="20"/>
          <w:vertAlign w:val="superscript"/>
        </w:rPr>
        <w:t>e</w:t>
      </w:r>
      <w:r>
        <w:rPr>
          <w:sz w:val="20"/>
          <w:szCs w:val="20"/>
        </w:rPr>
        <w:t xml:space="preserve"> </w:t>
      </w:r>
      <w:proofErr w:type="spellStart"/>
      <w:r>
        <w:rPr>
          <w:sz w:val="20"/>
          <w:szCs w:val="20"/>
        </w:rPr>
        <w:t>Myst</w:t>
      </w:r>
      <w:proofErr w:type="spellEnd"/>
      <w:r w:rsidR="009A1A99">
        <w:rPr>
          <w:sz w:val="20"/>
          <w:szCs w:val="20"/>
        </w:rPr>
        <w:t>.</w:t>
      </w:r>
      <w:r>
        <w:rPr>
          <w:sz w:val="20"/>
          <w:szCs w:val="20"/>
        </w:rPr>
        <w:t>, II</w:t>
      </w:r>
      <w:r w:rsidRPr="003F1344">
        <w:rPr>
          <w:sz w:val="20"/>
          <w:szCs w:val="20"/>
          <w:vertAlign w:val="superscript"/>
        </w:rPr>
        <w:t>e</w:t>
      </w:r>
      <w:r w:rsidR="009A1A99">
        <w:rPr>
          <w:sz w:val="20"/>
          <w:szCs w:val="20"/>
        </w:rPr>
        <w:t xml:space="preserve"> Méd</w:t>
      </w:r>
      <w:r>
        <w:rPr>
          <w:sz w:val="20"/>
          <w:szCs w:val="20"/>
        </w:rPr>
        <w:t>.</w:t>
      </w:r>
    </w:p>
  </w:footnote>
  <w:footnote w:id="26">
    <w:p w14:paraId="2AF625FE" w14:textId="38CB5436" w:rsidR="00007143" w:rsidRPr="00007143" w:rsidRDefault="00007143" w:rsidP="00007143">
      <w:pPr>
        <w:pStyle w:val="Notedebasdepage"/>
        <w:jc w:val="both"/>
        <w:rPr>
          <w:sz w:val="20"/>
          <w:szCs w:val="20"/>
        </w:rPr>
      </w:pPr>
      <w:r w:rsidRPr="00007143">
        <w:rPr>
          <w:rStyle w:val="Appelnotedebasdep"/>
          <w:sz w:val="20"/>
          <w:szCs w:val="20"/>
        </w:rPr>
        <w:footnoteRef/>
      </w:r>
      <w:r w:rsidRPr="00007143">
        <w:rPr>
          <w:sz w:val="20"/>
          <w:szCs w:val="20"/>
        </w:rPr>
        <w:t xml:space="preserve"> </w:t>
      </w:r>
      <w:r>
        <w:rPr>
          <w:sz w:val="20"/>
          <w:szCs w:val="20"/>
        </w:rPr>
        <w:t>CAM 1/</w:t>
      </w:r>
      <w:r w:rsidR="009A1A99">
        <w:rPr>
          <w:sz w:val="20"/>
          <w:szCs w:val="20"/>
        </w:rPr>
        <w:t xml:space="preserve">151 : </w:t>
      </w:r>
      <w:r>
        <w:rPr>
          <w:sz w:val="20"/>
          <w:szCs w:val="20"/>
        </w:rPr>
        <w:t>III</w:t>
      </w:r>
      <w:r w:rsidRPr="003F1344">
        <w:rPr>
          <w:sz w:val="20"/>
          <w:szCs w:val="20"/>
          <w:vertAlign w:val="superscript"/>
        </w:rPr>
        <w:t>e</w:t>
      </w:r>
      <w:r>
        <w:rPr>
          <w:sz w:val="20"/>
          <w:szCs w:val="20"/>
        </w:rPr>
        <w:t xml:space="preserve"> </w:t>
      </w:r>
      <w:proofErr w:type="spellStart"/>
      <w:r>
        <w:rPr>
          <w:sz w:val="20"/>
          <w:szCs w:val="20"/>
        </w:rPr>
        <w:t>Myst</w:t>
      </w:r>
      <w:proofErr w:type="spellEnd"/>
      <w:r w:rsidR="009A1A99">
        <w:rPr>
          <w:sz w:val="20"/>
          <w:szCs w:val="20"/>
        </w:rPr>
        <w:t>.</w:t>
      </w:r>
      <w:r>
        <w:rPr>
          <w:sz w:val="20"/>
          <w:szCs w:val="20"/>
        </w:rPr>
        <w:t>, III</w:t>
      </w:r>
      <w:r w:rsidRPr="003F1344">
        <w:rPr>
          <w:sz w:val="20"/>
          <w:szCs w:val="20"/>
          <w:vertAlign w:val="superscript"/>
        </w:rPr>
        <w:t>e</w:t>
      </w:r>
      <w:r>
        <w:rPr>
          <w:sz w:val="20"/>
          <w:szCs w:val="20"/>
        </w:rPr>
        <w:t xml:space="preserve"> Méd.</w:t>
      </w:r>
    </w:p>
  </w:footnote>
  <w:footnote w:id="27">
    <w:p w14:paraId="4DEAFBC4" w14:textId="359A3DB9" w:rsidR="00F028D2" w:rsidRPr="00F028D2" w:rsidRDefault="00F028D2" w:rsidP="00F028D2">
      <w:pPr>
        <w:pStyle w:val="Notedebasdepage"/>
        <w:jc w:val="both"/>
        <w:rPr>
          <w:sz w:val="20"/>
          <w:szCs w:val="20"/>
        </w:rPr>
      </w:pPr>
      <w:r w:rsidRPr="00F028D2">
        <w:rPr>
          <w:rStyle w:val="Appelnotedebasdep"/>
          <w:sz w:val="20"/>
          <w:szCs w:val="20"/>
        </w:rPr>
        <w:footnoteRef/>
      </w:r>
      <w:r w:rsidRPr="00F028D2">
        <w:rPr>
          <w:sz w:val="20"/>
          <w:szCs w:val="20"/>
        </w:rPr>
        <w:t xml:space="preserve"> </w:t>
      </w:r>
      <w:r w:rsidR="00007143">
        <w:rPr>
          <w:sz w:val="20"/>
          <w:szCs w:val="20"/>
        </w:rPr>
        <w:t>CAM 1/</w:t>
      </w:r>
      <w:r w:rsidR="009A1A99">
        <w:rPr>
          <w:sz w:val="20"/>
          <w:szCs w:val="20"/>
        </w:rPr>
        <w:t>137 : I</w:t>
      </w:r>
      <w:r w:rsidR="00007143">
        <w:rPr>
          <w:sz w:val="20"/>
          <w:szCs w:val="20"/>
        </w:rPr>
        <w:t>II</w:t>
      </w:r>
      <w:r w:rsidR="00007143" w:rsidRPr="003F1344">
        <w:rPr>
          <w:sz w:val="20"/>
          <w:szCs w:val="20"/>
          <w:vertAlign w:val="superscript"/>
        </w:rPr>
        <w:t>e</w:t>
      </w:r>
      <w:r w:rsidR="00007143">
        <w:rPr>
          <w:sz w:val="20"/>
          <w:szCs w:val="20"/>
        </w:rPr>
        <w:t xml:space="preserve"> </w:t>
      </w:r>
      <w:proofErr w:type="spellStart"/>
      <w:r w:rsidR="00007143">
        <w:rPr>
          <w:sz w:val="20"/>
          <w:szCs w:val="20"/>
        </w:rPr>
        <w:t>Myst</w:t>
      </w:r>
      <w:proofErr w:type="spellEnd"/>
      <w:r w:rsidR="001A231E">
        <w:rPr>
          <w:sz w:val="20"/>
          <w:szCs w:val="20"/>
        </w:rPr>
        <w:t>.</w:t>
      </w:r>
      <w:r w:rsidR="00007143">
        <w:rPr>
          <w:sz w:val="20"/>
          <w:szCs w:val="20"/>
        </w:rPr>
        <w:t>, II</w:t>
      </w:r>
      <w:r w:rsidR="00007143" w:rsidRPr="003F1344">
        <w:rPr>
          <w:sz w:val="20"/>
          <w:szCs w:val="20"/>
          <w:vertAlign w:val="superscript"/>
        </w:rPr>
        <w:t>e</w:t>
      </w:r>
      <w:r w:rsidR="00007143">
        <w:rPr>
          <w:sz w:val="20"/>
          <w:szCs w:val="20"/>
        </w:rPr>
        <w:t xml:space="preserve"> Méd</w:t>
      </w:r>
      <w:r>
        <w:rPr>
          <w:sz w:val="20"/>
          <w:szCs w:val="20"/>
        </w:rPr>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0CF49" w14:textId="77777777" w:rsidR="007F0D3E" w:rsidRDefault="007F0D3E" w:rsidP="007F0D3E">
    <w:pPr>
      <w:pStyle w:val="En-tt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5D3D0BBE" w14:textId="77777777" w:rsidR="007F0D3E" w:rsidRDefault="007F0D3E" w:rsidP="007F0D3E">
    <w:pPr>
      <w:pStyle w:val="En-tte"/>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7D11E" w14:textId="77777777" w:rsidR="007F0D3E" w:rsidRDefault="007F0D3E" w:rsidP="007F0D3E">
    <w:pPr>
      <w:pStyle w:val="En-tt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445ED3">
      <w:rPr>
        <w:rStyle w:val="Numrodepage"/>
        <w:noProof/>
      </w:rPr>
      <w:t>8</w:t>
    </w:r>
    <w:r>
      <w:rPr>
        <w:rStyle w:val="Numrodepage"/>
      </w:rPr>
      <w:fldChar w:fldCharType="end"/>
    </w:r>
  </w:p>
  <w:p w14:paraId="6A5E3553" w14:textId="77777777" w:rsidR="007F0D3E" w:rsidRDefault="007F0D3E" w:rsidP="007F0D3E">
    <w:pPr>
      <w:pStyle w:val="En-tte"/>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2A2B"/>
    <w:multiLevelType w:val="hybridMultilevel"/>
    <w:tmpl w:val="CB366378"/>
    <w:lvl w:ilvl="0" w:tplc="FF2A7F8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972"/>
    <w:rsid w:val="00004607"/>
    <w:rsid w:val="00005243"/>
    <w:rsid w:val="00007143"/>
    <w:rsid w:val="000108EB"/>
    <w:rsid w:val="00013504"/>
    <w:rsid w:val="000176EC"/>
    <w:rsid w:val="0003777C"/>
    <w:rsid w:val="00037EBD"/>
    <w:rsid w:val="00060082"/>
    <w:rsid w:val="0008718F"/>
    <w:rsid w:val="000901AF"/>
    <w:rsid w:val="00090555"/>
    <w:rsid w:val="000A5902"/>
    <w:rsid w:val="000A7F85"/>
    <w:rsid w:val="000B496E"/>
    <w:rsid w:val="000D46EB"/>
    <w:rsid w:val="000E2929"/>
    <w:rsid w:val="000F72D4"/>
    <w:rsid w:val="000F7A5F"/>
    <w:rsid w:val="00104360"/>
    <w:rsid w:val="00104909"/>
    <w:rsid w:val="001227D5"/>
    <w:rsid w:val="00135CCB"/>
    <w:rsid w:val="00146CA3"/>
    <w:rsid w:val="0015686B"/>
    <w:rsid w:val="00157AD2"/>
    <w:rsid w:val="00170597"/>
    <w:rsid w:val="0018128A"/>
    <w:rsid w:val="00183B4A"/>
    <w:rsid w:val="00185309"/>
    <w:rsid w:val="00193044"/>
    <w:rsid w:val="001A0063"/>
    <w:rsid w:val="001A16C0"/>
    <w:rsid w:val="001A231E"/>
    <w:rsid w:val="001A5C18"/>
    <w:rsid w:val="001E2CBE"/>
    <w:rsid w:val="001E59D4"/>
    <w:rsid w:val="001E7016"/>
    <w:rsid w:val="001F10B0"/>
    <w:rsid w:val="001F60B1"/>
    <w:rsid w:val="00202622"/>
    <w:rsid w:val="00203CD4"/>
    <w:rsid w:val="00205A93"/>
    <w:rsid w:val="002076DF"/>
    <w:rsid w:val="002152E5"/>
    <w:rsid w:val="00215673"/>
    <w:rsid w:val="00230681"/>
    <w:rsid w:val="002328F3"/>
    <w:rsid w:val="00253C4A"/>
    <w:rsid w:val="00263CAE"/>
    <w:rsid w:val="0027767C"/>
    <w:rsid w:val="002841F9"/>
    <w:rsid w:val="0028667E"/>
    <w:rsid w:val="0029115A"/>
    <w:rsid w:val="002A0090"/>
    <w:rsid w:val="002C08AE"/>
    <w:rsid w:val="002C574E"/>
    <w:rsid w:val="002D0F3E"/>
    <w:rsid w:val="002D43A4"/>
    <w:rsid w:val="002E137A"/>
    <w:rsid w:val="002E24F3"/>
    <w:rsid w:val="002F6D9B"/>
    <w:rsid w:val="00300C5A"/>
    <w:rsid w:val="00302411"/>
    <w:rsid w:val="00304933"/>
    <w:rsid w:val="0030783A"/>
    <w:rsid w:val="0031098D"/>
    <w:rsid w:val="00320342"/>
    <w:rsid w:val="00325C91"/>
    <w:rsid w:val="0032798E"/>
    <w:rsid w:val="00336D3C"/>
    <w:rsid w:val="00345F11"/>
    <w:rsid w:val="00357892"/>
    <w:rsid w:val="00362079"/>
    <w:rsid w:val="00363ABF"/>
    <w:rsid w:val="003641AD"/>
    <w:rsid w:val="00372B3B"/>
    <w:rsid w:val="00373331"/>
    <w:rsid w:val="003903FC"/>
    <w:rsid w:val="003905E6"/>
    <w:rsid w:val="00390A53"/>
    <w:rsid w:val="003952FA"/>
    <w:rsid w:val="003A03CF"/>
    <w:rsid w:val="003A6F94"/>
    <w:rsid w:val="003A7652"/>
    <w:rsid w:val="003B4243"/>
    <w:rsid w:val="003B4B26"/>
    <w:rsid w:val="003C379E"/>
    <w:rsid w:val="003C5741"/>
    <w:rsid w:val="003D5D90"/>
    <w:rsid w:val="003E0B1C"/>
    <w:rsid w:val="003E4CEA"/>
    <w:rsid w:val="003F1344"/>
    <w:rsid w:val="003F5975"/>
    <w:rsid w:val="004074C8"/>
    <w:rsid w:val="00413CB4"/>
    <w:rsid w:val="00417069"/>
    <w:rsid w:val="0041791F"/>
    <w:rsid w:val="0042750C"/>
    <w:rsid w:val="00430B5B"/>
    <w:rsid w:val="00432A22"/>
    <w:rsid w:val="0043570B"/>
    <w:rsid w:val="004360FD"/>
    <w:rsid w:val="00445ED3"/>
    <w:rsid w:val="00450202"/>
    <w:rsid w:val="00451799"/>
    <w:rsid w:val="0045293C"/>
    <w:rsid w:val="00460C1E"/>
    <w:rsid w:val="0046638D"/>
    <w:rsid w:val="00466AE6"/>
    <w:rsid w:val="004766EB"/>
    <w:rsid w:val="00483B62"/>
    <w:rsid w:val="004A2D36"/>
    <w:rsid w:val="004A78C8"/>
    <w:rsid w:val="004C0C2F"/>
    <w:rsid w:val="004C7A57"/>
    <w:rsid w:val="004D4F31"/>
    <w:rsid w:val="004E75D7"/>
    <w:rsid w:val="004F26D4"/>
    <w:rsid w:val="004F3DD3"/>
    <w:rsid w:val="004F5229"/>
    <w:rsid w:val="004F6732"/>
    <w:rsid w:val="004F7DA5"/>
    <w:rsid w:val="00505A0C"/>
    <w:rsid w:val="00506A35"/>
    <w:rsid w:val="005230B7"/>
    <w:rsid w:val="00524E2D"/>
    <w:rsid w:val="00525BC0"/>
    <w:rsid w:val="005304CB"/>
    <w:rsid w:val="00534AAB"/>
    <w:rsid w:val="0053704A"/>
    <w:rsid w:val="005513A3"/>
    <w:rsid w:val="00554D0B"/>
    <w:rsid w:val="00582A64"/>
    <w:rsid w:val="00587F95"/>
    <w:rsid w:val="005937A5"/>
    <w:rsid w:val="00593B78"/>
    <w:rsid w:val="005956EF"/>
    <w:rsid w:val="005A2F03"/>
    <w:rsid w:val="005A50F7"/>
    <w:rsid w:val="005B078E"/>
    <w:rsid w:val="005B6D96"/>
    <w:rsid w:val="005B6F33"/>
    <w:rsid w:val="005C329D"/>
    <w:rsid w:val="005C395A"/>
    <w:rsid w:val="005C4281"/>
    <w:rsid w:val="005D6B51"/>
    <w:rsid w:val="005D7A85"/>
    <w:rsid w:val="005E159A"/>
    <w:rsid w:val="005F26A5"/>
    <w:rsid w:val="005F53A5"/>
    <w:rsid w:val="0060358F"/>
    <w:rsid w:val="00614667"/>
    <w:rsid w:val="00621DB4"/>
    <w:rsid w:val="00624326"/>
    <w:rsid w:val="006429FC"/>
    <w:rsid w:val="0064792E"/>
    <w:rsid w:val="006527AA"/>
    <w:rsid w:val="006540A1"/>
    <w:rsid w:val="00655ABD"/>
    <w:rsid w:val="006813D5"/>
    <w:rsid w:val="006A57A2"/>
    <w:rsid w:val="006B6D88"/>
    <w:rsid w:val="006D5449"/>
    <w:rsid w:val="006D7D07"/>
    <w:rsid w:val="006E43C6"/>
    <w:rsid w:val="006F132E"/>
    <w:rsid w:val="0071384C"/>
    <w:rsid w:val="00713893"/>
    <w:rsid w:val="007150A0"/>
    <w:rsid w:val="00723F20"/>
    <w:rsid w:val="00724282"/>
    <w:rsid w:val="00724B65"/>
    <w:rsid w:val="00730399"/>
    <w:rsid w:val="0073137F"/>
    <w:rsid w:val="00735A73"/>
    <w:rsid w:val="0075122B"/>
    <w:rsid w:val="00767BDE"/>
    <w:rsid w:val="00774DD9"/>
    <w:rsid w:val="00776595"/>
    <w:rsid w:val="00777D9A"/>
    <w:rsid w:val="007802EB"/>
    <w:rsid w:val="00785B2E"/>
    <w:rsid w:val="007933CD"/>
    <w:rsid w:val="0079650C"/>
    <w:rsid w:val="007A2C8D"/>
    <w:rsid w:val="007A5D94"/>
    <w:rsid w:val="007B453F"/>
    <w:rsid w:val="007B56B0"/>
    <w:rsid w:val="007C4D65"/>
    <w:rsid w:val="007E595D"/>
    <w:rsid w:val="007F0D3E"/>
    <w:rsid w:val="00805912"/>
    <w:rsid w:val="00815EE7"/>
    <w:rsid w:val="0082211C"/>
    <w:rsid w:val="00823B20"/>
    <w:rsid w:val="00833390"/>
    <w:rsid w:val="00844D88"/>
    <w:rsid w:val="008452F6"/>
    <w:rsid w:val="0084616B"/>
    <w:rsid w:val="00853F79"/>
    <w:rsid w:val="0086238F"/>
    <w:rsid w:val="00870D02"/>
    <w:rsid w:val="008777AB"/>
    <w:rsid w:val="00882DEB"/>
    <w:rsid w:val="00883D89"/>
    <w:rsid w:val="00892A11"/>
    <w:rsid w:val="008A2119"/>
    <w:rsid w:val="008A32E0"/>
    <w:rsid w:val="008A53BF"/>
    <w:rsid w:val="008A5AC0"/>
    <w:rsid w:val="008B4BC0"/>
    <w:rsid w:val="008C54F4"/>
    <w:rsid w:val="008D0223"/>
    <w:rsid w:val="009037E4"/>
    <w:rsid w:val="00924129"/>
    <w:rsid w:val="00924D02"/>
    <w:rsid w:val="00933085"/>
    <w:rsid w:val="00935F45"/>
    <w:rsid w:val="0093744B"/>
    <w:rsid w:val="00956940"/>
    <w:rsid w:val="009627A1"/>
    <w:rsid w:val="009955A9"/>
    <w:rsid w:val="00997A2B"/>
    <w:rsid w:val="009A1A99"/>
    <w:rsid w:val="009A260B"/>
    <w:rsid w:val="009A527E"/>
    <w:rsid w:val="009A7506"/>
    <w:rsid w:val="009A7BBF"/>
    <w:rsid w:val="009C1B0D"/>
    <w:rsid w:val="009C1F8A"/>
    <w:rsid w:val="009D7FA8"/>
    <w:rsid w:val="00A0048C"/>
    <w:rsid w:val="00A1555B"/>
    <w:rsid w:val="00A233FB"/>
    <w:rsid w:val="00A27D34"/>
    <w:rsid w:val="00A3573A"/>
    <w:rsid w:val="00A37587"/>
    <w:rsid w:val="00A563DD"/>
    <w:rsid w:val="00A606E9"/>
    <w:rsid w:val="00A63FAF"/>
    <w:rsid w:val="00A66147"/>
    <w:rsid w:val="00A71168"/>
    <w:rsid w:val="00A7173C"/>
    <w:rsid w:val="00A737EB"/>
    <w:rsid w:val="00A76D5F"/>
    <w:rsid w:val="00A92053"/>
    <w:rsid w:val="00A925C0"/>
    <w:rsid w:val="00A95369"/>
    <w:rsid w:val="00AB1B55"/>
    <w:rsid w:val="00AC3E84"/>
    <w:rsid w:val="00AC5564"/>
    <w:rsid w:val="00AD1DEF"/>
    <w:rsid w:val="00AD5B43"/>
    <w:rsid w:val="00AF4F3B"/>
    <w:rsid w:val="00B0726B"/>
    <w:rsid w:val="00B07C25"/>
    <w:rsid w:val="00B17265"/>
    <w:rsid w:val="00B27FDE"/>
    <w:rsid w:val="00B340F8"/>
    <w:rsid w:val="00B55FBA"/>
    <w:rsid w:val="00B63F5E"/>
    <w:rsid w:val="00B66308"/>
    <w:rsid w:val="00B707D3"/>
    <w:rsid w:val="00B8402E"/>
    <w:rsid w:val="00BA1BA7"/>
    <w:rsid w:val="00BB7BD8"/>
    <w:rsid w:val="00BD6C7A"/>
    <w:rsid w:val="00BF70DF"/>
    <w:rsid w:val="00C04CA8"/>
    <w:rsid w:val="00C04F56"/>
    <w:rsid w:val="00C11843"/>
    <w:rsid w:val="00C13C76"/>
    <w:rsid w:val="00C31BE1"/>
    <w:rsid w:val="00C45D4D"/>
    <w:rsid w:val="00C51898"/>
    <w:rsid w:val="00C605F7"/>
    <w:rsid w:val="00C63115"/>
    <w:rsid w:val="00C90E69"/>
    <w:rsid w:val="00C97701"/>
    <w:rsid w:val="00CA0E95"/>
    <w:rsid w:val="00CA1033"/>
    <w:rsid w:val="00CA225E"/>
    <w:rsid w:val="00CB44B9"/>
    <w:rsid w:val="00CC4DC0"/>
    <w:rsid w:val="00CD4B7D"/>
    <w:rsid w:val="00CE3715"/>
    <w:rsid w:val="00CE4C54"/>
    <w:rsid w:val="00CF324F"/>
    <w:rsid w:val="00CF509D"/>
    <w:rsid w:val="00CF53BD"/>
    <w:rsid w:val="00D12E2D"/>
    <w:rsid w:val="00D133DB"/>
    <w:rsid w:val="00D17F54"/>
    <w:rsid w:val="00D250DA"/>
    <w:rsid w:val="00D26498"/>
    <w:rsid w:val="00D40F1C"/>
    <w:rsid w:val="00D4698E"/>
    <w:rsid w:val="00D471A0"/>
    <w:rsid w:val="00D55AF1"/>
    <w:rsid w:val="00D70877"/>
    <w:rsid w:val="00D76FAE"/>
    <w:rsid w:val="00D8393B"/>
    <w:rsid w:val="00D85662"/>
    <w:rsid w:val="00D93CA7"/>
    <w:rsid w:val="00D97E15"/>
    <w:rsid w:val="00DA5767"/>
    <w:rsid w:val="00DA5E9E"/>
    <w:rsid w:val="00DB3A9F"/>
    <w:rsid w:val="00DB6513"/>
    <w:rsid w:val="00DB66AC"/>
    <w:rsid w:val="00DD330D"/>
    <w:rsid w:val="00DE6CA3"/>
    <w:rsid w:val="00E058C9"/>
    <w:rsid w:val="00E14092"/>
    <w:rsid w:val="00E14486"/>
    <w:rsid w:val="00E17740"/>
    <w:rsid w:val="00E27CB4"/>
    <w:rsid w:val="00E430B1"/>
    <w:rsid w:val="00E60F4F"/>
    <w:rsid w:val="00E61697"/>
    <w:rsid w:val="00E64580"/>
    <w:rsid w:val="00E75243"/>
    <w:rsid w:val="00E77D87"/>
    <w:rsid w:val="00E95972"/>
    <w:rsid w:val="00E9724B"/>
    <w:rsid w:val="00EA0000"/>
    <w:rsid w:val="00EB2C79"/>
    <w:rsid w:val="00EB3D25"/>
    <w:rsid w:val="00EB4E4A"/>
    <w:rsid w:val="00EC3A2D"/>
    <w:rsid w:val="00EE11C0"/>
    <w:rsid w:val="00F028D2"/>
    <w:rsid w:val="00F04190"/>
    <w:rsid w:val="00F12A42"/>
    <w:rsid w:val="00F14CE2"/>
    <w:rsid w:val="00F20B6C"/>
    <w:rsid w:val="00F22718"/>
    <w:rsid w:val="00F244D8"/>
    <w:rsid w:val="00F24918"/>
    <w:rsid w:val="00F275DB"/>
    <w:rsid w:val="00F32D82"/>
    <w:rsid w:val="00F65679"/>
    <w:rsid w:val="00F7114F"/>
    <w:rsid w:val="00F7712C"/>
    <w:rsid w:val="00F837C6"/>
    <w:rsid w:val="00F85A2D"/>
    <w:rsid w:val="00F94968"/>
    <w:rsid w:val="00FA07CA"/>
    <w:rsid w:val="00FB5716"/>
    <w:rsid w:val="00FC1DCC"/>
    <w:rsid w:val="00FC59C8"/>
    <w:rsid w:val="00FD72B5"/>
  </w:rsids>
  <m:mathPr>
    <m:mathFont m:val="Cambria Math"/>
    <m:brkBin m:val="before"/>
    <m:brkBinSub m:val="--"/>
    <m:smallFrac m:val="0"/>
    <m:dispDef/>
    <m:lMargin m:val="0"/>
    <m:rMargin m:val="0"/>
    <m:defJc m:val="centerGroup"/>
    <m:wrapIndent m:val="1440"/>
    <m:intLim m:val="subSup"/>
    <m:naryLim m:val="undOvr"/>
  </m:mathPr>
  <w:themeFontLang w:val="fr-F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263E87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9597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95972"/>
    <w:pPr>
      <w:tabs>
        <w:tab w:val="center" w:pos="4536"/>
        <w:tab w:val="right" w:pos="9072"/>
      </w:tabs>
    </w:pPr>
  </w:style>
  <w:style w:type="character" w:customStyle="1" w:styleId="En-tteCar">
    <w:name w:val="En-tête Car"/>
    <w:basedOn w:val="Policepardfaut"/>
    <w:link w:val="En-tte"/>
    <w:uiPriority w:val="99"/>
    <w:rsid w:val="00E95972"/>
  </w:style>
  <w:style w:type="paragraph" w:styleId="Pieddepage">
    <w:name w:val="footer"/>
    <w:basedOn w:val="Normal"/>
    <w:link w:val="PieddepageCar"/>
    <w:uiPriority w:val="99"/>
    <w:unhideWhenUsed/>
    <w:rsid w:val="00E95972"/>
    <w:pPr>
      <w:tabs>
        <w:tab w:val="center" w:pos="4536"/>
        <w:tab w:val="right" w:pos="9072"/>
      </w:tabs>
    </w:pPr>
  </w:style>
  <w:style w:type="character" w:customStyle="1" w:styleId="PieddepageCar">
    <w:name w:val="Pied de page Car"/>
    <w:basedOn w:val="Policepardfaut"/>
    <w:link w:val="Pieddepage"/>
    <w:uiPriority w:val="99"/>
    <w:rsid w:val="00E95972"/>
  </w:style>
  <w:style w:type="paragraph" w:styleId="Pardeliste">
    <w:name w:val="List Paragraph"/>
    <w:basedOn w:val="Normal"/>
    <w:uiPriority w:val="34"/>
    <w:qFormat/>
    <w:rsid w:val="00E95972"/>
    <w:pPr>
      <w:ind w:left="720"/>
      <w:contextualSpacing/>
    </w:pPr>
  </w:style>
  <w:style w:type="character" w:styleId="Numrodepage">
    <w:name w:val="page number"/>
    <w:basedOn w:val="Policepardfaut"/>
    <w:uiPriority w:val="99"/>
    <w:semiHidden/>
    <w:unhideWhenUsed/>
    <w:rsid w:val="00E95972"/>
  </w:style>
  <w:style w:type="paragraph" w:styleId="Notedebasdepage">
    <w:name w:val="footnote text"/>
    <w:basedOn w:val="Normal"/>
    <w:link w:val="NotedebasdepageCar"/>
    <w:uiPriority w:val="99"/>
    <w:unhideWhenUsed/>
    <w:rsid w:val="00E95972"/>
  </w:style>
  <w:style w:type="character" w:customStyle="1" w:styleId="NotedebasdepageCar">
    <w:name w:val="Note de bas de page Car"/>
    <w:basedOn w:val="Policepardfaut"/>
    <w:link w:val="Notedebasdepage"/>
    <w:uiPriority w:val="99"/>
    <w:rsid w:val="00E95972"/>
  </w:style>
  <w:style w:type="character" w:styleId="Appelnotedebasdep">
    <w:name w:val="footnote reference"/>
    <w:basedOn w:val="Policepardfaut"/>
    <w:uiPriority w:val="99"/>
    <w:unhideWhenUsed/>
    <w:rsid w:val="00E959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914</TotalTime>
  <Pages>8</Pages>
  <Words>3154</Words>
  <Characters>15965</Characters>
  <Application>Microsoft Macintosh Word</Application>
  <DocSecurity>0</DocSecurity>
  <Lines>266</Lines>
  <Paragraphs>49</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19070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Famerée</dc:creator>
  <cp:keywords/>
  <dc:description/>
  <cp:lastModifiedBy>Joseph Famerée</cp:lastModifiedBy>
  <cp:revision>130</cp:revision>
  <cp:lastPrinted>2019-05-23T06:25:00Z</cp:lastPrinted>
  <dcterms:created xsi:type="dcterms:W3CDTF">2019-05-14T09:13:00Z</dcterms:created>
  <dcterms:modified xsi:type="dcterms:W3CDTF">2019-05-23T12:56:00Z</dcterms:modified>
</cp:coreProperties>
</file>