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630" w:rsidRPr="006624BA" w:rsidRDefault="00D16087" w:rsidP="006624BA">
      <w:pPr>
        <w:pStyle w:val="Titre"/>
        <w:pBdr>
          <w:bottom w:val="none" w:sz="0" w:space="0" w:color="auto"/>
        </w:pBdr>
        <w:spacing w:after="0"/>
        <w:rPr>
          <w:b/>
          <w:color w:val="000000" w:themeColor="text1"/>
          <w:spacing w:val="0"/>
          <w:kern w:val="0"/>
          <w:sz w:val="56"/>
          <w:szCs w:val="56"/>
          <w:lang w:val="fr-BE"/>
        </w:rPr>
      </w:pPr>
      <w:r w:rsidRPr="006624BA">
        <w:rPr>
          <w:b/>
          <w:color w:val="000000" w:themeColor="text1"/>
          <w:spacing w:val="0"/>
          <w:kern w:val="0"/>
          <w:sz w:val="56"/>
          <w:szCs w:val="56"/>
          <w:lang w:val="fr-BE"/>
        </w:rPr>
        <w:t>Rapport</w:t>
      </w:r>
      <w:r w:rsidR="006624BA">
        <w:rPr>
          <w:b/>
          <w:color w:val="000000" w:themeColor="text1"/>
          <w:spacing w:val="0"/>
          <w:kern w:val="0"/>
          <w:sz w:val="56"/>
          <w:szCs w:val="56"/>
          <w:lang w:val="fr-BE"/>
        </w:rPr>
        <w:t> :</w:t>
      </w:r>
    </w:p>
    <w:p w:rsidR="00D16087" w:rsidRDefault="00D16087" w:rsidP="006624BA">
      <w:pPr>
        <w:pStyle w:val="Titre"/>
        <w:pBdr>
          <w:bottom w:val="none" w:sz="0" w:space="0" w:color="auto"/>
        </w:pBdr>
        <w:spacing w:after="0"/>
        <w:rPr>
          <w:color w:val="000000" w:themeColor="text1"/>
          <w:spacing w:val="0"/>
          <w:kern w:val="0"/>
          <w:sz w:val="56"/>
          <w:szCs w:val="56"/>
          <w:lang w:val="fr-BE"/>
        </w:rPr>
      </w:pPr>
      <w:r w:rsidRPr="006624BA">
        <w:rPr>
          <w:color w:val="000000" w:themeColor="text1"/>
          <w:spacing w:val="0"/>
          <w:kern w:val="0"/>
          <w:sz w:val="56"/>
          <w:szCs w:val="56"/>
          <w:lang w:val="fr-BE"/>
        </w:rPr>
        <w:t>R</w:t>
      </w:r>
      <w:r w:rsidR="00355630" w:rsidRPr="006624BA">
        <w:rPr>
          <w:color w:val="000000" w:themeColor="text1"/>
          <w:spacing w:val="0"/>
          <w:kern w:val="0"/>
          <w:sz w:val="56"/>
          <w:szCs w:val="56"/>
          <w:lang w:val="fr-BE"/>
        </w:rPr>
        <w:t>évision</w:t>
      </w:r>
      <w:r w:rsidRPr="006624BA">
        <w:rPr>
          <w:color w:val="000000" w:themeColor="text1"/>
          <w:spacing w:val="0"/>
          <w:kern w:val="0"/>
          <w:sz w:val="56"/>
          <w:szCs w:val="56"/>
          <w:lang w:val="fr-BE"/>
        </w:rPr>
        <w:t xml:space="preserve"> des méthodes de mesure et </w:t>
      </w:r>
      <w:r w:rsidR="00355630" w:rsidRPr="006624BA">
        <w:rPr>
          <w:color w:val="000000" w:themeColor="text1"/>
          <w:spacing w:val="0"/>
          <w:kern w:val="0"/>
          <w:sz w:val="56"/>
          <w:szCs w:val="56"/>
          <w:lang w:val="fr-BE"/>
        </w:rPr>
        <w:t>suggestion d’une nouvelle</w:t>
      </w:r>
      <w:r w:rsidRPr="006624BA">
        <w:rPr>
          <w:color w:val="000000" w:themeColor="text1"/>
          <w:spacing w:val="0"/>
          <w:kern w:val="0"/>
          <w:sz w:val="56"/>
          <w:szCs w:val="56"/>
          <w:lang w:val="fr-BE"/>
        </w:rPr>
        <w:t xml:space="preserve"> méthode</w:t>
      </w:r>
    </w:p>
    <w:p w:rsidR="006624BA" w:rsidRDefault="006624BA" w:rsidP="006624BA">
      <w:pPr>
        <w:rPr>
          <w:lang w:val="fr-BE"/>
        </w:rPr>
      </w:pPr>
    </w:p>
    <w:p w:rsidR="004F51BA" w:rsidRPr="001B3B85" w:rsidRDefault="001B3B85" w:rsidP="00394D63">
      <w:pPr>
        <w:jc w:val="both"/>
        <w:rPr>
          <w:rFonts w:cs="Times New Roman"/>
          <w:i/>
          <w:sz w:val="20"/>
          <w:szCs w:val="20"/>
          <w:lang w:val="fr-BE"/>
        </w:rPr>
      </w:pPr>
      <w:r>
        <w:rPr>
          <w:rFonts w:cs="Times New Roman"/>
          <w:i/>
          <w:sz w:val="20"/>
          <w:szCs w:val="20"/>
          <w:lang w:val="fr-BE"/>
        </w:rPr>
        <w:t>Le r</w:t>
      </w:r>
      <w:r w:rsidR="00394D63" w:rsidRPr="001B3B85">
        <w:rPr>
          <w:rFonts w:cs="Times New Roman"/>
          <w:i/>
          <w:sz w:val="20"/>
          <w:szCs w:val="20"/>
          <w:lang w:val="fr-BE"/>
        </w:rPr>
        <w:t>apport</w:t>
      </w:r>
      <w:r>
        <w:rPr>
          <w:rFonts w:cs="Times New Roman"/>
          <w:i/>
          <w:sz w:val="20"/>
          <w:szCs w:val="20"/>
          <w:lang w:val="fr-BE"/>
        </w:rPr>
        <w:t xml:space="preserve"> ci-dessous</w:t>
      </w:r>
      <w:r w:rsidR="00394D63" w:rsidRPr="001B3B85">
        <w:rPr>
          <w:rFonts w:cs="Times New Roman"/>
          <w:i/>
          <w:sz w:val="20"/>
          <w:szCs w:val="20"/>
          <w:lang w:val="fr-BE"/>
        </w:rPr>
        <w:t xml:space="preserve"> vis</w:t>
      </w:r>
      <w:r>
        <w:rPr>
          <w:rFonts w:cs="Times New Roman"/>
          <w:i/>
          <w:sz w:val="20"/>
          <w:szCs w:val="20"/>
          <w:lang w:val="fr-BE"/>
        </w:rPr>
        <w:t>e</w:t>
      </w:r>
      <w:r w:rsidR="00394D63" w:rsidRPr="001B3B85">
        <w:rPr>
          <w:rFonts w:cs="Times New Roman"/>
          <w:i/>
          <w:sz w:val="20"/>
          <w:szCs w:val="20"/>
          <w:lang w:val="fr-BE"/>
        </w:rPr>
        <w:t xml:space="preserve"> à établir le choix de la méthode de mesure in-situ. C’est à la fois un rapport d’appui pour la décision qui doit être discutée avec </w:t>
      </w:r>
      <w:r w:rsidRPr="001B3B85">
        <w:rPr>
          <w:rFonts w:cs="Times New Roman"/>
          <w:i/>
          <w:sz w:val="20"/>
          <w:szCs w:val="20"/>
          <w:lang w:val="fr-BE"/>
        </w:rPr>
        <w:t>au minimum Manon, Geoffrey et Arnaud (Daniel ?, Benoît ?) et un</w:t>
      </w:r>
      <w:r w:rsidR="005B1295">
        <w:rPr>
          <w:rFonts w:cs="Times New Roman"/>
          <w:i/>
          <w:sz w:val="20"/>
          <w:szCs w:val="20"/>
          <w:lang w:val="fr-BE"/>
        </w:rPr>
        <w:t>e</w:t>
      </w:r>
      <w:r w:rsidRPr="001B3B85">
        <w:rPr>
          <w:rFonts w:cs="Times New Roman"/>
          <w:i/>
          <w:sz w:val="20"/>
          <w:szCs w:val="20"/>
          <w:lang w:val="fr-BE"/>
        </w:rPr>
        <w:t xml:space="preserve"> </w:t>
      </w:r>
      <w:r w:rsidR="005B1295">
        <w:rPr>
          <w:rFonts w:cs="Times New Roman"/>
          <w:i/>
          <w:sz w:val="20"/>
          <w:szCs w:val="20"/>
          <w:lang w:val="fr-BE"/>
        </w:rPr>
        <w:t>introduction</w:t>
      </w:r>
      <w:r w:rsidRPr="001B3B85">
        <w:rPr>
          <w:rFonts w:cs="Times New Roman"/>
          <w:i/>
          <w:sz w:val="20"/>
          <w:szCs w:val="20"/>
          <w:lang w:val="fr-BE"/>
        </w:rPr>
        <w:t xml:space="preserve"> pour un article futur (bien que toutes les idées reprises ici </w:t>
      </w:r>
      <w:r w:rsidR="001C5017" w:rsidRPr="001B3B85">
        <w:rPr>
          <w:rFonts w:cs="Times New Roman"/>
          <w:i/>
          <w:sz w:val="20"/>
          <w:szCs w:val="20"/>
          <w:lang w:val="fr-BE"/>
        </w:rPr>
        <w:t>doivent</w:t>
      </w:r>
      <w:r w:rsidRPr="001B3B85">
        <w:rPr>
          <w:rFonts w:cs="Times New Roman"/>
          <w:i/>
          <w:sz w:val="20"/>
          <w:szCs w:val="20"/>
          <w:lang w:val="fr-BE"/>
        </w:rPr>
        <w:t xml:space="preserve"> pouvoir être réduites à 1 ou 2 pages pour un article de journal).</w:t>
      </w:r>
      <w:r w:rsidR="005B1295">
        <w:rPr>
          <w:rFonts w:cs="Times New Roman"/>
          <w:i/>
          <w:sz w:val="20"/>
          <w:szCs w:val="20"/>
          <w:lang w:val="fr-BE"/>
        </w:rPr>
        <w:t xml:space="preserve"> Les informations et références sont mises en vrac, la structure n’est pas longuement réfléchie. Le but est de noter quelque part les nombreuses idées qui viennent en tête.</w:t>
      </w:r>
    </w:p>
    <w:p w:rsidR="00EC4573" w:rsidRPr="006624BA" w:rsidRDefault="00D16087" w:rsidP="006624BA">
      <w:pPr>
        <w:pStyle w:val="Titre1"/>
        <w:numPr>
          <w:ilvl w:val="0"/>
          <w:numId w:val="3"/>
        </w:numPr>
        <w:pBdr>
          <w:bottom w:val="single" w:sz="4" w:space="1" w:color="595959" w:themeColor="text1" w:themeTint="A6"/>
        </w:pBdr>
        <w:spacing w:before="360" w:after="160" w:line="259" w:lineRule="auto"/>
        <w:ind w:left="432" w:hanging="432"/>
        <w:rPr>
          <w:smallCaps/>
          <w:color w:val="000000" w:themeColor="text1"/>
          <w:sz w:val="36"/>
          <w:szCs w:val="36"/>
          <w:lang w:val="fr-BE"/>
        </w:rPr>
      </w:pPr>
      <w:r w:rsidRPr="006624BA">
        <w:rPr>
          <w:smallCaps/>
          <w:color w:val="000000" w:themeColor="text1"/>
          <w:sz w:val="36"/>
          <w:szCs w:val="36"/>
          <w:lang w:val="fr-BE"/>
        </w:rPr>
        <w:t>Introduction, contexte et objectifs</w:t>
      </w:r>
    </w:p>
    <w:p w:rsidR="008A41FF" w:rsidRPr="00EC4573" w:rsidRDefault="008A41FF" w:rsidP="00EC4573">
      <w:pPr>
        <w:jc w:val="both"/>
        <w:rPr>
          <w:rFonts w:cs="Times New Roman"/>
          <w:sz w:val="20"/>
          <w:szCs w:val="20"/>
          <w:lang w:val="fr-BE"/>
        </w:rPr>
      </w:pPr>
      <w:r w:rsidRPr="00EC4573">
        <w:rPr>
          <w:rFonts w:cs="Times New Roman"/>
          <w:sz w:val="20"/>
          <w:szCs w:val="20"/>
          <w:lang w:val="fr-BE"/>
        </w:rPr>
        <w:t xml:space="preserve">Une performance minimum </w:t>
      </w:r>
      <w:r w:rsidR="001A5A71" w:rsidRPr="00EC4573">
        <w:rPr>
          <w:rFonts w:cs="Times New Roman"/>
          <w:sz w:val="20"/>
          <w:szCs w:val="20"/>
          <w:lang w:val="fr-BE"/>
        </w:rPr>
        <w:t>d</w:t>
      </w:r>
      <w:r w:rsidRPr="00EC4573">
        <w:rPr>
          <w:rFonts w:cs="Times New Roman"/>
          <w:sz w:val="20"/>
          <w:szCs w:val="20"/>
          <w:lang w:val="fr-BE"/>
        </w:rPr>
        <w:t xml:space="preserve">’étanchéité à l’air des bâtiments est de plus en plus souvent imposée dans les cahiers des charges et/ou dans les réglementations. Il est important de distinguer le phénomène de passage d’air à travers l’enveloppe en situation réelle (infiltration) de la </w:t>
      </w:r>
      <w:r w:rsidR="001A5A71" w:rsidRPr="00EC4573">
        <w:rPr>
          <w:rFonts w:cs="Times New Roman"/>
          <w:sz w:val="20"/>
          <w:szCs w:val="20"/>
          <w:lang w:val="fr-BE"/>
        </w:rPr>
        <w:t xml:space="preserve">capacité du bâtiment (performance) à réduire au maximum les passages d’air </w:t>
      </w:r>
      <w:r w:rsidRPr="00EC4573">
        <w:rPr>
          <w:rFonts w:cs="Times New Roman"/>
          <w:sz w:val="20"/>
          <w:szCs w:val="20"/>
          <w:lang w:val="fr-BE"/>
        </w:rPr>
        <w:t>(</w:t>
      </w:r>
      <w:r w:rsidR="005B1295">
        <w:rPr>
          <w:rFonts w:cs="Times New Roman"/>
          <w:sz w:val="20"/>
          <w:szCs w:val="20"/>
          <w:lang w:val="fr-BE"/>
        </w:rPr>
        <w:t>étanchéité à l’air</w:t>
      </w:r>
      <w:r w:rsidRPr="00EC4573">
        <w:rPr>
          <w:rFonts w:cs="Times New Roman"/>
          <w:sz w:val="20"/>
          <w:szCs w:val="20"/>
          <w:lang w:val="fr-BE"/>
        </w:rPr>
        <w:t xml:space="preserve">). </w:t>
      </w:r>
      <w:r w:rsidR="0010097A" w:rsidRPr="00EC4573">
        <w:rPr>
          <w:rFonts w:cs="Times New Roman"/>
          <w:sz w:val="20"/>
          <w:szCs w:val="20"/>
          <w:lang w:val="fr-BE"/>
        </w:rPr>
        <w:t>Contrairement à l’infiltration</w:t>
      </w:r>
      <w:r w:rsidR="005B1295">
        <w:rPr>
          <w:rFonts w:cs="Times New Roman"/>
          <w:sz w:val="20"/>
          <w:szCs w:val="20"/>
          <w:lang w:val="fr-BE"/>
        </w:rPr>
        <w:t>,</w:t>
      </w:r>
      <w:r w:rsidR="0010097A" w:rsidRPr="00EC4573">
        <w:rPr>
          <w:rFonts w:cs="Times New Roman"/>
          <w:sz w:val="20"/>
          <w:szCs w:val="20"/>
          <w:lang w:val="fr-BE"/>
        </w:rPr>
        <w:t xml:space="preserve"> </w:t>
      </w:r>
      <w:r w:rsidR="005B1295" w:rsidRPr="00EC4573">
        <w:rPr>
          <w:rFonts w:cs="Times New Roman"/>
          <w:sz w:val="20"/>
          <w:szCs w:val="20"/>
          <w:lang w:val="fr-BE"/>
        </w:rPr>
        <w:t>l’étanchéité à l’air se veut indépendante</w:t>
      </w:r>
      <w:r w:rsidR="0010097A" w:rsidRPr="00EC4573">
        <w:rPr>
          <w:rFonts w:cs="Times New Roman"/>
          <w:sz w:val="20"/>
          <w:szCs w:val="20"/>
          <w:lang w:val="fr-BE"/>
        </w:rPr>
        <w:t xml:space="preserve"> des conditions climatiques. Pour ce faire, </w:t>
      </w:r>
      <w:r w:rsidR="000B7635" w:rsidRPr="00EC4573">
        <w:rPr>
          <w:rFonts w:cs="Times New Roman"/>
          <w:sz w:val="20"/>
          <w:szCs w:val="20"/>
          <w:lang w:val="fr-BE"/>
        </w:rPr>
        <w:t xml:space="preserve">on considère généralement une </w:t>
      </w:r>
      <w:r w:rsidR="0010097A" w:rsidRPr="00EC4573">
        <w:rPr>
          <w:rFonts w:cs="Times New Roman"/>
          <w:sz w:val="20"/>
          <w:szCs w:val="20"/>
          <w:lang w:val="fr-BE"/>
        </w:rPr>
        <w:t xml:space="preserve">différence de pression de 50 Pa </w:t>
      </w:r>
      <w:r w:rsidR="000B7635" w:rsidRPr="00EC4573">
        <w:rPr>
          <w:rFonts w:cs="Times New Roman"/>
          <w:sz w:val="20"/>
          <w:szCs w:val="20"/>
          <w:lang w:val="fr-BE"/>
        </w:rPr>
        <w:t>entre les deux côtés</w:t>
      </w:r>
      <w:r w:rsidR="0010097A" w:rsidRPr="00EC4573">
        <w:rPr>
          <w:rFonts w:cs="Times New Roman"/>
          <w:sz w:val="20"/>
          <w:szCs w:val="20"/>
          <w:lang w:val="fr-BE"/>
        </w:rPr>
        <w:t xml:space="preserve"> de l’enveloppe étanche du bâtiment.</w:t>
      </w:r>
    </w:p>
    <w:p w:rsidR="001A5A71" w:rsidRPr="00EC4573" w:rsidRDefault="001A5A71" w:rsidP="008A41FF">
      <w:pPr>
        <w:jc w:val="both"/>
        <w:rPr>
          <w:rFonts w:cs="Times New Roman"/>
          <w:sz w:val="20"/>
          <w:szCs w:val="20"/>
          <w:lang w:val="fr-BE"/>
        </w:rPr>
      </w:pPr>
      <w:r w:rsidRPr="00EC4573">
        <w:rPr>
          <w:rFonts w:cs="Times New Roman"/>
          <w:sz w:val="20"/>
          <w:szCs w:val="20"/>
          <w:lang w:val="fr-BE"/>
        </w:rPr>
        <w:t xml:space="preserve">Bien qu’il existe de nombreux indicateurs de performance (perméabilité à l’air, taux de renouvèlement d’air, débit d’air total), tous dépendent d’un même paramètre : le débit d’air passant à travers l’enveloppe. </w:t>
      </w:r>
      <w:r w:rsidR="0010097A" w:rsidRPr="00EC4573">
        <w:rPr>
          <w:rFonts w:cs="Times New Roman"/>
          <w:sz w:val="20"/>
          <w:szCs w:val="20"/>
          <w:lang w:val="fr-BE"/>
        </w:rPr>
        <w:t xml:space="preserve">Pour </w:t>
      </w:r>
      <w:r w:rsidRPr="00EC4573">
        <w:rPr>
          <w:rFonts w:cs="Times New Roman"/>
          <w:sz w:val="20"/>
          <w:szCs w:val="20"/>
          <w:lang w:val="fr-BE"/>
        </w:rPr>
        <w:t>mesure</w:t>
      </w:r>
      <w:r w:rsidR="005B1295">
        <w:rPr>
          <w:rFonts w:cs="Times New Roman"/>
          <w:sz w:val="20"/>
          <w:szCs w:val="20"/>
          <w:lang w:val="fr-BE"/>
        </w:rPr>
        <w:t>r</w:t>
      </w:r>
      <w:r w:rsidRPr="00EC4573">
        <w:rPr>
          <w:rFonts w:cs="Times New Roman"/>
          <w:sz w:val="20"/>
          <w:szCs w:val="20"/>
          <w:lang w:val="fr-BE"/>
        </w:rPr>
        <w:t xml:space="preserve"> ce débit, on utilise généralement une méthode appelée « fan </w:t>
      </w:r>
      <w:proofErr w:type="spellStart"/>
      <w:r w:rsidRPr="00EC4573">
        <w:rPr>
          <w:rFonts w:cs="Times New Roman"/>
          <w:sz w:val="20"/>
          <w:szCs w:val="20"/>
          <w:lang w:val="fr-BE"/>
        </w:rPr>
        <w:t>pressurization</w:t>
      </w:r>
      <w:proofErr w:type="spellEnd"/>
      <w:r w:rsidRPr="00EC4573">
        <w:rPr>
          <w:rFonts w:cs="Times New Roman"/>
          <w:sz w:val="20"/>
          <w:szCs w:val="20"/>
          <w:lang w:val="fr-BE"/>
        </w:rPr>
        <w:t xml:space="preserve"> </w:t>
      </w:r>
      <w:proofErr w:type="spellStart"/>
      <w:r w:rsidRPr="00EC4573">
        <w:rPr>
          <w:rFonts w:cs="Times New Roman"/>
          <w:sz w:val="20"/>
          <w:szCs w:val="20"/>
          <w:lang w:val="fr-BE"/>
        </w:rPr>
        <w:t>method</w:t>
      </w:r>
      <w:proofErr w:type="spellEnd"/>
      <w:r w:rsidRPr="00EC4573">
        <w:rPr>
          <w:rFonts w:cs="Times New Roman"/>
          <w:sz w:val="20"/>
          <w:szCs w:val="20"/>
          <w:lang w:val="fr-BE"/>
        </w:rPr>
        <w:t> ».</w:t>
      </w:r>
      <w:r w:rsidR="0010097A" w:rsidRPr="00EC4573">
        <w:rPr>
          <w:rFonts w:cs="Times New Roman"/>
          <w:sz w:val="20"/>
          <w:szCs w:val="20"/>
          <w:lang w:val="fr-BE"/>
        </w:rPr>
        <w:t xml:space="preserve"> </w:t>
      </w:r>
      <w:r w:rsidRPr="00EC4573">
        <w:rPr>
          <w:rFonts w:cs="Times New Roman"/>
          <w:sz w:val="20"/>
          <w:szCs w:val="20"/>
          <w:lang w:val="fr-BE"/>
        </w:rPr>
        <w:t xml:space="preserve">Cette méthode consiste à mesurer la quantité d’air à </w:t>
      </w:r>
      <w:r w:rsidR="0010097A" w:rsidRPr="00EC4573">
        <w:rPr>
          <w:rFonts w:cs="Times New Roman"/>
          <w:sz w:val="20"/>
          <w:szCs w:val="20"/>
          <w:lang w:val="fr-BE"/>
        </w:rPr>
        <w:t>injecte</w:t>
      </w:r>
      <w:r w:rsidRPr="00EC4573">
        <w:rPr>
          <w:rFonts w:cs="Times New Roman"/>
          <w:sz w:val="20"/>
          <w:szCs w:val="20"/>
          <w:lang w:val="fr-BE"/>
        </w:rPr>
        <w:t>r</w:t>
      </w:r>
      <w:r w:rsidR="0010097A" w:rsidRPr="00EC4573">
        <w:rPr>
          <w:rFonts w:cs="Times New Roman"/>
          <w:sz w:val="20"/>
          <w:szCs w:val="20"/>
          <w:lang w:val="fr-BE"/>
        </w:rPr>
        <w:t xml:space="preserve"> d</w:t>
      </w:r>
      <w:r w:rsidRPr="00EC4573">
        <w:rPr>
          <w:rFonts w:cs="Times New Roman"/>
          <w:sz w:val="20"/>
          <w:szCs w:val="20"/>
          <w:lang w:val="fr-BE"/>
        </w:rPr>
        <w:t>ans</w:t>
      </w:r>
      <w:r w:rsidR="0010097A" w:rsidRPr="00EC4573">
        <w:rPr>
          <w:rFonts w:cs="Times New Roman"/>
          <w:sz w:val="20"/>
          <w:szCs w:val="20"/>
          <w:lang w:val="fr-BE"/>
        </w:rPr>
        <w:t xml:space="preserve"> </w:t>
      </w:r>
      <w:r w:rsidRPr="00EC4573">
        <w:rPr>
          <w:rFonts w:cs="Times New Roman"/>
          <w:sz w:val="20"/>
          <w:szCs w:val="20"/>
          <w:lang w:val="fr-BE"/>
        </w:rPr>
        <w:t xml:space="preserve">le </w:t>
      </w:r>
      <w:r w:rsidR="0010097A" w:rsidRPr="00EC4573">
        <w:rPr>
          <w:rFonts w:cs="Times New Roman"/>
          <w:sz w:val="20"/>
          <w:szCs w:val="20"/>
          <w:lang w:val="fr-BE"/>
        </w:rPr>
        <w:t xml:space="preserve">bâtiment </w:t>
      </w:r>
      <w:r w:rsidRPr="00EC4573">
        <w:rPr>
          <w:rFonts w:cs="Times New Roman"/>
          <w:sz w:val="20"/>
          <w:szCs w:val="20"/>
          <w:lang w:val="fr-BE"/>
        </w:rPr>
        <w:t>pour conserver une différence de pression donnée entre l’intérieur et l’extérieur</w:t>
      </w:r>
      <w:r w:rsidR="0010097A" w:rsidRPr="00EC4573">
        <w:rPr>
          <w:rFonts w:cs="Times New Roman"/>
          <w:sz w:val="20"/>
          <w:szCs w:val="20"/>
          <w:lang w:val="fr-BE"/>
        </w:rPr>
        <w:t>.</w:t>
      </w:r>
      <w:r w:rsidRPr="00EC4573">
        <w:rPr>
          <w:rFonts w:cs="Times New Roman"/>
          <w:sz w:val="20"/>
          <w:szCs w:val="20"/>
          <w:lang w:val="fr-BE"/>
        </w:rPr>
        <w:t xml:space="preserve"> La norme impose d’effectuer ce test pour plusieurs différences de pression</w:t>
      </w:r>
      <w:r w:rsidR="000B7635" w:rsidRPr="00EC4573">
        <w:rPr>
          <w:rFonts w:cs="Times New Roman"/>
          <w:sz w:val="20"/>
          <w:szCs w:val="20"/>
          <w:lang w:val="fr-BE"/>
        </w:rPr>
        <w:t xml:space="preserve">, </w:t>
      </w:r>
      <w:r w:rsidR="001A4EC0" w:rsidRPr="00EC4573">
        <w:rPr>
          <w:rFonts w:cs="Times New Roman"/>
          <w:sz w:val="20"/>
          <w:szCs w:val="20"/>
          <w:lang w:val="fr-BE"/>
        </w:rPr>
        <w:t>en</w:t>
      </w:r>
      <w:r w:rsidR="000B7635" w:rsidRPr="00EC4573">
        <w:rPr>
          <w:rFonts w:cs="Times New Roman"/>
          <w:sz w:val="20"/>
          <w:szCs w:val="20"/>
          <w:lang w:val="fr-BE"/>
        </w:rPr>
        <w:t xml:space="preserve"> </w:t>
      </w:r>
      <w:r w:rsidR="001A4EC0" w:rsidRPr="00EC4573">
        <w:rPr>
          <w:rFonts w:cs="Times New Roman"/>
          <w:sz w:val="20"/>
          <w:szCs w:val="20"/>
          <w:lang w:val="fr-BE"/>
        </w:rPr>
        <w:t>pressurisation</w:t>
      </w:r>
      <w:r w:rsidR="000B7635" w:rsidRPr="00EC4573">
        <w:rPr>
          <w:rFonts w:cs="Times New Roman"/>
          <w:sz w:val="20"/>
          <w:szCs w:val="20"/>
          <w:lang w:val="fr-BE"/>
        </w:rPr>
        <w:t xml:space="preserve"> </w:t>
      </w:r>
      <w:r w:rsidR="001A4EC0" w:rsidRPr="00EC4573">
        <w:rPr>
          <w:rFonts w:cs="Times New Roman"/>
          <w:sz w:val="20"/>
          <w:szCs w:val="20"/>
          <w:lang w:val="fr-BE"/>
        </w:rPr>
        <w:t>et en</w:t>
      </w:r>
      <w:r w:rsidR="000B7635" w:rsidRPr="00EC4573">
        <w:rPr>
          <w:rFonts w:cs="Times New Roman"/>
          <w:sz w:val="20"/>
          <w:szCs w:val="20"/>
          <w:lang w:val="fr-BE"/>
        </w:rPr>
        <w:t xml:space="preserve"> </w:t>
      </w:r>
      <w:r w:rsidR="001A4EC0" w:rsidRPr="00EC4573">
        <w:rPr>
          <w:rFonts w:cs="Times New Roman"/>
          <w:sz w:val="20"/>
          <w:szCs w:val="20"/>
          <w:lang w:val="fr-BE"/>
        </w:rPr>
        <w:t>dépressurisation</w:t>
      </w:r>
      <w:r w:rsidR="000B7635" w:rsidRPr="00EC4573">
        <w:rPr>
          <w:rFonts w:cs="Times New Roman"/>
          <w:sz w:val="20"/>
          <w:szCs w:val="20"/>
          <w:lang w:val="fr-BE"/>
        </w:rPr>
        <w:t>.</w:t>
      </w:r>
      <w:r w:rsidRPr="00EC4573">
        <w:rPr>
          <w:rFonts w:cs="Times New Roman"/>
          <w:sz w:val="20"/>
          <w:szCs w:val="20"/>
          <w:lang w:val="fr-BE"/>
        </w:rPr>
        <w:t xml:space="preserve"> </w:t>
      </w:r>
      <w:r w:rsidR="000B7635" w:rsidRPr="00EC4573">
        <w:rPr>
          <w:rFonts w:cs="Times New Roman"/>
          <w:sz w:val="20"/>
          <w:szCs w:val="20"/>
          <w:lang w:val="fr-BE"/>
        </w:rPr>
        <w:t>On déduit alors de ces valeurs, le débit de passage d’air à une différence de pression donnée (génér</w:t>
      </w:r>
      <w:r w:rsidR="006624BA">
        <w:rPr>
          <w:rFonts w:cs="Times New Roman"/>
          <w:sz w:val="20"/>
          <w:szCs w:val="20"/>
          <w:lang w:val="fr-BE"/>
        </w:rPr>
        <w:t xml:space="preserve">alement 50 Pa). La norme NBN </w:t>
      </w:r>
      <w:r w:rsidR="00937A5C">
        <w:rPr>
          <w:rFonts w:cs="Times New Roman"/>
          <w:sz w:val="20"/>
          <w:szCs w:val="20"/>
          <w:lang w:val="fr-BE"/>
        </w:rPr>
        <w:t xml:space="preserve">EN 13829 </w:t>
      </w:r>
      <w:r w:rsidR="00937A5C">
        <w:rPr>
          <w:rFonts w:cs="Times New Roman"/>
          <w:sz w:val="20"/>
          <w:szCs w:val="20"/>
          <w:lang w:val="fr-BE"/>
        </w:rPr>
        <w:fldChar w:fldCharType="begin"/>
      </w:r>
      <w:r w:rsidR="003C46F3">
        <w:rPr>
          <w:rFonts w:cs="Times New Roman"/>
          <w:sz w:val="20"/>
          <w:szCs w:val="20"/>
          <w:lang w:val="fr-BE"/>
        </w:rPr>
        <w:instrText xml:space="preserve"> ADDIN EN.CITE &lt;EndNote&gt;&lt;Cite&gt;&lt;RecNum&gt;53&lt;/RecNum&gt;&lt;DisplayText&gt;[1]&lt;/DisplayText&gt;&lt;record&gt;&lt;rec-number&gt;53&lt;/rec-number&gt;&lt;foreign-keys&gt;&lt;key app="EN" db-id="wx52rweesr59wfe0tf2xdtzg5frw2ppwzpp5" timestamp="1480601506"&gt;53&lt;/key&gt;&lt;/foreign-keys&gt;&lt;ref-type name="Journal Article"&gt;17&lt;/ref-type&gt;&lt;contributors&gt;&lt;/contributors&gt;&lt;titles&gt;&lt;title&gt;NBN EN 13829:2001. Performance thermique des bâtiments - Détermination de la perméabilité à l&amp;apos;air des bâtiments - Méthode de pressurisation par ventilateur (ISO 9972:1996, modifiée). IBN, Brussels&lt;/title&gt;&lt;/titles&gt;&lt;dates&gt;&lt;/dates&gt;&lt;urls&gt;&lt;/urls&gt;&lt;/record&gt;&lt;/Cite&gt;&lt;/EndNote&gt;</w:instrText>
      </w:r>
      <w:r w:rsidR="00937A5C">
        <w:rPr>
          <w:rFonts w:cs="Times New Roman"/>
          <w:sz w:val="20"/>
          <w:szCs w:val="20"/>
          <w:lang w:val="fr-BE"/>
        </w:rPr>
        <w:fldChar w:fldCharType="separate"/>
      </w:r>
      <w:r w:rsidR="003C46F3">
        <w:rPr>
          <w:rFonts w:cs="Times New Roman"/>
          <w:noProof/>
          <w:sz w:val="20"/>
          <w:szCs w:val="20"/>
          <w:lang w:val="fr-BE"/>
        </w:rPr>
        <w:t>[1]</w:t>
      </w:r>
      <w:r w:rsidR="00937A5C">
        <w:rPr>
          <w:rFonts w:cs="Times New Roman"/>
          <w:sz w:val="20"/>
          <w:szCs w:val="20"/>
          <w:lang w:val="fr-BE"/>
        </w:rPr>
        <w:fldChar w:fldCharType="end"/>
      </w:r>
      <w:r w:rsidR="000B7635" w:rsidRPr="00EC4573">
        <w:rPr>
          <w:rFonts w:cs="Times New Roman"/>
          <w:sz w:val="20"/>
          <w:szCs w:val="20"/>
          <w:lang w:val="fr-BE"/>
        </w:rPr>
        <w:t xml:space="preserve"> décrit en détail les contraintes de choix des différences de pression et la méthode pour déduire le débit à la pression désirée à partir des mesures effectuées.</w:t>
      </w:r>
    </w:p>
    <w:p w:rsidR="008A41FF" w:rsidRPr="00EC4573" w:rsidRDefault="008A41FF" w:rsidP="000B7635">
      <w:pPr>
        <w:jc w:val="both"/>
        <w:rPr>
          <w:rFonts w:cs="Times New Roman"/>
          <w:sz w:val="20"/>
          <w:szCs w:val="20"/>
          <w:lang w:val="fr-BE"/>
        </w:rPr>
      </w:pPr>
      <w:r w:rsidRPr="00EC4573">
        <w:rPr>
          <w:rFonts w:cs="Times New Roman"/>
          <w:sz w:val="20"/>
          <w:szCs w:val="20"/>
          <w:lang w:val="fr-BE"/>
        </w:rPr>
        <w:t>Cependant, même si les performances requises sont globales, le phénomène de fuite d’air est local.</w:t>
      </w:r>
      <w:r w:rsidR="000B7635" w:rsidRPr="00EC4573">
        <w:rPr>
          <w:rFonts w:cs="Times New Roman"/>
          <w:sz w:val="20"/>
          <w:szCs w:val="20"/>
          <w:lang w:val="fr-BE"/>
        </w:rPr>
        <w:t xml:space="preserve"> </w:t>
      </w:r>
      <w:r w:rsidRPr="00EC4573">
        <w:rPr>
          <w:rFonts w:cs="Times New Roman"/>
          <w:sz w:val="20"/>
          <w:szCs w:val="20"/>
          <w:lang w:val="fr-BE"/>
        </w:rPr>
        <w:t xml:space="preserve">En effet, les performances des barrières sont telles qu’on peut </w:t>
      </w:r>
      <w:r w:rsidR="000B7635" w:rsidRPr="00EC4573">
        <w:rPr>
          <w:rFonts w:cs="Times New Roman"/>
          <w:sz w:val="20"/>
          <w:szCs w:val="20"/>
          <w:lang w:val="fr-BE"/>
        </w:rPr>
        <w:t>souvent</w:t>
      </w:r>
      <w:r w:rsidRPr="00EC4573">
        <w:rPr>
          <w:rFonts w:cs="Times New Roman"/>
          <w:sz w:val="20"/>
          <w:szCs w:val="20"/>
          <w:lang w:val="fr-BE"/>
        </w:rPr>
        <w:t xml:space="preserve"> considérer que</w:t>
      </w:r>
      <w:r w:rsidR="000B7635" w:rsidRPr="00EC4573">
        <w:rPr>
          <w:rFonts w:cs="Times New Roman"/>
          <w:sz w:val="20"/>
          <w:szCs w:val="20"/>
          <w:lang w:val="fr-BE"/>
        </w:rPr>
        <w:t xml:space="preserve"> seules</w:t>
      </w:r>
      <w:r w:rsidRPr="00EC4573">
        <w:rPr>
          <w:rFonts w:cs="Times New Roman"/>
          <w:sz w:val="20"/>
          <w:szCs w:val="20"/>
          <w:lang w:val="fr-BE"/>
        </w:rPr>
        <w:t xml:space="preserve"> les fuites aux discontinuités</w:t>
      </w:r>
      <w:r w:rsidR="000B7635" w:rsidRPr="00EC4573">
        <w:rPr>
          <w:rFonts w:cs="Times New Roman"/>
          <w:sz w:val="20"/>
          <w:szCs w:val="20"/>
          <w:lang w:val="fr-BE"/>
        </w:rPr>
        <w:t xml:space="preserve"> sont significatives</w:t>
      </w:r>
      <w:r w:rsidRPr="00EC4573">
        <w:rPr>
          <w:rFonts w:cs="Times New Roman"/>
          <w:sz w:val="20"/>
          <w:szCs w:val="20"/>
          <w:lang w:val="fr-BE"/>
        </w:rPr>
        <w:t xml:space="preserve"> (perforation de la barrière, jonction entre deux barrières, …). Nous appelons d</w:t>
      </w:r>
      <w:r w:rsidR="000B7635" w:rsidRPr="00EC4573">
        <w:rPr>
          <w:rFonts w:cs="Times New Roman"/>
          <w:sz w:val="20"/>
          <w:szCs w:val="20"/>
          <w:lang w:val="fr-BE"/>
        </w:rPr>
        <w:t>ans ce projet d</w:t>
      </w:r>
      <w:r w:rsidRPr="00EC4573">
        <w:rPr>
          <w:rFonts w:cs="Times New Roman"/>
          <w:sz w:val="20"/>
          <w:szCs w:val="20"/>
          <w:lang w:val="fr-BE"/>
        </w:rPr>
        <w:t>e telles discontinuités des « </w:t>
      </w:r>
      <w:proofErr w:type="spellStart"/>
      <w:r w:rsidRPr="00EC4573">
        <w:rPr>
          <w:rFonts w:cs="Times New Roman"/>
          <w:sz w:val="20"/>
          <w:szCs w:val="20"/>
          <w:lang w:val="fr-BE"/>
        </w:rPr>
        <w:t>airpaths</w:t>
      </w:r>
      <w:proofErr w:type="spellEnd"/>
      <w:r w:rsidRPr="00EC4573">
        <w:rPr>
          <w:rFonts w:cs="Times New Roman"/>
          <w:sz w:val="20"/>
          <w:szCs w:val="20"/>
          <w:lang w:val="fr-BE"/>
        </w:rPr>
        <w:t xml:space="preserve"> ». </w:t>
      </w:r>
      <w:r w:rsidR="000B7635" w:rsidRPr="00EC4573">
        <w:rPr>
          <w:rFonts w:cs="Times New Roman"/>
          <w:sz w:val="20"/>
          <w:szCs w:val="20"/>
          <w:lang w:val="fr-BE"/>
        </w:rPr>
        <w:t>Il peut</w:t>
      </w:r>
      <w:r w:rsidR="001A4EC0" w:rsidRPr="00EC4573">
        <w:rPr>
          <w:rFonts w:cs="Times New Roman"/>
          <w:sz w:val="20"/>
          <w:szCs w:val="20"/>
          <w:lang w:val="fr-BE"/>
        </w:rPr>
        <w:t xml:space="preserve"> dès lors</w:t>
      </w:r>
      <w:r w:rsidR="000B7635" w:rsidRPr="00EC4573">
        <w:rPr>
          <w:rFonts w:cs="Times New Roman"/>
          <w:sz w:val="20"/>
          <w:szCs w:val="20"/>
          <w:lang w:val="fr-BE"/>
        </w:rPr>
        <w:t xml:space="preserve"> être intéressant pour l’architecte de comprendre l’impact que chacun de ses détails constructif peut avoir sur l’étanchéité de son bâtiment. De la même manière, il peut être intéressant pour l’entrepreneur de </w:t>
      </w:r>
      <w:r w:rsidR="001A4EC0" w:rsidRPr="00EC4573">
        <w:rPr>
          <w:rFonts w:cs="Times New Roman"/>
          <w:sz w:val="20"/>
          <w:szCs w:val="20"/>
          <w:lang w:val="fr-BE"/>
        </w:rPr>
        <w:t>savoir sur quel détail il doit s’</w:t>
      </w:r>
      <w:r w:rsidR="005B1295">
        <w:rPr>
          <w:rFonts w:cs="Times New Roman"/>
          <w:sz w:val="20"/>
          <w:szCs w:val="20"/>
          <w:lang w:val="fr-BE"/>
        </w:rPr>
        <w:t>attarder</w:t>
      </w:r>
      <w:r w:rsidR="001A4EC0" w:rsidRPr="00EC4573">
        <w:rPr>
          <w:rFonts w:cs="Times New Roman"/>
          <w:sz w:val="20"/>
          <w:szCs w:val="20"/>
          <w:lang w:val="fr-BE"/>
        </w:rPr>
        <w:t xml:space="preserve"> pour atteindre les contraintes qui lui sont imposées.</w:t>
      </w:r>
      <w:r w:rsidR="000B7635" w:rsidRPr="00EC4573">
        <w:rPr>
          <w:rFonts w:cs="Times New Roman"/>
          <w:sz w:val="20"/>
          <w:szCs w:val="20"/>
          <w:lang w:val="fr-BE"/>
        </w:rPr>
        <w:t xml:space="preserve"> </w:t>
      </w:r>
    </w:p>
    <w:p w:rsidR="0030697F" w:rsidRPr="00EC4573" w:rsidRDefault="001A4EC0" w:rsidP="00D16087">
      <w:pPr>
        <w:jc w:val="both"/>
        <w:rPr>
          <w:sz w:val="20"/>
          <w:szCs w:val="20"/>
          <w:lang w:val="fr-BE"/>
        </w:rPr>
      </w:pPr>
      <w:bookmarkStart w:id="0" w:name="_GoBack"/>
      <w:r w:rsidRPr="00EC4573">
        <w:rPr>
          <w:sz w:val="20"/>
          <w:szCs w:val="20"/>
          <w:lang w:val="fr-BE"/>
        </w:rPr>
        <w:t xml:space="preserve">L’étude des déplacements d’air au niveau des </w:t>
      </w:r>
      <w:proofErr w:type="spellStart"/>
      <w:r w:rsidRPr="00EC4573">
        <w:rPr>
          <w:sz w:val="20"/>
          <w:szCs w:val="20"/>
          <w:lang w:val="fr-BE"/>
        </w:rPr>
        <w:t>airpaths</w:t>
      </w:r>
      <w:proofErr w:type="spellEnd"/>
      <w:r w:rsidRPr="00EC4573">
        <w:rPr>
          <w:sz w:val="20"/>
          <w:szCs w:val="20"/>
          <w:lang w:val="fr-BE"/>
        </w:rPr>
        <w:t xml:space="preserve"> est particulièrement compliqué</w:t>
      </w:r>
      <w:r w:rsidR="00EE4A30" w:rsidRPr="00EC4573">
        <w:rPr>
          <w:sz w:val="20"/>
          <w:szCs w:val="20"/>
          <w:lang w:val="fr-BE"/>
        </w:rPr>
        <w:t>e</w:t>
      </w:r>
      <w:r w:rsidRPr="00EC4573">
        <w:rPr>
          <w:sz w:val="20"/>
          <w:szCs w:val="20"/>
          <w:lang w:val="fr-BE"/>
        </w:rPr>
        <w:t xml:space="preserve">, autant au niveau théorique que pratique. </w:t>
      </w:r>
      <w:r w:rsidR="00EE4A30" w:rsidRPr="00EC4573">
        <w:rPr>
          <w:sz w:val="20"/>
          <w:szCs w:val="20"/>
          <w:lang w:val="fr-BE"/>
        </w:rPr>
        <w:t>Ce rapport a pour objectif de proposer une nouvelle méthode pour mesurer</w:t>
      </w:r>
      <w:r w:rsidR="005B1295">
        <w:rPr>
          <w:sz w:val="20"/>
          <w:szCs w:val="20"/>
          <w:lang w:val="fr-BE"/>
        </w:rPr>
        <w:t xml:space="preserve"> in-situ</w:t>
      </w:r>
      <w:r w:rsidR="00EE4A30" w:rsidRPr="00EC4573">
        <w:rPr>
          <w:sz w:val="20"/>
          <w:szCs w:val="20"/>
          <w:lang w:val="fr-BE"/>
        </w:rPr>
        <w:t xml:space="preserve"> </w:t>
      </w:r>
      <w:r w:rsidR="005B1295">
        <w:rPr>
          <w:sz w:val="20"/>
          <w:szCs w:val="20"/>
          <w:lang w:val="fr-BE"/>
        </w:rPr>
        <w:t>l</w:t>
      </w:r>
      <w:r w:rsidR="00EE4A30" w:rsidRPr="00EC4573">
        <w:rPr>
          <w:sz w:val="20"/>
          <w:szCs w:val="20"/>
          <w:lang w:val="fr-BE"/>
        </w:rPr>
        <w:t xml:space="preserve">’étanchéité à l’air d’un </w:t>
      </w:r>
      <w:proofErr w:type="spellStart"/>
      <w:r w:rsidR="00EE4A30" w:rsidRPr="00EC4573">
        <w:rPr>
          <w:sz w:val="20"/>
          <w:szCs w:val="20"/>
          <w:lang w:val="fr-BE"/>
        </w:rPr>
        <w:t>airpath</w:t>
      </w:r>
      <w:proofErr w:type="spellEnd"/>
      <w:r w:rsidR="00EE4A30" w:rsidRPr="00EC4573">
        <w:rPr>
          <w:sz w:val="20"/>
          <w:szCs w:val="20"/>
          <w:lang w:val="fr-BE"/>
        </w:rPr>
        <w:t>.</w:t>
      </w:r>
      <w:r w:rsidRPr="00EC4573">
        <w:rPr>
          <w:sz w:val="20"/>
          <w:szCs w:val="20"/>
          <w:lang w:val="fr-BE"/>
        </w:rPr>
        <w:t xml:space="preserve"> </w:t>
      </w:r>
      <w:r w:rsidR="00EE4A30" w:rsidRPr="00EC4573">
        <w:rPr>
          <w:sz w:val="20"/>
          <w:szCs w:val="20"/>
          <w:lang w:val="fr-BE"/>
        </w:rPr>
        <w:t xml:space="preserve">Ce rapport se divise en </w:t>
      </w:r>
      <w:r w:rsidR="00D16087" w:rsidRPr="00EC4573">
        <w:rPr>
          <w:sz w:val="20"/>
          <w:szCs w:val="20"/>
          <w:lang w:val="fr-BE"/>
        </w:rPr>
        <w:t>quatre</w:t>
      </w:r>
      <w:r w:rsidR="00EE4A30" w:rsidRPr="00EC4573">
        <w:rPr>
          <w:sz w:val="20"/>
          <w:szCs w:val="20"/>
          <w:lang w:val="fr-BE"/>
        </w:rPr>
        <w:t xml:space="preserve"> parties</w:t>
      </w:r>
      <w:r w:rsidR="00D16087" w:rsidRPr="00EC4573">
        <w:rPr>
          <w:sz w:val="20"/>
          <w:szCs w:val="20"/>
          <w:lang w:val="fr-BE"/>
        </w:rPr>
        <w:t>. Dans un premier temps, nous</w:t>
      </w:r>
      <w:r w:rsidR="00EE4A30" w:rsidRPr="00EC4573">
        <w:rPr>
          <w:sz w:val="20"/>
          <w:szCs w:val="20"/>
          <w:lang w:val="fr-BE"/>
        </w:rPr>
        <w:t xml:space="preserve"> développons le concept d’incertitudes de mesure et de loi de propagation. Ce concept est primordial dans la description d’une méthode de mesure puisqu’il </w:t>
      </w:r>
      <w:r w:rsidR="00D16087" w:rsidRPr="00EC4573">
        <w:rPr>
          <w:sz w:val="20"/>
          <w:szCs w:val="20"/>
          <w:lang w:val="fr-BE"/>
        </w:rPr>
        <w:t>informe sur sa</w:t>
      </w:r>
      <w:r w:rsidR="00EE4A30" w:rsidRPr="00EC4573">
        <w:rPr>
          <w:sz w:val="20"/>
          <w:szCs w:val="20"/>
          <w:lang w:val="fr-BE"/>
        </w:rPr>
        <w:t xml:space="preserve"> fiabilité.</w:t>
      </w:r>
      <w:r w:rsidR="00D16087" w:rsidRPr="00EC4573">
        <w:rPr>
          <w:sz w:val="20"/>
          <w:szCs w:val="20"/>
          <w:lang w:val="fr-BE"/>
        </w:rPr>
        <w:t xml:space="preserve"> Pour illustrer ce concept, nous développons brièvement le cas de la « fan </w:t>
      </w:r>
      <w:proofErr w:type="spellStart"/>
      <w:r w:rsidR="00D16087" w:rsidRPr="00EC4573">
        <w:rPr>
          <w:sz w:val="20"/>
          <w:szCs w:val="20"/>
          <w:lang w:val="fr-BE"/>
        </w:rPr>
        <w:t>pressurization</w:t>
      </w:r>
      <w:proofErr w:type="spellEnd"/>
      <w:r w:rsidR="00D16087" w:rsidRPr="00EC4573">
        <w:rPr>
          <w:sz w:val="20"/>
          <w:szCs w:val="20"/>
          <w:lang w:val="fr-BE"/>
        </w:rPr>
        <w:t xml:space="preserve"> </w:t>
      </w:r>
      <w:proofErr w:type="spellStart"/>
      <w:r w:rsidR="00D16087" w:rsidRPr="00EC4573">
        <w:rPr>
          <w:sz w:val="20"/>
          <w:szCs w:val="20"/>
          <w:lang w:val="fr-BE"/>
        </w:rPr>
        <w:t>method</w:t>
      </w:r>
      <w:proofErr w:type="spellEnd"/>
      <w:r w:rsidR="00D16087" w:rsidRPr="00EC4573">
        <w:rPr>
          <w:sz w:val="20"/>
          <w:szCs w:val="20"/>
          <w:lang w:val="fr-BE"/>
        </w:rPr>
        <w:t xml:space="preserve"> ». Dans un second temps, nous faisons une </w:t>
      </w:r>
      <w:proofErr w:type="spellStart"/>
      <w:r w:rsidR="00D16087" w:rsidRPr="00EC4573">
        <w:rPr>
          <w:sz w:val="20"/>
          <w:szCs w:val="20"/>
          <w:lang w:val="fr-BE"/>
        </w:rPr>
        <w:t>review</w:t>
      </w:r>
      <w:proofErr w:type="spellEnd"/>
      <w:r w:rsidR="00D16087" w:rsidRPr="00EC4573">
        <w:rPr>
          <w:sz w:val="20"/>
          <w:szCs w:val="20"/>
          <w:lang w:val="fr-BE"/>
        </w:rPr>
        <w:t xml:space="preserve"> des méthodes de mesure développées dans d’autres articles. Cette </w:t>
      </w:r>
      <w:proofErr w:type="spellStart"/>
      <w:r w:rsidR="00D16087" w:rsidRPr="00EC4573">
        <w:rPr>
          <w:sz w:val="20"/>
          <w:szCs w:val="20"/>
          <w:lang w:val="fr-BE"/>
        </w:rPr>
        <w:t>review</w:t>
      </w:r>
      <w:proofErr w:type="spellEnd"/>
      <w:r w:rsidR="00D16087" w:rsidRPr="00EC4573">
        <w:rPr>
          <w:sz w:val="20"/>
          <w:szCs w:val="20"/>
          <w:lang w:val="fr-BE"/>
        </w:rPr>
        <w:t xml:space="preserve"> reprend autant des méthodes de mesure in-situ que des méthodes de mesure de laboratoire. Dans un troisième temps, nous </w:t>
      </w:r>
      <w:r w:rsidR="00D16087" w:rsidRPr="00EC4573">
        <w:rPr>
          <w:sz w:val="20"/>
          <w:szCs w:val="20"/>
          <w:lang w:val="fr-BE"/>
        </w:rPr>
        <w:lastRenderedPageBreak/>
        <w:t>décrivons en détail la méthode de mesure proposée et le calcul d’incertitude qui lui est lié. Dans un quatrième temps, ce rapport conclut sur les prochaines étapes pour la validation de la méthode de mesure proposée.</w:t>
      </w:r>
    </w:p>
    <w:bookmarkEnd w:id="0"/>
    <w:p w:rsidR="00D16087" w:rsidRPr="006624BA" w:rsidRDefault="00D16087" w:rsidP="006624BA">
      <w:pPr>
        <w:pStyle w:val="Titre1"/>
        <w:numPr>
          <w:ilvl w:val="0"/>
          <w:numId w:val="3"/>
        </w:numPr>
        <w:pBdr>
          <w:bottom w:val="single" w:sz="4" w:space="1" w:color="595959" w:themeColor="text1" w:themeTint="A6"/>
        </w:pBdr>
        <w:spacing w:before="360" w:after="160" w:line="259" w:lineRule="auto"/>
        <w:ind w:left="432" w:hanging="432"/>
        <w:rPr>
          <w:smallCaps/>
          <w:color w:val="000000" w:themeColor="text1"/>
          <w:sz w:val="36"/>
          <w:szCs w:val="36"/>
          <w:lang w:val="fr-BE"/>
        </w:rPr>
      </w:pPr>
      <w:r w:rsidRPr="006624BA">
        <w:rPr>
          <w:smallCaps/>
          <w:color w:val="000000" w:themeColor="text1"/>
          <w:sz w:val="36"/>
          <w:szCs w:val="36"/>
          <w:lang w:val="fr-BE"/>
        </w:rPr>
        <w:t>In</w:t>
      </w:r>
      <w:r w:rsidR="00EC4573" w:rsidRPr="006624BA">
        <w:rPr>
          <w:smallCaps/>
          <w:color w:val="000000" w:themeColor="text1"/>
          <w:sz w:val="36"/>
          <w:szCs w:val="36"/>
          <w:lang w:val="fr-BE"/>
        </w:rPr>
        <w:t>certitudes et loi de propagation</w:t>
      </w:r>
    </w:p>
    <w:p w:rsidR="006624BA" w:rsidRDefault="006624BA" w:rsidP="006624BA">
      <w:pPr>
        <w:jc w:val="both"/>
        <w:rPr>
          <w:sz w:val="20"/>
          <w:szCs w:val="20"/>
          <w:lang w:val="fr-BE"/>
        </w:rPr>
      </w:pPr>
      <w:r w:rsidRPr="006624BA">
        <w:rPr>
          <w:sz w:val="20"/>
          <w:szCs w:val="20"/>
          <w:lang w:val="fr-BE"/>
        </w:rPr>
        <w:t>Lorsqu’une grandeur physique est mesurée, il subsiste toujours un doute sur la manière dont le résultat représente correctement la valeur de la grandeur mesurée. On parle alors d’incertitude de mesure. Un résultat n’a de sens que s’il est accompagné de son incertitude. En plus d’être nécessaire pour que l’utilisateur puisse estimer la fiabilité du résultat, une telle indication est nécessaire pour la comparaison de résultats entre eux ou avec des valeurs de référence. Un guide visant à fournir une information aussi complète que possible sur la manière dont on aboutit à l’expression de l’incertitude est mis-à-jour régulièrement</w:t>
      </w:r>
      <w:r w:rsidR="00BD0375">
        <w:rPr>
          <w:sz w:val="20"/>
          <w:szCs w:val="20"/>
          <w:lang w:val="fr-BE"/>
        </w:rPr>
        <w:t xml:space="preserve"> </w:t>
      </w:r>
      <w:r w:rsidR="00BD0375">
        <w:rPr>
          <w:sz w:val="20"/>
          <w:szCs w:val="20"/>
          <w:lang w:val="fr-BE"/>
        </w:rPr>
        <w:fldChar w:fldCharType="begin"/>
      </w:r>
      <w:r w:rsidR="003C46F3">
        <w:rPr>
          <w:sz w:val="20"/>
          <w:szCs w:val="20"/>
          <w:lang w:val="fr-BE"/>
        </w:rPr>
        <w:instrText xml:space="preserve"> ADDIN EN.CITE &lt;EndNote&gt;&lt;Cite&gt;&lt;Author&gt;BIPM&lt;/Author&gt;&lt;Year&gt;2008&lt;/Year&gt;&lt;RecNum&gt;102&lt;/RecNum&gt;&lt;DisplayText&gt;[2]&lt;/DisplayText&gt;&lt;record&gt;&lt;rec-number&gt;102&lt;/rec-number&gt;&lt;foreign-keys&gt;&lt;key app="EN" db-id="wx52rweesr59wfe0tf2xdtzg5frw2ppwzpp5" timestamp="1491550076"&gt;102&lt;/key&gt;&lt;/foreign-keys&gt;&lt;ref-type name="Generic"&gt;13&lt;/ref-type&gt;&lt;contributors&gt;&lt;authors&gt;&lt;author&gt;BIPM, IEC&lt;/author&gt;&lt;author&gt;IFCC, ILAC&lt;/author&gt;&lt;author&gt;IUPAC, IUPAP&lt;/author&gt;&lt;author&gt;ISO, OIML&lt;/author&gt;&lt;/authors&gt;&lt;/contributors&gt;&lt;titles&gt;&lt;title&gt;Evaluation of measurement data—guide for the expression of uncertainty in measurement. JCGM 100: 2008&lt;/title&gt;&lt;/titles&gt;&lt;dates&gt;&lt;year&gt;2008&lt;/year&gt;&lt;/dates&gt;&lt;urls&gt;&lt;/urls&gt;&lt;/record&gt;&lt;/Cite&gt;&lt;/EndNote&gt;</w:instrText>
      </w:r>
      <w:r w:rsidR="00BD0375">
        <w:rPr>
          <w:sz w:val="20"/>
          <w:szCs w:val="20"/>
          <w:lang w:val="fr-BE"/>
        </w:rPr>
        <w:fldChar w:fldCharType="separate"/>
      </w:r>
      <w:r w:rsidR="003C46F3">
        <w:rPr>
          <w:noProof/>
          <w:sz w:val="20"/>
          <w:szCs w:val="20"/>
          <w:lang w:val="fr-BE"/>
        </w:rPr>
        <w:t>[2]</w:t>
      </w:r>
      <w:r w:rsidR="00BD0375">
        <w:rPr>
          <w:sz w:val="20"/>
          <w:szCs w:val="20"/>
          <w:lang w:val="fr-BE"/>
        </w:rPr>
        <w:fldChar w:fldCharType="end"/>
      </w:r>
      <w:r>
        <w:rPr>
          <w:sz w:val="20"/>
          <w:szCs w:val="20"/>
          <w:lang w:val="fr-BE"/>
        </w:rPr>
        <w:t>.</w:t>
      </w:r>
    </w:p>
    <w:p w:rsidR="006624BA" w:rsidRPr="006624BA" w:rsidRDefault="006624BA" w:rsidP="006624BA">
      <w:pPr>
        <w:jc w:val="both"/>
        <w:rPr>
          <w:sz w:val="20"/>
          <w:szCs w:val="20"/>
          <w:lang w:val="fr-BE"/>
        </w:rPr>
      </w:pPr>
      <w:r w:rsidRPr="006624BA">
        <w:rPr>
          <w:sz w:val="20"/>
          <w:szCs w:val="20"/>
          <w:lang w:val="fr-BE"/>
        </w:rPr>
        <w:t>L’incertitude d’un résultat comprend généralement plusieurs composantes. Ces composantes peuvent être divisées en deux types : Type A (composantes évaluées à l’aide de méthodes statistiques) et Type B (composantes évaluées par d’autres moyens). On caractérise ces composantes par des variances estimées (</w:t>
      </w:r>
      <m:oMath>
        <m:sSubSup>
          <m:sSubSupPr>
            <m:ctrlPr>
              <w:rPr>
                <w:rFonts w:ascii="Cambria Math" w:hAnsi="Cambria Math"/>
                <w:sz w:val="20"/>
                <w:szCs w:val="20"/>
                <w:lang w:val="fr-BE"/>
              </w:rPr>
            </m:ctrlPr>
          </m:sSubSupPr>
          <m:e>
            <m:r>
              <m:rPr>
                <m:sty m:val="p"/>
              </m:rPr>
              <w:rPr>
                <w:rFonts w:ascii="Cambria Math" w:hAnsi="Cambria Math"/>
                <w:sz w:val="20"/>
                <w:szCs w:val="20"/>
                <w:lang w:val="fr-BE"/>
              </w:rPr>
              <m:t>s</m:t>
            </m:r>
          </m:e>
          <m:sub>
            <m:r>
              <m:rPr>
                <m:sty m:val="p"/>
              </m:rPr>
              <w:rPr>
                <w:rFonts w:ascii="Cambria Math" w:hAnsi="Cambria Math"/>
                <w:sz w:val="20"/>
                <w:szCs w:val="20"/>
                <w:lang w:val="fr-BE"/>
              </w:rPr>
              <m:t>i</m:t>
            </m:r>
          </m:sub>
          <m:sup>
            <m:r>
              <m:rPr>
                <m:sty m:val="p"/>
              </m:rPr>
              <w:rPr>
                <w:rFonts w:ascii="Cambria Math" w:hAnsi="Cambria Math"/>
                <w:sz w:val="20"/>
                <w:szCs w:val="20"/>
                <w:lang w:val="fr-BE"/>
              </w:rPr>
              <m:t>2</m:t>
            </m:r>
          </m:sup>
        </m:sSubSup>
      </m:oMath>
      <w:r w:rsidRPr="006624BA">
        <w:rPr>
          <w:sz w:val="20"/>
          <w:szCs w:val="20"/>
          <w:lang w:val="fr-BE"/>
        </w:rPr>
        <w:t xml:space="preserve"> pour la catégorie A et </w:t>
      </w:r>
      <m:oMath>
        <m:sSubSup>
          <m:sSubSupPr>
            <m:ctrlPr>
              <w:rPr>
                <w:rFonts w:ascii="Cambria Math" w:hAnsi="Cambria Math"/>
                <w:sz w:val="20"/>
                <w:szCs w:val="20"/>
                <w:lang w:val="fr-BE"/>
              </w:rPr>
            </m:ctrlPr>
          </m:sSubSupPr>
          <m:e>
            <m:r>
              <m:rPr>
                <m:sty m:val="p"/>
              </m:rPr>
              <w:rPr>
                <w:rFonts w:ascii="Cambria Math" w:hAnsi="Cambria Math"/>
                <w:sz w:val="20"/>
                <w:szCs w:val="20"/>
                <w:lang w:val="fr-BE"/>
              </w:rPr>
              <m:t>u</m:t>
            </m:r>
          </m:e>
          <m:sub>
            <m:r>
              <m:rPr>
                <m:sty m:val="p"/>
              </m:rPr>
              <w:rPr>
                <w:rFonts w:ascii="Cambria Math" w:hAnsi="Cambria Math"/>
                <w:sz w:val="20"/>
                <w:szCs w:val="20"/>
                <w:lang w:val="fr-BE"/>
              </w:rPr>
              <m:t>j</m:t>
            </m:r>
          </m:sub>
          <m:sup>
            <m:r>
              <m:rPr>
                <m:sty m:val="p"/>
              </m:rPr>
              <w:rPr>
                <w:rFonts w:ascii="Cambria Math" w:hAnsi="Cambria Math"/>
                <w:sz w:val="20"/>
                <w:szCs w:val="20"/>
                <w:lang w:val="fr-BE"/>
              </w:rPr>
              <m:t>2</m:t>
            </m:r>
          </m:sup>
        </m:sSubSup>
      </m:oMath>
      <w:r w:rsidRPr="006624BA">
        <w:rPr>
          <w:sz w:val="20"/>
          <w:szCs w:val="20"/>
          <w:lang w:val="fr-BE"/>
        </w:rPr>
        <w:t xml:space="preserve"> pour la catégorie B). Lorsque que le résultat de la mesure est obtenu par combinaison d’autres grandeurs, on parle alors d’incertitude-type composée.</w:t>
      </w:r>
    </w:p>
    <w:p w:rsidR="006624BA" w:rsidRPr="006624BA" w:rsidRDefault="006624BA" w:rsidP="006624BA">
      <w:pPr>
        <w:jc w:val="both"/>
        <w:rPr>
          <w:sz w:val="20"/>
          <w:szCs w:val="20"/>
          <w:lang w:val="fr-BE"/>
        </w:rPr>
      </w:pPr>
      <w:r w:rsidRPr="006624BA">
        <w:rPr>
          <w:sz w:val="20"/>
          <w:szCs w:val="20"/>
          <w:lang w:val="fr-BE"/>
        </w:rPr>
        <w:t>Une erreur possède deux composantes : une composante aléatoire et une composante systématique. Ces deux composantes de l’erreur ne doivent pas être confondues avec les deux types de composantes d’incertitude (Type A et B). L’incertitude qui caractérise une erreur aléatoire peut être déterminée par une évaluation de Type A ou B. Idem pour l’incertitude d’une correction pour un effet systématique. L’erreur aléatoire provient généralement de variations temporelles et spatiales non prévisibles ou stochastiques de grandeur d’influence. On peut généralement réduire ces erreurs en augmentant le nombre d’observations. Une erreur systématique se produit sur un résultat de mesure à partir d’un effet reconnu d’une grandeur d’influence. Si l’effet peut être quantifié et est significatif par rapport à l’exactitude requise, une correction ou un facteur de correction peut être appliqué pour compenser l’effet.</w:t>
      </w:r>
    </w:p>
    <w:p w:rsidR="006624BA" w:rsidRDefault="006624BA" w:rsidP="006624BA">
      <w:pPr>
        <w:jc w:val="both"/>
        <w:rPr>
          <w:sz w:val="20"/>
          <w:szCs w:val="20"/>
          <w:lang w:val="fr-BE"/>
        </w:rPr>
      </w:pPr>
      <w:r w:rsidRPr="006624BA">
        <w:rPr>
          <w:sz w:val="20"/>
          <w:szCs w:val="20"/>
          <w:lang w:val="fr-BE"/>
        </w:rPr>
        <w:t xml:space="preserve">Les composantes de l’incertitude sont caractérisées par la variance estimée </w:t>
      </w:r>
      <m:oMath>
        <m:sSup>
          <m:sSupPr>
            <m:ctrlPr>
              <w:rPr>
                <w:rFonts w:ascii="Cambria Math" w:hAnsi="Cambria Math"/>
                <w:sz w:val="20"/>
                <w:szCs w:val="20"/>
                <w:lang w:val="fr-BE"/>
              </w:rPr>
            </m:ctrlPr>
          </m:sSupPr>
          <m:e>
            <m:r>
              <m:rPr>
                <m:sty m:val="p"/>
              </m:rPr>
              <w:rPr>
                <w:rFonts w:ascii="Cambria Math" w:hAnsi="Cambria Math"/>
                <w:sz w:val="20"/>
                <w:szCs w:val="20"/>
                <w:lang w:val="fr-BE"/>
              </w:rPr>
              <m:t>u</m:t>
            </m:r>
          </m:e>
          <m:sup>
            <m:r>
              <m:rPr>
                <m:sty m:val="p"/>
              </m:rPr>
              <w:rPr>
                <w:rFonts w:ascii="Cambria Math" w:hAnsi="Cambria Math"/>
                <w:sz w:val="20"/>
                <w:szCs w:val="20"/>
                <w:lang w:val="fr-BE"/>
              </w:rPr>
              <m:t>2</m:t>
            </m:r>
          </m:sup>
        </m:sSup>
      </m:oMath>
      <w:r w:rsidRPr="006624BA">
        <w:rPr>
          <w:sz w:val="20"/>
          <w:szCs w:val="20"/>
          <w:lang w:val="fr-BE"/>
        </w:rPr>
        <w:t xml:space="preserve"> et l’écart-type estimé</w:t>
      </w:r>
      <m:oMath>
        <m:r>
          <m:rPr>
            <m:sty m:val="p"/>
          </m:rPr>
          <w:rPr>
            <w:rFonts w:ascii="Cambria Math" w:hAnsi="Cambria Math"/>
            <w:sz w:val="20"/>
            <w:szCs w:val="20"/>
            <w:lang w:val="fr-BE"/>
          </w:rPr>
          <m:t xml:space="preserve"> u</m:t>
        </m:r>
      </m:oMath>
      <w:r w:rsidRPr="006624BA">
        <w:rPr>
          <w:sz w:val="20"/>
          <w:szCs w:val="20"/>
          <w:lang w:val="fr-BE"/>
        </w:rPr>
        <w:t>. On obtient ces caractéristiques à partir d’une fonction de densité de probabilité déduite d’une distribution d’effectifs pour le type A. Pour les composantes de type B, on obtient cette incertitude à partir d’une densité de probabilité supposée.</w:t>
      </w:r>
    </w:p>
    <w:p w:rsidR="006624BA" w:rsidRDefault="006624BA" w:rsidP="006624BA">
      <w:pPr>
        <w:pStyle w:val="Titre2"/>
        <w:numPr>
          <w:ilvl w:val="1"/>
          <w:numId w:val="3"/>
        </w:numPr>
        <w:spacing w:before="360" w:line="259" w:lineRule="auto"/>
        <w:rPr>
          <w:smallCaps/>
          <w:color w:val="000000" w:themeColor="text1"/>
          <w:sz w:val="28"/>
          <w:szCs w:val="28"/>
          <w:lang w:val="fr-BE"/>
        </w:rPr>
      </w:pPr>
      <w:r w:rsidRPr="006624BA">
        <w:rPr>
          <w:smallCaps/>
          <w:color w:val="000000" w:themeColor="text1"/>
          <w:sz w:val="28"/>
          <w:szCs w:val="28"/>
          <w:lang w:val="fr-BE"/>
        </w:rPr>
        <w:t>Incertitude de type A</w:t>
      </w:r>
    </w:p>
    <w:p w:rsidR="00E572A2" w:rsidRDefault="00E572A2" w:rsidP="00E572A2">
      <w:pPr>
        <w:spacing w:after="0"/>
        <w:jc w:val="both"/>
        <w:rPr>
          <w:sz w:val="20"/>
          <w:szCs w:val="20"/>
          <w:lang w:val="fr-BE"/>
        </w:rPr>
      </w:pPr>
    </w:p>
    <w:p w:rsidR="006624BA" w:rsidRDefault="006624BA" w:rsidP="006624BA">
      <w:pPr>
        <w:jc w:val="both"/>
        <w:rPr>
          <w:sz w:val="20"/>
          <w:szCs w:val="20"/>
          <w:lang w:val="fr-BE"/>
        </w:rPr>
      </w:pPr>
      <w:r w:rsidRPr="00A7144E">
        <w:rPr>
          <w:sz w:val="20"/>
          <w:szCs w:val="20"/>
          <w:lang w:val="fr-BE"/>
        </w:rPr>
        <w:t xml:space="preserve">Dans la plupart des cas, la meilleure estimation disponible est la moyenne arithmétique </w:t>
      </w:r>
      <w:proofErr w:type="spellStart"/>
      <w:r w:rsidRPr="00A7144E">
        <w:rPr>
          <w:sz w:val="20"/>
          <w:szCs w:val="20"/>
          <w:lang w:val="fr-BE"/>
        </w:rPr>
        <w:t>des</w:t>
      </w:r>
      <w:proofErr w:type="spellEnd"/>
      <w:r w:rsidRPr="00A7144E">
        <w:rPr>
          <w:sz w:val="20"/>
          <w:szCs w:val="20"/>
          <w:lang w:val="fr-BE"/>
        </w:rPr>
        <w:t xml:space="preserve"> </w:t>
      </w:r>
      <m:oMath>
        <m:r>
          <m:rPr>
            <m:sty m:val="p"/>
          </m:rPr>
          <w:rPr>
            <w:rFonts w:ascii="Cambria Math" w:hAnsi="Cambria Math"/>
            <w:sz w:val="20"/>
            <w:szCs w:val="20"/>
            <w:lang w:val="fr-BE"/>
          </w:rPr>
          <m:t xml:space="preserve">n </m:t>
        </m:r>
      </m:oMath>
      <w:r w:rsidRPr="00A7144E">
        <w:rPr>
          <w:sz w:val="20"/>
          <w:szCs w:val="20"/>
          <w:lang w:val="fr-BE"/>
        </w:rPr>
        <w:t xml:space="preserve">observations est donnée par </w:t>
      </w:r>
      <w:r w:rsidRPr="00A7144E">
        <w:rPr>
          <w:b/>
          <w:sz w:val="20"/>
          <w:szCs w:val="20"/>
          <w:lang w:val="fr-BE"/>
        </w:rPr>
        <w:t>l’</w:t>
      </w:r>
      <w:r w:rsidRPr="00A7144E">
        <w:rPr>
          <w:b/>
          <w:sz w:val="20"/>
          <w:szCs w:val="20"/>
          <w:lang w:val="fr-BE"/>
        </w:rPr>
        <w:fldChar w:fldCharType="begin"/>
      </w:r>
      <w:r w:rsidRPr="00A7144E">
        <w:rPr>
          <w:b/>
          <w:sz w:val="20"/>
          <w:szCs w:val="20"/>
          <w:lang w:val="fr-BE"/>
        </w:rPr>
        <w:instrText xml:space="preserve"> REF _Ref479259724 \h  \* MERGEFORMAT </w:instrText>
      </w:r>
      <w:r w:rsidRPr="00A7144E">
        <w:rPr>
          <w:b/>
          <w:sz w:val="20"/>
          <w:szCs w:val="20"/>
          <w:lang w:val="fr-BE"/>
        </w:rPr>
      </w:r>
      <w:r w:rsidRPr="00A7144E">
        <w:rPr>
          <w:b/>
          <w:sz w:val="20"/>
          <w:szCs w:val="20"/>
          <w:lang w:val="fr-BE"/>
        </w:rPr>
        <w:fldChar w:fldCharType="separate"/>
      </w:r>
      <w:r w:rsidR="0004457E" w:rsidRPr="0004457E">
        <w:rPr>
          <w:b/>
          <w:sz w:val="20"/>
          <w:szCs w:val="20"/>
          <w:lang w:val="fr-BE"/>
        </w:rPr>
        <w:t>Équation 1</w:t>
      </w:r>
      <w:r w:rsidRPr="00A7144E">
        <w:rPr>
          <w:b/>
          <w:sz w:val="20"/>
          <w:szCs w:val="20"/>
          <w:lang w:val="fr-BE"/>
        </w:rPr>
        <w:fldChar w:fldCharType="end"/>
      </w:r>
      <w:r w:rsidRPr="00A7144E">
        <w:rPr>
          <w:sz w:val="20"/>
          <w:szCs w:val="20"/>
          <w:lang w:val="fr-BE"/>
        </w:rPr>
        <w:t>.</w:t>
      </w:r>
      <w:r w:rsidR="00A7144E" w:rsidRPr="00A7144E">
        <w:rPr>
          <w:sz w:val="20"/>
          <w:szCs w:val="20"/>
          <w:lang w:val="fr-BE"/>
        </w:rPr>
        <w:t xml:space="preserve"> La variance expérimentale des observations est donnée par </w:t>
      </w:r>
      <w:r w:rsidR="00A7144E" w:rsidRPr="00A7144E">
        <w:rPr>
          <w:b/>
          <w:sz w:val="20"/>
          <w:szCs w:val="20"/>
          <w:lang w:val="fr-BE"/>
        </w:rPr>
        <w:t>l’</w:t>
      </w:r>
      <w:r w:rsidR="00A7144E" w:rsidRPr="00A7144E">
        <w:rPr>
          <w:b/>
          <w:sz w:val="20"/>
          <w:szCs w:val="20"/>
          <w:lang w:val="fr-BE"/>
        </w:rPr>
        <w:fldChar w:fldCharType="begin"/>
      </w:r>
      <w:r w:rsidR="00A7144E" w:rsidRPr="00A7144E">
        <w:rPr>
          <w:b/>
          <w:sz w:val="20"/>
          <w:szCs w:val="20"/>
          <w:lang w:val="fr-BE"/>
        </w:rPr>
        <w:instrText xml:space="preserve"> REF _Ref479259661 \h  \* MERGEFORMAT </w:instrText>
      </w:r>
      <w:r w:rsidR="00A7144E" w:rsidRPr="00A7144E">
        <w:rPr>
          <w:b/>
          <w:sz w:val="20"/>
          <w:szCs w:val="20"/>
          <w:lang w:val="fr-BE"/>
        </w:rPr>
      </w:r>
      <w:r w:rsidR="00A7144E" w:rsidRPr="00A7144E">
        <w:rPr>
          <w:b/>
          <w:sz w:val="20"/>
          <w:szCs w:val="20"/>
          <w:lang w:val="fr-BE"/>
        </w:rPr>
        <w:fldChar w:fldCharType="separate"/>
      </w:r>
      <w:r w:rsidR="0004457E" w:rsidRPr="0004457E">
        <w:rPr>
          <w:b/>
          <w:sz w:val="20"/>
          <w:szCs w:val="20"/>
          <w:lang w:val="fr-BE"/>
        </w:rPr>
        <w:t>Équation 2</w:t>
      </w:r>
      <w:r w:rsidR="00A7144E" w:rsidRPr="00A7144E">
        <w:rPr>
          <w:b/>
          <w:sz w:val="20"/>
          <w:szCs w:val="20"/>
          <w:lang w:val="fr-BE"/>
        </w:rPr>
        <w:fldChar w:fldCharType="end"/>
      </w:r>
      <w:r w:rsidR="00A7144E" w:rsidRPr="00A7144E">
        <w:rPr>
          <w:sz w:val="20"/>
          <w:szCs w:val="20"/>
          <w:lang w:val="fr-BE"/>
        </w:rPr>
        <w:t xml:space="preserve"> et La meilleure estimation de la variance de la moyenne est donnée par</w:t>
      </w:r>
      <w:r w:rsidR="004F51BA">
        <w:rPr>
          <w:b/>
          <w:sz w:val="20"/>
          <w:szCs w:val="20"/>
          <w:lang w:val="fr-BE"/>
        </w:rPr>
        <w:t xml:space="preserve"> l’</w:t>
      </w:r>
      <w:r w:rsidR="004F51BA">
        <w:rPr>
          <w:b/>
          <w:sz w:val="20"/>
          <w:szCs w:val="20"/>
          <w:lang w:val="fr-BE"/>
        </w:rPr>
        <w:fldChar w:fldCharType="begin"/>
      </w:r>
      <w:r w:rsidR="004F51BA">
        <w:rPr>
          <w:b/>
          <w:sz w:val="20"/>
          <w:szCs w:val="20"/>
          <w:lang w:val="fr-BE"/>
        </w:rPr>
        <w:instrText xml:space="preserve"> REF _Ref484772330 \h  \* MERGEFORMAT </w:instrText>
      </w:r>
      <w:r w:rsidR="004F51BA">
        <w:rPr>
          <w:b/>
          <w:sz w:val="20"/>
          <w:szCs w:val="20"/>
          <w:lang w:val="fr-BE"/>
        </w:rPr>
      </w:r>
      <w:r w:rsidR="004F51BA">
        <w:rPr>
          <w:b/>
          <w:sz w:val="20"/>
          <w:szCs w:val="20"/>
          <w:lang w:val="fr-BE"/>
        </w:rPr>
        <w:fldChar w:fldCharType="separate"/>
      </w:r>
      <w:r w:rsidR="0004457E" w:rsidRPr="0004457E">
        <w:rPr>
          <w:b/>
          <w:sz w:val="20"/>
          <w:szCs w:val="20"/>
          <w:lang w:val="fr-BE"/>
        </w:rPr>
        <w:t>Équation 3</w:t>
      </w:r>
      <w:r w:rsidR="004F51BA">
        <w:rPr>
          <w:b/>
          <w:sz w:val="20"/>
          <w:szCs w:val="20"/>
          <w:lang w:val="fr-BE"/>
        </w:rPr>
        <w:fldChar w:fldCharType="end"/>
      </w:r>
      <w:r w:rsidR="00A7144E" w:rsidRPr="00A7144E">
        <w:rPr>
          <w:sz w:val="20"/>
          <w:szCs w:val="20"/>
          <w:lang w:val="fr-BE"/>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3765"/>
        <w:gridCol w:w="3071"/>
      </w:tblGrid>
      <w:tr w:rsidR="00A7144E" w:rsidTr="00A7144E">
        <w:tc>
          <w:tcPr>
            <w:tcW w:w="2376" w:type="dxa"/>
          </w:tcPr>
          <w:p w:rsidR="00A7144E" w:rsidRPr="00EF4D65" w:rsidRDefault="00A7144E" w:rsidP="00A7144E">
            <w:pPr>
              <w:pStyle w:val="Lgende"/>
              <w:keepNext/>
              <w:jc w:val="center"/>
              <w:rPr>
                <w:b/>
                <w:i w:val="0"/>
                <w:color w:val="365F91" w:themeColor="accent1" w:themeShade="BF"/>
              </w:rPr>
            </w:pPr>
            <w:bookmarkStart w:id="1" w:name="_Ref479259724"/>
            <w:r w:rsidRPr="00EF4D65">
              <w:rPr>
                <w:b/>
                <w:color w:val="365F91" w:themeColor="accent1" w:themeShade="BF"/>
              </w:rPr>
              <w:t xml:space="preserve">Équation </w:t>
            </w:r>
            <w:r w:rsidRPr="00EF4D65">
              <w:rPr>
                <w:b/>
                <w:i w:val="0"/>
                <w:color w:val="365F91" w:themeColor="accent1" w:themeShade="BF"/>
              </w:rPr>
              <w:fldChar w:fldCharType="begin"/>
            </w:r>
            <w:r w:rsidRPr="00EF4D65">
              <w:rPr>
                <w:b/>
                <w:color w:val="365F91" w:themeColor="accent1" w:themeShade="BF"/>
              </w:rPr>
              <w:instrText xml:space="preserve"> SEQ Équation \* ARABIC </w:instrText>
            </w:r>
            <w:r w:rsidRPr="00EF4D65">
              <w:rPr>
                <w:b/>
                <w:i w:val="0"/>
                <w:color w:val="365F91" w:themeColor="accent1" w:themeShade="BF"/>
              </w:rPr>
              <w:fldChar w:fldCharType="separate"/>
            </w:r>
            <w:r w:rsidR="0004457E">
              <w:rPr>
                <w:b/>
                <w:noProof/>
                <w:color w:val="365F91" w:themeColor="accent1" w:themeShade="BF"/>
              </w:rPr>
              <w:t>1</w:t>
            </w:r>
            <w:r w:rsidRPr="00EF4D65">
              <w:rPr>
                <w:b/>
                <w:i w:val="0"/>
                <w:color w:val="365F91" w:themeColor="accent1" w:themeShade="BF"/>
              </w:rPr>
              <w:fldChar w:fldCharType="end"/>
            </w:r>
            <w:bookmarkEnd w:id="1"/>
          </w:p>
          <w:p w:rsidR="00A7144E" w:rsidRPr="00A7144E" w:rsidRDefault="007C3AE6" w:rsidP="00A7144E">
            <w:pPr>
              <w:jc w:val="center"/>
              <w:rPr>
                <w:sz w:val="20"/>
                <w:szCs w:val="20"/>
                <w:lang w:val="fr-BE"/>
              </w:rPr>
            </w:pPr>
            <m:oMathPara>
              <m:oMath>
                <m:acc>
                  <m:accPr>
                    <m:chr m:val="̅"/>
                    <m:ctrlPr>
                      <w:rPr>
                        <w:rFonts w:ascii="Cambria Math" w:hAnsi="Cambria Math"/>
                        <w:i/>
                        <w:lang w:val="fr-BE"/>
                      </w:rPr>
                    </m:ctrlPr>
                  </m:accPr>
                  <m:e>
                    <m:r>
                      <w:rPr>
                        <w:rFonts w:ascii="Cambria Math" w:hAnsi="Cambria Math"/>
                        <w:lang w:val="fr-BE"/>
                      </w:rPr>
                      <m:t>q</m:t>
                    </m:r>
                  </m:e>
                </m:acc>
                <m:r>
                  <w:rPr>
                    <w:rFonts w:ascii="Cambria Math" w:hAnsi="Cambria Math"/>
                    <w:lang w:val="fr-BE"/>
                  </w:rPr>
                  <m:t>=</m:t>
                </m:r>
                <m:f>
                  <m:fPr>
                    <m:ctrlPr>
                      <w:rPr>
                        <w:rFonts w:ascii="Cambria Math" w:hAnsi="Cambria Math"/>
                        <w:i/>
                        <w:lang w:val="fr-BE"/>
                      </w:rPr>
                    </m:ctrlPr>
                  </m:fPr>
                  <m:num>
                    <m:r>
                      <w:rPr>
                        <w:rFonts w:ascii="Cambria Math" w:hAnsi="Cambria Math"/>
                        <w:lang w:val="fr-BE"/>
                      </w:rPr>
                      <m:t>1</m:t>
                    </m:r>
                  </m:num>
                  <m:den>
                    <m:r>
                      <w:rPr>
                        <w:rFonts w:ascii="Cambria Math" w:hAnsi="Cambria Math"/>
                        <w:lang w:val="fr-BE"/>
                      </w:rPr>
                      <m:t>n</m:t>
                    </m:r>
                  </m:den>
                </m:f>
                <m:nary>
                  <m:naryPr>
                    <m:chr m:val="∑"/>
                    <m:limLoc m:val="undOvr"/>
                    <m:ctrlPr>
                      <w:rPr>
                        <w:rFonts w:ascii="Cambria Math" w:hAnsi="Cambria Math"/>
                        <w:i/>
                        <w:lang w:val="fr-BE"/>
                      </w:rPr>
                    </m:ctrlPr>
                  </m:naryPr>
                  <m:sub>
                    <m:r>
                      <w:rPr>
                        <w:rFonts w:ascii="Cambria Math" w:hAnsi="Cambria Math"/>
                        <w:lang w:val="fr-BE"/>
                      </w:rPr>
                      <m:t>k=1</m:t>
                    </m:r>
                  </m:sub>
                  <m:sup>
                    <m:r>
                      <w:rPr>
                        <w:rFonts w:ascii="Cambria Math" w:hAnsi="Cambria Math"/>
                        <w:lang w:val="fr-BE"/>
                      </w:rPr>
                      <m:t>n</m:t>
                    </m:r>
                  </m:sup>
                  <m:e>
                    <m:sSub>
                      <m:sSubPr>
                        <m:ctrlPr>
                          <w:rPr>
                            <w:rFonts w:ascii="Cambria Math" w:hAnsi="Cambria Math"/>
                            <w:i/>
                            <w:lang w:val="fr-BE"/>
                          </w:rPr>
                        </m:ctrlPr>
                      </m:sSubPr>
                      <m:e>
                        <m:r>
                          <w:rPr>
                            <w:rFonts w:ascii="Cambria Math" w:hAnsi="Cambria Math"/>
                            <w:lang w:val="fr-BE"/>
                          </w:rPr>
                          <m:t>q</m:t>
                        </m:r>
                      </m:e>
                      <m:sub>
                        <m:r>
                          <w:rPr>
                            <w:rFonts w:ascii="Cambria Math" w:hAnsi="Cambria Math"/>
                            <w:lang w:val="fr-BE"/>
                          </w:rPr>
                          <m:t>k</m:t>
                        </m:r>
                      </m:sub>
                    </m:sSub>
                  </m:e>
                </m:nary>
              </m:oMath>
            </m:oMathPara>
          </w:p>
        </w:tc>
        <w:tc>
          <w:tcPr>
            <w:tcW w:w="3765" w:type="dxa"/>
          </w:tcPr>
          <w:p w:rsidR="00A7144E" w:rsidRPr="00EF4D65" w:rsidRDefault="00A7144E" w:rsidP="00A7144E">
            <w:pPr>
              <w:pStyle w:val="Lgende"/>
              <w:keepNext/>
              <w:jc w:val="center"/>
              <w:rPr>
                <w:b/>
                <w:i w:val="0"/>
                <w:color w:val="365F91" w:themeColor="accent1" w:themeShade="BF"/>
              </w:rPr>
            </w:pPr>
            <w:bookmarkStart w:id="2" w:name="_Ref479259661"/>
            <w:r w:rsidRPr="00EF4D65">
              <w:rPr>
                <w:b/>
                <w:color w:val="365F91" w:themeColor="accent1" w:themeShade="BF"/>
              </w:rPr>
              <w:t xml:space="preserve">Équation </w:t>
            </w:r>
            <w:r w:rsidRPr="00EF4D65">
              <w:rPr>
                <w:b/>
                <w:i w:val="0"/>
                <w:color w:val="365F91" w:themeColor="accent1" w:themeShade="BF"/>
              </w:rPr>
              <w:fldChar w:fldCharType="begin"/>
            </w:r>
            <w:r w:rsidRPr="00EF4D65">
              <w:rPr>
                <w:b/>
                <w:color w:val="365F91" w:themeColor="accent1" w:themeShade="BF"/>
              </w:rPr>
              <w:instrText xml:space="preserve"> SEQ Équation \* ARABIC </w:instrText>
            </w:r>
            <w:r w:rsidRPr="00EF4D65">
              <w:rPr>
                <w:b/>
                <w:i w:val="0"/>
                <w:color w:val="365F91" w:themeColor="accent1" w:themeShade="BF"/>
              </w:rPr>
              <w:fldChar w:fldCharType="separate"/>
            </w:r>
            <w:r w:rsidR="0004457E">
              <w:rPr>
                <w:b/>
                <w:noProof/>
                <w:color w:val="365F91" w:themeColor="accent1" w:themeShade="BF"/>
              </w:rPr>
              <w:t>2</w:t>
            </w:r>
            <w:r w:rsidRPr="00EF4D65">
              <w:rPr>
                <w:b/>
                <w:i w:val="0"/>
                <w:color w:val="365F91" w:themeColor="accent1" w:themeShade="BF"/>
              </w:rPr>
              <w:fldChar w:fldCharType="end"/>
            </w:r>
            <w:bookmarkEnd w:id="2"/>
          </w:p>
          <w:p w:rsidR="00A7144E" w:rsidRPr="00A7144E" w:rsidRDefault="007C3AE6" w:rsidP="00A7144E">
            <w:pPr>
              <w:jc w:val="center"/>
              <w:rPr>
                <w:lang w:val="fr-BE"/>
              </w:rPr>
            </w:pPr>
            <m:oMathPara>
              <m:oMath>
                <m:sSup>
                  <m:sSupPr>
                    <m:ctrlPr>
                      <w:rPr>
                        <w:rFonts w:ascii="Cambria Math" w:hAnsi="Cambria Math"/>
                        <w:i/>
                        <w:lang w:val="fr-BE"/>
                      </w:rPr>
                    </m:ctrlPr>
                  </m:sSupPr>
                  <m:e>
                    <m:r>
                      <w:rPr>
                        <w:rFonts w:ascii="Cambria Math" w:hAnsi="Cambria Math"/>
                        <w:lang w:val="fr-BE"/>
                      </w:rPr>
                      <m:t>s</m:t>
                    </m:r>
                  </m:e>
                  <m:sup>
                    <m:r>
                      <w:rPr>
                        <w:rFonts w:ascii="Cambria Math" w:hAnsi="Cambria Math"/>
                        <w:lang w:val="fr-BE"/>
                      </w:rPr>
                      <m:t>2</m:t>
                    </m:r>
                  </m:sup>
                </m:sSup>
                <m:d>
                  <m:dPr>
                    <m:ctrlPr>
                      <w:rPr>
                        <w:rFonts w:ascii="Cambria Math" w:hAnsi="Cambria Math"/>
                        <w:i/>
                        <w:lang w:val="fr-BE"/>
                      </w:rPr>
                    </m:ctrlPr>
                  </m:dPr>
                  <m:e>
                    <m:sSub>
                      <m:sSubPr>
                        <m:ctrlPr>
                          <w:rPr>
                            <w:rFonts w:ascii="Cambria Math" w:hAnsi="Cambria Math"/>
                            <w:i/>
                            <w:lang w:val="fr-BE"/>
                          </w:rPr>
                        </m:ctrlPr>
                      </m:sSubPr>
                      <m:e>
                        <m:r>
                          <w:rPr>
                            <w:rFonts w:ascii="Cambria Math" w:hAnsi="Cambria Math"/>
                            <w:lang w:val="fr-BE"/>
                          </w:rPr>
                          <m:t>q</m:t>
                        </m:r>
                      </m:e>
                      <m:sub>
                        <m:r>
                          <w:rPr>
                            <w:rFonts w:ascii="Cambria Math" w:hAnsi="Cambria Math"/>
                            <w:lang w:val="fr-BE"/>
                          </w:rPr>
                          <m:t>k</m:t>
                        </m:r>
                      </m:sub>
                    </m:sSub>
                  </m:e>
                </m:d>
                <m:r>
                  <w:rPr>
                    <w:rFonts w:ascii="Cambria Math" w:hAnsi="Cambria Math"/>
                    <w:lang w:val="fr-BE"/>
                  </w:rPr>
                  <m:t>=</m:t>
                </m:r>
                <m:f>
                  <m:fPr>
                    <m:ctrlPr>
                      <w:rPr>
                        <w:rFonts w:ascii="Cambria Math" w:hAnsi="Cambria Math"/>
                        <w:i/>
                        <w:lang w:val="fr-BE"/>
                      </w:rPr>
                    </m:ctrlPr>
                  </m:fPr>
                  <m:num>
                    <m:r>
                      <w:rPr>
                        <w:rFonts w:ascii="Cambria Math" w:hAnsi="Cambria Math"/>
                        <w:lang w:val="fr-BE"/>
                      </w:rPr>
                      <m:t>1</m:t>
                    </m:r>
                  </m:num>
                  <m:den>
                    <m:r>
                      <w:rPr>
                        <w:rFonts w:ascii="Cambria Math" w:hAnsi="Cambria Math"/>
                        <w:lang w:val="fr-BE"/>
                      </w:rPr>
                      <m:t>n-1</m:t>
                    </m:r>
                  </m:den>
                </m:f>
                <m:nary>
                  <m:naryPr>
                    <m:chr m:val="∑"/>
                    <m:limLoc m:val="undOvr"/>
                    <m:ctrlPr>
                      <w:rPr>
                        <w:rFonts w:ascii="Cambria Math" w:hAnsi="Cambria Math"/>
                        <w:i/>
                        <w:lang w:val="fr-BE"/>
                      </w:rPr>
                    </m:ctrlPr>
                  </m:naryPr>
                  <m:sub>
                    <m:r>
                      <w:rPr>
                        <w:rFonts w:ascii="Cambria Math" w:hAnsi="Cambria Math"/>
                        <w:lang w:val="fr-BE"/>
                      </w:rPr>
                      <m:t>j=1</m:t>
                    </m:r>
                  </m:sub>
                  <m:sup>
                    <m:r>
                      <w:rPr>
                        <w:rFonts w:ascii="Cambria Math" w:hAnsi="Cambria Math"/>
                        <w:lang w:val="fr-BE"/>
                      </w:rPr>
                      <m:t>n</m:t>
                    </m:r>
                  </m:sup>
                  <m:e>
                    <m:sSup>
                      <m:sSupPr>
                        <m:ctrlPr>
                          <w:rPr>
                            <w:rFonts w:ascii="Cambria Math" w:hAnsi="Cambria Math"/>
                            <w:i/>
                            <w:lang w:val="fr-BE"/>
                          </w:rPr>
                        </m:ctrlPr>
                      </m:sSupPr>
                      <m:e>
                        <m:d>
                          <m:dPr>
                            <m:ctrlPr>
                              <w:rPr>
                                <w:rFonts w:ascii="Cambria Math" w:hAnsi="Cambria Math"/>
                                <w:i/>
                                <w:lang w:val="fr-BE"/>
                              </w:rPr>
                            </m:ctrlPr>
                          </m:dPr>
                          <m:e>
                            <m:sSub>
                              <m:sSubPr>
                                <m:ctrlPr>
                                  <w:rPr>
                                    <w:rFonts w:ascii="Cambria Math" w:hAnsi="Cambria Math"/>
                                    <w:i/>
                                    <w:lang w:val="fr-BE"/>
                                  </w:rPr>
                                </m:ctrlPr>
                              </m:sSubPr>
                              <m:e>
                                <m:r>
                                  <w:rPr>
                                    <w:rFonts w:ascii="Cambria Math" w:hAnsi="Cambria Math"/>
                                    <w:lang w:val="fr-BE"/>
                                  </w:rPr>
                                  <m:t>q</m:t>
                                </m:r>
                              </m:e>
                              <m:sub>
                                <m:r>
                                  <w:rPr>
                                    <w:rFonts w:ascii="Cambria Math" w:hAnsi="Cambria Math"/>
                                    <w:lang w:val="fr-BE"/>
                                  </w:rPr>
                                  <m:t>j</m:t>
                                </m:r>
                              </m:sub>
                            </m:sSub>
                            <m:r>
                              <w:rPr>
                                <w:rFonts w:ascii="Cambria Math" w:hAnsi="Cambria Math"/>
                                <w:lang w:val="fr-BE"/>
                              </w:rPr>
                              <m:t>-</m:t>
                            </m:r>
                            <m:acc>
                              <m:accPr>
                                <m:chr m:val="̅"/>
                                <m:ctrlPr>
                                  <w:rPr>
                                    <w:rFonts w:ascii="Cambria Math" w:hAnsi="Cambria Math"/>
                                    <w:i/>
                                    <w:lang w:val="fr-BE"/>
                                  </w:rPr>
                                </m:ctrlPr>
                              </m:accPr>
                              <m:e>
                                <m:r>
                                  <w:rPr>
                                    <w:rFonts w:ascii="Cambria Math" w:hAnsi="Cambria Math"/>
                                    <w:lang w:val="fr-BE"/>
                                  </w:rPr>
                                  <m:t>q</m:t>
                                </m:r>
                              </m:e>
                            </m:acc>
                          </m:e>
                        </m:d>
                      </m:e>
                      <m:sup>
                        <m:r>
                          <w:rPr>
                            <w:rFonts w:ascii="Cambria Math" w:hAnsi="Cambria Math"/>
                            <w:lang w:val="fr-BE"/>
                          </w:rPr>
                          <m:t>2</m:t>
                        </m:r>
                      </m:sup>
                    </m:sSup>
                  </m:e>
                </m:nary>
              </m:oMath>
            </m:oMathPara>
          </w:p>
          <w:p w:rsidR="00A7144E" w:rsidRDefault="00A7144E" w:rsidP="00A7144E">
            <w:pPr>
              <w:jc w:val="center"/>
              <w:rPr>
                <w:sz w:val="20"/>
                <w:szCs w:val="20"/>
                <w:lang w:val="fr-BE"/>
              </w:rPr>
            </w:pPr>
          </w:p>
        </w:tc>
        <w:tc>
          <w:tcPr>
            <w:tcW w:w="3071" w:type="dxa"/>
          </w:tcPr>
          <w:p w:rsidR="00A7144E" w:rsidRPr="00EF4D65" w:rsidRDefault="00A7144E" w:rsidP="00A7144E">
            <w:pPr>
              <w:pStyle w:val="Lgende"/>
              <w:keepNext/>
              <w:jc w:val="center"/>
              <w:rPr>
                <w:b/>
                <w:i w:val="0"/>
                <w:color w:val="365F91" w:themeColor="accent1" w:themeShade="BF"/>
              </w:rPr>
            </w:pPr>
            <w:bookmarkStart w:id="3" w:name="_Ref484772330"/>
            <w:r w:rsidRPr="00EF4D65">
              <w:rPr>
                <w:b/>
                <w:color w:val="365F91" w:themeColor="accent1" w:themeShade="BF"/>
              </w:rPr>
              <w:t xml:space="preserve">Équation </w:t>
            </w:r>
            <w:r w:rsidRPr="00EF4D65">
              <w:rPr>
                <w:b/>
                <w:i w:val="0"/>
                <w:color w:val="365F91" w:themeColor="accent1" w:themeShade="BF"/>
              </w:rPr>
              <w:fldChar w:fldCharType="begin"/>
            </w:r>
            <w:r w:rsidRPr="00EF4D65">
              <w:rPr>
                <w:b/>
                <w:color w:val="365F91" w:themeColor="accent1" w:themeShade="BF"/>
              </w:rPr>
              <w:instrText xml:space="preserve"> SEQ Équation \* ARABIC </w:instrText>
            </w:r>
            <w:r w:rsidRPr="00EF4D65">
              <w:rPr>
                <w:b/>
                <w:i w:val="0"/>
                <w:color w:val="365F91" w:themeColor="accent1" w:themeShade="BF"/>
              </w:rPr>
              <w:fldChar w:fldCharType="separate"/>
            </w:r>
            <w:r w:rsidR="0004457E">
              <w:rPr>
                <w:b/>
                <w:noProof/>
                <w:color w:val="365F91" w:themeColor="accent1" w:themeShade="BF"/>
              </w:rPr>
              <w:t>3</w:t>
            </w:r>
            <w:r w:rsidRPr="00EF4D65">
              <w:rPr>
                <w:b/>
                <w:i w:val="0"/>
                <w:color w:val="365F91" w:themeColor="accent1" w:themeShade="BF"/>
              </w:rPr>
              <w:fldChar w:fldCharType="end"/>
            </w:r>
            <w:bookmarkEnd w:id="3"/>
          </w:p>
          <w:p w:rsidR="00A7144E" w:rsidRDefault="007C3AE6" w:rsidP="00A7144E">
            <w:pPr>
              <w:jc w:val="center"/>
              <w:rPr>
                <w:sz w:val="20"/>
                <w:szCs w:val="20"/>
                <w:lang w:val="fr-BE"/>
              </w:rPr>
            </w:pPr>
            <m:oMathPara>
              <m:oMath>
                <m:sSup>
                  <m:sSupPr>
                    <m:ctrlPr>
                      <w:rPr>
                        <w:rFonts w:ascii="Cambria Math" w:hAnsi="Cambria Math"/>
                        <w:i/>
                        <w:lang w:val="fr-BE"/>
                      </w:rPr>
                    </m:ctrlPr>
                  </m:sSupPr>
                  <m:e>
                    <m:r>
                      <w:rPr>
                        <w:rFonts w:ascii="Cambria Math" w:hAnsi="Cambria Math"/>
                        <w:lang w:val="fr-BE"/>
                      </w:rPr>
                      <m:t>s</m:t>
                    </m:r>
                  </m:e>
                  <m:sup>
                    <m:r>
                      <w:rPr>
                        <w:rFonts w:ascii="Cambria Math" w:hAnsi="Cambria Math"/>
                        <w:lang w:val="fr-BE"/>
                      </w:rPr>
                      <m:t>2</m:t>
                    </m:r>
                  </m:sup>
                </m:sSup>
                <m:d>
                  <m:dPr>
                    <m:ctrlPr>
                      <w:rPr>
                        <w:rFonts w:ascii="Cambria Math" w:hAnsi="Cambria Math"/>
                        <w:i/>
                        <w:lang w:val="fr-BE"/>
                      </w:rPr>
                    </m:ctrlPr>
                  </m:dPr>
                  <m:e>
                    <m:acc>
                      <m:accPr>
                        <m:chr m:val="̅"/>
                        <m:ctrlPr>
                          <w:rPr>
                            <w:rFonts w:ascii="Cambria Math" w:hAnsi="Cambria Math"/>
                            <w:i/>
                            <w:lang w:val="fr-BE"/>
                          </w:rPr>
                        </m:ctrlPr>
                      </m:accPr>
                      <m:e>
                        <m:r>
                          <w:rPr>
                            <w:rFonts w:ascii="Cambria Math" w:hAnsi="Cambria Math"/>
                            <w:lang w:val="fr-BE"/>
                          </w:rPr>
                          <m:t>q</m:t>
                        </m:r>
                      </m:e>
                    </m:acc>
                  </m:e>
                </m:d>
                <m:r>
                  <w:rPr>
                    <w:rFonts w:ascii="Cambria Math" w:hAnsi="Cambria Math"/>
                    <w:lang w:val="fr-BE"/>
                  </w:rPr>
                  <m:t>=</m:t>
                </m:r>
                <m:f>
                  <m:fPr>
                    <m:ctrlPr>
                      <w:rPr>
                        <w:rFonts w:ascii="Cambria Math" w:hAnsi="Cambria Math"/>
                        <w:i/>
                        <w:lang w:val="fr-BE"/>
                      </w:rPr>
                    </m:ctrlPr>
                  </m:fPr>
                  <m:num>
                    <m:sSup>
                      <m:sSupPr>
                        <m:ctrlPr>
                          <w:rPr>
                            <w:rFonts w:ascii="Cambria Math" w:hAnsi="Cambria Math"/>
                            <w:i/>
                            <w:lang w:val="fr-BE"/>
                          </w:rPr>
                        </m:ctrlPr>
                      </m:sSupPr>
                      <m:e>
                        <m:r>
                          <w:rPr>
                            <w:rFonts w:ascii="Cambria Math" w:hAnsi="Cambria Math"/>
                            <w:lang w:val="fr-BE"/>
                          </w:rPr>
                          <m:t>s</m:t>
                        </m:r>
                      </m:e>
                      <m:sup>
                        <m:r>
                          <w:rPr>
                            <w:rFonts w:ascii="Cambria Math" w:hAnsi="Cambria Math"/>
                            <w:lang w:val="fr-BE"/>
                          </w:rPr>
                          <m:t>2</m:t>
                        </m:r>
                      </m:sup>
                    </m:sSup>
                    <m:d>
                      <m:dPr>
                        <m:ctrlPr>
                          <w:rPr>
                            <w:rFonts w:ascii="Cambria Math" w:hAnsi="Cambria Math"/>
                            <w:i/>
                            <w:lang w:val="fr-BE"/>
                          </w:rPr>
                        </m:ctrlPr>
                      </m:dPr>
                      <m:e>
                        <m:sSub>
                          <m:sSubPr>
                            <m:ctrlPr>
                              <w:rPr>
                                <w:rFonts w:ascii="Cambria Math" w:hAnsi="Cambria Math"/>
                                <w:i/>
                                <w:lang w:val="fr-BE"/>
                              </w:rPr>
                            </m:ctrlPr>
                          </m:sSubPr>
                          <m:e>
                            <m:r>
                              <w:rPr>
                                <w:rFonts w:ascii="Cambria Math" w:hAnsi="Cambria Math"/>
                                <w:lang w:val="fr-BE"/>
                              </w:rPr>
                              <m:t>q</m:t>
                            </m:r>
                          </m:e>
                          <m:sub>
                            <m:r>
                              <w:rPr>
                                <w:rFonts w:ascii="Cambria Math" w:hAnsi="Cambria Math"/>
                                <w:lang w:val="fr-BE"/>
                              </w:rPr>
                              <m:t>k</m:t>
                            </m:r>
                          </m:sub>
                        </m:sSub>
                      </m:e>
                    </m:d>
                  </m:num>
                  <m:den>
                    <m:r>
                      <w:rPr>
                        <w:rFonts w:ascii="Cambria Math" w:hAnsi="Cambria Math"/>
                        <w:lang w:val="fr-BE"/>
                      </w:rPr>
                      <m:t>n</m:t>
                    </m:r>
                  </m:den>
                </m:f>
              </m:oMath>
            </m:oMathPara>
          </w:p>
        </w:tc>
      </w:tr>
    </w:tbl>
    <w:p w:rsidR="00A7144E" w:rsidRDefault="00A7144E" w:rsidP="00A7144E">
      <w:pPr>
        <w:pStyle w:val="Titre2"/>
        <w:numPr>
          <w:ilvl w:val="1"/>
          <w:numId w:val="3"/>
        </w:numPr>
        <w:spacing w:before="360" w:line="259" w:lineRule="auto"/>
        <w:rPr>
          <w:smallCaps/>
          <w:color w:val="000000" w:themeColor="text1"/>
          <w:sz w:val="28"/>
          <w:szCs w:val="28"/>
          <w:lang w:val="fr-BE"/>
        </w:rPr>
      </w:pPr>
      <w:r w:rsidRPr="00A7144E">
        <w:rPr>
          <w:smallCaps/>
          <w:color w:val="000000" w:themeColor="text1"/>
          <w:sz w:val="28"/>
          <w:szCs w:val="28"/>
          <w:lang w:val="fr-BE"/>
        </w:rPr>
        <w:t>Incertitude de type B</w:t>
      </w:r>
    </w:p>
    <w:p w:rsidR="00E572A2" w:rsidRPr="00E572A2" w:rsidRDefault="00E572A2" w:rsidP="00E572A2">
      <w:pPr>
        <w:spacing w:after="0"/>
        <w:jc w:val="both"/>
        <w:rPr>
          <w:sz w:val="20"/>
          <w:szCs w:val="20"/>
          <w:lang w:val="fr-BE"/>
        </w:rPr>
      </w:pPr>
    </w:p>
    <w:p w:rsidR="00A7144E" w:rsidRPr="00A7144E" w:rsidRDefault="00A7144E" w:rsidP="00A7144E">
      <w:pPr>
        <w:jc w:val="both"/>
        <w:rPr>
          <w:sz w:val="20"/>
          <w:szCs w:val="20"/>
          <w:lang w:val="fr-BE"/>
        </w:rPr>
      </w:pPr>
      <w:r w:rsidRPr="00A7144E">
        <w:rPr>
          <w:sz w:val="20"/>
          <w:szCs w:val="20"/>
          <w:lang w:val="fr-BE"/>
        </w:rPr>
        <w:t>Dans le cas d’incertitudes de type B, la variance estimée associée est évaluée par un jugement scientifique fondé sur les informations disponibles (résultats antérieurs, expérience, connaissances générales, spécifications du fabricant, données fournies par des certificats, incertitudes provenant de la littérature, etc.).</w:t>
      </w:r>
    </w:p>
    <w:p w:rsidR="00A7144E" w:rsidRPr="00A7144E" w:rsidRDefault="00A7144E" w:rsidP="00A7144E">
      <w:pPr>
        <w:jc w:val="both"/>
        <w:rPr>
          <w:sz w:val="20"/>
          <w:szCs w:val="20"/>
          <w:lang w:val="fr-BE"/>
        </w:rPr>
      </w:pPr>
      <w:r w:rsidRPr="00A7144E">
        <w:rPr>
          <w:sz w:val="20"/>
          <w:szCs w:val="20"/>
          <w:lang w:val="fr-BE"/>
        </w:rPr>
        <w:lastRenderedPageBreak/>
        <w:t>Attention, il est important de ne pas composer deux fois les mêmes composantes de l’incertitude. Si une composante est obtenue par une évaluation de type B, elle ne doit être introduite dans le calcul de l’incertitude compostée que si l’effet ne contribue pas à la variabilité observée déjà prise en compte dans la composante de l’incertitude de type A.</w:t>
      </w:r>
    </w:p>
    <w:p w:rsidR="006624BA" w:rsidRDefault="00A7144E" w:rsidP="00A7144E">
      <w:pPr>
        <w:pStyle w:val="Titre2"/>
        <w:numPr>
          <w:ilvl w:val="1"/>
          <w:numId w:val="3"/>
        </w:numPr>
        <w:spacing w:before="360" w:line="259" w:lineRule="auto"/>
        <w:rPr>
          <w:smallCaps/>
          <w:color w:val="000000" w:themeColor="text1"/>
          <w:sz w:val="28"/>
          <w:szCs w:val="28"/>
          <w:lang w:val="fr-BE"/>
        </w:rPr>
      </w:pPr>
      <w:r w:rsidRPr="00A7144E">
        <w:rPr>
          <w:smallCaps/>
          <w:color w:val="000000" w:themeColor="text1"/>
          <w:sz w:val="28"/>
          <w:szCs w:val="28"/>
          <w:lang w:val="fr-BE"/>
        </w:rPr>
        <w:t>Incertitude composée et loi de propagation</w:t>
      </w:r>
    </w:p>
    <w:p w:rsidR="00E572A2" w:rsidRPr="00E572A2" w:rsidRDefault="00E572A2" w:rsidP="00E572A2">
      <w:pPr>
        <w:spacing w:after="0"/>
        <w:jc w:val="both"/>
        <w:rPr>
          <w:sz w:val="20"/>
          <w:szCs w:val="20"/>
          <w:lang w:val="fr-BE"/>
        </w:rPr>
      </w:pPr>
    </w:p>
    <w:p w:rsidR="00A7144E" w:rsidRPr="00A7144E" w:rsidRDefault="00A7144E" w:rsidP="00A7144E">
      <w:pPr>
        <w:jc w:val="both"/>
        <w:rPr>
          <w:sz w:val="20"/>
          <w:szCs w:val="20"/>
          <w:lang w:val="fr-BE"/>
        </w:rPr>
      </w:pPr>
      <w:r w:rsidRPr="00A7144E">
        <w:rPr>
          <w:sz w:val="20"/>
          <w:szCs w:val="20"/>
          <w:lang w:val="fr-BE"/>
        </w:rPr>
        <w:t xml:space="preserve">Un </w:t>
      </w:r>
      <w:proofErr w:type="spellStart"/>
      <w:r w:rsidRPr="00A7144E">
        <w:rPr>
          <w:sz w:val="20"/>
          <w:szCs w:val="20"/>
          <w:lang w:val="fr-BE"/>
        </w:rPr>
        <w:t>mesurande</w:t>
      </w:r>
      <w:proofErr w:type="spellEnd"/>
      <w:r w:rsidRPr="00A7144E">
        <w:rPr>
          <w:sz w:val="20"/>
          <w:szCs w:val="20"/>
          <w:lang w:val="fr-BE"/>
        </w:rPr>
        <w:t xml:space="preserve"> n’est pas toujours mesuré directement, il est parfois déterminé à partir d’autres grandeurs à travers une certaine relation</w:t>
      </w:r>
      <m:oMath>
        <m:r>
          <m:rPr>
            <m:sty m:val="p"/>
          </m:rPr>
          <w:rPr>
            <w:rFonts w:ascii="Cambria Math" w:hAnsi="Cambria Math"/>
            <w:sz w:val="20"/>
            <w:szCs w:val="20"/>
            <w:lang w:val="fr-BE"/>
          </w:rPr>
          <m:t xml:space="preserve"> </m:t>
        </m:r>
        <m:d>
          <m:dPr>
            <m:ctrlPr>
              <w:rPr>
                <w:rFonts w:ascii="Cambria Math" w:hAnsi="Cambria Math"/>
                <w:sz w:val="20"/>
                <w:szCs w:val="20"/>
                <w:lang w:val="fr-BE"/>
              </w:rPr>
            </m:ctrlPr>
          </m:dPr>
          <m:e>
            <m:r>
              <m:rPr>
                <m:sty m:val="p"/>
              </m:rPr>
              <w:rPr>
                <w:rFonts w:ascii="Cambria Math" w:hAnsi="Cambria Math"/>
                <w:sz w:val="20"/>
                <w:szCs w:val="20"/>
                <w:lang w:val="fr-BE"/>
              </w:rPr>
              <m:t>Y=f</m:t>
            </m:r>
            <m:d>
              <m:dPr>
                <m:ctrlPr>
                  <w:rPr>
                    <w:rFonts w:ascii="Cambria Math" w:hAnsi="Cambria Math"/>
                    <w:sz w:val="20"/>
                    <w:szCs w:val="20"/>
                    <w:lang w:val="fr-BE"/>
                  </w:rPr>
                </m:ctrlPr>
              </m:dPr>
              <m:e>
                <m:sSub>
                  <m:sSubPr>
                    <m:ctrlPr>
                      <w:rPr>
                        <w:rFonts w:ascii="Cambria Math" w:hAnsi="Cambria Math"/>
                        <w:sz w:val="20"/>
                        <w:szCs w:val="20"/>
                        <w:lang w:val="fr-BE"/>
                      </w:rPr>
                    </m:ctrlPr>
                  </m:sSubPr>
                  <m:e>
                    <m:r>
                      <m:rPr>
                        <m:sty m:val="p"/>
                      </m:rPr>
                      <w:rPr>
                        <w:rFonts w:ascii="Cambria Math" w:hAnsi="Cambria Math"/>
                        <w:sz w:val="20"/>
                        <w:szCs w:val="20"/>
                        <w:lang w:val="fr-BE"/>
                      </w:rPr>
                      <m:t>X</m:t>
                    </m:r>
                  </m:e>
                  <m:sub>
                    <m:r>
                      <m:rPr>
                        <m:sty m:val="p"/>
                      </m:rPr>
                      <w:rPr>
                        <w:rFonts w:ascii="Cambria Math" w:hAnsi="Cambria Math"/>
                        <w:sz w:val="20"/>
                        <w:szCs w:val="20"/>
                        <w:lang w:val="fr-BE"/>
                      </w:rPr>
                      <m:t>1</m:t>
                    </m:r>
                  </m:sub>
                </m:sSub>
                <m:r>
                  <m:rPr>
                    <m:sty m:val="p"/>
                  </m:rPr>
                  <w:rPr>
                    <w:rFonts w:ascii="Cambria Math" w:hAnsi="Cambria Math"/>
                    <w:sz w:val="20"/>
                    <w:szCs w:val="20"/>
                    <w:lang w:val="fr-BE"/>
                  </w:rPr>
                  <m:t>,</m:t>
                </m:r>
                <m:sSub>
                  <m:sSubPr>
                    <m:ctrlPr>
                      <w:rPr>
                        <w:rFonts w:ascii="Cambria Math" w:hAnsi="Cambria Math"/>
                        <w:sz w:val="20"/>
                        <w:szCs w:val="20"/>
                        <w:lang w:val="fr-BE"/>
                      </w:rPr>
                    </m:ctrlPr>
                  </m:sSubPr>
                  <m:e>
                    <m:r>
                      <m:rPr>
                        <m:sty m:val="p"/>
                      </m:rPr>
                      <w:rPr>
                        <w:rFonts w:ascii="Cambria Math" w:hAnsi="Cambria Math"/>
                        <w:sz w:val="20"/>
                        <w:szCs w:val="20"/>
                        <w:lang w:val="fr-BE"/>
                      </w:rPr>
                      <m:t>X</m:t>
                    </m:r>
                  </m:e>
                  <m:sub>
                    <m:r>
                      <m:rPr>
                        <m:sty m:val="p"/>
                      </m:rPr>
                      <w:rPr>
                        <w:rFonts w:ascii="Cambria Math" w:hAnsi="Cambria Math"/>
                        <w:sz w:val="20"/>
                        <w:szCs w:val="20"/>
                        <w:lang w:val="fr-BE"/>
                      </w:rPr>
                      <m:t>2</m:t>
                    </m:r>
                  </m:sub>
                </m:sSub>
                <m:r>
                  <m:rPr>
                    <m:sty m:val="p"/>
                  </m:rPr>
                  <w:rPr>
                    <w:rFonts w:ascii="Cambria Math" w:hAnsi="Cambria Math"/>
                    <w:sz w:val="20"/>
                    <w:szCs w:val="20"/>
                    <w:lang w:val="fr-BE"/>
                  </w:rPr>
                  <m:t>,…,</m:t>
                </m:r>
                <m:sSub>
                  <m:sSubPr>
                    <m:ctrlPr>
                      <w:rPr>
                        <w:rFonts w:ascii="Cambria Math" w:hAnsi="Cambria Math"/>
                        <w:sz w:val="20"/>
                        <w:szCs w:val="20"/>
                        <w:lang w:val="fr-BE"/>
                      </w:rPr>
                    </m:ctrlPr>
                  </m:sSubPr>
                  <m:e>
                    <m:r>
                      <m:rPr>
                        <m:sty m:val="p"/>
                      </m:rPr>
                      <w:rPr>
                        <w:rFonts w:ascii="Cambria Math" w:hAnsi="Cambria Math"/>
                        <w:sz w:val="20"/>
                        <w:szCs w:val="20"/>
                        <w:lang w:val="fr-BE"/>
                      </w:rPr>
                      <m:t>X</m:t>
                    </m:r>
                  </m:e>
                  <m:sub>
                    <m:r>
                      <m:rPr>
                        <m:sty m:val="p"/>
                      </m:rPr>
                      <w:rPr>
                        <w:rFonts w:ascii="Cambria Math" w:hAnsi="Cambria Math"/>
                        <w:sz w:val="20"/>
                        <w:szCs w:val="20"/>
                        <w:lang w:val="fr-BE"/>
                      </w:rPr>
                      <m:t>N</m:t>
                    </m:r>
                  </m:sub>
                </m:sSub>
              </m:e>
            </m:d>
          </m:e>
        </m:d>
      </m:oMath>
      <w:r w:rsidRPr="00A7144E">
        <w:rPr>
          <w:sz w:val="20"/>
          <w:szCs w:val="20"/>
          <w:lang w:val="fr-BE"/>
        </w:rPr>
        <w:t>. Si les données indiquent que la fonction ne modélise pas le mesurage au degré imposé par l’exactitude exigée pour le résultat de mesure, des grandeurs d’entrées additionnelles doivent être introduites dans la relation</w:t>
      </w:r>
      <m:oMath>
        <m:r>
          <m:rPr>
            <m:sty m:val="p"/>
          </m:rPr>
          <w:rPr>
            <w:rFonts w:ascii="Cambria Math" w:hAnsi="Cambria Math"/>
            <w:sz w:val="20"/>
            <w:szCs w:val="20"/>
            <w:lang w:val="fr-BE"/>
          </w:rPr>
          <m:t xml:space="preserve"> f</m:t>
        </m:r>
      </m:oMath>
      <w:r w:rsidRPr="00A7144E">
        <w:rPr>
          <w:sz w:val="20"/>
          <w:szCs w:val="20"/>
          <w:lang w:val="fr-BE"/>
        </w:rPr>
        <w:t xml:space="preserve">. Les grandeurs </w:t>
      </w:r>
      <m:oMath>
        <m:sSub>
          <m:sSubPr>
            <m:ctrlPr>
              <w:rPr>
                <w:rFonts w:ascii="Cambria Math" w:hAnsi="Cambria Math"/>
                <w:sz w:val="20"/>
                <w:szCs w:val="20"/>
                <w:lang w:val="fr-BE"/>
              </w:rPr>
            </m:ctrlPr>
          </m:sSubPr>
          <m:e>
            <m:r>
              <m:rPr>
                <m:sty m:val="p"/>
              </m:rPr>
              <w:rPr>
                <w:rFonts w:ascii="Cambria Math" w:hAnsi="Cambria Math"/>
                <w:sz w:val="20"/>
                <w:szCs w:val="20"/>
                <w:lang w:val="fr-BE"/>
              </w:rPr>
              <m:t>X</m:t>
            </m:r>
          </m:e>
          <m:sub>
            <m:r>
              <m:rPr>
                <m:sty m:val="p"/>
              </m:rPr>
              <w:rPr>
                <w:rFonts w:ascii="Cambria Math" w:hAnsi="Cambria Math"/>
                <w:sz w:val="20"/>
                <w:szCs w:val="20"/>
                <w:lang w:val="fr-BE"/>
              </w:rPr>
              <m:t>i</m:t>
            </m:r>
          </m:sub>
        </m:sSub>
      </m:oMath>
      <w:r w:rsidRPr="00A7144E">
        <w:rPr>
          <w:sz w:val="20"/>
          <w:szCs w:val="20"/>
          <w:lang w:val="fr-BE"/>
        </w:rPr>
        <w:t xml:space="preserve"> peuvent être des grandeurs dont les valeurs et les incertitudes sont directement déterminées au cours du métrage ou des grandeurs dont les valeurs et les incertitudes sont introduites dans le mesurage à partir de sources extérieures. L’écart-type associé à l’estimation de sortie ou au résultat de mesure </w:t>
      </w:r>
      <m:oMath>
        <m:r>
          <m:rPr>
            <m:sty m:val="p"/>
          </m:rPr>
          <w:rPr>
            <w:rFonts w:ascii="Cambria Math" w:hAnsi="Cambria Math"/>
            <w:sz w:val="20"/>
            <w:szCs w:val="20"/>
            <w:lang w:val="fr-BE"/>
          </w:rPr>
          <m:t>y</m:t>
        </m:r>
      </m:oMath>
      <w:r w:rsidRPr="00A7144E">
        <w:rPr>
          <w:sz w:val="20"/>
          <w:szCs w:val="20"/>
          <w:lang w:val="fr-BE"/>
        </w:rPr>
        <w:t xml:space="preserve"> est appelé incertitude composée</w:t>
      </w:r>
      <m:oMath>
        <m:r>
          <m:rPr>
            <m:sty m:val="p"/>
          </m:rPr>
          <w:rPr>
            <w:rFonts w:ascii="Cambria Math" w:hAnsi="Cambria Math"/>
            <w:sz w:val="20"/>
            <w:szCs w:val="20"/>
            <w:lang w:val="fr-BE"/>
          </w:rPr>
          <m:t xml:space="preserve"> </m:t>
        </m:r>
        <m:sSub>
          <m:sSubPr>
            <m:ctrlPr>
              <w:rPr>
                <w:rFonts w:ascii="Cambria Math" w:hAnsi="Cambria Math"/>
                <w:sz w:val="20"/>
                <w:szCs w:val="20"/>
                <w:lang w:val="fr-BE"/>
              </w:rPr>
            </m:ctrlPr>
          </m:sSubPr>
          <m:e>
            <m:r>
              <m:rPr>
                <m:sty m:val="p"/>
              </m:rPr>
              <w:rPr>
                <w:rFonts w:ascii="Cambria Math" w:hAnsi="Cambria Math"/>
                <w:sz w:val="20"/>
                <w:szCs w:val="20"/>
                <w:lang w:val="fr-BE"/>
              </w:rPr>
              <m:t>u</m:t>
            </m:r>
          </m:e>
          <m:sub>
            <m:r>
              <m:rPr>
                <m:sty m:val="p"/>
              </m:rPr>
              <w:rPr>
                <w:rFonts w:ascii="Cambria Math" w:hAnsi="Cambria Math"/>
                <w:sz w:val="20"/>
                <w:szCs w:val="20"/>
                <w:lang w:val="fr-BE"/>
              </w:rPr>
              <m:t>c</m:t>
            </m:r>
          </m:sub>
        </m:sSub>
        <m:r>
          <m:rPr>
            <m:sty m:val="p"/>
          </m:rPr>
          <w:rPr>
            <w:rFonts w:ascii="Cambria Math" w:hAnsi="Cambria Math"/>
            <w:sz w:val="20"/>
            <w:szCs w:val="20"/>
            <w:lang w:val="fr-BE"/>
          </w:rPr>
          <m:t>(y)</m:t>
        </m:r>
      </m:oMath>
      <w:r w:rsidRPr="00A7144E">
        <w:rPr>
          <w:sz w:val="20"/>
          <w:szCs w:val="20"/>
          <w:lang w:val="fr-BE"/>
        </w:rPr>
        <w:t>.</w:t>
      </w:r>
    </w:p>
    <w:p w:rsidR="00A7144E" w:rsidRDefault="00A7144E" w:rsidP="00A7144E">
      <w:pPr>
        <w:jc w:val="both"/>
        <w:rPr>
          <w:sz w:val="20"/>
          <w:szCs w:val="20"/>
          <w:lang w:val="fr-BE"/>
        </w:rPr>
      </w:pPr>
      <w:r w:rsidRPr="00A7144E">
        <w:rPr>
          <w:sz w:val="20"/>
          <w:szCs w:val="20"/>
          <w:lang w:val="fr-BE"/>
        </w:rPr>
        <w:t xml:space="preserve">Si les grandeurs d’entrées sont non-corrélées, l’incertitude composée est donnée par </w:t>
      </w:r>
      <w:r w:rsidRPr="00A7144E">
        <w:rPr>
          <w:b/>
          <w:sz w:val="20"/>
          <w:szCs w:val="20"/>
          <w:lang w:val="fr-BE"/>
        </w:rPr>
        <w:t>l’</w:t>
      </w:r>
      <w:r w:rsidRPr="00A7144E">
        <w:rPr>
          <w:b/>
          <w:sz w:val="20"/>
          <w:szCs w:val="20"/>
          <w:lang w:val="fr-BE"/>
        </w:rPr>
        <w:fldChar w:fldCharType="begin"/>
      </w:r>
      <w:r w:rsidRPr="00A7144E">
        <w:rPr>
          <w:b/>
          <w:sz w:val="20"/>
          <w:szCs w:val="20"/>
          <w:lang w:val="fr-BE"/>
        </w:rPr>
        <w:instrText xml:space="preserve"> REF _Ref479260550 \h  \* MERGEFORMAT </w:instrText>
      </w:r>
      <w:r w:rsidRPr="00A7144E">
        <w:rPr>
          <w:b/>
          <w:sz w:val="20"/>
          <w:szCs w:val="20"/>
          <w:lang w:val="fr-BE"/>
        </w:rPr>
      </w:r>
      <w:r w:rsidRPr="00A7144E">
        <w:rPr>
          <w:b/>
          <w:sz w:val="20"/>
          <w:szCs w:val="20"/>
          <w:lang w:val="fr-BE"/>
        </w:rPr>
        <w:fldChar w:fldCharType="separate"/>
      </w:r>
      <w:r w:rsidR="0004457E" w:rsidRPr="0004457E">
        <w:rPr>
          <w:b/>
          <w:sz w:val="20"/>
          <w:szCs w:val="20"/>
          <w:lang w:val="fr-BE"/>
        </w:rPr>
        <w:t>Équation 4</w:t>
      </w:r>
      <w:r w:rsidRPr="00A7144E">
        <w:rPr>
          <w:b/>
          <w:sz w:val="20"/>
          <w:szCs w:val="20"/>
          <w:lang w:val="fr-BE"/>
        </w:rPr>
        <w:fldChar w:fldCharType="end"/>
      </w:r>
      <w:r w:rsidRPr="00A7144E">
        <w:rPr>
          <w:sz w:val="20"/>
          <w:szCs w:val="20"/>
          <w:lang w:val="fr-BE"/>
        </w:rPr>
        <w:t xml:space="preserve"> où les dérivées partielles </w:t>
      </w:r>
      <m:oMath>
        <m:r>
          <m:rPr>
            <m:sty m:val="p"/>
          </m:rPr>
          <w:rPr>
            <w:rFonts w:ascii="Cambria Math" w:hAnsi="Cambria Math"/>
            <w:sz w:val="20"/>
            <w:szCs w:val="20"/>
            <w:lang w:val="fr-BE"/>
          </w:rPr>
          <m:t>∂f/∂</m:t>
        </m:r>
        <m:sSub>
          <m:sSubPr>
            <m:ctrlPr>
              <w:rPr>
                <w:rFonts w:ascii="Cambria Math" w:hAnsi="Cambria Math"/>
                <w:sz w:val="20"/>
                <w:szCs w:val="20"/>
                <w:lang w:val="fr-BE"/>
              </w:rPr>
            </m:ctrlPr>
          </m:sSubPr>
          <m:e>
            <m:r>
              <m:rPr>
                <m:sty m:val="p"/>
              </m:rPr>
              <w:rPr>
                <w:rFonts w:ascii="Cambria Math" w:hAnsi="Cambria Math"/>
                <w:sz w:val="20"/>
                <w:szCs w:val="20"/>
                <w:lang w:val="fr-BE"/>
              </w:rPr>
              <m:t>x</m:t>
            </m:r>
          </m:e>
          <m:sub>
            <m:r>
              <m:rPr>
                <m:sty m:val="p"/>
              </m:rPr>
              <w:rPr>
                <w:rFonts w:ascii="Cambria Math" w:hAnsi="Cambria Math"/>
                <w:sz w:val="20"/>
                <w:szCs w:val="20"/>
                <w:lang w:val="fr-BE"/>
              </w:rPr>
              <m:t>i</m:t>
            </m:r>
          </m:sub>
        </m:sSub>
        <m:r>
          <m:rPr>
            <m:sty m:val="p"/>
          </m:rPr>
          <w:rPr>
            <w:rFonts w:ascii="Cambria Math" w:hAnsi="Cambria Math"/>
            <w:sz w:val="20"/>
            <w:szCs w:val="20"/>
            <w:lang w:val="fr-BE"/>
          </w:rPr>
          <m:t xml:space="preserve"> </m:t>
        </m:r>
      </m:oMath>
      <w:r w:rsidRPr="00A7144E">
        <w:rPr>
          <w:sz w:val="20"/>
          <w:szCs w:val="20"/>
          <w:lang w:val="fr-BE"/>
        </w:rPr>
        <w:t xml:space="preserve">sont égales à </w:t>
      </w:r>
      <m:oMath>
        <m:r>
          <m:rPr>
            <m:sty m:val="p"/>
          </m:rPr>
          <w:rPr>
            <w:rFonts w:ascii="Cambria Math" w:hAnsi="Cambria Math"/>
            <w:sz w:val="20"/>
            <w:szCs w:val="20"/>
            <w:lang w:val="fr-BE"/>
          </w:rPr>
          <m:t>∂f/∂</m:t>
        </m:r>
        <m:sSub>
          <m:sSubPr>
            <m:ctrlPr>
              <w:rPr>
                <w:rFonts w:ascii="Cambria Math" w:hAnsi="Cambria Math"/>
                <w:sz w:val="20"/>
                <w:szCs w:val="20"/>
                <w:lang w:val="fr-BE"/>
              </w:rPr>
            </m:ctrlPr>
          </m:sSubPr>
          <m:e>
            <m:r>
              <m:rPr>
                <m:sty m:val="p"/>
              </m:rPr>
              <w:rPr>
                <w:rFonts w:ascii="Cambria Math" w:hAnsi="Cambria Math"/>
                <w:sz w:val="20"/>
                <w:szCs w:val="20"/>
                <w:lang w:val="fr-BE"/>
              </w:rPr>
              <m:t>X</m:t>
            </m:r>
          </m:e>
          <m:sub>
            <m:r>
              <m:rPr>
                <m:sty m:val="p"/>
              </m:rPr>
              <w:rPr>
                <w:rFonts w:ascii="Cambria Math" w:hAnsi="Cambria Math"/>
                <w:sz w:val="20"/>
                <w:szCs w:val="20"/>
                <w:lang w:val="fr-BE"/>
              </w:rPr>
              <m:t>i</m:t>
            </m:r>
          </m:sub>
        </m:sSub>
      </m:oMath>
      <w:r w:rsidRPr="00A7144E">
        <w:rPr>
          <w:sz w:val="20"/>
          <w:szCs w:val="20"/>
          <w:lang w:val="fr-BE"/>
        </w:rPr>
        <w:t xml:space="preserve"> évaluées à</w:t>
      </w:r>
      <m:oMath>
        <m:r>
          <m:rPr>
            <m:sty m:val="p"/>
          </m:rPr>
          <w:rPr>
            <w:rFonts w:ascii="Cambria Math" w:hAnsi="Cambria Math"/>
            <w:sz w:val="20"/>
            <w:szCs w:val="20"/>
            <w:lang w:val="fr-BE"/>
          </w:rPr>
          <m:t xml:space="preserve"> </m:t>
        </m:r>
        <m:sSub>
          <m:sSubPr>
            <m:ctrlPr>
              <w:rPr>
                <w:rFonts w:ascii="Cambria Math" w:hAnsi="Cambria Math"/>
                <w:sz w:val="20"/>
                <w:szCs w:val="20"/>
                <w:lang w:val="fr-BE"/>
              </w:rPr>
            </m:ctrlPr>
          </m:sSubPr>
          <m:e>
            <m:r>
              <m:rPr>
                <m:sty m:val="p"/>
              </m:rPr>
              <w:rPr>
                <w:rFonts w:ascii="Cambria Math" w:hAnsi="Cambria Math"/>
                <w:sz w:val="20"/>
                <w:szCs w:val="20"/>
                <w:lang w:val="fr-BE"/>
              </w:rPr>
              <m:t>X</m:t>
            </m:r>
          </m:e>
          <m:sub>
            <m:r>
              <m:rPr>
                <m:sty m:val="p"/>
              </m:rPr>
              <w:rPr>
                <w:rFonts w:ascii="Cambria Math" w:hAnsi="Cambria Math"/>
                <w:sz w:val="20"/>
                <w:szCs w:val="20"/>
                <w:lang w:val="fr-BE"/>
              </w:rPr>
              <m:t>i</m:t>
            </m:r>
          </m:sub>
        </m:sSub>
        <m:r>
          <m:rPr>
            <m:sty m:val="p"/>
          </m:rPr>
          <w:rPr>
            <w:rFonts w:ascii="Cambria Math" w:hAnsi="Cambria Math"/>
            <w:sz w:val="20"/>
            <w:szCs w:val="20"/>
            <w:lang w:val="fr-BE"/>
          </w:rPr>
          <m:t>=</m:t>
        </m:r>
        <m:sSub>
          <m:sSubPr>
            <m:ctrlPr>
              <w:rPr>
                <w:rFonts w:ascii="Cambria Math" w:hAnsi="Cambria Math"/>
                <w:sz w:val="20"/>
                <w:szCs w:val="20"/>
                <w:lang w:val="fr-BE"/>
              </w:rPr>
            </m:ctrlPr>
          </m:sSubPr>
          <m:e>
            <m:r>
              <m:rPr>
                <m:sty m:val="p"/>
              </m:rPr>
              <w:rPr>
                <w:rFonts w:ascii="Cambria Math" w:hAnsi="Cambria Math"/>
                <w:sz w:val="20"/>
                <w:szCs w:val="20"/>
                <w:lang w:val="fr-BE"/>
              </w:rPr>
              <m:t>x</m:t>
            </m:r>
          </m:e>
          <m:sub>
            <m:r>
              <m:rPr>
                <m:sty m:val="p"/>
              </m:rPr>
              <w:rPr>
                <w:rFonts w:ascii="Cambria Math" w:hAnsi="Cambria Math"/>
                <w:sz w:val="20"/>
                <w:szCs w:val="20"/>
                <w:lang w:val="fr-BE"/>
              </w:rPr>
              <m:t>i</m:t>
            </m:r>
          </m:sub>
        </m:sSub>
      </m:oMath>
      <w:r w:rsidRPr="00A7144E">
        <w:rPr>
          <w:sz w:val="20"/>
          <w:szCs w:val="20"/>
          <w:lang w:val="fr-BE"/>
        </w:rPr>
        <w:t>. Ces dérivées sont appelées coefficients de sensibilité (parfois notés</w:t>
      </w:r>
      <m:oMath>
        <m:r>
          <m:rPr>
            <m:sty m:val="p"/>
          </m:rPr>
          <w:rPr>
            <w:rFonts w:ascii="Cambria Math" w:hAnsi="Cambria Math"/>
            <w:sz w:val="20"/>
            <w:szCs w:val="20"/>
            <w:lang w:val="fr-BE"/>
          </w:rPr>
          <m:t xml:space="preserve"> </m:t>
        </m:r>
        <m:sSub>
          <m:sSubPr>
            <m:ctrlPr>
              <w:rPr>
                <w:rFonts w:ascii="Cambria Math" w:hAnsi="Cambria Math"/>
                <w:sz w:val="20"/>
                <w:szCs w:val="20"/>
                <w:lang w:val="fr-BE"/>
              </w:rPr>
            </m:ctrlPr>
          </m:sSubPr>
          <m:e>
            <m:r>
              <m:rPr>
                <m:sty m:val="p"/>
              </m:rPr>
              <w:rPr>
                <w:rFonts w:ascii="Cambria Math" w:hAnsi="Cambria Math"/>
                <w:sz w:val="20"/>
                <w:szCs w:val="20"/>
                <w:lang w:val="fr-BE"/>
              </w:rPr>
              <m:t>c</m:t>
            </m:r>
          </m:e>
          <m:sub>
            <m:r>
              <m:rPr>
                <m:sty m:val="p"/>
              </m:rPr>
              <w:rPr>
                <w:rFonts w:ascii="Cambria Math" w:hAnsi="Cambria Math"/>
                <w:sz w:val="20"/>
                <w:szCs w:val="20"/>
                <w:lang w:val="fr-BE"/>
              </w:rPr>
              <m:t>i</m:t>
            </m:r>
          </m:sub>
        </m:sSub>
      </m:oMath>
      <w:r w:rsidRPr="00A7144E">
        <w:rPr>
          <w:sz w:val="20"/>
          <w:szCs w:val="20"/>
          <w:lang w:val="fr-BE"/>
        </w:rPr>
        <w:t xml:space="preserve">). Pour des grandeurs corrélées, le calcul est plus important et dépend du coefficient de corrélation </w:t>
      </w:r>
      <m:oMath>
        <m:r>
          <m:rPr>
            <m:sty m:val="p"/>
          </m:rPr>
          <w:rPr>
            <w:rFonts w:ascii="Cambria Math" w:hAnsi="Cambria Math"/>
            <w:sz w:val="20"/>
            <w:szCs w:val="20"/>
            <w:lang w:val="fr-BE"/>
          </w:rPr>
          <m:t>r(</m:t>
        </m:r>
        <m:sSub>
          <m:sSubPr>
            <m:ctrlPr>
              <w:rPr>
                <w:rFonts w:ascii="Cambria Math" w:hAnsi="Cambria Math"/>
                <w:sz w:val="20"/>
                <w:szCs w:val="20"/>
                <w:lang w:val="fr-BE"/>
              </w:rPr>
            </m:ctrlPr>
          </m:sSubPr>
          <m:e>
            <m:r>
              <m:rPr>
                <m:sty m:val="p"/>
              </m:rPr>
              <w:rPr>
                <w:rFonts w:ascii="Cambria Math" w:hAnsi="Cambria Math"/>
                <w:sz w:val="20"/>
                <w:szCs w:val="20"/>
                <w:lang w:val="fr-BE"/>
              </w:rPr>
              <m:t>x</m:t>
            </m:r>
          </m:e>
          <m:sub>
            <m:r>
              <m:rPr>
                <m:sty m:val="p"/>
              </m:rPr>
              <w:rPr>
                <w:rFonts w:ascii="Cambria Math" w:hAnsi="Cambria Math"/>
                <w:sz w:val="20"/>
                <w:szCs w:val="20"/>
                <w:lang w:val="fr-BE"/>
              </w:rPr>
              <m:t>i</m:t>
            </m:r>
          </m:sub>
        </m:sSub>
        <m:r>
          <m:rPr>
            <m:sty m:val="p"/>
          </m:rPr>
          <w:rPr>
            <w:rFonts w:ascii="Cambria Math" w:hAnsi="Cambria Math"/>
            <w:sz w:val="20"/>
            <w:szCs w:val="20"/>
            <w:lang w:val="fr-BE"/>
          </w:rPr>
          <m:t>,</m:t>
        </m:r>
        <m:sSub>
          <m:sSubPr>
            <m:ctrlPr>
              <w:rPr>
                <w:rFonts w:ascii="Cambria Math" w:hAnsi="Cambria Math"/>
                <w:sz w:val="20"/>
                <w:szCs w:val="20"/>
                <w:lang w:val="fr-BE"/>
              </w:rPr>
            </m:ctrlPr>
          </m:sSubPr>
          <m:e>
            <m:r>
              <m:rPr>
                <m:sty m:val="p"/>
              </m:rPr>
              <w:rPr>
                <w:rFonts w:ascii="Cambria Math" w:hAnsi="Cambria Math"/>
                <w:sz w:val="20"/>
                <w:szCs w:val="20"/>
                <w:lang w:val="fr-BE"/>
              </w:rPr>
              <m:t>x</m:t>
            </m:r>
          </m:e>
          <m:sub>
            <m:r>
              <m:rPr>
                <m:sty m:val="p"/>
              </m:rPr>
              <w:rPr>
                <w:rFonts w:ascii="Cambria Math" w:hAnsi="Cambria Math"/>
                <w:sz w:val="20"/>
                <w:szCs w:val="20"/>
                <w:lang w:val="fr-BE"/>
              </w:rPr>
              <m:t>j</m:t>
            </m:r>
          </m:sub>
        </m:sSub>
        <m:r>
          <m:rPr>
            <m:sty m:val="p"/>
          </m:rPr>
          <w:rPr>
            <w:rFonts w:ascii="Cambria Math" w:hAnsi="Cambria Math"/>
            <w:sz w:val="20"/>
            <w:szCs w:val="20"/>
            <w:lang w:val="fr-BE"/>
          </w:rPr>
          <m:t>)</m:t>
        </m:r>
      </m:oMath>
      <w:r w:rsidRPr="00A7144E">
        <w:rPr>
          <w:sz w:val="20"/>
          <w:szCs w:val="20"/>
          <w:lang w:val="fr-BE"/>
        </w:rPr>
        <w:t xml:space="preserve"> déterminé à partir de </w:t>
      </w:r>
      <w:r w:rsidRPr="00A7144E">
        <w:rPr>
          <w:b/>
          <w:sz w:val="20"/>
          <w:szCs w:val="20"/>
          <w:lang w:val="fr-BE"/>
        </w:rPr>
        <w:t>l’</w:t>
      </w:r>
      <w:r w:rsidRPr="00A7144E">
        <w:rPr>
          <w:b/>
          <w:sz w:val="20"/>
          <w:szCs w:val="20"/>
          <w:lang w:val="fr-BE"/>
        </w:rPr>
        <w:fldChar w:fldCharType="begin"/>
      </w:r>
      <w:r w:rsidRPr="00A7144E">
        <w:rPr>
          <w:b/>
          <w:sz w:val="20"/>
          <w:szCs w:val="20"/>
          <w:lang w:val="fr-BE"/>
        </w:rPr>
        <w:instrText xml:space="preserve"> REF _Ref479261171 \h  \* MERGEFORMAT </w:instrText>
      </w:r>
      <w:r w:rsidRPr="00A7144E">
        <w:rPr>
          <w:b/>
          <w:sz w:val="20"/>
          <w:szCs w:val="20"/>
          <w:lang w:val="fr-BE"/>
        </w:rPr>
      </w:r>
      <w:r w:rsidRPr="00A7144E">
        <w:rPr>
          <w:b/>
          <w:sz w:val="20"/>
          <w:szCs w:val="20"/>
          <w:lang w:val="fr-BE"/>
        </w:rPr>
        <w:fldChar w:fldCharType="separate"/>
      </w:r>
      <w:r w:rsidR="0004457E" w:rsidRPr="0004457E">
        <w:rPr>
          <w:b/>
          <w:sz w:val="20"/>
          <w:szCs w:val="20"/>
          <w:lang w:val="fr-BE"/>
        </w:rPr>
        <w:t>Équation 5</w:t>
      </w:r>
      <w:r w:rsidRPr="00A7144E">
        <w:rPr>
          <w:b/>
          <w:sz w:val="20"/>
          <w:szCs w:val="20"/>
          <w:lang w:val="fr-BE"/>
        </w:rPr>
        <w:fldChar w:fldCharType="end"/>
      </w:r>
      <w:r w:rsidRPr="00A7144E">
        <w:rPr>
          <w:sz w:val="20"/>
          <w:szCs w:val="20"/>
          <w:lang w:val="fr-BE"/>
        </w:rPr>
        <w:t xml:space="preserve"> où </w:t>
      </w:r>
      <m:oMath>
        <m:r>
          <m:rPr>
            <m:sty m:val="p"/>
          </m:rPr>
          <w:rPr>
            <w:rFonts w:ascii="Cambria Math" w:hAnsi="Cambria Math"/>
            <w:sz w:val="20"/>
            <w:szCs w:val="20"/>
            <w:lang w:val="fr-BE"/>
          </w:rPr>
          <m:t>u(</m:t>
        </m:r>
        <m:sSub>
          <m:sSubPr>
            <m:ctrlPr>
              <w:rPr>
                <w:rFonts w:ascii="Cambria Math" w:hAnsi="Cambria Math"/>
                <w:sz w:val="20"/>
                <w:szCs w:val="20"/>
                <w:lang w:val="fr-BE"/>
              </w:rPr>
            </m:ctrlPr>
          </m:sSubPr>
          <m:e>
            <m:r>
              <m:rPr>
                <m:sty m:val="p"/>
              </m:rPr>
              <w:rPr>
                <w:rFonts w:ascii="Cambria Math" w:hAnsi="Cambria Math"/>
                <w:sz w:val="20"/>
                <w:szCs w:val="20"/>
                <w:lang w:val="fr-BE"/>
              </w:rPr>
              <m:t>x</m:t>
            </m:r>
          </m:e>
          <m:sub>
            <m:r>
              <m:rPr>
                <m:sty m:val="p"/>
              </m:rPr>
              <w:rPr>
                <w:rFonts w:ascii="Cambria Math" w:hAnsi="Cambria Math"/>
                <w:sz w:val="20"/>
                <w:szCs w:val="20"/>
                <w:lang w:val="fr-BE"/>
              </w:rPr>
              <m:t>i</m:t>
            </m:r>
          </m:sub>
        </m:sSub>
        <m:r>
          <m:rPr>
            <m:sty m:val="p"/>
          </m:rPr>
          <w:rPr>
            <w:rFonts w:ascii="Cambria Math" w:hAnsi="Cambria Math"/>
            <w:sz w:val="20"/>
            <w:szCs w:val="20"/>
            <w:lang w:val="fr-BE"/>
          </w:rPr>
          <m:t>,</m:t>
        </m:r>
        <m:sSub>
          <m:sSubPr>
            <m:ctrlPr>
              <w:rPr>
                <w:rFonts w:ascii="Cambria Math" w:hAnsi="Cambria Math"/>
                <w:sz w:val="20"/>
                <w:szCs w:val="20"/>
                <w:lang w:val="fr-BE"/>
              </w:rPr>
            </m:ctrlPr>
          </m:sSubPr>
          <m:e>
            <m:r>
              <m:rPr>
                <m:sty m:val="p"/>
              </m:rPr>
              <w:rPr>
                <w:rFonts w:ascii="Cambria Math" w:hAnsi="Cambria Math"/>
                <w:sz w:val="20"/>
                <w:szCs w:val="20"/>
                <w:lang w:val="fr-BE"/>
              </w:rPr>
              <m:t>x</m:t>
            </m:r>
          </m:e>
          <m:sub>
            <m:r>
              <m:rPr>
                <m:sty m:val="p"/>
              </m:rPr>
              <w:rPr>
                <w:rFonts w:ascii="Cambria Math" w:hAnsi="Cambria Math"/>
                <w:sz w:val="20"/>
                <w:szCs w:val="20"/>
                <w:lang w:val="fr-BE"/>
              </w:rPr>
              <m:t>j</m:t>
            </m:r>
          </m:sub>
        </m:sSub>
        <m:r>
          <m:rPr>
            <m:sty m:val="p"/>
          </m:rPr>
          <w:rPr>
            <w:rFonts w:ascii="Cambria Math" w:hAnsi="Cambria Math"/>
            <w:sz w:val="20"/>
            <w:szCs w:val="20"/>
            <w:lang w:val="fr-BE"/>
          </w:rPr>
          <m:t>)</m:t>
        </m:r>
      </m:oMath>
      <w:r w:rsidRPr="00A7144E">
        <w:rPr>
          <w:sz w:val="20"/>
          <w:szCs w:val="20"/>
          <w:lang w:val="fr-BE"/>
        </w:rPr>
        <w:t xml:space="preserve"> est la covariance estimée associée à </w:t>
      </w:r>
      <m:oMath>
        <m:sSub>
          <m:sSubPr>
            <m:ctrlPr>
              <w:rPr>
                <w:rFonts w:ascii="Cambria Math" w:hAnsi="Cambria Math"/>
                <w:sz w:val="20"/>
                <w:szCs w:val="20"/>
                <w:lang w:val="fr-BE"/>
              </w:rPr>
            </m:ctrlPr>
          </m:sSubPr>
          <m:e>
            <m:r>
              <m:rPr>
                <m:sty m:val="p"/>
              </m:rPr>
              <w:rPr>
                <w:rFonts w:ascii="Cambria Math" w:hAnsi="Cambria Math"/>
                <w:sz w:val="20"/>
                <w:szCs w:val="20"/>
                <w:lang w:val="fr-BE"/>
              </w:rPr>
              <m:t>x</m:t>
            </m:r>
          </m:e>
          <m:sub>
            <m:r>
              <m:rPr>
                <m:sty m:val="p"/>
              </m:rPr>
              <w:rPr>
                <w:rFonts w:ascii="Cambria Math" w:hAnsi="Cambria Math"/>
                <w:sz w:val="20"/>
                <w:szCs w:val="20"/>
                <w:lang w:val="fr-BE"/>
              </w:rPr>
              <m:t>i</m:t>
            </m:r>
          </m:sub>
        </m:sSub>
      </m:oMath>
      <w:r w:rsidRPr="00A7144E">
        <w:rPr>
          <w:sz w:val="20"/>
          <w:szCs w:val="20"/>
          <w:lang w:val="fr-BE"/>
        </w:rPr>
        <w:t xml:space="preserve"> et</w:t>
      </w:r>
      <m:oMath>
        <m:r>
          <m:rPr>
            <m:sty m:val="p"/>
          </m:rPr>
          <w:rPr>
            <w:rFonts w:ascii="Cambria Math" w:hAnsi="Cambria Math"/>
            <w:sz w:val="20"/>
            <w:szCs w:val="20"/>
            <w:lang w:val="fr-BE"/>
          </w:rPr>
          <m:t xml:space="preserve"> </m:t>
        </m:r>
        <m:sSub>
          <m:sSubPr>
            <m:ctrlPr>
              <w:rPr>
                <w:rFonts w:ascii="Cambria Math" w:hAnsi="Cambria Math"/>
                <w:sz w:val="20"/>
                <w:szCs w:val="20"/>
                <w:lang w:val="fr-BE"/>
              </w:rPr>
            </m:ctrlPr>
          </m:sSubPr>
          <m:e>
            <m:r>
              <m:rPr>
                <m:sty m:val="p"/>
              </m:rPr>
              <w:rPr>
                <w:rFonts w:ascii="Cambria Math" w:hAnsi="Cambria Math"/>
                <w:sz w:val="20"/>
                <w:szCs w:val="20"/>
                <w:lang w:val="fr-BE"/>
              </w:rPr>
              <m:t>x</m:t>
            </m:r>
          </m:e>
          <m:sub>
            <m:r>
              <m:rPr>
                <m:sty m:val="p"/>
              </m:rPr>
              <w:rPr>
                <w:rFonts w:ascii="Cambria Math" w:hAnsi="Cambria Math"/>
                <w:sz w:val="20"/>
                <w:szCs w:val="20"/>
                <w:lang w:val="fr-BE"/>
              </w:rPr>
              <m:t>j</m:t>
            </m:r>
          </m:sub>
        </m:sSub>
      </m:oMath>
      <w:r w:rsidRPr="00A7144E">
        <w:rPr>
          <w:sz w:val="20"/>
          <w:szCs w:val="20"/>
          <w:lang w:val="fr-BE"/>
        </w:rPr>
        <w:t xml:space="preserve">. On détermine la variance composée à l’aide de </w:t>
      </w:r>
      <w:r w:rsidRPr="00A7144E">
        <w:rPr>
          <w:b/>
          <w:sz w:val="20"/>
          <w:szCs w:val="20"/>
          <w:lang w:val="fr-BE"/>
        </w:rPr>
        <w:t>l’</w:t>
      </w:r>
      <w:r w:rsidRPr="00A7144E">
        <w:rPr>
          <w:b/>
          <w:sz w:val="20"/>
          <w:szCs w:val="20"/>
          <w:lang w:val="fr-BE"/>
        </w:rPr>
        <w:fldChar w:fldCharType="begin"/>
      </w:r>
      <w:r w:rsidRPr="00A7144E">
        <w:rPr>
          <w:b/>
          <w:sz w:val="20"/>
          <w:szCs w:val="20"/>
          <w:lang w:val="fr-BE"/>
        </w:rPr>
        <w:instrText xml:space="preserve"> REF _Ref479261433 \h  \* MERGEFORMAT </w:instrText>
      </w:r>
      <w:r w:rsidRPr="00A7144E">
        <w:rPr>
          <w:b/>
          <w:sz w:val="20"/>
          <w:szCs w:val="20"/>
          <w:lang w:val="fr-BE"/>
        </w:rPr>
      </w:r>
      <w:r w:rsidRPr="00A7144E">
        <w:rPr>
          <w:b/>
          <w:sz w:val="20"/>
          <w:szCs w:val="20"/>
          <w:lang w:val="fr-BE"/>
        </w:rPr>
        <w:fldChar w:fldCharType="separate"/>
      </w:r>
      <w:r w:rsidR="0004457E" w:rsidRPr="0004457E">
        <w:rPr>
          <w:b/>
          <w:sz w:val="20"/>
          <w:szCs w:val="20"/>
          <w:lang w:val="fr-BE"/>
        </w:rPr>
        <w:t>Équation 6</w:t>
      </w:r>
      <w:r w:rsidRPr="00A7144E">
        <w:rPr>
          <w:b/>
          <w:sz w:val="20"/>
          <w:szCs w:val="20"/>
          <w:lang w:val="fr-BE"/>
        </w:rPr>
        <w:fldChar w:fldCharType="end"/>
      </w:r>
      <w:r w:rsidRPr="00A7144E">
        <w:rPr>
          <w:sz w:val="20"/>
          <w:szCs w:val="20"/>
          <w:lang w:val="fr-BE"/>
        </w:rPr>
        <w:t>. Il est intéressant de noter qu’il peut y avoir une corrélation significative entre deux grandeurs d’entrées si l’on utilise pour leur détermination le même instrument de mesure, le même étalon physique ou la même donnée de référence.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A7144E" w:rsidTr="00A7144E">
        <w:tc>
          <w:tcPr>
            <w:tcW w:w="4606" w:type="dxa"/>
          </w:tcPr>
          <w:p w:rsidR="00A7144E" w:rsidRPr="00EF4D65" w:rsidRDefault="00A7144E" w:rsidP="00A7144E">
            <w:pPr>
              <w:pStyle w:val="Lgende"/>
              <w:keepNext/>
              <w:jc w:val="center"/>
              <w:rPr>
                <w:b/>
                <w:i w:val="0"/>
                <w:color w:val="365F91" w:themeColor="accent1" w:themeShade="BF"/>
              </w:rPr>
            </w:pPr>
            <w:bookmarkStart w:id="4" w:name="_Ref479260550"/>
            <w:r w:rsidRPr="00EF4D65">
              <w:rPr>
                <w:b/>
                <w:color w:val="365F91" w:themeColor="accent1" w:themeShade="BF"/>
              </w:rPr>
              <w:t xml:space="preserve">Équation </w:t>
            </w:r>
            <w:r w:rsidRPr="00EF4D65">
              <w:rPr>
                <w:b/>
                <w:i w:val="0"/>
                <w:color w:val="365F91" w:themeColor="accent1" w:themeShade="BF"/>
              </w:rPr>
              <w:fldChar w:fldCharType="begin"/>
            </w:r>
            <w:r w:rsidRPr="00EF4D65">
              <w:rPr>
                <w:b/>
                <w:color w:val="365F91" w:themeColor="accent1" w:themeShade="BF"/>
              </w:rPr>
              <w:instrText xml:space="preserve"> SEQ Équation \* ARABIC </w:instrText>
            </w:r>
            <w:r w:rsidRPr="00EF4D65">
              <w:rPr>
                <w:b/>
                <w:i w:val="0"/>
                <w:color w:val="365F91" w:themeColor="accent1" w:themeShade="BF"/>
              </w:rPr>
              <w:fldChar w:fldCharType="separate"/>
            </w:r>
            <w:r w:rsidR="0004457E">
              <w:rPr>
                <w:b/>
                <w:noProof/>
                <w:color w:val="365F91" w:themeColor="accent1" w:themeShade="BF"/>
              </w:rPr>
              <w:t>4</w:t>
            </w:r>
            <w:r w:rsidRPr="00EF4D65">
              <w:rPr>
                <w:b/>
                <w:i w:val="0"/>
                <w:color w:val="365F91" w:themeColor="accent1" w:themeShade="BF"/>
              </w:rPr>
              <w:fldChar w:fldCharType="end"/>
            </w:r>
            <w:bookmarkEnd w:id="4"/>
          </w:p>
          <w:p w:rsidR="00A7144E" w:rsidRPr="00A7144E" w:rsidRDefault="007C3AE6" w:rsidP="00A7144E">
            <w:pPr>
              <w:jc w:val="center"/>
              <w:rPr>
                <w:lang w:val="fr-BE"/>
              </w:rPr>
            </w:pPr>
            <m:oMathPara>
              <m:oMath>
                <m:sSubSup>
                  <m:sSubSupPr>
                    <m:ctrlPr>
                      <w:rPr>
                        <w:rFonts w:ascii="Cambria Math" w:hAnsi="Cambria Math"/>
                        <w:i/>
                        <w:lang w:val="fr-BE"/>
                      </w:rPr>
                    </m:ctrlPr>
                  </m:sSubSupPr>
                  <m:e>
                    <m:r>
                      <w:rPr>
                        <w:rFonts w:ascii="Cambria Math" w:hAnsi="Cambria Math"/>
                        <w:lang w:val="fr-BE"/>
                      </w:rPr>
                      <m:t>u</m:t>
                    </m:r>
                  </m:e>
                  <m:sub>
                    <m:r>
                      <w:rPr>
                        <w:rFonts w:ascii="Cambria Math" w:hAnsi="Cambria Math"/>
                        <w:lang w:val="fr-BE"/>
                      </w:rPr>
                      <m:t>c</m:t>
                    </m:r>
                  </m:sub>
                  <m:sup>
                    <m:r>
                      <w:rPr>
                        <w:rFonts w:ascii="Cambria Math" w:hAnsi="Cambria Math"/>
                        <w:lang w:val="fr-BE"/>
                      </w:rPr>
                      <m:t>2</m:t>
                    </m:r>
                  </m:sup>
                </m:sSubSup>
                <m:d>
                  <m:dPr>
                    <m:ctrlPr>
                      <w:rPr>
                        <w:rFonts w:ascii="Cambria Math" w:hAnsi="Cambria Math"/>
                        <w:i/>
                        <w:lang w:val="fr-BE"/>
                      </w:rPr>
                    </m:ctrlPr>
                  </m:dPr>
                  <m:e>
                    <m:r>
                      <w:rPr>
                        <w:rFonts w:ascii="Cambria Math" w:hAnsi="Cambria Math"/>
                        <w:lang w:val="fr-BE"/>
                      </w:rPr>
                      <m:t>y</m:t>
                    </m:r>
                  </m:e>
                </m:d>
                <m:r>
                  <w:rPr>
                    <w:rFonts w:ascii="Cambria Math" w:hAnsi="Cambria Math"/>
                    <w:lang w:val="fr-BE"/>
                  </w:rPr>
                  <m:t>=</m:t>
                </m:r>
                <m:nary>
                  <m:naryPr>
                    <m:chr m:val="∑"/>
                    <m:limLoc m:val="undOvr"/>
                    <m:ctrlPr>
                      <w:rPr>
                        <w:rFonts w:ascii="Cambria Math" w:hAnsi="Cambria Math"/>
                        <w:i/>
                        <w:lang w:val="fr-BE"/>
                      </w:rPr>
                    </m:ctrlPr>
                  </m:naryPr>
                  <m:sub>
                    <m:r>
                      <w:rPr>
                        <w:rFonts w:ascii="Cambria Math" w:hAnsi="Cambria Math"/>
                        <w:lang w:val="fr-BE"/>
                      </w:rPr>
                      <m:t>i=1</m:t>
                    </m:r>
                  </m:sub>
                  <m:sup>
                    <m:r>
                      <w:rPr>
                        <w:rFonts w:ascii="Cambria Math" w:hAnsi="Cambria Math"/>
                        <w:lang w:val="fr-BE"/>
                      </w:rPr>
                      <m:t>N</m:t>
                    </m:r>
                  </m:sup>
                  <m:e>
                    <m:sSup>
                      <m:sSupPr>
                        <m:ctrlPr>
                          <w:rPr>
                            <w:rFonts w:ascii="Cambria Math" w:hAnsi="Cambria Math"/>
                            <w:i/>
                            <w:lang w:val="fr-BE"/>
                          </w:rPr>
                        </m:ctrlPr>
                      </m:sSupPr>
                      <m:e>
                        <m:d>
                          <m:dPr>
                            <m:ctrlPr>
                              <w:rPr>
                                <w:rFonts w:ascii="Cambria Math" w:hAnsi="Cambria Math"/>
                                <w:i/>
                                <w:lang w:val="fr-BE"/>
                              </w:rPr>
                            </m:ctrlPr>
                          </m:dPr>
                          <m:e>
                            <m:f>
                              <m:fPr>
                                <m:ctrlPr>
                                  <w:rPr>
                                    <w:rFonts w:ascii="Cambria Math" w:hAnsi="Cambria Math"/>
                                    <w:i/>
                                    <w:lang w:val="fr-BE"/>
                                  </w:rPr>
                                </m:ctrlPr>
                              </m:fPr>
                              <m:num>
                                <m:r>
                                  <w:rPr>
                                    <w:rFonts w:ascii="Cambria Math" w:hAnsi="Cambria Math"/>
                                    <w:lang w:val="fr-BE"/>
                                  </w:rPr>
                                  <m:t>∂f</m:t>
                                </m:r>
                              </m:num>
                              <m:den>
                                <m:r>
                                  <w:rPr>
                                    <w:rFonts w:ascii="Cambria Math" w:hAnsi="Cambria Math"/>
                                    <w:lang w:val="fr-BE"/>
                                  </w:rPr>
                                  <m:t>∂</m:t>
                                </m:r>
                                <m:sSub>
                                  <m:sSubPr>
                                    <m:ctrlPr>
                                      <w:rPr>
                                        <w:rFonts w:ascii="Cambria Math" w:hAnsi="Cambria Math"/>
                                        <w:i/>
                                        <w:lang w:val="fr-BE"/>
                                      </w:rPr>
                                    </m:ctrlPr>
                                  </m:sSubPr>
                                  <m:e>
                                    <m:r>
                                      <w:rPr>
                                        <w:rFonts w:ascii="Cambria Math" w:hAnsi="Cambria Math"/>
                                        <w:lang w:val="fr-BE"/>
                                      </w:rPr>
                                      <m:t>x</m:t>
                                    </m:r>
                                  </m:e>
                                  <m:sub>
                                    <m:r>
                                      <w:rPr>
                                        <w:rFonts w:ascii="Cambria Math" w:hAnsi="Cambria Math"/>
                                        <w:lang w:val="fr-BE"/>
                                      </w:rPr>
                                      <m:t>i</m:t>
                                    </m:r>
                                  </m:sub>
                                </m:sSub>
                              </m:den>
                            </m:f>
                          </m:e>
                        </m:d>
                      </m:e>
                      <m:sup>
                        <m:r>
                          <w:rPr>
                            <w:rFonts w:ascii="Cambria Math" w:hAnsi="Cambria Math"/>
                            <w:lang w:val="fr-BE"/>
                          </w:rPr>
                          <m:t>2</m:t>
                        </m:r>
                      </m:sup>
                    </m:sSup>
                    <m:sSup>
                      <m:sSupPr>
                        <m:ctrlPr>
                          <w:rPr>
                            <w:rFonts w:ascii="Cambria Math" w:hAnsi="Cambria Math"/>
                            <w:i/>
                            <w:lang w:val="fr-BE"/>
                          </w:rPr>
                        </m:ctrlPr>
                      </m:sSupPr>
                      <m:e>
                        <m:r>
                          <w:rPr>
                            <w:rFonts w:ascii="Cambria Math" w:hAnsi="Cambria Math"/>
                            <w:lang w:val="fr-BE"/>
                          </w:rPr>
                          <m:t>u</m:t>
                        </m:r>
                      </m:e>
                      <m:sup>
                        <m:r>
                          <w:rPr>
                            <w:rFonts w:ascii="Cambria Math" w:hAnsi="Cambria Math"/>
                            <w:lang w:val="fr-BE"/>
                          </w:rPr>
                          <m:t>2</m:t>
                        </m:r>
                      </m:sup>
                    </m:sSup>
                    <m:r>
                      <w:rPr>
                        <w:rFonts w:ascii="Cambria Math" w:hAnsi="Cambria Math"/>
                        <w:lang w:val="fr-BE"/>
                      </w:rPr>
                      <m:t>(</m:t>
                    </m:r>
                    <m:sSub>
                      <m:sSubPr>
                        <m:ctrlPr>
                          <w:rPr>
                            <w:rFonts w:ascii="Cambria Math" w:hAnsi="Cambria Math"/>
                            <w:i/>
                            <w:lang w:val="fr-BE"/>
                          </w:rPr>
                        </m:ctrlPr>
                      </m:sSubPr>
                      <m:e>
                        <m:r>
                          <w:rPr>
                            <w:rFonts w:ascii="Cambria Math" w:hAnsi="Cambria Math"/>
                            <w:lang w:val="fr-BE"/>
                          </w:rPr>
                          <m:t>x</m:t>
                        </m:r>
                      </m:e>
                      <m:sub>
                        <m:r>
                          <w:rPr>
                            <w:rFonts w:ascii="Cambria Math" w:hAnsi="Cambria Math"/>
                            <w:lang w:val="fr-BE"/>
                          </w:rPr>
                          <m:t>i</m:t>
                        </m:r>
                      </m:sub>
                    </m:sSub>
                    <m:r>
                      <w:rPr>
                        <w:rFonts w:ascii="Cambria Math" w:hAnsi="Cambria Math"/>
                        <w:lang w:val="fr-BE"/>
                      </w:rPr>
                      <m:t>)</m:t>
                    </m:r>
                  </m:e>
                </m:nary>
              </m:oMath>
            </m:oMathPara>
          </w:p>
        </w:tc>
        <w:tc>
          <w:tcPr>
            <w:tcW w:w="4606" w:type="dxa"/>
          </w:tcPr>
          <w:p w:rsidR="00A7144E" w:rsidRPr="00EF4D65" w:rsidRDefault="00A7144E" w:rsidP="00A7144E">
            <w:pPr>
              <w:pStyle w:val="Lgende"/>
              <w:keepNext/>
              <w:jc w:val="center"/>
              <w:rPr>
                <w:b/>
                <w:i w:val="0"/>
                <w:color w:val="365F91" w:themeColor="accent1" w:themeShade="BF"/>
              </w:rPr>
            </w:pPr>
            <w:bookmarkStart w:id="5" w:name="_Ref479261171"/>
            <w:r w:rsidRPr="00EF4D65">
              <w:rPr>
                <w:b/>
                <w:color w:val="365F91" w:themeColor="accent1" w:themeShade="BF"/>
              </w:rPr>
              <w:t xml:space="preserve">Équation </w:t>
            </w:r>
            <w:r w:rsidRPr="00EF4D65">
              <w:rPr>
                <w:b/>
                <w:i w:val="0"/>
                <w:color w:val="365F91" w:themeColor="accent1" w:themeShade="BF"/>
              </w:rPr>
              <w:fldChar w:fldCharType="begin"/>
            </w:r>
            <w:r w:rsidRPr="00EF4D65">
              <w:rPr>
                <w:b/>
                <w:color w:val="365F91" w:themeColor="accent1" w:themeShade="BF"/>
              </w:rPr>
              <w:instrText xml:space="preserve"> SEQ Équation \* ARABIC </w:instrText>
            </w:r>
            <w:r w:rsidRPr="00EF4D65">
              <w:rPr>
                <w:b/>
                <w:i w:val="0"/>
                <w:color w:val="365F91" w:themeColor="accent1" w:themeShade="BF"/>
              </w:rPr>
              <w:fldChar w:fldCharType="separate"/>
            </w:r>
            <w:r w:rsidR="0004457E">
              <w:rPr>
                <w:b/>
                <w:noProof/>
                <w:color w:val="365F91" w:themeColor="accent1" w:themeShade="BF"/>
              </w:rPr>
              <w:t>5</w:t>
            </w:r>
            <w:r w:rsidRPr="00EF4D65">
              <w:rPr>
                <w:b/>
                <w:i w:val="0"/>
                <w:color w:val="365F91" w:themeColor="accent1" w:themeShade="BF"/>
              </w:rPr>
              <w:fldChar w:fldCharType="end"/>
            </w:r>
            <w:bookmarkEnd w:id="5"/>
          </w:p>
          <w:p w:rsidR="00A7144E" w:rsidRPr="00A7144E" w:rsidRDefault="00A7144E" w:rsidP="00A7144E">
            <w:pPr>
              <w:jc w:val="center"/>
              <w:rPr>
                <w:lang w:val="fr-BE"/>
              </w:rPr>
            </w:pPr>
            <m:oMathPara>
              <m:oMath>
                <m:r>
                  <w:rPr>
                    <w:rFonts w:ascii="Cambria Math" w:hAnsi="Cambria Math"/>
                    <w:lang w:val="fr-BE"/>
                  </w:rPr>
                  <m:t>r</m:t>
                </m:r>
                <m:d>
                  <m:dPr>
                    <m:ctrlPr>
                      <w:rPr>
                        <w:rFonts w:ascii="Cambria Math" w:hAnsi="Cambria Math"/>
                        <w:i/>
                        <w:lang w:val="fr-BE"/>
                      </w:rPr>
                    </m:ctrlPr>
                  </m:dPr>
                  <m:e>
                    <m:sSub>
                      <m:sSubPr>
                        <m:ctrlPr>
                          <w:rPr>
                            <w:rFonts w:ascii="Cambria Math" w:hAnsi="Cambria Math"/>
                            <w:i/>
                            <w:lang w:val="fr-BE"/>
                          </w:rPr>
                        </m:ctrlPr>
                      </m:sSubPr>
                      <m:e>
                        <m:r>
                          <w:rPr>
                            <w:rFonts w:ascii="Cambria Math" w:hAnsi="Cambria Math"/>
                            <w:lang w:val="fr-BE"/>
                          </w:rPr>
                          <m:t>x</m:t>
                        </m:r>
                      </m:e>
                      <m:sub>
                        <m:r>
                          <w:rPr>
                            <w:rFonts w:ascii="Cambria Math" w:hAnsi="Cambria Math"/>
                            <w:lang w:val="fr-BE"/>
                          </w:rPr>
                          <m:t>i</m:t>
                        </m:r>
                      </m:sub>
                    </m:sSub>
                    <m:r>
                      <w:rPr>
                        <w:rFonts w:ascii="Cambria Math" w:hAnsi="Cambria Math"/>
                        <w:lang w:val="fr-BE"/>
                      </w:rPr>
                      <m:t>,</m:t>
                    </m:r>
                    <m:sSub>
                      <m:sSubPr>
                        <m:ctrlPr>
                          <w:rPr>
                            <w:rFonts w:ascii="Cambria Math" w:hAnsi="Cambria Math"/>
                            <w:i/>
                            <w:lang w:val="fr-BE"/>
                          </w:rPr>
                        </m:ctrlPr>
                      </m:sSubPr>
                      <m:e>
                        <m:r>
                          <w:rPr>
                            <w:rFonts w:ascii="Cambria Math" w:hAnsi="Cambria Math"/>
                            <w:lang w:val="fr-BE"/>
                          </w:rPr>
                          <m:t>x</m:t>
                        </m:r>
                      </m:e>
                      <m:sub>
                        <m:r>
                          <w:rPr>
                            <w:rFonts w:ascii="Cambria Math" w:hAnsi="Cambria Math"/>
                            <w:lang w:val="fr-BE"/>
                          </w:rPr>
                          <m:t>j</m:t>
                        </m:r>
                      </m:sub>
                    </m:sSub>
                  </m:e>
                </m:d>
                <m:r>
                  <w:rPr>
                    <w:rFonts w:ascii="Cambria Math" w:hAnsi="Cambria Math"/>
                    <w:lang w:val="fr-BE"/>
                  </w:rPr>
                  <m:t>=</m:t>
                </m:r>
                <m:f>
                  <m:fPr>
                    <m:ctrlPr>
                      <w:rPr>
                        <w:rFonts w:ascii="Cambria Math" w:hAnsi="Cambria Math"/>
                        <w:i/>
                        <w:lang w:val="fr-BE"/>
                      </w:rPr>
                    </m:ctrlPr>
                  </m:fPr>
                  <m:num>
                    <m:r>
                      <w:rPr>
                        <w:rFonts w:ascii="Cambria Math" w:hAnsi="Cambria Math"/>
                        <w:lang w:val="fr-BE"/>
                      </w:rPr>
                      <m:t>u</m:t>
                    </m:r>
                    <m:d>
                      <m:dPr>
                        <m:ctrlPr>
                          <w:rPr>
                            <w:rFonts w:ascii="Cambria Math" w:hAnsi="Cambria Math"/>
                            <w:i/>
                            <w:lang w:val="fr-BE"/>
                          </w:rPr>
                        </m:ctrlPr>
                      </m:dPr>
                      <m:e>
                        <m:sSub>
                          <m:sSubPr>
                            <m:ctrlPr>
                              <w:rPr>
                                <w:rFonts w:ascii="Cambria Math" w:hAnsi="Cambria Math"/>
                                <w:i/>
                                <w:lang w:val="fr-BE"/>
                              </w:rPr>
                            </m:ctrlPr>
                          </m:sSubPr>
                          <m:e>
                            <m:r>
                              <w:rPr>
                                <w:rFonts w:ascii="Cambria Math" w:hAnsi="Cambria Math"/>
                                <w:lang w:val="fr-BE"/>
                              </w:rPr>
                              <m:t>x</m:t>
                            </m:r>
                          </m:e>
                          <m:sub>
                            <m:r>
                              <w:rPr>
                                <w:rFonts w:ascii="Cambria Math" w:hAnsi="Cambria Math"/>
                                <w:lang w:val="fr-BE"/>
                              </w:rPr>
                              <m:t>i</m:t>
                            </m:r>
                          </m:sub>
                        </m:sSub>
                        <m:r>
                          <w:rPr>
                            <w:rFonts w:ascii="Cambria Math" w:hAnsi="Cambria Math"/>
                            <w:lang w:val="fr-BE"/>
                          </w:rPr>
                          <m:t>,</m:t>
                        </m:r>
                        <m:sSub>
                          <m:sSubPr>
                            <m:ctrlPr>
                              <w:rPr>
                                <w:rFonts w:ascii="Cambria Math" w:hAnsi="Cambria Math"/>
                                <w:i/>
                                <w:lang w:val="fr-BE"/>
                              </w:rPr>
                            </m:ctrlPr>
                          </m:sSubPr>
                          <m:e>
                            <m:r>
                              <w:rPr>
                                <w:rFonts w:ascii="Cambria Math" w:hAnsi="Cambria Math"/>
                                <w:lang w:val="fr-BE"/>
                              </w:rPr>
                              <m:t>x</m:t>
                            </m:r>
                          </m:e>
                          <m:sub>
                            <m:r>
                              <w:rPr>
                                <w:rFonts w:ascii="Cambria Math" w:hAnsi="Cambria Math"/>
                                <w:lang w:val="fr-BE"/>
                              </w:rPr>
                              <m:t>j</m:t>
                            </m:r>
                          </m:sub>
                        </m:sSub>
                      </m:e>
                    </m:d>
                  </m:num>
                  <m:den>
                    <m:r>
                      <w:rPr>
                        <w:rFonts w:ascii="Cambria Math" w:hAnsi="Cambria Math"/>
                        <w:lang w:val="fr-BE"/>
                      </w:rPr>
                      <m:t>u</m:t>
                    </m:r>
                    <m:d>
                      <m:dPr>
                        <m:ctrlPr>
                          <w:rPr>
                            <w:rFonts w:ascii="Cambria Math" w:hAnsi="Cambria Math"/>
                            <w:i/>
                            <w:lang w:val="fr-BE"/>
                          </w:rPr>
                        </m:ctrlPr>
                      </m:dPr>
                      <m:e>
                        <m:sSub>
                          <m:sSubPr>
                            <m:ctrlPr>
                              <w:rPr>
                                <w:rFonts w:ascii="Cambria Math" w:hAnsi="Cambria Math"/>
                                <w:i/>
                                <w:lang w:val="fr-BE"/>
                              </w:rPr>
                            </m:ctrlPr>
                          </m:sSubPr>
                          <m:e>
                            <m:r>
                              <w:rPr>
                                <w:rFonts w:ascii="Cambria Math" w:hAnsi="Cambria Math"/>
                                <w:lang w:val="fr-BE"/>
                              </w:rPr>
                              <m:t>x</m:t>
                            </m:r>
                          </m:e>
                          <m:sub>
                            <m:r>
                              <w:rPr>
                                <w:rFonts w:ascii="Cambria Math" w:hAnsi="Cambria Math"/>
                                <w:lang w:val="fr-BE"/>
                              </w:rPr>
                              <m:t>i</m:t>
                            </m:r>
                          </m:sub>
                        </m:sSub>
                      </m:e>
                    </m:d>
                    <m:r>
                      <w:rPr>
                        <w:rFonts w:ascii="Cambria Math" w:hAnsi="Cambria Math"/>
                        <w:lang w:val="fr-BE"/>
                      </w:rPr>
                      <m:t>u</m:t>
                    </m:r>
                    <m:d>
                      <m:dPr>
                        <m:ctrlPr>
                          <w:rPr>
                            <w:rFonts w:ascii="Cambria Math" w:hAnsi="Cambria Math"/>
                            <w:i/>
                            <w:lang w:val="fr-BE"/>
                          </w:rPr>
                        </m:ctrlPr>
                      </m:dPr>
                      <m:e>
                        <m:sSub>
                          <m:sSubPr>
                            <m:ctrlPr>
                              <w:rPr>
                                <w:rFonts w:ascii="Cambria Math" w:hAnsi="Cambria Math"/>
                                <w:i/>
                                <w:lang w:val="fr-BE"/>
                              </w:rPr>
                            </m:ctrlPr>
                          </m:sSubPr>
                          <m:e>
                            <m:r>
                              <w:rPr>
                                <w:rFonts w:ascii="Cambria Math" w:hAnsi="Cambria Math"/>
                                <w:lang w:val="fr-BE"/>
                              </w:rPr>
                              <m:t>x</m:t>
                            </m:r>
                          </m:e>
                          <m:sub>
                            <m:r>
                              <w:rPr>
                                <w:rFonts w:ascii="Cambria Math" w:hAnsi="Cambria Math"/>
                                <w:lang w:val="fr-BE"/>
                              </w:rPr>
                              <m:t>j</m:t>
                            </m:r>
                          </m:sub>
                        </m:sSub>
                      </m:e>
                    </m:d>
                  </m:den>
                </m:f>
              </m:oMath>
            </m:oMathPara>
          </w:p>
          <w:p w:rsidR="00A7144E" w:rsidRDefault="00A7144E" w:rsidP="00A7144E">
            <w:pPr>
              <w:jc w:val="both"/>
              <w:rPr>
                <w:sz w:val="20"/>
                <w:szCs w:val="20"/>
                <w:lang w:val="fr-BE"/>
              </w:rPr>
            </w:pPr>
          </w:p>
        </w:tc>
      </w:tr>
      <w:tr w:rsidR="00A7144E" w:rsidTr="00A7144E">
        <w:tc>
          <w:tcPr>
            <w:tcW w:w="9212" w:type="dxa"/>
            <w:gridSpan w:val="2"/>
          </w:tcPr>
          <w:p w:rsidR="00A7144E" w:rsidRPr="00EF4D65" w:rsidRDefault="00A7144E" w:rsidP="00A7144E">
            <w:pPr>
              <w:pStyle w:val="Lgende"/>
              <w:keepNext/>
              <w:jc w:val="center"/>
              <w:rPr>
                <w:b/>
                <w:i w:val="0"/>
                <w:color w:val="365F91" w:themeColor="accent1" w:themeShade="BF"/>
              </w:rPr>
            </w:pPr>
            <w:bookmarkStart w:id="6" w:name="_Ref479261433"/>
            <w:r w:rsidRPr="00EF4D65">
              <w:rPr>
                <w:b/>
                <w:color w:val="365F91" w:themeColor="accent1" w:themeShade="BF"/>
              </w:rPr>
              <w:t xml:space="preserve">Équation </w:t>
            </w:r>
            <w:r w:rsidRPr="00EF4D65">
              <w:rPr>
                <w:b/>
                <w:i w:val="0"/>
                <w:color w:val="365F91" w:themeColor="accent1" w:themeShade="BF"/>
              </w:rPr>
              <w:fldChar w:fldCharType="begin"/>
            </w:r>
            <w:r w:rsidRPr="00EF4D65">
              <w:rPr>
                <w:b/>
                <w:color w:val="365F91" w:themeColor="accent1" w:themeShade="BF"/>
              </w:rPr>
              <w:instrText xml:space="preserve"> SEQ Équation \* ARABIC </w:instrText>
            </w:r>
            <w:r w:rsidRPr="00EF4D65">
              <w:rPr>
                <w:b/>
                <w:i w:val="0"/>
                <w:color w:val="365F91" w:themeColor="accent1" w:themeShade="BF"/>
              </w:rPr>
              <w:fldChar w:fldCharType="separate"/>
            </w:r>
            <w:r w:rsidR="0004457E">
              <w:rPr>
                <w:b/>
                <w:noProof/>
                <w:color w:val="365F91" w:themeColor="accent1" w:themeShade="BF"/>
              </w:rPr>
              <w:t>6</w:t>
            </w:r>
            <w:r w:rsidRPr="00EF4D65">
              <w:rPr>
                <w:b/>
                <w:i w:val="0"/>
                <w:color w:val="365F91" w:themeColor="accent1" w:themeShade="BF"/>
              </w:rPr>
              <w:fldChar w:fldCharType="end"/>
            </w:r>
            <w:bookmarkEnd w:id="6"/>
          </w:p>
          <w:p w:rsidR="00A7144E" w:rsidRDefault="007C3AE6" w:rsidP="00A7144E">
            <w:pPr>
              <w:jc w:val="center"/>
              <w:rPr>
                <w:sz w:val="20"/>
                <w:szCs w:val="20"/>
                <w:lang w:val="fr-BE"/>
              </w:rPr>
            </w:pPr>
            <m:oMathPara>
              <m:oMath>
                <m:sSubSup>
                  <m:sSubSupPr>
                    <m:ctrlPr>
                      <w:rPr>
                        <w:rFonts w:ascii="Cambria Math" w:hAnsi="Cambria Math"/>
                        <w:i/>
                        <w:lang w:val="fr-BE"/>
                      </w:rPr>
                    </m:ctrlPr>
                  </m:sSubSupPr>
                  <m:e>
                    <m:r>
                      <w:rPr>
                        <w:rFonts w:ascii="Cambria Math" w:hAnsi="Cambria Math"/>
                        <w:lang w:val="fr-BE"/>
                      </w:rPr>
                      <m:t>u</m:t>
                    </m:r>
                  </m:e>
                  <m:sub>
                    <m:r>
                      <w:rPr>
                        <w:rFonts w:ascii="Cambria Math" w:hAnsi="Cambria Math"/>
                        <w:lang w:val="fr-BE"/>
                      </w:rPr>
                      <m:t>c</m:t>
                    </m:r>
                  </m:sub>
                  <m:sup>
                    <m:r>
                      <w:rPr>
                        <w:rFonts w:ascii="Cambria Math" w:hAnsi="Cambria Math"/>
                        <w:lang w:val="fr-BE"/>
                      </w:rPr>
                      <m:t>2</m:t>
                    </m:r>
                  </m:sup>
                </m:sSubSup>
                <m:d>
                  <m:dPr>
                    <m:ctrlPr>
                      <w:rPr>
                        <w:rFonts w:ascii="Cambria Math" w:hAnsi="Cambria Math"/>
                        <w:i/>
                        <w:lang w:val="fr-BE"/>
                      </w:rPr>
                    </m:ctrlPr>
                  </m:dPr>
                  <m:e>
                    <m:r>
                      <w:rPr>
                        <w:rFonts w:ascii="Cambria Math" w:hAnsi="Cambria Math"/>
                        <w:lang w:val="fr-BE"/>
                      </w:rPr>
                      <m:t>y</m:t>
                    </m:r>
                  </m:e>
                </m:d>
                <m:r>
                  <w:rPr>
                    <w:rFonts w:ascii="Cambria Math" w:hAnsi="Cambria Math"/>
                    <w:lang w:val="fr-BE"/>
                  </w:rPr>
                  <m:t>=</m:t>
                </m:r>
                <m:nary>
                  <m:naryPr>
                    <m:chr m:val="∑"/>
                    <m:limLoc m:val="undOvr"/>
                    <m:ctrlPr>
                      <w:rPr>
                        <w:rFonts w:ascii="Cambria Math" w:hAnsi="Cambria Math"/>
                        <w:i/>
                        <w:lang w:val="fr-BE"/>
                      </w:rPr>
                    </m:ctrlPr>
                  </m:naryPr>
                  <m:sub>
                    <m:r>
                      <w:rPr>
                        <w:rFonts w:ascii="Cambria Math" w:hAnsi="Cambria Math"/>
                        <w:lang w:val="fr-BE"/>
                      </w:rPr>
                      <m:t>i=1</m:t>
                    </m:r>
                  </m:sub>
                  <m:sup>
                    <m:r>
                      <w:rPr>
                        <w:rFonts w:ascii="Cambria Math" w:hAnsi="Cambria Math"/>
                        <w:lang w:val="fr-BE"/>
                      </w:rPr>
                      <m:t>N</m:t>
                    </m:r>
                  </m:sup>
                  <m:e>
                    <m:sSup>
                      <m:sSupPr>
                        <m:ctrlPr>
                          <w:rPr>
                            <w:rFonts w:ascii="Cambria Math" w:hAnsi="Cambria Math"/>
                            <w:i/>
                            <w:lang w:val="fr-BE"/>
                          </w:rPr>
                        </m:ctrlPr>
                      </m:sSupPr>
                      <m:e>
                        <m:d>
                          <m:dPr>
                            <m:ctrlPr>
                              <w:rPr>
                                <w:rFonts w:ascii="Cambria Math" w:hAnsi="Cambria Math"/>
                                <w:i/>
                                <w:lang w:val="fr-BE"/>
                              </w:rPr>
                            </m:ctrlPr>
                          </m:dPr>
                          <m:e>
                            <m:f>
                              <m:fPr>
                                <m:ctrlPr>
                                  <w:rPr>
                                    <w:rFonts w:ascii="Cambria Math" w:hAnsi="Cambria Math"/>
                                    <w:i/>
                                    <w:lang w:val="fr-BE"/>
                                  </w:rPr>
                                </m:ctrlPr>
                              </m:fPr>
                              <m:num>
                                <m:r>
                                  <w:rPr>
                                    <w:rFonts w:ascii="Cambria Math" w:hAnsi="Cambria Math"/>
                                    <w:lang w:val="fr-BE"/>
                                  </w:rPr>
                                  <m:t>∂f</m:t>
                                </m:r>
                              </m:num>
                              <m:den>
                                <m:r>
                                  <w:rPr>
                                    <w:rFonts w:ascii="Cambria Math" w:hAnsi="Cambria Math"/>
                                    <w:lang w:val="fr-BE"/>
                                  </w:rPr>
                                  <m:t>∂</m:t>
                                </m:r>
                                <m:sSub>
                                  <m:sSubPr>
                                    <m:ctrlPr>
                                      <w:rPr>
                                        <w:rFonts w:ascii="Cambria Math" w:hAnsi="Cambria Math"/>
                                        <w:i/>
                                        <w:lang w:val="fr-BE"/>
                                      </w:rPr>
                                    </m:ctrlPr>
                                  </m:sSubPr>
                                  <m:e>
                                    <m:r>
                                      <w:rPr>
                                        <w:rFonts w:ascii="Cambria Math" w:hAnsi="Cambria Math"/>
                                        <w:lang w:val="fr-BE"/>
                                      </w:rPr>
                                      <m:t>x</m:t>
                                    </m:r>
                                  </m:e>
                                  <m:sub>
                                    <m:r>
                                      <w:rPr>
                                        <w:rFonts w:ascii="Cambria Math" w:hAnsi="Cambria Math"/>
                                        <w:lang w:val="fr-BE"/>
                                      </w:rPr>
                                      <m:t>i</m:t>
                                    </m:r>
                                  </m:sub>
                                </m:sSub>
                              </m:den>
                            </m:f>
                          </m:e>
                        </m:d>
                      </m:e>
                      <m:sup>
                        <m:r>
                          <w:rPr>
                            <w:rFonts w:ascii="Cambria Math" w:hAnsi="Cambria Math"/>
                            <w:lang w:val="fr-BE"/>
                          </w:rPr>
                          <m:t>2</m:t>
                        </m:r>
                      </m:sup>
                    </m:sSup>
                    <m:sSup>
                      <m:sSupPr>
                        <m:ctrlPr>
                          <w:rPr>
                            <w:rFonts w:ascii="Cambria Math" w:hAnsi="Cambria Math"/>
                            <w:i/>
                            <w:lang w:val="fr-BE"/>
                          </w:rPr>
                        </m:ctrlPr>
                      </m:sSupPr>
                      <m:e>
                        <m:r>
                          <w:rPr>
                            <w:rFonts w:ascii="Cambria Math" w:hAnsi="Cambria Math"/>
                            <w:lang w:val="fr-BE"/>
                          </w:rPr>
                          <m:t>u</m:t>
                        </m:r>
                      </m:e>
                      <m:sup>
                        <m:r>
                          <w:rPr>
                            <w:rFonts w:ascii="Cambria Math" w:hAnsi="Cambria Math"/>
                            <w:lang w:val="fr-BE"/>
                          </w:rPr>
                          <m:t>2</m:t>
                        </m:r>
                      </m:sup>
                    </m:sSup>
                    <m:d>
                      <m:dPr>
                        <m:ctrlPr>
                          <w:rPr>
                            <w:rFonts w:ascii="Cambria Math" w:hAnsi="Cambria Math"/>
                            <w:i/>
                            <w:lang w:val="fr-BE"/>
                          </w:rPr>
                        </m:ctrlPr>
                      </m:dPr>
                      <m:e>
                        <m:sSub>
                          <m:sSubPr>
                            <m:ctrlPr>
                              <w:rPr>
                                <w:rFonts w:ascii="Cambria Math" w:hAnsi="Cambria Math"/>
                                <w:i/>
                                <w:lang w:val="fr-BE"/>
                              </w:rPr>
                            </m:ctrlPr>
                          </m:sSubPr>
                          <m:e>
                            <m:r>
                              <w:rPr>
                                <w:rFonts w:ascii="Cambria Math" w:hAnsi="Cambria Math"/>
                                <w:lang w:val="fr-BE"/>
                              </w:rPr>
                              <m:t>x</m:t>
                            </m:r>
                          </m:e>
                          <m:sub>
                            <m:r>
                              <w:rPr>
                                <w:rFonts w:ascii="Cambria Math" w:hAnsi="Cambria Math"/>
                                <w:lang w:val="fr-BE"/>
                              </w:rPr>
                              <m:t>i</m:t>
                            </m:r>
                          </m:sub>
                        </m:sSub>
                      </m:e>
                    </m:d>
                  </m:e>
                </m:nary>
                <m:r>
                  <w:rPr>
                    <w:rFonts w:ascii="Cambria Math" w:hAnsi="Cambria Math"/>
                    <w:lang w:val="fr-BE"/>
                  </w:rPr>
                  <m:t>+2</m:t>
                </m:r>
                <m:nary>
                  <m:naryPr>
                    <m:chr m:val="∑"/>
                    <m:limLoc m:val="undOvr"/>
                    <m:ctrlPr>
                      <w:rPr>
                        <w:rFonts w:ascii="Cambria Math" w:hAnsi="Cambria Math"/>
                        <w:i/>
                        <w:lang w:val="fr-BE"/>
                      </w:rPr>
                    </m:ctrlPr>
                  </m:naryPr>
                  <m:sub>
                    <m:r>
                      <w:rPr>
                        <w:rFonts w:ascii="Cambria Math" w:hAnsi="Cambria Math"/>
                        <w:lang w:val="fr-BE"/>
                      </w:rPr>
                      <m:t>i=1</m:t>
                    </m:r>
                  </m:sub>
                  <m:sup>
                    <m:r>
                      <w:rPr>
                        <w:rFonts w:ascii="Cambria Math" w:hAnsi="Cambria Math"/>
                        <w:lang w:val="fr-BE"/>
                      </w:rPr>
                      <m:t>N</m:t>
                    </m:r>
                  </m:sup>
                  <m:e>
                    <m:nary>
                      <m:naryPr>
                        <m:chr m:val="∑"/>
                        <m:limLoc m:val="undOvr"/>
                        <m:ctrlPr>
                          <w:rPr>
                            <w:rFonts w:ascii="Cambria Math" w:hAnsi="Cambria Math"/>
                            <w:i/>
                            <w:lang w:val="fr-BE"/>
                          </w:rPr>
                        </m:ctrlPr>
                      </m:naryPr>
                      <m:sub>
                        <m:r>
                          <w:rPr>
                            <w:rFonts w:ascii="Cambria Math" w:hAnsi="Cambria Math"/>
                            <w:lang w:val="fr-BE"/>
                          </w:rPr>
                          <m:t>j=i+1</m:t>
                        </m:r>
                      </m:sub>
                      <m:sup>
                        <m:r>
                          <w:rPr>
                            <w:rFonts w:ascii="Cambria Math" w:hAnsi="Cambria Math"/>
                            <w:lang w:val="fr-BE"/>
                          </w:rPr>
                          <m:t>N-1</m:t>
                        </m:r>
                      </m:sup>
                      <m:e>
                        <m:f>
                          <m:fPr>
                            <m:ctrlPr>
                              <w:rPr>
                                <w:rFonts w:ascii="Cambria Math" w:hAnsi="Cambria Math"/>
                                <w:i/>
                                <w:lang w:val="fr-BE"/>
                              </w:rPr>
                            </m:ctrlPr>
                          </m:fPr>
                          <m:num>
                            <m:r>
                              <w:rPr>
                                <w:rFonts w:ascii="Cambria Math" w:hAnsi="Cambria Math"/>
                                <w:lang w:val="fr-BE"/>
                              </w:rPr>
                              <m:t>∂f</m:t>
                            </m:r>
                          </m:num>
                          <m:den>
                            <m:r>
                              <w:rPr>
                                <w:rFonts w:ascii="Cambria Math" w:hAnsi="Cambria Math"/>
                                <w:lang w:val="fr-BE"/>
                              </w:rPr>
                              <m:t>∂</m:t>
                            </m:r>
                            <m:sSub>
                              <m:sSubPr>
                                <m:ctrlPr>
                                  <w:rPr>
                                    <w:rFonts w:ascii="Cambria Math" w:hAnsi="Cambria Math"/>
                                    <w:i/>
                                    <w:lang w:val="fr-BE"/>
                                  </w:rPr>
                                </m:ctrlPr>
                              </m:sSubPr>
                              <m:e>
                                <m:r>
                                  <w:rPr>
                                    <w:rFonts w:ascii="Cambria Math" w:hAnsi="Cambria Math"/>
                                    <w:lang w:val="fr-BE"/>
                                  </w:rPr>
                                  <m:t>x</m:t>
                                </m:r>
                              </m:e>
                              <m:sub>
                                <m:r>
                                  <w:rPr>
                                    <w:rFonts w:ascii="Cambria Math" w:hAnsi="Cambria Math"/>
                                    <w:lang w:val="fr-BE"/>
                                  </w:rPr>
                                  <m:t>i</m:t>
                                </m:r>
                              </m:sub>
                            </m:sSub>
                          </m:den>
                        </m:f>
                        <m:f>
                          <m:fPr>
                            <m:ctrlPr>
                              <w:rPr>
                                <w:rFonts w:ascii="Cambria Math" w:hAnsi="Cambria Math"/>
                                <w:i/>
                                <w:lang w:val="fr-BE"/>
                              </w:rPr>
                            </m:ctrlPr>
                          </m:fPr>
                          <m:num>
                            <m:r>
                              <w:rPr>
                                <w:rFonts w:ascii="Cambria Math" w:hAnsi="Cambria Math"/>
                                <w:lang w:val="fr-BE"/>
                              </w:rPr>
                              <m:t>∂f</m:t>
                            </m:r>
                          </m:num>
                          <m:den>
                            <m:r>
                              <w:rPr>
                                <w:rFonts w:ascii="Cambria Math" w:hAnsi="Cambria Math"/>
                                <w:lang w:val="fr-BE"/>
                              </w:rPr>
                              <m:t>∂</m:t>
                            </m:r>
                            <m:sSub>
                              <m:sSubPr>
                                <m:ctrlPr>
                                  <w:rPr>
                                    <w:rFonts w:ascii="Cambria Math" w:hAnsi="Cambria Math"/>
                                    <w:i/>
                                    <w:lang w:val="fr-BE"/>
                                  </w:rPr>
                                </m:ctrlPr>
                              </m:sSubPr>
                              <m:e>
                                <m:r>
                                  <w:rPr>
                                    <w:rFonts w:ascii="Cambria Math" w:hAnsi="Cambria Math"/>
                                    <w:lang w:val="fr-BE"/>
                                  </w:rPr>
                                  <m:t>x</m:t>
                                </m:r>
                              </m:e>
                              <m:sub>
                                <m:r>
                                  <w:rPr>
                                    <w:rFonts w:ascii="Cambria Math" w:hAnsi="Cambria Math"/>
                                    <w:lang w:val="fr-BE"/>
                                  </w:rPr>
                                  <m:t>j</m:t>
                                </m:r>
                              </m:sub>
                            </m:sSub>
                          </m:den>
                        </m:f>
                        <m:r>
                          <w:rPr>
                            <w:rFonts w:ascii="Cambria Math" w:hAnsi="Cambria Math"/>
                            <w:lang w:val="fr-BE"/>
                          </w:rPr>
                          <m:t>u</m:t>
                        </m:r>
                        <m:d>
                          <m:dPr>
                            <m:ctrlPr>
                              <w:rPr>
                                <w:rFonts w:ascii="Cambria Math" w:hAnsi="Cambria Math"/>
                                <w:i/>
                                <w:lang w:val="fr-BE"/>
                              </w:rPr>
                            </m:ctrlPr>
                          </m:dPr>
                          <m:e>
                            <m:sSub>
                              <m:sSubPr>
                                <m:ctrlPr>
                                  <w:rPr>
                                    <w:rFonts w:ascii="Cambria Math" w:hAnsi="Cambria Math"/>
                                    <w:i/>
                                    <w:lang w:val="fr-BE"/>
                                  </w:rPr>
                                </m:ctrlPr>
                              </m:sSubPr>
                              <m:e>
                                <m:r>
                                  <w:rPr>
                                    <w:rFonts w:ascii="Cambria Math" w:hAnsi="Cambria Math"/>
                                    <w:lang w:val="fr-BE"/>
                                  </w:rPr>
                                  <m:t>x</m:t>
                                </m:r>
                              </m:e>
                              <m:sub>
                                <m:r>
                                  <w:rPr>
                                    <w:rFonts w:ascii="Cambria Math" w:hAnsi="Cambria Math"/>
                                    <w:lang w:val="fr-BE"/>
                                  </w:rPr>
                                  <m:t>i</m:t>
                                </m:r>
                              </m:sub>
                            </m:sSub>
                          </m:e>
                        </m:d>
                        <m:r>
                          <w:rPr>
                            <w:rFonts w:ascii="Cambria Math" w:hAnsi="Cambria Math"/>
                            <w:lang w:val="fr-BE"/>
                          </w:rPr>
                          <m:t>u</m:t>
                        </m:r>
                        <m:d>
                          <m:dPr>
                            <m:ctrlPr>
                              <w:rPr>
                                <w:rFonts w:ascii="Cambria Math" w:hAnsi="Cambria Math"/>
                                <w:i/>
                                <w:lang w:val="fr-BE"/>
                              </w:rPr>
                            </m:ctrlPr>
                          </m:dPr>
                          <m:e>
                            <m:sSub>
                              <m:sSubPr>
                                <m:ctrlPr>
                                  <w:rPr>
                                    <w:rFonts w:ascii="Cambria Math" w:hAnsi="Cambria Math"/>
                                    <w:i/>
                                    <w:lang w:val="fr-BE"/>
                                  </w:rPr>
                                </m:ctrlPr>
                              </m:sSubPr>
                              <m:e>
                                <m:r>
                                  <w:rPr>
                                    <w:rFonts w:ascii="Cambria Math" w:hAnsi="Cambria Math"/>
                                    <w:lang w:val="fr-BE"/>
                                  </w:rPr>
                                  <m:t>x</m:t>
                                </m:r>
                              </m:e>
                              <m:sub>
                                <m:r>
                                  <w:rPr>
                                    <w:rFonts w:ascii="Cambria Math" w:hAnsi="Cambria Math"/>
                                    <w:lang w:val="fr-BE"/>
                                  </w:rPr>
                                  <m:t>j</m:t>
                                </m:r>
                              </m:sub>
                            </m:sSub>
                          </m:e>
                        </m:d>
                        <m:r>
                          <w:rPr>
                            <w:rFonts w:ascii="Cambria Math" w:hAnsi="Cambria Math"/>
                            <w:lang w:val="fr-BE"/>
                          </w:rPr>
                          <m:t>r(</m:t>
                        </m:r>
                        <m:sSub>
                          <m:sSubPr>
                            <m:ctrlPr>
                              <w:rPr>
                                <w:rFonts w:ascii="Cambria Math" w:hAnsi="Cambria Math"/>
                                <w:i/>
                                <w:lang w:val="fr-BE"/>
                              </w:rPr>
                            </m:ctrlPr>
                          </m:sSubPr>
                          <m:e>
                            <m:r>
                              <w:rPr>
                                <w:rFonts w:ascii="Cambria Math" w:hAnsi="Cambria Math"/>
                                <w:lang w:val="fr-BE"/>
                              </w:rPr>
                              <m:t>x</m:t>
                            </m:r>
                          </m:e>
                          <m:sub>
                            <m:r>
                              <w:rPr>
                                <w:rFonts w:ascii="Cambria Math" w:hAnsi="Cambria Math"/>
                                <w:lang w:val="fr-BE"/>
                              </w:rPr>
                              <m:t>i</m:t>
                            </m:r>
                          </m:sub>
                        </m:sSub>
                        <m:r>
                          <w:rPr>
                            <w:rFonts w:ascii="Cambria Math" w:hAnsi="Cambria Math"/>
                            <w:lang w:val="fr-BE"/>
                          </w:rPr>
                          <m:t>,</m:t>
                        </m:r>
                        <m:sSub>
                          <m:sSubPr>
                            <m:ctrlPr>
                              <w:rPr>
                                <w:rFonts w:ascii="Cambria Math" w:hAnsi="Cambria Math"/>
                                <w:i/>
                                <w:lang w:val="fr-BE"/>
                              </w:rPr>
                            </m:ctrlPr>
                          </m:sSubPr>
                          <m:e>
                            <m:r>
                              <w:rPr>
                                <w:rFonts w:ascii="Cambria Math" w:hAnsi="Cambria Math"/>
                                <w:lang w:val="fr-BE"/>
                              </w:rPr>
                              <m:t>x</m:t>
                            </m:r>
                          </m:e>
                          <m:sub>
                            <m:r>
                              <w:rPr>
                                <w:rFonts w:ascii="Cambria Math" w:hAnsi="Cambria Math"/>
                                <w:lang w:val="fr-BE"/>
                              </w:rPr>
                              <m:t>j</m:t>
                            </m:r>
                          </m:sub>
                        </m:sSub>
                        <m:r>
                          <w:rPr>
                            <w:rFonts w:ascii="Cambria Math" w:hAnsi="Cambria Math"/>
                            <w:lang w:val="fr-BE"/>
                          </w:rPr>
                          <m:t>)</m:t>
                        </m:r>
                      </m:e>
                    </m:nary>
                  </m:e>
                </m:nary>
              </m:oMath>
            </m:oMathPara>
          </w:p>
        </w:tc>
      </w:tr>
    </w:tbl>
    <w:p w:rsidR="004F51BA" w:rsidRDefault="004F51BA" w:rsidP="00BB4FFC">
      <w:pPr>
        <w:jc w:val="both"/>
        <w:rPr>
          <w:rFonts w:asciiTheme="majorHAnsi" w:eastAsiaTheme="majorEastAsia" w:hAnsiTheme="majorHAnsi" w:cstheme="majorBidi"/>
          <w:b/>
          <w:bCs/>
          <w:smallCaps/>
          <w:color w:val="000000" w:themeColor="text1"/>
          <w:sz w:val="28"/>
          <w:szCs w:val="28"/>
          <w:lang w:val="fr-BE"/>
        </w:rPr>
      </w:pPr>
    </w:p>
    <w:p w:rsidR="004F51BA" w:rsidRDefault="00BB4FFC" w:rsidP="004F51BA">
      <w:pPr>
        <w:pStyle w:val="Titre2"/>
        <w:numPr>
          <w:ilvl w:val="1"/>
          <w:numId w:val="3"/>
        </w:numPr>
        <w:spacing w:before="360" w:line="259" w:lineRule="auto"/>
        <w:rPr>
          <w:smallCaps/>
          <w:color w:val="000000" w:themeColor="text1"/>
          <w:sz w:val="28"/>
          <w:szCs w:val="28"/>
          <w:lang w:val="fr-BE"/>
        </w:rPr>
      </w:pPr>
      <w:r w:rsidRPr="004F51BA">
        <w:rPr>
          <w:smallCaps/>
          <w:color w:val="000000" w:themeColor="text1"/>
          <w:sz w:val="28"/>
          <w:szCs w:val="28"/>
          <w:lang w:val="fr-BE"/>
        </w:rPr>
        <w:t>L’incertitude élargie</w:t>
      </w:r>
    </w:p>
    <w:p w:rsidR="00A40742" w:rsidRPr="00A40742" w:rsidRDefault="00A40742" w:rsidP="00A40742">
      <w:pPr>
        <w:spacing w:after="0"/>
        <w:jc w:val="both"/>
        <w:rPr>
          <w:lang w:val="fr-BE"/>
        </w:rPr>
      </w:pPr>
    </w:p>
    <w:p w:rsidR="00BB4FFC" w:rsidRPr="00BB4FFC" w:rsidRDefault="00BB4FFC" w:rsidP="00BB4FFC">
      <w:pPr>
        <w:jc w:val="both"/>
        <w:rPr>
          <w:sz w:val="20"/>
          <w:szCs w:val="20"/>
          <w:lang w:val="fr-BE"/>
        </w:rPr>
      </w:pPr>
      <w:r w:rsidRPr="00BB4FFC">
        <w:rPr>
          <w:sz w:val="20"/>
          <w:szCs w:val="20"/>
          <w:lang w:val="fr-BE"/>
        </w:rPr>
        <w:t xml:space="preserve">Bien que </w:t>
      </w:r>
      <m:oMath>
        <m:sSub>
          <m:sSubPr>
            <m:ctrlPr>
              <w:rPr>
                <w:rFonts w:ascii="Cambria Math" w:hAnsi="Cambria Math"/>
                <w:sz w:val="20"/>
                <w:szCs w:val="20"/>
                <w:lang w:val="fr-BE"/>
              </w:rPr>
            </m:ctrlPr>
          </m:sSubPr>
          <m:e>
            <m:r>
              <m:rPr>
                <m:sty m:val="p"/>
              </m:rPr>
              <w:rPr>
                <w:rFonts w:ascii="Cambria Math" w:hAnsi="Cambria Math"/>
                <w:sz w:val="20"/>
                <w:szCs w:val="20"/>
                <w:lang w:val="fr-BE"/>
              </w:rPr>
              <m:t>u</m:t>
            </m:r>
          </m:e>
          <m:sub>
            <m:r>
              <m:rPr>
                <m:sty m:val="p"/>
              </m:rPr>
              <w:rPr>
                <w:rFonts w:ascii="Cambria Math" w:hAnsi="Cambria Math"/>
                <w:sz w:val="20"/>
                <w:szCs w:val="20"/>
                <w:lang w:val="fr-BE"/>
              </w:rPr>
              <m:t>c</m:t>
            </m:r>
          </m:sub>
        </m:sSub>
        <m:r>
          <m:rPr>
            <m:sty m:val="p"/>
          </m:rPr>
          <w:rPr>
            <w:rFonts w:ascii="Cambria Math" w:hAnsi="Cambria Math"/>
            <w:sz w:val="20"/>
            <w:szCs w:val="20"/>
            <w:lang w:val="fr-BE"/>
          </w:rPr>
          <m:t>(y)</m:t>
        </m:r>
      </m:oMath>
      <w:r w:rsidRPr="00BB4FFC">
        <w:rPr>
          <w:sz w:val="20"/>
          <w:szCs w:val="20"/>
          <w:lang w:val="fr-BE"/>
        </w:rPr>
        <w:t xml:space="preserve"> puisse être utilisé universellement, il est parfois nécessaire pour certaines applications de donner une mesure de l’incertitude qui définisse, autour d’une mesure, un intervalle à l’intérieur duquel on puisse espérer voir se situer une large fraction de distribution des valeurs qui pourraient être attribuées au </w:t>
      </w:r>
      <w:proofErr w:type="spellStart"/>
      <w:r w:rsidRPr="00BB4FFC">
        <w:rPr>
          <w:sz w:val="20"/>
          <w:szCs w:val="20"/>
          <w:lang w:val="fr-BE"/>
        </w:rPr>
        <w:t>mesurande</w:t>
      </w:r>
      <w:proofErr w:type="spellEnd"/>
      <w:r w:rsidRPr="00BB4FFC">
        <w:rPr>
          <w:sz w:val="20"/>
          <w:szCs w:val="20"/>
          <w:lang w:val="fr-BE"/>
        </w:rPr>
        <w:t xml:space="preserve">. L’incertitude élargie se note </w:t>
      </w:r>
      <m:oMath>
        <m:r>
          <m:rPr>
            <m:sty m:val="p"/>
          </m:rPr>
          <w:rPr>
            <w:rFonts w:ascii="Cambria Math" w:hAnsi="Cambria Math"/>
            <w:sz w:val="20"/>
            <w:szCs w:val="20"/>
            <w:lang w:val="fr-BE"/>
          </w:rPr>
          <m:t>U</m:t>
        </m:r>
      </m:oMath>
      <w:r w:rsidRPr="00BB4FFC">
        <w:rPr>
          <w:sz w:val="20"/>
          <w:szCs w:val="20"/>
          <w:lang w:val="fr-BE"/>
        </w:rPr>
        <w:t xml:space="preserve"> et se définit comme étant un multiple de l’incertitude composée (</w:t>
      </w:r>
      <m:oMath>
        <m:r>
          <m:rPr>
            <m:sty m:val="p"/>
          </m:rPr>
          <w:rPr>
            <w:rFonts w:ascii="Cambria Math" w:hAnsi="Cambria Math"/>
            <w:sz w:val="20"/>
            <w:szCs w:val="20"/>
            <w:lang w:val="fr-BE"/>
          </w:rPr>
          <m:t>U=k</m:t>
        </m:r>
        <m:sSub>
          <m:sSubPr>
            <m:ctrlPr>
              <w:rPr>
                <w:rFonts w:ascii="Cambria Math" w:hAnsi="Cambria Math"/>
                <w:sz w:val="20"/>
                <w:szCs w:val="20"/>
                <w:lang w:val="fr-BE"/>
              </w:rPr>
            </m:ctrlPr>
          </m:sSubPr>
          <m:e>
            <m:r>
              <m:rPr>
                <m:sty m:val="p"/>
              </m:rPr>
              <w:rPr>
                <w:rFonts w:ascii="Cambria Math" w:hAnsi="Cambria Math"/>
                <w:sz w:val="20"/>
                <w:szCs w:val="20"/>
                <w:lang w:val="fr-BE"/>
              </w:rPr>
              <m:t>u</m:t>
            </m:r>
          </m:e>
          <m:sub>
            <m:r>
              <m:rPr>
                <m:sty m:val="p"/>
              </m:rPr>
              <w:rPr>
                <w:rFonts w:ascii="Cambria Math" w:hAnsi="Cambria Math"/>
                <w:sz w:val="20"/>
                <w:szCs w:val="20"/>
                <w:lang w:val="fr-BE"/>
              </w:rPr>
              <m:t>c</m:t>
            </m:r>
          </m:sub>
        </m:sSub>
        <m:r>
          <m:rPr>
            <m:sty m:val="p"/>
          </m:rPr>
          <w:rPr>
            <w:rFonts w:ascii="Cambria Math" w:hAnsi="Cambria Math"/>
            <w:sz w:val="20"/>
            <w:szCs w:val="20"/>
            <w:lang w:val="fr-BE"/>
          </w:rPr>
          <m:t>(y)</m:t>
        </m:r>
      </m:oMath>
      <w:r w:rsidRPr="00BB4FFC">
        <w:rPr>
          <w:sz w:val="20"/>
          <w:szCs w:val="20"/>
          <w:lang w:val="fr-BE"/>
        </w:rPr>
        <w:t xml:space="preserve">) où </w:t>
      </w:r>
      <m:oMath>
        <m:r>
          <m:rPr>
            <m:sty m:val="p"/>
          </m:rPr>
          <w:rPr>
            <w:rFonts w:ascii="Cambria Math" w:hAnsi="Cambria Math"/>
            <w:sz w:val="20"/>
            <w:szCs w:val="20"/>
            <w:lang w:val="fr-BE"/>
          </w:rPr>
          <m:t>k</m:t>
        </m:r>
      </m:oMath>
      <w:r w:rsidRPr="00BB4FFC">
        <w:rPr>
          <w:sz w:val="20"/>
          <w:szCs w:val="20"/>
          <w:lang w:val="fr-BE"/>
        </w:rPr>
        <w:t xml:space="preserve"> est un facteur d’élargissement. Les résultats s’expriment habituellement sous la forme</w:t>
      </w:r>
      <m:oMath>
        <m:r>
          <m:rPr>
            <m:sty m:val="p"/>
          </m:rPr>
          <w:rPr>
            <w:rFonts w:ascii="Cambria Math" w:hAnsi="Cambria Math"/>
            <w:sz w:val="20"/>
            <w:szCs w:val="20"/>
            <w:lang w:val="fr-BE"/>
          </w:rPr>
          <m:t xml:space="preserve"> Y=y±U</m:t>
        </m:r>
      </m:oMath>
      <w:r w:rsidRPr="00BB4FFC">
        <w:rPr>
          <w:sz w:val="20"/>
          <w:szCs w:val="20"/>
          <w:lang w:val="fr-BE"/>
        </w:rPr>
        <w:t>.</w:t>
      </w:r>
    </w:p>
    <w:p w:rsidR="00BB4FFC" w:rsidRPr="00BB4FFC" w:rsidRDefault="00BB4FFC" w:rsidP="00BB4FFC">
      <w:pPr>
        <w:jc w:val="both"/>
        <w:rPr>
          <w:sz w:val="20"/>
          <w:szCs w:val="20"/>
          <w:lang w:val="fr-BE"/>
        </w:rPr>
      </w:pPr>
      <w:r w:rsidRPr="00BB4FFC">
        <w:rPr>
          <w:sz w:val="20"/>
          <w:szCs w:val="20"/>
          <w:lang w:val="fr-BE"/>
        </w:rPr>
        <w:t xml:space="preserve">On parle souvent d’intervalle de confiance ou de niveau de confiance pour exprimer cet intervalle. Il est intéressant de noter que ce vocabulaire ne s’applique qu’aux intervalles </w:t>
      </w:r>
      <m:oMath>
        <m:r>
          <m:rPr>
            <m:sty m:val="p"/>
          </m:rPr>
          <w:rPr>
            <w:rFonts w:ascii="Cambria Math" w:hAnsi="Cambria Math"/>
            <w:sz w:val="20"/>
            <w:szCs w:val="20"/>
            <w:lang w:val="fr-BE"/>
          </w:rPr>
          <m:t>U</m:t>
        </m:r>
      </m:oMath>
      <w:r w:rsidRPr="00BB4FFC">
        <w:rPr>
          <w:sz w:val="20"/>
          <w:szCs w:val="20"/>
          <w:lang w:val="fr-BE"/>
        </w:rPr>
        <w:t xml:space="preserve"> définis lorsque toutes les contributions à </w:t>
      </w:r>
      <m:oMath>
        <m:sSub>
          <m:sSubPr>
            <m:ctrlPr>
              <w:rPr>
                <w:rFonts w:ascii="Cambria Math" w:hAnsi="Cambria Math"/>
                <w:sz w:val="20"/>
                <w:szCs w:val="20"/>
                <w:lang w:val="fr-BE"/>
              </w:rPr>
            </m:ctrlPr>
          </m:sSubPr>
          <m:e>
            <m:r>
              <m:rPr>
                <m:sty m:val="p"/>
              </m:rPr>
              <w:rPr>
                <w:rFonts w:ascii="Cambria Math" w:hAnsi="Cambria Math"/>
                <w:sz w:val="20"/>
                <w:szCs w:val="20"/>
                <w:lang w:val="fr-BE"/>
              </w:rPr>
              <m:t>u</m:t>
            </m:r>
          </m:e>
          <m:sub>
            <m:r>
              <m:rPr>
                <m:sty m:val="p"/>
              </m:rPr>
              <w:rPr>
                <w:rFonts w:ascii="Cambria Math" w:hAnsi="Cambria Math"/>
                <w:sz w:val="20"/>
                <w:szCs w:val="20"/>
                <w:lang w:val="fr-BE"/>
              </w:rPr>
              <m:t>c</m:t>
            </m:r>
          </m:sub>
        </m:sSub>
        <m:r>
          <m:rPr>
            <m:sty m:val="p"/>
          </m:rPr>
          <w:rPr>
            <w:rFonts w:ascii="Cambria Math" w:hAnsi="Cambria Math"/>
            <w:sz w:val="20"/>
            <w:szCs w:val="20"/>
            <w:lang w:val="fr-BE"/>
          </w:rPr>
          <m:t>(y)</m:t>
        </m:r>
      </m:oMath>
      <w:r w:rsidRPr="00BB4FFC">
        <w:rPr>
          <w:sz w:val="20"/>
          <w:szCs w:val="20"/>
          <w:lang w:val="fr-BE"/>
        </w:rPr>
        <w:t xml:space="preserve"> sont obtenues par des évaluations de type A.</w:t>
      </w:r>
    </w:p>
    <w:p w:rsidR="00BB4FFC" w:rsidRPr="00BB4FFC" w:rsidRDefault="00BB4FFC" w:rsidP="00BB4FFC">
      <w:pPr>
        <w:jc w:val="both"/>
        <w:rPr>
          <w:sz w:val="20"/>
          <w:szCs w:val="20"/>
          <w:lang w:val="fr-BE"/>
        </w:rPr>
      </w:pPr>
      <w:r w:rsidRPr="00BB4FFC">
        <w:rPr>
          <w:sz w:val="20"/>
          <w:szCs w:val="20"/>
          <w:lang w:val="fr-BE"/>
        </w:rPr>
        <w:t xml:space="preserve">Le facteur d’élargissement est généralement choisi en fonction du niveau de confiance requis. En général </w:t>
      </w:r>
      <m:oMath>
        <m:r>
          <m:rPr>
            <m:sty m:val="p"/>
          </m:rPr>
          <w:rPr>
            <w:rFonts w:ascii="Cambria Math" w:hAnsi="Cambria Math"/>
            <w:sz w:val="20"/>
            <w:szCs w:val="20"/>
            <w:lang w:val="fr-BE"/>
          </w:rPr>
          <m:t>k</m:t>
        </m:r>
      </m:oMath>
      <w:r w:rsidRPr="00BB4FFC">
        <w:rPr>
          <w:sz w:val="20"/>
          <w:szCs w:val="20"/>
          <w:lang w:val="fr-BE"/>
        </w:rPr>
        <w:t xml:space="preserve"> est situé dans une plage de 2 à 3. On essaye habituellement d’atteindre un niveau de confiance de 95 ou 99 pourcent. Dans le cas où la loi de probabilité caractérisée par </w:t>
      </w:r>
      <m:oMath>
        <m:r>
          <m:rPr>
            <m:sty m:val="p"/>
          </m:rPr>
          <w:rPr>
            <w:rFonts w:ascii="Cambria Math" w:hAnsi="Cambria Math"/>
            <w:sz w:val="20"/>
            <w:szCs w:val="20"/>
            <w:lang w:val="fr-BE"/>
          </w:rPr>
          <m:t>y</m:t>
        </m:r>
      </m:oMath>
      <w:r w:rsidRPr="00BB4FFC">
        <w:rPr>
          <w:sz w:val="20"/>
          <w:szCs w:val="20"/>
          <w:lang w:val="fr-BE"/>
        </w:rPr>
        <w:t xml:space="preserve"> et </w:t>
      </w:r>
      <m:oMath>
        <m:sSub>
          <m:sSubPr>
            <m:ctrlPr>
              <w:rPr>
                <w:rFonts w:ascii="Cambria Math" w:hAnsi="Cambria Math"/>
                <w:sz w:val="20"/>
                <w:szCs w:val="20"/>
                <w:lang w:val="fr-BE"/>
              </w:rPr>
            </m:ctrlPr>
          </m:sSubPr>
          <m:e>
            <m:r>
              <m:rPr>
                <m:sty m:val="p"/>
              </m:rPr>
              <w:rPr>
                <w:rFonts w:ascii="Cambria Math" w:hAnsi="Cambria Math"/>
                <w:sz w:val="20"/>
                <w:szCs w:val="20"/>
                <w:lang w:val="fr-BE"/>
              </w:rPr>
              <m:t>u</m:t>
            </m:r>
          </m:e>
          <m:sub>
            <m:r>
              <m:rPr>
                <m:sty m:val="p"/>
              </m:rPr>
              <w:rPr>
                <w:rFonts w:ascii="Cambria Math" w:hAnsi="Cambria Math"/>
                <w:sz w:val="20"/>
                <w:szCs w:val="20"/>
                <w:lang w:val="fr-BE"/>
              </w:rPr>
              <m:t>c</m:t>
            </m:r>
          </m:sub>
        </m:sSub>
        <m:r>
          <m:rPr>
            <m:sty m:val="p"/>
          </m:rPr>
          <w:rPr>
            <w:rFonts w:ascii="Cambria Math" w:hAnsi="Cambria Math"/>
            <w:sz w:val="20"/>
            <w:szCs w:val="20"/>
            <w:lang w:val="fr-BE"/>
          </w:rPr>
          <m:t>(y)</m:t>
        </m:r>
      </m:oMath>
      <w:r w:rsidRPr="00BB4FFC">
        <w:rPr>
          <w:sz w:val="20"/>
          <w:szCs w:val="20"/>
          <w:lang w:val="fr-BE"/>
        </w:rPr>
        <w:t xml:space="preserve"> est approximativement normale et où </w:t>
      </w:r>
      <w:r w:rsidRPr="00BB4FFC">
        <w:rPr>
          <w:sz w:val="20"/>
          <w:szCs w:val="20"/>
          <w:lang w:val="fr-BE"/>
        </w:rPr>
        <w:lastRenderedPageBreak/>
        <w:t>le nombre de effectif de degrés de liberté de</w:t>
      </w:r>
      <m:oMath>
        <m:r>
          <m:rPr>
            <m:sty m:val="p"/>
          </m:rPr>
          <w:rPr>
            <w:rFonts w:ascii="Cambria Math" w:hAnsi="Cambria Math"/>
            <w:sz w:val="20"/>
            <w:szCs w:val="20"/>
            <w:lang w:val="fr-BE"/>
          </w:rPr>
          <m:t xml:space="preserve"> </m:t>
        </m:r>
        <m:sSub>
          <m:sSubPr>
            <m:ctrlPr>
              <w:rPr>
                <w:rFonts w:ascii="Cambria Math" w:hAnsi="Cambria Math"/>
                <w:sz w:val="20"/>
                <w:szCs w:val="20"/>
                <w:lang w:val="fr-BE"/>
              </w:rPr>
            </m:ctrlPr>
          </m:sSubPr>
          <m:e>
            <m:r>
              <m:rPr>
                <m:sty m:val="p"/>
              </m:rPr>
              <w:rPr>
                <w:rFonts w:ascii="Cambria Math" w:hAnsi="Cambria Math"/>
                <w:sz w:val="20"/>
                <w:szCs w:val="20"/>
                <w:lang w:val="fr-BE"/>
              </w:rPr>
              <m:t>u</m:t>
            </m:r>
          </m:e>
          <m:sub>
            <m:r>
              <m:rPr>
                <m:sty m:val="p"/>
              </m:rPr>
              <w:rPr>
                <w:rFonts w:ascii="Cambria Math" w:hAnsi="Cambria Math"/>
                <w:sz w:val="20"/>
                <w:szCs w:val="20"/>
                <w:lang w:val="fr-BE"/>
              </w:rPr>
              <m:t>c</m:t>
            </m:r>
          </m:sub>
        </m:sSub>
        <m:r>
          <m:rPr>
            <m:sty m:val="p"/>
          </m:rPr>
          <w:rPr>
            <w:rFonts w:ascii="Cambria Math" w:hAnsi="Cambria Math"/>
            <w:sz w:val="20"/>
            <w:szCs w:val="20"/>
            <w:lang w:val="fr-BE"/>
          </w:rPr>
          <m:t>(y)</m:t>
        </m:r>
      </m:oMath>
      <w:r w:rsidRPr="00BB4FFC">
        <w:rPr>
          <w:sz w:val="20"/>
          <w:szCs w:val="20"/>
          <w:lang w:val="fr-BE"/>
        </w:rPr>
        <w:t xml:space="preserve">, on peut supposer que </w:t>
      </w:r>
      <m:oMath>
        <m:r>
          <m:rPr>
            <m:sty m:val="p"/>
          </m:rPr>
          <w:rPr>
            <w:rFonts w:ascii="Cambria Math" w:hAnsi="Cambria Math"/>
            <w:sz w:val="20"/>
            <w:szCs w:val="20"/>
            <w:lang w:val="fr-BE"/>
          </w:rPr>
          <m:t>k=2</m:t>
        </m:r>
      </m:oMath>
      <w:r w:rsidRPr="00BB4FFC">
        <w:rPr>
          <w:sz w:val="20"/>
          <w:szCs w:val="20"/>
          <w:lang w:val="fr-BE"/>
        </w:rPr>
        <w:t xml:space="preserve">  et </w:t>
      </w:r>
      <m:oMath>
        <m:r>
          <m:rPr>
            <m:sty m:val="p"/>
          </m:rPr>
          <w:rPr>
            <w:rFonts w:ascii="Cambria Math" w:hAnsi="Cambria Math"/>
            <w:sz w:val="20"/>
            <w:szCs w:val="20"/>
            <w:lang w:val="fr-BE"/>
          </w:rPr>
          <m:t>k=3</m:t>
        </m:r>
      </m:oMath>
      <w:r w:rsidRPr="00BB4FFC">
        <w:rPr>
          <w:sz w:val="20"/>
          <w:szCs w:val="20"/>
          <w:lang w:val="fr-BE"/>
        </w:rPr>
        <w:t xml:space="preserve"> correspondent à des intervalles ayant un niveau de confiance de respectivement 95 et 99 pourcent environ.</w:t>
      </w:r>
    </w:p>
    <w:p w:rsidR="00BB4FFC" w:rsidRDefault="00BB4FFC" w:rsidP="00BB4FFC">
      <w:pPr>
        <w:pStyle w:val="Titre2"/>
        <w:numPr>
          <w:ilvl w:val="1"/>
          <w:numId w:val="3"/>
        </w:numPr>
        <w:spacing w:before="360" w:line="259" w:lineRule="auto"/>
        <w:rPr>
          <w:smallCaps/>
          <w:color w:val="000000" w:themeColor="text1"/>
          <w:sz w:val="28"/>
          <w:szCs w:val="28"/>
          <w:lang w:val="fr-BE"/>
        </w:rPr>
      </w:pPr>
      <w:r w:rsidRPr="00BB4FFC">
        <w:rPr>
          <w:smallCaps/>
          <w:color w:val="000000" w:themeColor="text1"/>
          <w:sz w:val="28"/>
          <w:szCs w:val="28"/>
          <w:lang w:val="fr-BE"/>
        </w:rPr>
        <w:t xml:space="preserve">Incertitudes de </w:t>
      </w:r>
      <w:r>
        <w:rPr>
          <w:smallCaps/>
          <w:color w:val="000000" w:themeColor="text1"/>
          <w:sz w:val="28"/>
          <w:szCs w:val="28"/>
          <w:lang w:val="fr-BE"/>
        </w:rPr>
        <w:t xml:space="preserve">« fan </w:t>
      </w:r>
      <w:proofErr w:type="spellStart"/>
      <w:r>
        <w:rPr>
          <w:smallCaps/>
          <w:color w:val="000000" w:themeColor="text1"/>
          <w:sz w:val="28"/>
          <w:szCs w:val="28"/>
          <w:lang w:val="fr-BE"/>
        </w:rPr>
        <w:t>pressurization</w:t>
      </w:r>
      <w:proofErr w:type="spellEnd"/>
      <w:r>
        <w:rPr>
          <w:smallCaps/>
          <w:color w:val="000000" w:themeColor="text1"/>
          <w:sz w:val="28"/>
          <w:szCs w:val="28"/>
          <w:lang w:val="fr-BE"/>
        </w:rPr>
        <w:t xml:space="preserve"> </w:t>
      </w:r>
      <w:proofErr w:type="spellStart"/>
      <w:r>
        <w:rPr>
          <w:smallCaps/>
          <w:color w:val="000000" w:themeColor="text1"/>
          <w:sz w:val="28"/>
          <w:szCs w:val="28"/>
          <w:lang w:val="fr-BE"/>
        </w:rPr>
        <w:t>method</w:t>
      </w:r>
      <w:proofErr w:type="spellEnd"/>
      <w:r>
        <w:rPr>
          <w:smallCaps/>
          <w:color w:val="000000" w:themeColor="text1"/>
          <w:sz w:val="28"/>
          <w:szCs w:val="28"/>
          <w:lang w:val="fr-BE"/>
        </w:rPr>
        <w:t> »</w:t>
      </w:r>
    </w:p>
    <w:p w:rsidR="00A40742" w:rsidRPr="00A40742" w:rsidRDefault="00A40742" w:rsidP="00A40742">
      <w:pPr>
        <w:spacing w:after="0"/>
        <w:jc w:val="both"/>
        <w:rPr>
          <w:lang w:val="fr-BE"/>
        </w:rPr>
      </w:pPr>
    </w:p>
    <w:p w:rsidR="0053597A" w:rsidRDefault="000B7539" w:rsidP="00394D63">
      <w:pPr>
        <w:jc w:val="both"/>
        <w:rPr>
          <w:sz w:val="20"/>
          <w:szCs w:val="20"/>
          <w:lang w:val="fr-BE"/>
        </w:rPr>
      </w:pPr>
      <w:r w:rsidRPr="000B7539">
        <w:rPr>
          <w:sz w:val="20"/>
          <w:szCs w:val="20"/>
          <w:lang w:val="fr-BE"/>
        </w:rPr>
        <w:t xml:space="preserve">Il convient dans ce contexte d’identifier les incertitudes liées à la « fan </w:t>
      </w:r>
      <w:proofErr w:type="spellStart"/>
      <w:r w:rsidRPr="000B7539">
        <w:rPr>
          <w:sz w:val="20"/>
          <w:szCs w:val="20"/>
          <w:lang w:val="fr-BE"/>
        </w:rPr>
        <w:t>pressurization</w:t>
      </w:r>
      <w:proofErr w:type="spellEnd"/>
      <w:r w:rsidRPr="000B7539">
        <w:rPr>
          <w:sz w:val="20"/>
          <w:szCs w:val="20"/>
          <w:lang w:val="fr-BE"/>
        </w:rPr>
        <w:t xml:space="preserve"> </w:t>
      </w:r>
      <w:proofErr w:type="spellStart"/>
      <w:r w:rsidRPr="000B7539">
        <w:rPr>
          <w:sz w:val="20"/>
          <w:szCs w:val="20"/>
          <w:lang w:val="fr-BE"/>
        </w:rPr>
        <w:t>method</w:t>
      </w:r>
      <w:proofErr w:type="spellEnd"/>
      <w:r w:rsidRPr="000B7539">
        <w:rPr>
          <w:sz w:val="20"/>
          <w:szCs w:val="20"/>
          <w:lang w:val="fr-BE"/>
        </w:rPr>
        <w:t> », plus communément appelée « </w:t>
      </w:r>
      <w:proofErr w:type="spellStart"/>
      <w:r w:rsidRPr="000B7539">
        <w:rPr>
          <w:sz w:val="20"/>
          <w:szCs w:val="20"/>
          <w:lang w:val="fr-BE"/>
        </w:rPr>
        <w:t>blowerdoor</w:t>
      </w:r>
      <w:proofErr w:type="spellEnd"/>
      <w:r w:rsidRPr="000B7539">
        <w:rPr>
          <w:sz w:val="20"/>
          <w:szCs w:val="20"/>
          <w:lang w:val="fr-BE"/>
        </w:rPr>
        <w:t> »</w:t>
      </w:r>
      <w:r>
        <w:rPr>
          <w:sz w:val="20"/>
          <w:szCs w:val="20"/>
          <w:lang w:val="fr-BE"/>
        </w:rPr>
        <w:t>. Cette méthode requiert la mesure de plusieurs grandeurs : la différence de pression à débit nul</w:t>
      </w:r>
      <w:r w:rsidR="00043610">
        <w:rPr>
          <w:sz w:val="20"/>
          <w:szCs w:val="20"/>
          <w:lang w:val="fr-BE"/>
        </w:rPr>
        <w:t xml:space="preserve"> avant et après chaque test, les températures intérieur et extérieur avant et après chaque test, la différence de pression de part et d’autres de l’enveloppe, le débit d’air passant par le ventilateur et, enfin, le volume du bâtiment (dans le cas du calcul du </w:t>
      </w:r>
      <m:oMath>
        <m:sSub>
          <m:sSubPr>
            <m:ctrlPr>
              <w:rPr>
                <w:rFonts w:ascii="Cambria Math" w:hAnsi="Cambria Math"/>
                <w:i/>
                <w:sz w:val="20"/>
                <w:szCs w:val="20"/>
                <w:lang w:val="fr-BE"/>
              </w:rPr>
            </m:ctrlPr>
          </m:sSubPr>
          <m:e>
            <m:r>
              <w:rPr>
                <w:rFonts w:ascii="Cambria Math" w:hAnsi="Cambria Math"/>
                <w:sz w:val="20"/>
                <w:szCs w:val="20"/>
                <w:lang w:val="fr-BE"/>
              </w:rPr>
              <m:t>n</m:t>
            </m:r>
          </m:e>
          <m:sub>
            <m:r>
              <w:rPr>
                <w:rFonts w:ascii="Cambria Math" w:hAnsi="Cambria Math"/>
                <w:sz w:val="20"/>
                <w:szCs w:val="20"/>
                <w:lang w:val="fr-BE"/>
              </w:rPr>
              <m:t>50</m:t>
            </m:r>
          </m:sub>
        </m:sSub>
      </m:oMath>
      <w:r w:rsidR="00043610">
        <w:rPr>
          <w:rFonts w:eastAsiaTheme="minorEastAsia"/>
          <w:sz w:val="20"/>
          <w:szCs w:val="20"/>
          <w:lang w:val="fr-BE"/>
        </w:rPr>
        <w:t>)</w:t>
      </w:r>
      <w:r w:rsidR="00043610">
        <w:rPr>
          <w:sz w:val="20"/>
          <w:szCs w:val="20"/>
          <w:lang w:val="fr-BE"/>
        </w:rPr>
        <w:t>.</w:t>
      </w:r>
      <w:r w:rsidR="0063435A">
        <w:rPr>
          <w:sz w:val="20"/>
          <w:szCs w:val="20"/>
          <w:lang w:val="fr-BE"/>
        </w:rPr>
        <w:t xml:space="preserve"> Chacune de ces mesures fait l’objet d’une incertitude, ainsi que la combinaison de ces mesures pour en obtenir d’autres.</w:t>
      </w:r>
      <w:r w:rsidR="00043610">
        <w:rPr>
          <w:sz w:val="20"/>
          <w:szCs w:val="20"/>
          <w:lang w:val="fr-BE"/>
        </w:rPr>
        <w:t xml:space="preserve"> </w:t>
      </w:r>
    </w:p>
    <w:p w:rsidR="00BB4FFC" w:rsidRPr="00394D63" w:rsidRDefault="00BD0375" w:rsidP="00394D63">
      <w:pPr>
        <w:jc w:val="both"/>
        <w:rPr>
          <w:sz w:val="20"/>
          <w:szCs w:val="20"/>
          <w:lang w:val="fr-BE"/>
        </w:rPr>
      </w:pPr>
      <w:r>
        <w:rPr>
          <w:sz w:val="20"/>
          <w:szCs w:val="20"/>
          <w:lang w:val="fr-BE"/>
        </w:rPr>
        <w:t xml:space="preserve">Dans </w:t>
      </w:r>
      <w:r>
        <w:rPr>
          <w:sz w:val="20"/>
          <w:szCs w:val="20"/>
          <w:lang w:val="fr-BE"/>
        </w:rPr>
        <w:fldChar w:fldCharType="begin"/>
      </w:r>
      <w:r w:rsidR="00500D8A">
        <w:rPr>
          <w:sz w:val="20"/>
          <w:szCs w:val="20"/>
          <w:lang w:val="fr-BE"/>
        </w:rPr>
        <w:instrText xml:space="preserve"> ADDIN EN.CITE &lt;EndNote&gt;&lt;Cite&gt;&lt;Author&gt;Sherman&lt;/Author&gt;&lt;Year&gt;1995&lt;/Year&gt;&lt;RecNum&gt;104&lt;/RecNum&gt;&lt;DisplayText&gt;[3]&lt;/DisplayText&gt;&lt;record&gt;&lt;rec-number&gt;104&lt;/rec-number&gt;&lt;foreign-keys&gt;&lt;key app="EN" db-id="wx52rweesr59wfe0tf2xdtzg5frw2ppwzpp5" timestamp="1497337290"&gt;104&lt;/key&gt;&lt;/foreign-keys&gt;&lt;ref-type name="Book Section"&gt;5&lt;/ref-type&gt;&lt;contributors&gt;&lt;authors&gt;&lt;author&gt;Sherman, Max&lt;/author&gt;&lt;author&gt;Palmiter, Larry&lt;/author&gt;&lt;/authors&gt;&lt;/contributors&gt;&lt;titles&gt;&lt;title&gt;Uncertainties in fan pressurization measurements&lt;/title&gt;&lt;secondary-title&gt;Airflow performance of building envelopes, components, and systems&lt;/secondary-title&gt;&lt;/titles&gt;&lt;dates&gt;&lt;year&gt;1995&lt;/year&gt;&lt;/dates&gt;&lt;publisher&gt;ASTM International&lt;/publisher&gt;&lt;urls&gt;&lt;/urls&gt;&lt;/record&gt;&lt;/Cite&gt;&lt;/EndNote&gt;</w:instrText>
      </w:r>
      <w:r>
        <w:rPr>
          <w:sz w:val="20"/>
          <w:szCs w:val="20"/>
          <w:lang w:val="fr-BE"/>
        </w:rPr>
        <w:fldChar w:fldCharType="separate"/>
      </w:r>
      <w:r w:rsidR="00500D8A">
        <w:rPr>
          <w:noProof/>
          <w:sz w:val="20"/>
          <w:szCs w:val="20"/>
          <w:lang w:val="fr-BE"/>
        </w:rPr>
        <w:t>[3]</w:t>
      </w:r>
      <w:r>
        <w:rPr>
          <w:sz w:val="20"/>
          <w:szCs w:val="20"/>
          <w:lang w:val="fr-BE"/>
        </w:rPr>
        <w:fldChar w:fldCharType="end"/>
      </w:r>
      <w:r w:rsidR="0053597A">
        <w:rPr>
          <w:sz w:val="20"/>
          <w:szCs w:val="20"/>
          <w:lang w:val="fr-BE"/>
        </w:rPr>
        <w:t>, l’incertitude de mesure de la méthode est évalué</w:t>
      </w:r>
      <w:r w:rsidR="00E25A3D">
        <w:rPr>
          <w:sz w:val="20"/>
          <w:szCs w:val="20"/>
          <w:lang w:val="fr-BE"/>
        </w:rPr>
        <w:t>e</w:t>
      </w:r>
      <w:r>
        <w:rPr>
          <w:sz w:val="20"/>
          <w:szCs w:val="20"/>
          <w:lang w:val="fr-BE"/>
        </w:rPr>
        <w:t xml:space="preserve"> </w:t>
      </w:r>
      <w:r w:rsidR="00EA3359">
        <w:rPr>
          <w:sz w:val="20"/>
          <w:szCs w:val="20"/>
          <w:lang w:val="fr-BE"/>
        </w:rPr>
        <w:t>jusqu’à 45%. Cette erreur peut être fortement diminuée par la position de la référence de pression basse</w:t>
      </w:r>
      <w:r w:rsidR="0053597A">
        <w:rPr>
          <w:sz w:val="20"/>
          <w:szCs w:val="20"/>
          <w:lang w:val="fr-BE"/>
        </w:rPr>
        <w:t>.</w:t>
      </w:r>
      <w:r w:rsidR="00FB0A51">
        <w:rPr>
          <w:sz w:val="20"/>
          <w:szCs w:val="20"/>
          <w:lang w:val="fr-BE"/>
        </w:rPr>
        <w:t xml:space="preserve"> En appliquant certaines hypothèses sur la précision de la pression basse, ils obtiennent une précision de 19% par analyse numérique. D</w:t>
      </w:r>
      <w:r>
        <w:rPr>
          <w:sz w:val="20"/>
          <w:szCs w:val="20"/>
          <w:lang w:val="fr-BE"/>
        </w:rPr>
        <w:t xml:space="preserve">ans </w:t>
      </w:r>
      <w:r>
        <w:rPr>
          <w:sz w:val="20"/>
          <w:szCs w:val="20"/>
          <w:lang w:val="fr-BE"/>
        </w:rPr>
        <w:fldChar w:fldCharType="begin"/>
      </w:r>
      <w:r w:rsidR="00500D8A">
        <w:rPr>
          <w:sz w:val="20"/>
          <w:szCs w:val="20"/>
          <w:lang w:val="fr-BE"/>
        </w:rPr>
        <w:instrText xml:space="preserve"> ADDIN EN.CITE &lt;EndNote&gt;&lt;Cite&gt;&lt;Author&gt;Delmotte&lt;/Author&gt;&lt;Year&gt;2013&lt;/Year&gt;&lt;RecNum&gt;100&lt;/RecNum&gt;&lt;DisplayText&gt;[4]&lt;/DisplayText&gt;&lt;record&gt;&lt;rec-number&gt;100&lt;/rec-number&gt;&lt;foreign-keys&gt;&lt;key app="EN" db-id="wx52rweesr59wfe0tf2xdtzg5frw2ppwzpp5" timestamp="1491297565"&gt;100&lt;/key&gt;&lt;/foreign-keys&gt;&lt;ref-type name="Conference Proceedings"&gt;10&lt;/ref-type&gt;&lt;contributors&gt;&lt;authors&gt;&lt;author&gt;Delmotte, Christophe&lt;/author&gt;&lt;/authors&gt;&lt;/contributors&gt;&lt;titles&gt;&lt;title&gt;Airtightness of buildings-Calculation of combined standard uncertainty&lt;/title&gt;&lt;secondary-title&gt;AIVC Conference. Athens, Greece&lt;/secondary-title&gt;&lt;/titles&gt;&lt;dates&gt;&lt;year&gt;2013&lt;/year&gt;&lt;/dates&gt;&lt;urls&gt;&lt;/urls&gt;&lt;/record&gt;&lt;/Cite&gt;&lt;/EndNote&gt;</w:instrText>
      </w:r>
      <w:r>
        <w:rPr>
          <w:sz w:val="20"/>
          <w:szCs w:val="20"/>
          <w:lang w:val="fr-BE"/>
        </w:rPr>
        <w:fldChar w:fldCharType="separate"/>
      </w:r>
      <w:r w:rsidR="00500D8A">
        <w:rPr>
          <w:noProof/>
          <w:sz w:val="20"/>
          <w:szCs w:val="20"/>
          <w:lang w:val="fr-BE"/>
        </w:rPr>
        <w:t>[4]</w:t>
      </w:r>
      <w:r>
        <w:rPr>
          <w:sz w:val="20"/>
          <w:szCs w:val="20"/>
          <w:lang w:val="fr-BE"/>
        </w:rPr>
        <w:fldChar w:fldCharType="end"/>
      </w:r>
      <w:r w:rsidR="0063435A">
        <w:rPr>
          <w:sz w:val="20"/>
          <w:szCs w:val="20"/>
          <w:lang w:val="fr-BE"/>
        </w:rPr>
        <w:t xml:space="preserve">, </w:t>
      </w:r>
      <w:r w:rsidR="00043610">
        <w:rPr>
          <w:sz w:val="20"/>
          <w:szCs w:val="20"/>
          <w:lang w:val="fr-BE"/>
        </w:rPr>
        <w:t xml:space="preserve">Delmotte </w:t>
      </w:r>
      <w:r w:rsidR="0063435A">
        <w:rPr>
          <w:sz w:val="20"/>
          <w:szCs w:val="20"/>
          <w:lang w:val="fr-BE"/>
        </w:rPr>
        <w:t>fait une analyse</w:t>
      </w:r>
      <w:r w:rsidR="00043610">
        <w:rPr>
          <w:sz w:val="20"/>
          <w:szCs w:val="20"/>
          <w:lang w:val="fr-BE"/>
        </w:rPr>
        <w:t xml:space="preserve"> </w:t>
      </w:r>
      <w:r w:rsidR="0063435A">
        <w:rPr>
          <w:sz w:val="20"/>
          <w:szCs w:val="20"/>
          <w:lang w:val="fr-BE"/>
        </w:rPr>
        <w:t>détaillée d</w:t>
      </w:r>
      <w:r w:rsidR="00043610">
        <w:rPr>
          <w:sz w:val="20"/>
          <w:szCs w:val="20"/>
          <w:lang w:val="fr-BE"/>
        </w:rPr>
        <w:t xml:space="preserve">es incertitudes liées au test de pressurisation en accordant une importance particulière aux lois de propagation. Dans un autre article, Delmotte et </w:t>
      </w:r>
      <w:proofErr w:type="spellStart"/>
      <w:r w:rsidR="00043610">
        <w:rPr>
          <w:sz w:val="20"/>
          <w:szCs w:val="20"/>
          <w:lang w:val="fr-BE"/>
        </w:rPr>
        <w:t>Laverge</w:t>
      </w:r>
      <w:proofErr w:type="spellEnd"/>
      <w:r w:rsidR="00043610">
        <w:rPr>
          <w:sz w:val="20"/>
          <w:szCs w:val="20"/>
          <w:lang w:val="fr-BE"/>
        </w:rPr>
        <w:t xml:space="preserve"> </w:t>
      </w:r>
      <w:r w:rsidR="0063435A">
        <w:rPr>
          <w:sz w:val="20"/>
          <w:szCs w:val="20"/>
          <w:lang w:val="fr-BE"/>
        </w:rPr>
        <w:t>analysent la répétabilité et la reproductibilité des tests de pressurisation</w:t>
      </w:r>
      <w:r>
        <w:rPr>
          <w:sz w:val="20"/>
          <w:szCs w:val="20"/>
          <w:lang w:val="fr-BE"/>
        </w:rPr>
        <w:t xml:space="preserve"> </w:t>
      </w:r>
      <w:r>
        <w:rPr>
          <w:sz w:val="20"/>
          <w:szCs w:val="20"/>
          <w:lang w:val="fr-BE"/>
        </w:rPr>
        <w:fldChar w:fldCharType="begin"/>
      </w:r>
      <w:r w:rsidR="00500D8A">
        <w:rPr>
          <w:sz w:val="20"/>
          <w:szCs w:val="20"/>
          <w:lang w:val="fr-BE"/>
        </w:rPr>
        <w:instrText xml:space="preserve"> ADDIN EN.CITE &lt;EndNote&gt;&lt;Cite&gt;&lt;Author&gt;Delmotte&lt;/Author&gt;&lt;Year&gt;2011&lt;/Year&gt;&lt;RecNum&gt;94&lt;/RecNum&gt;&lt;DisplayText&gt;[5]&lt;/DisplayText&gt;&lt;record&gt;&lt;rec-number&gt;94&lt;/rec-number&gt;&lt;foreign-keys&gt;&lt;key app="EN" db-id="wx52rweesr59wfe0tf2xdtzg5frw2ppwzpp5" timestamp="1481186917"&gt;94&lt;/key&gt;&lt;/foreign-keys&gt;&lt;ref-type name="Conference Proceedings"&gt;10&lt;/ref-type&gt;&lt;contributors&gt;&lt;authors&gt;&lt;author&gt;Delmotte, Christophe&lt;/author&gt;&lt;author&gt;Laverge, Jelle&lt;/author&gt;&lt;/authors&gt;&lt;/contributors&gt;&lt;titles&gt;&lt;title&gt;Interlaboratory tests for the determination of repeatability and reproducibility of buildings airtightness measurements&lt;/title&gt;&lt;secondary-title&gt;32nd AIVC conference and 1st TightVent Conference: Towards Optimal Airtightness Performance&lt;/secondary-title&gt;&lt;/titles&gt;&lt;dates&gt;&lt;year&gt;2011&lt;/year&gt;&lt;/dates&gt;&lt;urls&gt;&lt;/urls&gt;&lt;/record&gt;&lt;/Cite&gt;&lt;/EndNote&gt;</w:instrText>
      </w:r>
      <w:r>
        <w:rPr>
          <w:sz w:val="20"/>
          <w:szCs w:val="20"/>
          <w:lang w:val="fr-BE"/>
        </w:rPr>
        <w:fldChar w:fldCharType="separate"/>
      </w:r>
      <w:r w:rsidR="00500D8A">
        <w:rPr>
          <w:noProof/>
          <w:sz w:val="20"/>
          <w:szCs w:val="20"/>
          <w:lang w:val="fr-BE"/>
        </w:rPr>
        <w:t>[5]</w:t>
      </w:r>
      <w:r>
        <w:rPr>
          <w:sz w:val="20"/>
          <w:szCs w:val="20"/>
          <w:lang w:val="fr-BE"/>
        </w:rPr>
        <w:fldChar w:fldCharType="end"/>
      </w:r>
      <w:r w:rsidR="0063435A">
        <w:rPr>
          <w:sz w:val="20"/>
          <w:szCs w:val="20"/>
          <w:lang w:val="fr-BE"/>
        </w:rPr>
        <w:t xml:space="preserve">. Dans une situation de répétabilité, ils obtiennent une déviation standard allant de 1.2% (100 Pa) à 3.5% (4 Pa), avec 1.4% à 50 Pa. Ils arrivent à réduire cette déviation (de 1.2% à 2.8%) en utilisant la méthode de régression pondérée. Dans une situation de reproductibilité, </w:t>
      </w:r>
      <w:r w:rsidR="00394D63">
        <w:rPr>
          <w:sz w:val="20"/>
          <w:szCs w:val="20"/>
          <w:lang w:val="fr-BE"/>
        </w:rPr>
        <w:t>la déviation standard varie de 2.4% (50 Pa) à 5.9% (4 Pa). Cette déviation standard est légèrement plus élevée si les résultats de dépressurisation et de pressurisation sont pris en compte séparément. La comparaison de l’incertitude calculée par Delmotte</w:t>
      </w:r>
      <w:r>
        <w:rPr>
          <w:sz w:val="20"/>
          <w:szCs w:val="20"/>
          <w:lang w:val="fr-BE"/>
        </w:rPr>
        <w:t xml:space="preserve"> </w:t>
      </w:r>
      <w:r>
        <w:rPr>
          <w:sz w:val="20"/>
          <w:szCs w:val="20"/>
          <w:lang w:val="fr-BE"/>
        </w:rPr>
        <w:fldChar w:fldCharType="begin"/>
      </w:r>
      <w:r w:rsidR="00500D8A">
        <w:rPr>
          <w:sz w:val="20"/>
          <w:szCs w:val="20"/>
          <w:lang w:val="fr-BE"/>
        </w:rPr>
        <w:instrText xml:space="preserve"> ADDIN EN.CITE &lt;EndNote&gt;&lt;Cite&gt;&lt;Author&gt;Delmotte&lt;/Author&gt;&lt;Year&gt;2013&lt;/Year&gt;&lt;RecNum&gt;100&lt;/RecNum&gt;&lt;DisplayText&gt;[4]&lt;/DisplayText&gt;&lt;record&gt;&lt;rec-number&gt;100&lt;/rec-number&gt;&lt;foreign-keys&gt;&lt;key app="EN" db-id="wx52rweesr59wfe0tf2xdtzg5frw2ppwzpp5" timestamp="1491297565"&gt;100&lt;/key&gt;&lt;/foreign-keys&gt;&lt;ref-type name="Conference Proceedings"&gt;10&lt;/ref-type&gt;&lt;contributors&gt;&lt;authors&gt;&lt;author&gt;Delmotte, Christophe&lt;/author&gt;&lt;/authors&gt;&lt;/contributors&gt;&lt;titles&gt;&lt;title&gt;Airtightness of buildings-Calculation of combined standard uncertainty&lt;/title&gt;&lt;secondary-title&gt;AIVC Conference. Athens, Greece&lt;/secondary-title&gt;&lt;/titles&gt;&lt;dates&gt;&lt;year&gt;2013&lt;/year&gt;&lt;/dates&gt;&lt;urls&gt;&lt;/urls&gt;&lt;/record&gt;&lt;/Cite&gt;&lt;/EndNote&gt;</w:instrText>
      </w:r>
      <w:r>
        <w:rPr>
          <w:sz w:val="20"/>
          <w:szCs w:val="20"/>
          <w:lang w:val="fr-BE"/>
        </w:rPr>
        <w:fldChar w:fldCharType="separate"/>
      </w:r>
      <w:r w:rsidR="00500D8A">
        <w:rPr>
          <w:noProof/>
          <w:sz w:val="20"/>
          <w:szCs w:val="20"/>
          <w:lang w:val="fr-BE"/>
        </w:rPr>
        <w:t>[4]</w:t>
      </w:r>
      <w:r>
        <w:rPr>
          <w:sz w:val="20"/>
          <w:szCs w:val="20"/>
          <w:lang w:val="fr-BE"/>
        </w:rPr>
        <w:fldChar w:fldCharType="end"/>
      </w:r>
      <w:r>
        <w:rPr>
          <w:sz w:val="20"/>
          <w:szCs w:val="20"/>
          <w:lang w:val="fr-BE"/>
        </w:rPr>
        <w:t>,</w:t>
      </w:r>
      <w:r w:rsidR="00394D63">
        <w:rPr>
          <w:sz w:val="20"/>
          <w:szCs w:val="20"/>
          <w:lang w:val="fr-BE"/>
        </w:rPr>
        <w:t xml:space="preserve"> à partir des résultats présentés dans </w:t>
      </w:r>
      <w:r>
        <w:rPr>
          <w:sz w:val="20"/>
          <w:szCs w:val="20"/>
          <w:lang w:val="fr-BE"/>
        </w:rPr>
        <w:fldChar w:fldCharType="begin"/>
      </w:r>
      <w:r w:rsidR="00500D8A">
        <w:rPr>
          <w:sz w:val="20"/>
          <w:szCs w:val="20"/>
          <w:lang w:val="fr-BE"/>
        </w:rPr>
        <w:instrText xml:space="preserve"> ADDIN EN.CITE &lt;EndNote&gt;&lt;Cite&gt;&lt;Author&gt;Delmotte&lt;/Author&gt;&lt;Year&gt;2011&lt;/Year&gt;&lt;RecNum&gt;94&lt;/RecNum&gt;&lt;DisplayText&gt;[5]&lt;/DisplayText&gt;&lt;record&gt;&lt;rec-number&gt;94&lt;/rec-number&gt;&lt;foreign-keys&gt;&lt;key app="EN" db-id="wx52rweesr59wfe0tf2xdtzg5frw2ppwzpp5" timestamp="1481186917"&gt;94&lt;/key&gt;&lt;/foreign-keys&gt;&lt;ref-type name="Conference Proceedings"&gt;10&lt;/ref-type&gt;&lt;contributors&gt;&lt;authors&gt;&lt;author&gt;Delmotte, Christophe&lt;/author&gt;&lt;author&gt;Laverge, Jelle&lt;/author&gt;&lt;/authors&gt;&lt;/contributors&gt;&lt;titles&gt;&lt;title&gt;Interlaboratory tests for the determination of repeatability and reproducibility of buildings airtightness measurements&lt;/title&gt;&lt;secondary-title&gt;32nd AIVC conference and 1st TightVent Conference: Towards Optimal Airtightness Performance&lt;/secondary-title&gt;&lt;/titles&gt;&lt;dates&gt;&lt;year&gt;2011&lt;/year&gt;&lt;/dates&gt;&lt;urls&gt;&lt;/urls&gt;&lt;/record&gt;&lt;/Cite&gt;&lt;/EndNote&gt;</w:instrText>
      </w:r>
      <w:r>
        <w:rPr>
          <w:sz w:val="20"/>
          <w:szCs w:val="20"/>
          <w:lang w:val="fr-BE"/>
        </w:rPr>
        <w:fldChar w:fldCharType="separate"/>
      </w:r>
      <w:r w:rsidR="00500D8A">
        <w:rPr>
          <w:noProof/>
          <w:sz w:val="20"/>
          <w:szCs w:val="20"/>
          <w:lang w:val="fr-BE"/>
        </w:rPr>
        <w:t>[5]</w:t>
      </w:r>
      <w:r>
        <w:rPr>
          <w:sz w:val="20"/>
          <w:szCs w:val="20"/>
          <w:lang w:val="fr-BE"/>
        </w:rPr>
        <w:fldChar w:fldCharType="end"/>
      </w:r>
      <w:r w:rsidR="00394D63">
        <w:rPr>
          <w:sz w:val="20"/>
          <w:szCs w:val="20"/>
          <w:lang w:val="fr-BE"/>
        </w:rPr>
        <w:t xml:space="preserve"> montre que certaines sources d’incertitudes ont été omises lors du calcul. Delmotte conclut son papier que le calcul des combinaisons d’incertitude est d’un grand intérêt, mais qu’il doit néanmoins être utilisé avec prudence.</w:t>
      </w:r>
    </w:p>
    <w:p w:rsidR="00EC4573" w:rsidRPr="006624BA" w:rsidRDefault="00EC4573" w:rsidP="00A7144E">
      <w:pPr>
        <w:pStyle w:val="Titre1"/>
        <w:numPr>
          <w:ilvl w:val="0"/>
          <w:numId w:val="3"/>
        </w:numPr>
        <w:pBdr>
          <w:bottom w:val="single" w:sz="4" w:space="1" w:color="595959" w:themeColor="text1" w:themeTint="A6"/>
        </w:pBdr>
        <w:spacing w:before="360" w:after="160" w:line="259" w:lineRule="auto"/>
        <w:rPr>
          <w:smallCaps/>
          <w:color w:val="000000" w:themeColor="text1"/>
          <w:sz w:val="36"/>
          <w:szCs w:val="36"/>
          <w:lang w:val="fr-BE"/>
        </w:rPr>
      </w:pPr>
      <w:r w:rsidRPr="006624BA">
        <w:rPr>
          <w:smallCaps/>
          <w:color w:val="000000" w:themeColor="text1"/>
          <w:sz w:val="36"/>
          <w:szCs w:val="36"/>
          <w:lang w:val="fr-BE"/>
        </w:rPr>
        <w:t>Méthodes existantes</w:t>
      </w:r>
    </w:p>
    <w:p w:rsidR="00507EC6" w:rsidRDefault="00D6570D" w:rsidP="00507EC6">
      <w:pPr>
        <w:jc w:val="both"/>
        <w:rPr>
          <w:sz w:val="20"/>
          <w:szCs w:val="20"/>
          <w:lang w:val="fr-BE"/>
        </w:rPr>
      </w:pPr>
      <w:r>
        <w:rPr>
          <w:sz w:val="20"/>
          <w:szCs w:val="20"/>
          <w:lang w:val="fr-BE"/>
        </w:rPr>
        <w:t xml:space="preserve">Nous énumérons ici les méthodes utilisées pour mesurer l’étanchéité à l’air de composants. Ces mesures peuvent se faire soit in-situ, soit en laboratoire. Chaque type de mesure comporte des avantages et des inconvénients, et l’utilisation de l’un ou l’autre type dépend de l’objectif poursuivi et de l’équipement accessible. Ayant accès à des chantiers et ayant pour objectif de créer un outil d’aide à l’entrepreneur (prise de décision sur chantier), nous nous dirigeons vers les mesures in-situ. </w:t>
      </w:r>
    </w:p>
    <w:p w:rsidR="00EC4573" w:rsidRDefault="00BD0375" w:rsidP="00507EC6">
      <w:pPr>
        <w:jc w:val="both"/>
        <w:rPr>
          <w:sz w:val="20"/>
          <w:szCs w:val="20"/>
          <w:lang w:val="fr-BE"/>
        </w:rPr>
      </w:pPr>
      <w:r>
        <w:rPr>
          <w:sz w:val="20"/>
          <w:szCs w:val="20"/>
          <w:lang w:val="fr-BE"/>
        </w:rPr>
        <w:fldChar w:fldCharType="begin"/>
      </w:r>
      <w:r w:rsidR="00500D8A">
        <w:rPr>
          <w:sz w:val="20"/>
          <w:szCs w:val="20"/>
          <w:lang w:val="fr-BE"/>
        </w:rPr>
        <w:instrText xml:space="preserve"> ADDIN EN.CITE &lt;EndNote&gt;&lt;Cite&gt;&lt;Author&gt;Langmans&lt;/Author&gt;&lt;Year&gt;2010&lt;/Year&gt;&lt;RecNum&gt;106&lt;/RecNum&gt;&lt;DisplayText&gt;[6]&lt;/DisplayText&gt;&lt;record&gt;&lt;rec-number&gt;106&lt;/rec-number&gt;&lt;foreign-keys&gt;&lt;key app="EN" db-id="wx52rweesr59wfe0tf2xdtzg5frw2ppwzpp5" timestamp="1497337700"&gt;106&lt;/key&gt;&lt;/foreign-keys&gt;&lt;ref-type name="Journal Article"&gt;17&lt;/ref-type&gt;&lt;contributors&gt;&lt;authors&gt;&lt;author&gt;Langmans, Jelle&lt;/author&gt;&lt;author&gt;Klein, Ralf&lt;/author&gt;&lt;author&gt;De Paepe, Michel&lt;/author&gt;&lt;author&gt;Roels, Staf&lt;/author&gt;&lt;/authors&gt;&lt;/contributors&gt;&lt;titles&gt;&lt;title&gt;Potential of wind barriers to assure airtightness of wood-frame low energy constructions&lt;/title&gt;&lt;secondary-title&gt;Energy and Buildings&lt;/secondary-title&gt;&lt;/titles&gt;&lt;periodical&gt;&lt;full-title&gt;Energy and buildings&lt;/full-title&gt;&lt;/periodical&gt;&lt;pages&gt;2376-2385&lt;/pages&gt;&lt;volume&gt;42&lt;/volume&gt;&lt;number&gt;12&lt;/number&gt;&lt;dates&gt;&lt;year&gt;2010&lt;/year&gt;&lt;/dates&gt;&lt;isbn&gt;0378-7788&lt;/isbn&gt;&lt;urls&gt;&lt;/urls&gt;&lt;/record&gt;&lt;/Cite&gt;&lt;/EndNote&gt;</w:instrText>
      </w:r>
      <w:r>
        <w:rPr>
          <w:sz w:val="20"/>
          <w:szCs w:val="20"/>
          <w:lang w:val="fr-BE"/>
        </w:rPr>
        <w:fldChar w:fldCharType="separate"/>
      </w:r>
      <w:r w:rsidR="00500D8A">
        <w:rPr>
          <w:noProof/>
          <w:sz w:val="20"/>
          <w:szCs w:val="20"/>
          <w:lang w:val="fr-BE"/>
        </w:rPr>
        <w:t>[6]</w:t>
      </w:r>
      <w:r>
        <w:rPr>
          <w:sz w:val="20"/>
          <w:szCs w:val="20"/>
          <w:lang w:val="fr-BE"/>
        </w:rPr>
        <w:fldChar w:fldCharType="end"/>
      </w:r>
      <w:r>
        <w:rPr>
          <w:sz w:val="20"/>
          <w:szCs w:val="20"/>
          <w:lang w:val="fr-BE"/>
        </w:rPr>
        <w:t xml:space="preserve"> </w:t>
      </w:r>
      <w:r w:rsidR="00507EC6">
        <w:rPr>
          <w:sz w:val="20"/>
          <w:szCs w:val="20"/>
          <w:lang w:val="fr-BE"/>
        </w:rPr>
        <w:t xml:space="preserve">et </w:t>
      </w:r>
      <w:r>
        <w:rPr>
          <w:sz w:val="20"/>
          <w:szCs w:val="20"/>
          <w:lang w:val="fr-BE"/>
        </w:rPr>
        <w:fldChar w:fldCharType="begin"/>
      </w:r>
      <w:r w:rsidR="00500D8A">
        <w:rPr>
          <w:sz w:val="20"/>
          <w:szCs w:val="20"/>
          <w:lang w:val="fr-BE"/>
        </w:rPr>
        <w:instrText xml:space="preserve"> ADDIN EN.CITE &lt;EndNote&gt;&lt;Cite&gt;&lt;Author&gt;Pinto&lt;/Author&gt;&lt;Year&gt;2011&lt;/Year&gt;&lt;RecNum&gt;43&lt;/RecNum&gt;&lt;DisplayText&gt;[7]&lt;/DisplayText&gt;&lt;record&gt;&lt;rec-number&gt;43&lt;/rec-number&gt;&lt;foreign-keys&gt;&lt;key app="EN" db-id="wx52rweesr59wfe0tf2xdtzg5frw2ppwzpp5" timestamp="1479732436"&gt;43&lt;/key&gt;&lt;/foreign-keys&gt;&lt;ref-type name="Journal Article"&gt;17&lt;/ref-type&gt;&lt;contributors&gt;&lt;authors&gt;&lt;author&gt;Pinto, Manuel&lt;/author&gt;&lt;author&gt;Viegas, João&lt;/author&gt;&lt;author&gt;de Freitas, VP&lt;/author&gt;&lt;/authors&gt;&lt;/contributors&gt;&lt;titles&gt;&lt;title&gt;Air permeability measurements of dwellings and building components in Portugal&lt;/title&gt;&lt;secondary-title&gt;Building and Environment&lt;/secondary-title&gt;&lt;/titles&gt;&lt;periodical&gt;&lt;full-title&gt;Building and Environment&lt;/full-title&gt;&lt;/periodical&gt;&lt;pages&gt;2480-2489&lt;/pages&gt;&lt;volume&gt;46&lt;/volume&gt;&lt;number&gt;12&lt;/number&gt;&lt;dates&gt;&lt;year&gt;2011&lt;/year&gt;&lt;/dates&gt;&lt;isbn&gt;0360-1323&lt;/isbn&gt;&lt;urls&gt;&lt;/urls&gt;&lt;/record&gt;&lt;/Cite&gt;&lt;/EndNote&gt;</w:instrText>
      </w:r>
      <w:r>
        <w:rPr>
          <w:sz w:val="20"/>
          <w:szCs w:val="20"/>
          <w:lang w:val="fr-BE"/>
        </w:rPr>
        <w:fldChar w:fldCharType="separate"/>
      </w:r>
      <w:r w:rsidR="00500D8A">
        <w:rPr>
          <w:noProof/>
          <w:sz w:val="20"/>
          <w:szCs w:val="20"/>
          <w:lang w:val="fr-BE"/>
        </w:rPr>
        <w:t>[7]</w:t>
      </w:r>
      <w:r>
        <w:rPr>
          <w:sz w:val="20"/>
          <w:szCs w:val="20"/>
          <w:lang w:val="fr-BE"/>
        </w:rPr>
        <w:fldChar w:fldCharType="end"/>
      </w:r>
      <w:r>
        <w:rPr>
          <w:sz w:val="20"/>
          <w:szCs w:val="20"/>
          <w:lang w:val="fr-BE"/>
        </w:rPr>
        <w:t xml:space="preserve"> </w:t>
      </w:r>
      <w:r w:rsidR="00507EC6">
        <w:rPr>
          <w:sz w:val="20"/>
          <w:szCs w:val="20"/>
          <w:lang w:val="fr-BE"/>
        </w:rPr>
        <w:t xml:space="preserve">ont comparé des résultats de mesures in-situ avec des résultats de laboratoire. Aucun des deux n’obtient de concordance qui permettrait de supposer que les résultats obtenus sont équivalents. </w:t>
      </w:r>
      <w:r w:rsidR="00D6570D">
        <w:rPr>
          <w:sz w:val="20"/>
          <w:szCs w:val="20"/>
          <w:lang w:val="fr-BE"/>
        </w:rPr>
        <w:t xml:space="preserve">Cependant, </w:t>
      </w:r>
      <w:r w:rsidR="00507EC6">
        <w:rPr>
          <w:sz w:val="20"/>
          <w:szCs w:val="20"/>
          <w:lang w:val="fr-BE"/>
        </w:rPr>
        <w:t>le listing des deux types de méthode reste intéressant puisqu’il permet</w:t>
      </w:r>
      <w:r w:rsidR="00D6570D">
        <w:rPr>
          <w:sz w:val="20"/>
          <w:szCs w:val="20"/>
          <w:lang w:val="fr-BE"/>
        </w:rPr>
        <w:t xml:space="preserve"> de s’inspirer </w:t>
      </w:r>
      <w:r w:rsidR="00507EC6">
        <w:rPr>
          <w:sz w:val="20"/>
          <w:szCs w:val="20"/>
          <w:lang w:val="fr-BE"/>
        </w:rPr>
        <w:t>des deux types de mesures pour choisir notre méthode.</w:t>
      </w:r>
    </w:p>
    <w:p w:rsidR="004E3BC5" w:rsidRPr="00507EC6" w:rsidRDefault="004E3BC5" w:rsidP="00507EC6">
      <w:pPr>
        <w:jc w:val="both"/>
        <w:rPr>
          <w:sz w:val="20"/>
          <w:szCs w:val="20"/>
          <w:lang w:val="fr-BE"/>
        </w:rPr>
      </w:pPr>
      <w:r>
        <w:rPr>
          <w:sz w:val="20"/>
          <w:szCs w:val="20"/>
          <w:lang w:val="fr-BE"/>
        </w:rPr>
        <w:t>Il est important de noter qu’il est souvent nécessaire que la différence de pression soit autour de 50 Pascal pour établir des valeurs d’étanchéité à l’air (se débarrasser ainsi des influences climatiques principales). Ainsi, il est souvent nécessaire dans les mesures in-situ de disposer d’une porte à ventilateur en plus du système de mesure pour obtenir une telle différence de pression.</w:t>
      </w:r>
    </w:p>
    <w:p w:rsidR="006624BA" w:rsidRDefault="00EC4573" w:rsidP="00A7144E">
      <w:pPr>
        <w:pStyle w:val="Titre2"/>
        <w:numPr>
          <w:ilvl w:val="1"/>
          <w:numId w:val="3"/>
        </w:numPr>
        <w:spacing w:before="360" w:line="259" w:lineRule="auto"/>
        <w:rPr>
          <w:smallCaps/>
          <w:color w:val="000000" w:themeColor="text1"/>
          <w:sz w:val="28"/>
          <w:szCs w:val="28"/>
          <w:lang w:val="fr-BE"/>
        </w:rPr>
      </w:pPr>
      <w:r w:rsidRPr="006624BA">
        <w:rPr>
          <w:smallCaps/>
          <w:color w:val="000000" w:themeColor="text1"/>
          <w:sz w:val="28"/>
          <w:szCs w:val="28"/>
          <w:lang w:val="fr-BE"/>
        </w:rPr>
        <w:t>Laboratoire</w:t>
      </w:r>
    </w:p>
    <w:p w:rsidR="00EC4573" w:rsidRPr="006624BA" w:rsidRDefault="00EC4573" w:rsidP="00A7144E">
      <w:pPr>
        <w:pStyle w:val="Titre3"/>
        <w:numPr>
          <w:ilvl w:val="2"/>
          <w:numId w:val="3"/>
        </w:numPr>
        <w:spacing w:line="259" w:lineRule="auto"/>
        <w:rPr>
          <w:color w:val="000000" w:themeColor="text1"/>
          <w:lang w:val="fr-BE"/>
        </w:rPr>
      </w:pPr>
      <w:r w:rsidRPr="006624BA">
        <w:rPr>
          <w:color w:val="000000" w:themeColor="text1"/>
          <w:lang w:val="fr-BE"/>
        </w:rPr>
        <w:t>Chambre de pression</w:t>
      </w:r>
    </w:p>
    <w:p w:rsidR="00116E4E" w:rsidRDefault="00AB3F07" w:rsidP="003C56A4">
      <w:pPr>
        <w:jc w:val="both"/>
        <w:rPr>
          <w:sz w:val="20"/>
          <w:szCs w:val="20"/>
        </w:rPr>
      </w:pPr>
      <w:r>
        <w:rPr>
          <w:sz w:val="20"/>
          <w:szCs w:val="20"/>
        </w:rPr>
        <w:t>Dans cette méthode, l</w:t>
      </w:r>
      <w:r w:rsidR="00507EC6">
        <w:rPr>
          <w:sz w:val="20"/>
          <w:szCs w:val="20"/>
        </w:rPr>
        <w:t xml:space="preserve">’élément </w:t>
      </w:r>
      <w:r>
        <w:rPr>
          <w:sz w:val="20"/>
          <w:szCs w:val="20"/>
        </w:rPr>
        <w:t xml:space="preserve">dont les performances sont </w:t>
      </w:r>
      <w:r w:rsidR="00507EC6">
        <w:rPr>
          <w:sz w:val="20"/>
          <w:szCs w:val="20"/>
        </w:rPr>
        <w:t>mesuré</w:t>
      </w:r>
      <w:r>
        <w:rPr>
          <w:sz w:val="20"/>
          <w:szCs w:val="20"/>
        </w:rPr>
        <w:t>es</w:t>
      </w:r>
      <w:r w:rsidR="00507EC6">
        <w:rPr>
          <w:sz w:val="20"/>
          <w:szCs w:val="20"/>
        </w:rPr>
        <w:t xml:space="preserve"> constitue </w:t>
      </w:r>
      <w:r>
        <w:rPr>
          <w:sz w:val="20"/>
          <w:szCs w:val="20"/>
        </w:rPr>
        <w:t>la</w:t>
      </w:r>
      <w:r w:rsidR="00507EC6">
        <w:rPr>
          <w:sz w:val="20"/>
          <w:szCs w:val="20"/>
        </w:rPr>
        <w:t xml:space="preserve"> paroi d’une boîte qui va être mise en surpression et/ou en sous-pression. Comme pour la « fan </w:t>
      </w:r>
      <w:proofErr w:type="spellStart"/>
      <w:r w:rsidR="00507EC6">
        <w:rPr>
          <w:sz w:val="20"/>
          <w:szCs w:val="20"/>
        </w:rPr>
        <w:t>pressurization</w:t>
      </w:r>
      <w:proofErr w:type="spellEnd"/>
      <w:r w:rsidR="00507EC6">
        <w:rPr>
          <w:sz w:val="20"/>
          <w:szCs w:val="20"/>
        </w:rPr>
        <w:t xml:space="preserve"> </w:t>
      </w:r>
      <w:proofErr w:type="spellStart"/>
      <w:r w:rsidR="00507EC6">
        <w:rPr>
          <w:sz w:val="20"/>
          <w:szCs w:val="20"/>
        </w:rPr>
        <w:t>method</w:t>
      </w:r>
      <w:proofErr w:type="spellEnd"/>
      <w:r w:rsidR="00507EC6">
        <w:rPr>
          <w:sz w:val="20"/>
          <w:szCs w:val="20"/>
        </w:rPr>
        <w:t xml:space="preserve"> », le débit d’air </w:t>
      </w:r>
      <w:r w:rsidR="00507EC6">
        <w:rPr>
          <w:sz w:val="20"/>
          <w:szCs w:val="20"/>
        </w:rPr>
        <w:lastRenderedPageBreak/>
        <w:t xml:space="preserve">nécessaire pour maintenir une différence de pression de part et d’autre de la boîte est mesuré. La boîte étant construite pour être parfaitement étanche, à l’état d’équilibre le débit d’air à fournir pour maintenir la différence de pression </w:t>
      </w:r>
      <w:r>
        <w:rPr>
          <w:sz w:val="20"/>
          <w:szCs w:val="20"/>
        </w:rPr>
        <w:t>voulue</w:t>
      </w:r>
      <w:r w:rsidR="00507EC6">
        <w:rPr>
          <w:sz w:val="20"/>
          <w:szCs w:val="20"/>
        </w:rPr>
        <w:t xml:space="preserve"> est égal au débit d’air p</w:t>
      </w:r>
      <w:r w:rsidR="003C56A4">
        <w:rPr>
          <w:sz w:val="20"/>
          <w:szCs w:val="20"/>
        </w:rPr>
        <w:t>assant à travers le spécimen.</w:t>
      </w:r>
      <w:r w:rsidR="0077129E">
        <w:rPr>
          <w:sz w:val="20"/>
          <w:szCs w:val="20"/>
        </w:rPr>
        <w:t xml:space="preserve"> La </w:t>
      </w:r>
      <w:r w:rsidR="0077129E">
        <w:rPr>
          <w:sz w:val="20"/>
          <w:szCs w:val="20"/>
        </w:rPr>
        <w:fldChar w:fldCharType="begin"/>
      </w:r>
      <w:r w:rsidR="0077129E">
        <w:rPr>
          <w:sz w:val="20"/>
          <w:szCs w:val="20"/>
        </w:rPr>
        <w:instrText xml:space="preserve"> REF _Ref484782569 \h </w:instrText>
      </w:r>
      <w:r w:rsidR="0077129E">
        <w:rPr>
          <w:sz w:val="20"/>
          <w:szCs w:val="20"/>
        </w:rPr>
      </w:r>
      <w:r w:rsidR="0077129E">
        <w:rPr>
          <w:sz w:val="20"/>
          <w:szCs w:val="20"/>
        </w:rPr>
        <w:fldChar w:fldCharType="separate"/>
      </w:r>
      <w:r w:rsidR="0004457E" w:rsidRPr="00ED68DF">
        <w:rPr>
          <w:b/>
        </w:rPr>
        <w:t xml:space="preserve">Figure </w:t>
      </w:r>
      <w:r w:rsidR="0004457E">
        <w:rPr>
          <w:b/>
          <w:noProof/>
        </w:rPr>
        <w:t>1</w:t>
      </w:r>
      <w:r w:rsidR="0077129E">
        <w:rPr>
          <w:sz w:val="20"/>
          <w:szCs w:val="20"/>
        </w:rPr>
        <w:fldChar w:fldCharType="end"/>
      </w:r>
      <w:r w:rsidR="0077129E">
        <w:rPr>
          <w:sz w:val="20"/>
          <w:szCs w:val="20"/>
        </w:rPr>
        <w:t xml:space="preserve"> montre un</w:t>
      </w:r>
      <w:r w:rsidR="00DA2A08">
        <w:rPr>
          <w:sz w:val="20"/>
          <w:szCs w:val="20"/>
        </w:rPr>
        <w:t>e photo (gauche) ainsi qu’une représentation schématique (droit</w:t>
      </w:r>
      <w:r>
        <w:rPr>
          <w:sz w:val="20"/>
          <w:szCs w:val="20"/>
        </w:rPr>
        <w:t>e</w:t>
      </w:r>
      <w:r w:rsidR="00DA2A08">
        <w:rPr>
          <w:sz w:val="20"/>
          <w:szCs w:val="20"/>
        </w:rPr>
        <w:t>) d’un</w:t>
      </w:r>
      <w:r w:rsidR="0077129E">
        <w:rPr>
          <w:sz w:val="20"/>
          <w:szCs w:val="20"/>
        </w:rPr>
        <w:t xml:space="preserve"> tel dispositif</w:t>
      </w:r>
      <w:r w:rsidR="00DA2A08">
        <w:rPr>
          <w:sz w:val="20"/>
          <w:szCs w:val="20"/>
        </w:rPr>
        <w:t xml:space="preserve"> dans deux situations différentes.</w:t>
      </w:r>
    </w:p>
    <w:p w:rsidR="0077129E" w:rsidRDefault="0077129E" w:rsidP="0077129E">
      <w:pPr>
        <w:keepNext/>
        <w:jc w:val="both"/>
      </w:pPr>
      <w:r>
        <w:rPr>
          <w:noProof/>
          <w:sz w:val="20"/>
          <w:szCs w:val="20"/>
          <w:lang w:val="fr-BE" w:eastAsia="fr-BE"/>
        </w:rPr>
        <w:drawing>
          <wp:inline distT="0" distB="0" distL="0" distR="0" wp14:anchorId="041AA788" wp14:editId="0D99BE29">
            <wp:extent cx="5760720" cy="3595370"/>
            <wp:effectExtent l="0" t="0" r="0" b="508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5760720" cy="3595370"/>
                    </a:xfrm>
                    <a:prstGeom prst="rect">
                      <a:avLst/>
                    </a:prstGeom>
                  </pic:spPr>
                </pic:pic>
              </a:graphicData>
            </a:graphic>
          </wp:inline>
        </w:drawing>
      </w:r>
    </w:p>
    <w:p w:rsidR="00507EC6" w:rsidRPr="00ED68DF" w:rsidRDefault="0077129E" w:rsidP="003C46F3">
      <w:pPr>
        <w:pStyle w:val="Lgende"/>
        <w:jc w:val="center"/>
        <w:rPr>
          <w:color w:val="auto"/>
          <w:sz w:val="20"/>
          <w:szCs w:val="20"/>
        </w:rPr>
      </w:pPr>
      <w:bookmarkStart w:id="7" w:name="_Ref484782569"/>
      <w:r w:rsidRPr="00ED68DF">
        <w:rPr>
          <w:b/>
          <w:color w:val="auto"/>
        </w:rPr>
        <w:t xml:space="preserve">Figure </w:t>
      </w:r>
      <w:r w:rsidRPr="00ED68DF">
        <w:rPr>
          <w:b/>
          <w:color w:val="auto"/>
        </w:rPr>
        <w:fldChar w:fldCharType="begin"/>
      </w:r>
      <w:r w:rsidRPr="00ED68DF">
        <w:rPr>
          <w:b/>
          <w:color w:val="auto"/>
        </w:rPr>
        <w:instrText xml:space="preserve"> SEQ Figure \* ARABIC </w:instrText>
      </w:r>
      <w:r w:rsidRPr="00ED68DF">
        <w:rPr>
          <w:b/>
          <w:color w:val="auto"/>
        </w:rPr>
        <w:fldChar w:fldCharType="separate"/>
      </w:r>
      <w:r w:rsidR="0004457E">
        <w:rPr>
          <w:b/>
          <w:noProof/>
          <w:color w:val="auto"/>
        </w:rPr>
        <w:t>1</w:t>
      </w:r>
      <w:r w:rsidRPr="00ED68DF">
        <w:rPr>
          <w:b/>
          <w:color w:val="auto"/>
        </w:rPr>
        <w:fldChar w:fldCharType="end"/>
      </w:r>
      <w:bookmarkEnd w:id="7"/>
      <w:r w:rsidRPr="00ED68DF">
        <w:rPr>
          <w:color w:val="auto"/>
        </w:rPr>
        <w:t xml:space="preserve"> : dispositifs de mesure « chamb</w:t>
      </w:r>
      <w:r w:rsidR="00B03C91">
        <w:rPr>
          <w:color w:val="auto"/>
        </w:rPr>
        <w:t xml:space="preserve">re de pression » utilisés dans </w:t>
      </w:r>
      <w:r w:rsidR="00B03C91">
        <w:rPr>
          <w:color w:val="auto"/>
        </w:rPr>
        <w:fldChar w:fldCharType="begin"/>
      </w:r>
      <w:r w:rsidR="00500D8A">
        <w:rPr>
          <w:color w:val="auto"/>
        </w:rPr>
        <w:instrText xml:space="preserve"> ADDIN EN.CITE &lt;EndNote&gt;&lt;Cite&gt;&lt;Author&gt;Langmans&lt;/Author&gt;&lt;Year&gt;2010&lt;/Year&gt;&lt;RecNum&gt;106&lt;/RecNum&gt;&lt;DisplayText&gt;[6]&lt;/DisplayText&gt;&lt;record&gt;&lt;rec-number&gt;106&lt;/rec-number&gt;&lt;foreign-keys&gt;&lt;key app="EN" db-id="wx52rweesr59wfe0tf2xdtzg5frw2ppwzpp5" timestamp="1497337700"&gt;106&lt;/key&gt;&lt;/foreign-keys&gt;&lt;ref-type name="Journal Article"&gt;17&lt;/ref-type&gt;&lt;contributors&gt;&lt;authors&gt;&lt;author&gt;Langmans, Jelle&lt;/author&gt;&lt;author&gt;Klein, Ralf&lt;/author&gt;&lt;author&gt;De Paepe, Michel&lt;/author&gt;&lt;author&gt;Roels, Staf&lt;/author&gt;&lt;/authors&gt;&lt;/contributors&gt;&lt;titles&gt;&lt;title&gt;Potential of wind barriers to assure airtightness of wood-frame low energy constructions&lt;/title&gt;&lt;secondary-title&gt;Energy and Buildings&lt;/secondary-title&gt;&lt;/titles&gt;&lt;periodical&gt;&lt;full-title&gt;Energy and buildings&lt;/full-title&gt;&lt;/periodical&gt;&lt;pages&gt;2376-2385&lt;/pages&gt;&lt;volume&gt;42&lt;/volume&gt;&lt;number&gt;12&lt;/number&gt;&lt;dates&gt;&lt;year&gt;2010&lt;/year&gt;&lt;/dates&gt;&lt;isbn&gt;0378-7788&lt;/isbn&gt;&lt;urls&gt;&lt;/urls&gt;&lt;/record&gt;&lt;/Cite&gt;&lt;/EndNote&gt;</w:instrText>
      </w:r>
      <w:r w:rsidR="00B03C91">
        <w:rPr>
          <w:color w:val="auto"/>
        </w:rPr>
        <w:fldChar w:fldCharType="separate"/>
      </w:r>
      <w:r w:rsidR="00500D8A">
        <w:rPr>
          <w:noProof/>
          <w:color w:val="auto"/>
        </w:rPr>
        <w:t>[6]</w:t>
      </w:r>
      <w:r w:rsidR="00B03C91">
        <w:rPr>
          <w:color w:val="auto"/>
        </w:rPr>
        <w:fldChar w:fldCharType="end"/>
      </w:r>
      <w:r w:rsidRPr="00ED68DF">
        <w:rPr>
          <w:color w:val="auto"/>
        </w:rPr>
        <w:t xml:space="preserve"> (gauche) et </w:t>
      </w:r>
      <w:r w:rsidR="00B03C91">
        <w:rPr>
          <w:color w:val="auto"/>
        </w:rPr>
        <w:fldChar w:fldCharType="begin"/>
      </w:r>
      <w:r w:rsidR="00500D8A">
        <w:rPr>
          <w:color w:val="auto"/>
        </w:rPr>
        <w:instrText xml:space="preserve"> ADDIN EN.CITE &lt;EndNote&gt;&lt;Cite&gt;&lt;Author&gt;Relander&lt;/Author&gt;&lt;Year&gt;2011&lt;/Year&gt;&lt;RecNum&gt;38&lt;/RecNum&gt;&lt;DisplayText&gt;[8]&lt;/DisplayText&gt;&lt;record&gt;&lt;rec-number&gt;38&lt;/rec-number&gt;&lt;foreign-keys&gt;&lt;key app="EN" db-id="wx52rweesr59wfe0tf2xdtzg5frw2ppwzpp5" timestamp="1479731935"&gt;38&lt;/key&gt;&lt;/foreign-keys&gt;&lt;ref-type name="Journal Article"&gt;17&lt;/ref-type&gt;&lt;contributors&gt;&lt;authors&gt;&lt;author&gt;Relander, Thor-Oskar&lt;/author&gt;&lt;author&gt;Heiskel, Bjørnar&lt;/author&gt;&lt;author&gt;Tyssedal, John Sølve&lt;/author&gt;&lt;/authors&gt;&lt;/contributors&gt;&lt;titles&gt;&lt;title&gt;The influence of the joint between the basement wall and the wood-frame wall on the airtightness of wood-frame houses&lt;/title&gt;&lt;secondary-title&gt;Energy and Buildings&lt;/secondary-title&gt;&lt;/titles&gt;&lt;periodical&gt;&lt;full-title&gt;Energy and buildings&lt;/full-title&gt;&lt;/periodical&gt;&lt;pages&gt;1304-1314&lt;/pages&gt;&lt;volume&gt;43&lt;/volume&gt;&lt;number&gt;6&lt;/number&gt;&lt;dates&gt;&lt;year&gt;2011&lt;/year&gt;&lt;/dates&gt;&lt;isbn&gt;0378-7788&lt;/isbn&gt;&lt;urls&gt;&lt;/urls&gt;&lt;/record&gt;&lt;/Cite&gt;&lt;/EndNote&gt;</w:instrText>
      </w:r>
      <w:r w:rsidR="00B03C91">
        <w:rPr>
          <w:color w:val="auto"/>
        </w:rPr>
        <w:fldChar w:fldCharType="separate"/>
      </w:r>
      <w:r w:rsidR="00500D8A">
        <w:rPr>
          <w:noProof/>
          <w:color w:val="auto"/>
        </w:rPr>
        <w:t>[8]</w:t>
      </w:r>
      <w:r w:rsidR="00B03C91">
        <w:rPr>
          <w:color w:val="auto"/>
        </w:rPr>
        <w:fldChar w:fldCharType="end"/>
      </w:r>
      <w:r w:rsidRPr="00ED68DF">
        <w:rPr>
          <w:color w:val="auto"/>
        </w:rPr>
        <w:t xml:space="preserve"> (droite)</w:t>
      </w:r>
    </w:p>
    <w:p w:rsidR="003C56A4" w:rsidRDefault="003C56A4" w:rsidP="00AB3F07">
      <w:pPr>
        <w:jc w:val="both"/>
        <w:rPr>
          <w:sz w:val="20"/>
          <w:szCs w:val="20"/>
        </w:rPr>
      </w:pPr>
      <w:r>
        <w:rPr>
          <w:sz w:val="20"/>
          <w:szCs w:val="20"/>
        </w:rPr>
        <w:t xml:space="preserve">Cette méthode a été utilisée dans </w:t>
      </w:r>
      <w:r w:rsidR="00B03C91">
        <w:rPr>
          <w:sz w:val="20"/>
          <w:szCs w:val="20"/>
        </w:rPr>
        <w:fldChar w:fldCharType="begin"/>
      </w:r>
      <w:r w:rsidR="00500D8A">
        <w:rPr>
          <w:sz w:val="20"/>
          <w:szCs w:val="20"/>
        </w:rPr>
        <w:instrText xml:space="preserve"> ADDIN EN.CITE &lt;EndNote&gt;&lt;Cite&gt;&lt;Author&gt;Langmans&lt;/Author&gt;&lt;Year&gt;2010&lt;/Year&gt;&lt;RecNum&gt;106&lt;/RecNum&gt;&lt;DisplayText&gt;[6]&lt;/DisplayText&gt;&lt;record&gt;&lt;rec-number&gt;106&lt;/rec-number&gt;&lt;foreign-keys&gt;&lt;key app="EN" db-id="wx52rweesr59wfe0tf2xdtzg5frw2ppwzpp5" timestamp="1497337700"&gt;106&lt;/key&gt;&lt;/foreign-keys&gt;&lt;ref-type name="Journal Article"&gt;17&lt;/ref-type&gt;&lt;contributors&gt;&lt;authors&gt;&lt;author&gt;Langmans, Jelle&lt;/author&gt;&lt;author&gt;Klein, Ralf&lt;/author&gt;&lt;author&gt;De Paepe, Michel&lt;/author&gt;&lt;author&gt;Roels, Staf&lt;/author&gt;&lt;/authors&gt;&lt;/contributors&gt;&lt;titles&gt;&lt;title&gt;Potential of wind barriers to assure airtightness of wood-frame low energy constructions&lt;/title&gt;&lt;secondary-title&gt;Energy and Buildings&lt;/secondary-title&gt;&lt;/titles&gt;&lt;periodical&gt;&lt;full-title&gt;Energy and buildings&lt;/full-title&gt;&lt;/periodical&gt;&lt;pages&gt;2376-2385&lt;/pages&gt;&lt;volume&gt;42&lt;/volume&gt;&lt;number&gt;12&lt;/number&gt;&lt;dates&gt;&lt;year&gt;2010&lt;/year&gt;&lt;/dates&gt;&lt;isbn&gt;0378-7788&lt;/isbn&gt;&lt;urls&gt;&lt;/urls&gt;&lt;/record&gt;&lt;/Cite&gt;&lt;/EndNote&gt;</w:instrText>
      </w:r>
      <w:r w:rsidR="00B03C91">
        <w:rPr>
          <w:sz w:val="20"/>
          <w:szCs w:val="20"/>
        </w:rPr>
        <w:fldChar w:fldCharType="separate"/>
      </w:r>
      <w:r w:rsidR="00500D8A">
        <w:rPr>
          <w:noProof/>
          <w:sz w:val="20"/>
          <w:szCs w:val="20"/>
        </w:rPr>
        <w:t>[6]</w:t>
      </w:r>
      <w:r w:rsidR="00B03C91">
        <w:rPr>
          <w:sz w:val="20"/>
          <w:szCs w:val="20"/>
        </w:rPr>
        <w:fldChar w:fldCharType="end"/>
      </w:r>
      <w:r w:rsidR="00B03C91">
        <w:rPr>
          <w:sz w:val="20"/>
          <w:szCs w:val="20"/>
        </w:rPr>
        <w:t xml:space="preserve">, </w:t>
      </w:r>
      <w:r>
        <w:rPr>
          <w:sz w:val="20"/>
          <w:szCs w:val="20"/>
        </w:rPr>
        <w:t>pour mesurer les performances de matériaux et de joints liant des panneaux de fibre. Dans cette recherche, les auteurs évaluent l</w:t>
      </w:r>
      <w:r w:rsidR="00116E4E">
        <w:rPr>
          <w:sz w:val="20"/>
          <w:szCs w:val="20"/>
        </w:rPr>
        <w:t>a précision de leur méthode sur base des précisions de leurs instruments uniquement (</w:t>
      </w:r>
      <w:r>
        <w:rPr>
          <w:sz w:val="20"/>
          <w:szCs w:val="20"/>
        </w:rPr>
        <w:t>2%</w:t>
      </w:r>
      <w:r w:rsidR="00116E4E">
        <w:rPr>
          <w:sz w:val="20"/>
          <w:szCs w:val="20"/>
        </w:rPr>
        <w:t xml:space="preserve"> pour le débitmètre et 1% pour les jauges de pression)</w:t>
      </w:r>
      <w:r>
        <w:rPr>
          <w:sz w:val="20"/>
          <w:szCs w:val="20"/>
        </w:rPr>
        <w:t>.</w:t>
      </w:r>
      <w:r w:rsidR="00116E4E">
        <w:rPr>
          <w:sz w:val="20"/>
          <w:szCs w:val="20"/>
        </w:rPr>
        <w:t xml:space="preserve"> Cette méthode est aussi utilisée </w:t>
      </w:r>
      <w:r w:rsidR="00901249">
        <w:rPr>
          <w:sz w:val="20"/>
          <w:szCs w:val="20"/>
        </w:rPr>
        <w:t xml:space="preserve">à plusieurs reprises par </w:t>
      </w:r>
      <w:proofErr w:type="spellStart"/>
      <w:r w:rsidR="00901249">
        <w:rPr>
          <w:sz w:val="20"/>
          <w:szCs w:val="20"/>
        </w:rPr>
        <w:t>Relander</w:t>
      </w:r>
      <w:proofErr w:type="spellEnd"/>
      <w:r w:rsidR="00116E4E">
        <w:rPr>
          <w:sz w:val="20"/>
          <w:szCs w:val="20"/>
        </w:rPr>
        <w:t xml:space="preserve"> pour mesurer</w:t>
      </w:r>
      <w:r w:rsidR="00901249">
        <w:rPr>
          <w:sz w:val="20"/>
          <w:szCs w:val="20"/>
        </w:rPr>
        <w:t> : (i)</w:t>
      </w:r>
      <w:r w:rsidR="00116E4E">
        <w:rPr>
          <w:sz w:val="20"/>
          <w:szCs w:val="20"/>
        </w:rPr>
        <w:t xml:space="preserve"> les fuites à travers une cheminée et les fuites à travers la jonction entre la cheminée et la surface qu’elle traverse</w:t>
      </w:r>
      <w:r w:rsidR="00B03C91">
        <w:rPr>
          <w:sz w:val="20"/>
          <w:szCs w:val="20"/>
        </w:rPr>
        <w:t xml:space="preserve"> </w:t>
      </w:r>
      <w:r w:rsidR="00B03C91">
        <w:rPr>
          <w:sz w:val="20"/>
          <w:szCs w:val="20"/>
        </w:rPr>
        <w:fldChar w:fldCharType="begin"/>
      </w:r>
      <w:r w:rsidR="00500D8A">
        <w:rPr>
          <w:sz w:val="20"/>
          <w:szCs w:val="20"/>
        </w:rPr>
        <w:instrText xml:space="preserve"> ADDIN EN.CITE &lt;EndNote&gt;&lt;Cite&gt;&lt;Author&gt;Relander&lt;/Author&gt;&lt;Year&gt;2010&lt;/Year&gt;&lt;RecNum&gt;40&lt;/RecNum&gt;&lt;DisplayText&gt;[9]&lt;/DisplayText&gt;&lt;record&gt;&lt;rec-number&gt;40&lt;/rec-number&gt;&lt;foreign-keys&gt;&lt;key app="EN" db-id="wx52rweesr59wfe0tf2xdtzg5frw2ppwzpp5" timestamp="1479732034"&gt;40&lt;/key&gt;&lt;/foreign-keys&gt;&lt;ref-type name="Journal Article"&gt;17&lt;/ref-type&gt;&lt;contributors&gt;&lt;authors&gt;&lt;author&gt;Relander, Thor-Oskar&lt;/author&gt;&lt;author&gt;Kvande, Tore&lt;/author&gt;&lt;author&gt;Thue, Jan Vincent&lt;/author&gt;&lt;/authors&gt;&lt;/contributors&gt;&lt;titles&gt;&lt;title&gt;The influence of lightweight aggregate concrete element chimneys on the airtightness of wood-frame houses&lt;/title&gt;&lt;secondary-title&gt;Energy and Buildings&lt;/secondary-title&gt;&lt;/titles&gt;&lt;periodical&gt;&lt;full-title&gt;Energy and buildings&lt;/full-title&gt;&lt;/periodical&gt;&lt;pages&gt;684-694&lt;/pages&gt;&lt;volume&gt;42&lt;/volume&gt;&lt;number&gt;5&lt;/number&gt;&lt;dates&gt;&lt;year&gt;2010&lt;/year&gt;&lt;/dates&gt;&lt;isbn&gt;0378-7788&lt;/isbn&gt;&lt;urls&gt;&lt;/urls&gt;&lt;/record&gt;&lt;/Cite&gt;&lt;/EndNote&gt;</w:instrText>
      </w:r>
      <w:r w:rsidR="00B03C91">
        <w:rPr>
          <w:sz w:val="20"/>
          <w:szCs w:val="20"/>
        </w:rPr>
        <w:fldChar w:fldCharType="separate"/>
      </w:r>
      <w:r w:rsidR="00500D8A">
        <w:rPr>
          <w:noProof/>
          <w:sz w:val="20"/>
          <w:szCs w:val="20"/>
        </w:rPr>
        <w:t>[9]</w:t>
      </w:r>
      <w:r w:rsidR="00B03C91">
        <w:rPr>
          <w:sz w:val="20"/>
          <w:szCs w:val="20"/>
        </w:rPr>
        <w:fldChar w:fldCharType="end"/>
      </w:r>
      <w:r w:rsidR="00901249">
        <w:rPr>
          <w:sz w:val="20"/>
          <w:szCs w:val="20"/>
        </w:rPr>
        <w:t> ; les fuites à la jonction entre un plancher porteur et un mur</w:t>
      </w:r>
      <w:r w:rsidR="00B03C91">
        <w:rPr>
          <w:sz w:val="20"/>
          <w:szCs w:val="20"/>
        </w:rPr>
        <w:t xml:space="preserve"> </w:t>
      </w:r>
      <w:r w:rsidR="00B03C91">
        <w:rPr>
          <w:sz w:val="20"/>
          <w:szCs w:val="20"/>
        </w:rPr>
        <w:fldChar w:fldCharType="begin"/>
      </w:r>
      <w:r w:rsidR="00500D8A">
        <w:rPr>
          <w:sz w:val="20"/>
          <w:szCs w:val="20"/>
        </w:rPr>
        <w:instrText xml:space="preserve"> ADDIN EN.CITE &lt;EndNote&gt;&lt;Cite&gt;&lt;Author&gt;Relander&lt;/Author&gt;&lt;Year&gt;2011&lt;/Year&gt;&lt;RecNum&gt;39&lt;/RecNum&gt;&lt;DisplayText&gt;[10]&lt;/DisplayText&gt;&lt;record&gt;&lt;rec-number&gt;39&lt;/rec-number&gt;&lt;foreign-keys&gt;&lt;key app="EN" db-id="wx52rweesr59wfe0tf2xdtzg5frw2ppwzpp5" timestamp="1479731961"&gt;39&lt;/key&gt;&lt;/foreign-keys&gt;&lt;ref-type name="Journal Article"&gt;17&lt;/ref-type&gt;&lt;contributors&gt;&lt;authors&gt;&lt;author&gt;Relander, Thor-Oskar&lt;/author&gt;&lt;author&gt;Bauwens, Geert&lt;/author&gt;&lt;author&gt;Roels, Staf&lt;/author&gt;&lt;author&gt;Thue, Jan Vincent&lt;/author&gt;&lt;author&gt;Uvsløkk, Sivert&lt;/author&gt;&lt;/authors&gt;&lt;/contributors&gt;&lt;titles&gt;&lt;title&gt;The influence of structural floors on the airtightness of wood-frame houses&lt;/title&gt;&lt;secondary-title&gt;Energy and Buildings&lt;/secondary-title&gt;&lt;/titles&gt;&lt;periodical&gt;&lt;full-title&gt;Energy and buildings&lt;/full-title&gt;&lt;/periodical&gt;&lt;pages&gt;639-652&lt;/pages&gt;&lt;volume&gt;43&lt;/volume&gt;&lt;number&gt;2&lt;/number&gt;&lt;dates&gt;&lt;year&gt;2011&lt;/year&gt;&lt;/dates&gt;&lt;isbn&gt;0378-7788&lt;/isbn&gt;&lt;urls&gt;&lt;/urls&gt;&lt;/record&gt;&lt;/Cite&gt;&lt;/EndNote&gt;</w:instrText>
      </w:r>
      <w:r w:rsidR="00B03C91">
        <w:rPr>
          <w:sz w:val="20"/>
          <w:szCs w:val="20"/>
        </w:rPr>
        <w:fldChar w:fldCharType="separate"/>
      </w:r>
      <w:r w:rsidR="00500D8A">
        <w:rPr>
          <w:noProof/>
          <w:sz w:val="20"/>
          <w:szCs w:val="20"/>
        </w:rPr>
        <w:t>[10]</w:t>
      </w:r>
      <w:r w:rsidR="00B03C91">
        <w:rPr>
          <w:sz w:val="20"/>
          <w:szCs w:val="20"/>
        </w:rPr>
        <w:fldChar w:fldCharType="end"/>
      </w:r>
      <w:r w:rsidR="00901249">
        <w:rPr>
          <w:sz w:val="20"/>
          <w:szCs w:val="20"/>
        </w:rPr>
        <w:t> ; et la jonction entre le mur de cave et le mur en ossature bois pour une maison de ce type</w:t>
      </w:r>
      <w:r w:rsidR="00B03C91">
        <w:rPr>
          <w:sz w:val="20"/>
          <w:szCs w:val="20"/>
        </w:rPr>
        <w:t xml:space="preserve"> </w:t>
      </w:r>
      <w:r w:rsidR="00B03C91">
        <w:rPr>
          <w:sz w:val="20"/>
          <w:szCs w:val="20"/>
        </w:rPr>
        <w:fldChar w:fldCharType="begin"/>
      </w:r>
      <w:r w:rsidR="00500D8A">
        <w:rPr>
          <w:sz w:val="20"/>
          <w:szCs w:val="20"/>
        </w:rPr>
        <w:instrText xml:space="preserve"> ADDIN EN.CITE &lt;EndNote&gt;&lt;Cite&gt;&lt;Author&gt;Relander&lt;/Author&gt;&lt;Year&gt;2011&lt;/Year&gt;&lt;RecNum&gt;38&lt;/RecNum&gt;&lt;DisplayText&gt;[8]&lt;/DisplayText&gt;&lt;record&gt;&lt;rec-number&gt;38&lt;/rec-number&gt;&lt;foreign-keys&gt;&lt;key app="EN" db-id="wx52rweesr59wfe0tf2xdtzg5frw2ppwzpp5" timestamp="1479731935"&gt;38&lt;/key&gt;&lt;/foreign-keys&gt;&lt;ref-type name="Journal Article"&gt;17&lt;/ref-type&gt;&lt;contributors&gt;&lt;authors&gt;&lt;author&gt;Relander, Thor-Oskar&lt;/author&gt;&lt;author&gt;Heiskel, Bjørnar&lt;/author&gt;&lt;author&gt;Tyssedal, John Sølve&lt;/author&gt;&lt;/authors&gt;&lt;/contributors&gt;&lt;titles&gt;&lt;title&gt;The influence of the joint between the basement wall and the wood-frame wall on the airtightness of wood-frame houses&lt;/title&gt;&lt;secondary-title&gt;Energy and Buildings&lt;/secondary-title&gt;&lt;/titles&gt;&lt;periodical&gt;&lt;full-title&gt;Energy and buildings&lt;/full-title&gt;&lt;/periodical&gt;&lt;pages&gt;1304-1314&lt;/pages&gt;&lt;volume&gt;43&lt;/volume&gt;&lt;number&gt;6&lt;/number&gt;&lt;dates&gt;&lt;year&gt;2011&lt;/year&gt;&lt;/dates&gt;&lt;isbn&gt;0378-7788&lt;/isbn&gt;&lt;urls&gt;&lt;/urls&gt;&lt;/record&gt;&lt;/Cite&gt;&lt;/EndNote&gt;</w:instrText>
      </w:r>
      <w:r w:rsidR="00B03C91">
        <w:rPr>
          <w:sz w:val="20"/>
          <w:szCs w:val="20"/>
        </w:rPr>
        <w:fldChar w:fldCharType="separate"/>
      </w:r>
      <w:r w:rsidR="00500D8A">
        <w:rPr>
          <w:noProof/>
          <w:sz w:val="20"/>
          <w:szCs w:val="20"/>
        </w:rPr>
        <w:t>[8]</w:t>
      </w:r>
      <w:r w:rsidR="00B03C91">
        <w:rPr>
          <w:sz w:val="20"/>
          <w:szCs w:val="20"/>
        </w:rPr>
        <w:fldChar w:fldCharType="end"/>
      </w:r>
      <w:r w:rsidR="00116E4E">
        <w:rPr>
          <w:sz w:val="20"/>
          <w:szCs w:val="20"/>
        </w:rPr>
        <w:t xml:space="preserve">. La précision de cette méthode est évaluée par </w:t>
      </w:r>
      <w:proofErr w:type="spellStart"/>
      <w:r w:rsidR="00116E4E">
        <w:rPr>
          <w:sz w:val="20"/>
          <w:szCs w:val="20"/>
        </w:rPr>
        <w:t>Relander</w:t>
      </w:r>
      <w:proofErr w:type="spellEnd"/>
      <w:r w:rsidR="00116E4E">
        <w:rPr>
          <w:sz w:val="20"/>
          <w:szCs w:val="20"/>
        </w:rPr>
        <w:t xml:space="preserve"> à 10%</w:t>
      </w:r>
      <w:r w:rsidR="00B03C91">
        <w:rPr>
          <w:sz w:val="20"/>
          <w:szCs w:val="20"/>
        </w:rPr>
        <w:t xml:space="preserve"> </w:t>
      </w:r>
      <w:r w:rsidR="00B03C91">
        <w:rPr>
          <w:sz w:val="20"/>
          <w:szCs w:val="20"/>
        </w:rPr>
        <w:fldChar w:fldCharType="begin"/>
      </w:r>
      <w:r w:rsidR="00500D8A">
        <w:rPr>
          <w:sz w:val="20"/>
          <w:szCs w:val="20"/>
        </w:rPr>
        <w:instrText xml:space="preserve"> ADDIN EN.CITE &lt;EndNote&gt;&lt;Cite&gt;&lt;Author&gt;Relander&lt;/Author&gt;&lt;Year&gt;2008&lt;/Year&gt;&lt;RecNum&gt;107&lt;/RecNum&gt;&lt;DisplayText&gt;[11]&lt;/DisplayText&gt;&lt;record&gt;&lt;rec-number&gt;107&lt;/rec-number&gt;&lt;foreign-keys&gt;&lt;key app="EN" db-id="wx52rweesr59wfe0tf2xdtzg5frw2ppwzpp5" timestamp="1497338256"&gt;107&lt;/key&gt;&lt;/foreign-keys&gt;&lt;ref-type name="Conference Proceedings"&gt;10&lt;/ref-type&gt;&lt;contributors&gt;&lt;authors&gt;&lt;author&gt;Relander, Thor-Oskar&lt;/author&gt;&lt;author&gt;Thue, Jan Vincent&lt;/author&gt;&lt;author&gt;Gustavsen, Arild&lt;/author&gt;&lt;/authors&gt;&lt;/contributors&gt;&lt;titles&gt;&lt;title&gt;Air tightness performance of different sealing methods for windows in wood-frame buildings&lt;/title&gt;&lt;secondary-title&gt;8th Nordic Symposium on Building Physics, Copenhagen, Denmark&lt;/secondary-title&gt;&lt;/titles&gt;&lt;dates&gt;&lt;year&gt;2008&lt;/year&gt;&lt;/dates&gt;&lt;publisher&gt;Citeseer&lt;/publisher&gt;&lt;urls&gt;&lt;/urls&gt;&lt;/record&gt;&lt;/Cite&gt;&lt;/EndNote&gt;</w:instrText>
      </w:r>
      <w:r w:rsidR="00B03C91">
        <w:rPr>
          <w:sz w:val="20"/>
          <w:szCs w:val="20"/>
        </w:rPr>
        <w:fldChar w:fldCharType="separate"/>
      </w:r>
      <w:r w:rsidR="00500D8A">
        <w:rPr>
          <w:noProof/>
          <w:sz w:val="20"/>
          <w:szCs w:val="20"/>
        </w:rPr>
        <w:t>[11]</w:t>
      </w:r>
      <w:r w:rsidR="00B03C91">
        <w:rPr>
          <w:sz w:val="20"/>
          <w:szCs w:val="20"/>
        </w:rPr>
        <w:fldChar w:fldCharType="end"/>
      </w:r>
      <w:r w:rsidR="00116E4E">
        <w:rPr>
          <w:sz w:val="20"/>
          <w:szCs w:val="20"/>
        </w:rPr>
        <w:t>.</w:t>
      </w:r>
    </w:p>
    <w:p w:rsidR="00C17AB7" w:rsidRDefault="00DA2A08" w:rsidP="00AB3F07">
      <w:pPr>
        <w:jc w:val="both"/>
        <w:rPr>
          <w:sz w:val="20"/>
          <w:szCs w:val="20"/>
        </w:rPr>
      </w:pPr>
      <w:r>
        <w:rPr>
          <w:sz w:val="20"/>
          <w:szCs w:val="20"/>
        </w:rPr>
        <w:t xml:space="preserve">Ce type de mesure est aussi effectué dans </w:t>
      </w:r>
      <w:r w:rsidR="00B03C91">
        <w:rPr>
          <w:sz w:val="20"/>
          <w:szCs w:val="20"/>
        </w:rPr>
        <w:fldChar w:fldCharType="begin"/>
      </w:r>
      <w:r w:rsidR="00500D8A">
        <w:rPr>
          <w:sz w:val="20"/>
          <w:szCs w:val="20"/>
        </w:rPr>
        <w:instrText xml:space="preserve"> ADDIN EN.CITE &lt;EndNote&gt;&lt;Cite&gt;&lt;Author&gt;Van Den Bossche&lt;/Author&gt;&lt;Year&gt;2012&lt;/Year&gt;&lt;RecNum&gt;108&lt;/RecNum&gt;&lt;DisplayText&gt;[12]&lt;/DisplayText&gt;&lt;record&gt;&lt;rec-number&gt;108&lt;/rec-number&gt;&lt;foreign-keys&gt;&lt;key app="EN" db-id="wx52rweesr59wfe0tf2xdtzg5frw2ppwzpp5" timestamp="1497338336"&gt;108&lt;/key&gt;&lt;/foreign-keys&gt;&lt;ref-type name="Journal Article"&gt;17&lt;/ref-type&gt;&lt;contributors&gt;&lt;authors&gt;&lt;author&gt;Van Den Bossche, Nathan&lt;/author&gt;&lt;author&gt;Huyghe, Willem&lt;/author&gt;&lt;author&gt;Moens, Jan&lt;/author&gt;&lt;author&gt;Janssens, Arnold&lt;/author&gt;&lt;author&gt;Depaepe, Michel&lt;/author&gt;&lt;/authors&gt;&lt;/contributors&gt;&lt;titles&gt;&lt;title&gt;Airtightness of the window–wall interface in cavity brick walls&lt;/title&gt;&lt;secondary-title&gt;Energy and Buildings&lt;/secondary-title&gt;&lt;/titles&gt;&lt;periodical&gt;&lt;full-title&gt;Energy and buildings&lt;/full-title&gt;&lt;/periodical&gt;&lt;pages&gt;32-42&lt;/pages&gt;&lt;volume&gt;45&lt;/volume&gt;&lt;dates&gt;&lt;year&gt;2012&lt;/year&gt;&lt;/dates&gt;&lt;isbn&gt;0378-7788&lt;/isbn&gt;&lt;urls&gt;&lt;/urls&gt;&lt;/record&gt;&lt;/Cite&gt;&lt;/EndNote&gt;</w:instrText>
      </w:r>
      <w:r w:rsidR="00B03C91">
        <w:rPr>
          <w:sz w:val="20"/>
          <w:szCs w:val="20"/>
        </w:rPr>
        <w:fldChar w:fldCharType="separate"/>
      </w:r>
      <w:r w:rsidR="00500D8A">
        <w:rPr>
          <w:noProof/>
          <w:sz w:val="20"/>
          <w:szCs w:val="20"/>
        </w:rPr>
        <w:t>[12]</w:t>
      </w:r>
      <w:r w:rsidR="00B03C91">
        <w:rPr>
          <w:sz w:val="20"/>
          <w:szCs w:val="20"/>
        </w:rPr>
        <w:fldChar w:fldCharType="end"/>
      </w:r>
      <w:r>
        <w:rPr>
          <w:sz w:val="20"/>
          <w:szCs w:val="20"/>
        </w:rPr>
        <w:t xml:space="preserve"> pour mesurer la performance de la jonction entre la fenêtre et un mur en briques creuses</w:t>
      </w:r>
      <w:r w:rsidR="004F734F">
        <w:rPr>
          <w:sz w:val="20"/>
          <w:szCs w:val="20"/>
        </w:rPr>
        <w:t xml:space="preserve"> ainsi que dans </w:t>
      </w:r>
      <w:r w:rsidR="00686033">
        <w:rPr>
          <w:sz w:val="20"/>
          <w:szCs w:val="20"/>
        </w:rPr>
        <w:fldChar w:fldCharType="begin"/>
      </w:r>
      <w:r w:rsidR="00500D8A">
        <w:rPr>
          <w:sz w:val="20"/>
          <w:szCs w:val="20"/>
        </w:rPr>
        <w:instrText xml:space="preserve"> ADDIN EN.CITE &lt;EndNote&gt;&lt;Cite&gt;&lt;Author&gt;Kalamees&lt;/Author&gt;&lt;Year&gt;2017&lt;/Year&gt;&lt;RecNum&gt;110&lt;/RecNum&gt;&lt;DisplayText&gt;[13]&lt;/DisplayText&gt;&lt;record&gt;&lt;rec-number&gt;110&lt;/rec-number&gt;&lt;foreign-keys&gt;&lt;key app="EN" db-id="wx52rweesr59wfe0tf2xdtzg5frw2ppwzpp5" timestamp="1497338454"&gt;110&lt;/key&gt;&lt;/foreign-keys&gt;&lt;ref-type name="Journal Article"&gt;17&lt;/ref-type&gt;&lt;contributors&gt;&lt;authors&gt;&lt;author&gt;Kalamees, Targo&lt;/author&gt;&lt;author&gt;Alev, Üllar&lt;/author&gt;&lt;author&gt;Pärnalaas, Mihkel&lt;/author&gt;&lt;/authors&gt;&lt;/contributors&gt;&lt;titles&gt;&lt;title&gt;Air leakage levels in timber frame building envelope joints&lt;/title&gt;&lt;secondary-title&gt;Building and Environment&lt;/secondary-title&gt;&lt;/titles&gt;&lt;periodical&gt;&lt;full-title&gt;Building and Environment&lt;/full-title&gt;&lt;/periodical&gt;&lt;pages&gt;121-129&lt;/pages&gt;&lt;volume&gt;116&lt;/volume&gt;&lt;dates&gt;&lt;year&gt;2017&lt;/year&gt;&lt;/dates&gt;&lt;isbn&gt;0360-1323&lt;/isbn&gt;&lt;urls&gt;&lt;/urls&gt;&lt;/record&gt;&lt;/Cite&gt;&lt;/EndNote&gt;</w:instrText>
      </w:r>
      <w:r w:rsidR="00686033">
        <w:rPr>
          <w:sz w:val="20"/>
          <w:szCs w:val="20"/>
        </w:rPr>
        <w:fldChar w:fldCharType="separate"/>
      </w:r>
      <w:r w:rsidR="00500D8A">
        <w:rPr>
          <w:noProof/>
          <w:sz w:val="20"/>
          <w:szCs w:val="20"/>
        </w:rPr>
        <w:t>[13]</w:t>
      </w:r>
      <w:r w:rsidR="00686033">
        <w:rPr>
          <w:sz w:val="20"/>
          <w:szCs w:val="20"/>
        </w:rPr>
        <w:fldChar w:fldCharType="end"/>
      </w:r>
      <w:r w:rsidR="004F734F">
        <w:rPr>
          <w:sz w:val="20"/>
          <w:szCs w:val="20"/>
        </w:rPr>
        <w:t xml:space="preserve"> pour mesurer les résultats obtenus de différents joints d’enveloppe</w:t>
      </w:r>
      <w:r>
        <w:rPr>
          <w:sz w:val="20"/>
          <w:szCs w:val="20"/>
        </w:rPr>
        <w:t>.</w:t>
      </w:r>
      <w:r w:rsidR="00FB0A51">
        <w:rPr>
          <w:sz w:val="20"/>
          <w:szCs w:val="20"/>
        </w:rPr>
        <w:t xml:space="preserve"> Les auteurs</w:t>
      </w:r>
      <w:r w:rsidR="00AB3F07">
        <w:rPr>
          <w:sz w:val="20"/>
          <w:szCs w:val="20"/>
        </w:rPr>
        <w:t xml:space="preserve"> se basent sur l</w:t>
      </w:r>
      <w:r w:rsidR="00FB0A51">
        <w:rPr>
          <w:sz w:val="20"/>
          <w:szCs w:val="20"/>
        </w:rPr>
        <w:t xml:space="preserve">a norme </w:t>
      </w:r>
      <w:r w:rsidR="00686033">
        <w:rPr>
          <w:sz w:val="20"/>
          <w:szCs w:val="20"/>
        </w:rPr>
        <w:t xml:space="preserve">NBN </w:t>
      </w:r>
      <w:r w:rsidR="00FB0A51">
        <w:rPr>
          <w:sz w:val="20"/>
          <w:szCs w:val="20"/>
        </w:rPr>
        <w:t>EN 12114 (</w:t>
      </w:r>
      <w:r w:rsidR="00FB0A51" w:rsidRPr="00FB0A51">
        <w:rPr>
          <w:sz w:val="20"/>
          <w:szCs w:val="20"/>
        </w:rPr>
        <w:t>Perméabilité à l'air des composants et parois de bâtiments - Méthode d'essai en laboratoire)</w:t>
      </w:r>
      <w:r w:rsidR="00686033">
        <w:rPr>
          <w:sz w:val="20"/>
          <w:szCs w:val="20"/>
        </w:rPr>
        <w:t xml:space="preserve"> </w:t>
      </w:r>
      <w:r w:rsidR="00686033">
        <w:rPr>
          <w:sz w:val="20"/>
          <w:szCs w:val="20"/>
        </w:rPr>
        <w:fldChar w:fldCharType="begin"/>
      </w:r>
      <w:r w:rsidR="00500D8A">
        <w:rPr>
          <w:sz w:val="20"/>
          <w:szCs w:val="20"/>
        </w:rPr>
        <w:instrText xml:space="preserve"> ADDIN EN.CITE &lt;EndNote&gt;&lt;Cite&gt;&lt;Author&gt;NBN&lt;/Author&gt;&lt;RecNum&gt;111&lt;/RecNum&gt;&lt;DisplayText&gt;[14]&lt;/DisplayText&gt;&lt;record&gt;&lt;rec-number&gt;111&lt;/rec-number&gt;&lt;foreign-keys&gt;&lt;key app="EN" db-id="wx52rweesr59wfe0tf2xdtzg5frw2ppwzpp5" timestamp="1497338524"&gt;111&lt;/key&gt;&lt;/foreign-keys&gt;&lt;ref-type name="Journal Article"&gt;17&lt;/ref-type&gt;&lt;contributors&gt;&lt;authors&gt;&lt;author&gt;NBN, EN&lt;/author&gt;&lt;/authors&gt;&lt;/contributors&gt;&lt;titles&gt;&lt;title&gt;12114, 2000&lt;/title&gt;&lt;secondary-title&gt;Thermal performance of buildings–air permeability of building components and building elements–laboratory test method. CEN, Brussels, Belgium&lt;/secondary-title&gt;&lt;/titles&gt;&lt;periodical&gt;&lt;full-title&gt;Thermal performance of buildings–air permeability of building components and building elements–laboratory test method. CEN, Brussels, Belgium&lt;/full-title&gt;&lt;/periodical&gt;&lt;dates&gt;&lt;/dates&gt;&lt;urls&gt;&lt;/urls&gt;&lt;/record&gt;&lt;/Cite&gt;&lt;/EndNote&gt;</w:instrText>
      </w:r>
      <w:r w:rsidR="00686033">
        <w:rPr>
          <w:sz w:val="20"/>
          <w:szCs w:val="20"/>
        </w:rPr>
        <w:fldChar w:fldCharType="separate"/>
      </w:r>
      <w:r w:rsidR="00500D8A">
        <w:rPr>
          <w:noProof/>
          <w:sz w:val="20"/>
          <w:szCs w:val="20"/>
        </w:rPr>
        <w:t>[14]</w:t>
      </w:r>
      <w:r w:rsidR="00686033">
        <w:rPr>
          <w:sz w:val="20"/>
          <w:szCs w:val="20"/>
        </w:rPr>
        <w:fldChar w:fldCharType="end"/>
      </w:r>
      <w:r w:rsidR="00AB3F07">
        <w:rPr>
          <w:sz w:val="20"/>
          <w:szCs w:val="20"/>
        </w:rPr>
        <w:t>.</w:t>
      </w:r>
      <w:r>
        <w:rPr>
          <w:sz w:val="20"/>
          <w:szCs w:val="20"/>
        </w:rPr>
        <w:t xml:space="preserve"> Dans</w:t>
      </w:r>
      <w:r w:rsidR="00686033">
        <w:rPr>
          <w:sz w:val="20"/>
          <w:szCs w:val="20"/>
        </w:rPr>
        <w:t xml:space="preserve"> </w:t>
      </w:r>
      <w:r w:rsidR="00686033">
        <w:rPr>
          <w:sz w:val="20"/>
          <w:szCs w:val="20"/>
        </w:rPr>
        <w:fldChar w:fldCharType="begin"/>
      </w:r>
      <w:r w:rsidR="00500D8A">
        <w:rPr>
          <w:sz w:val="20"/>
          <w:szCs w:val="20"/>
        </w:rPr>
        <w:instrText xml:space="preserve"> ADDIN EN.CITE &lt;EndNote&gt;&lt;Cite&gt;&lt;Author&gt;Van Den Bossche&lt;/Author&gt;&lt;Year&gt;2012&lt;/Year&gt;&lt;RecNum&gt;108&lt;/RecNum&gt;&lt;DisplayText&gt;[12]&lt;/DisplayText&gt;&lt;record&gt;&lt;rec-number&gt;108&lt;/rec-number&gt;&lt;foreign-keys&gt;&lt;key app="EN" db-id="wx52rweesr59wfe0tf2xdtzg5frw2ppwzpp5" timestamp="1497338336"&gt;108&lt;/key&gt;&lt;/foreign-keys&gt;&lt;ref-type name="Journal Article"&gt;17&lt;/ref-type&gt;&lt;contributors&gt;&lt;authors&gt;&lt;author&gt;Van Den Bossche, Nathan&lt;/author&gt;&lt;author&gt;Huyghe, Willem&lt;/author&gt;&lt;author&gt;Moens, Jan&lt;/author&gt;&lt;author&gt;Janssens, Arnold&lt;/author&gt;&lt;author&gt;Depaepe, Michel&lt;/author&gt;&lt;/authors&gt;&lt;/contributors&gt;&lt;titles&gt;&lt;title&gt;Airtightness of the window–wall interface in cavity brick walls&lt;/title&gt;&lt;secondary-title&gt;Energy and Buildings&lt;/secondary-title&gt;&lt;/titles&gt;&lt;periodical&gt;&lt;full-title&gt;Energy and buildings&lt;/full-title&gt;&lt;/periodical&gt;&lt;pages&gt;32-42&lt;/pages&gt;&lt;volume&gt;45&lt;/volume&gt;&lt;dates&gt;&lt;year&gt;2012&lt;/year&gt;&lt;/dates&gt;&lt;isbn&gt;0378-7788&lt;/isbn&gt;&lt;urls&gt;&lt;/urls&gt;&lt;/record&gt;&lt;/Cite&gt;&lt;/EndNote&gt;</w:instrText>
      </w:r>
      <w:r w:rsidR="00686033">
        <w:rPr>
          <w:sz w:val="20"/>
          <w:szCs w:val="20"/>
        </w:rPr>
        <w:fldChar w:fldCharType="separate"/>
      </w:r>
      <w:r w:rsidR="00500D8A">
        <w:rPr>
          <w:noProof/>
          <w:sz w:val="20"/>
          <w:szCs w:val="20"/>
        </w:rPr>
        <w:t>[12]</w:t>
      </w:r>
      <w:r w:rsidR="00686033">
        <w:rPr>
          <w:sz w:val="20"/>
          <w:szCs w:val="20"/>
        </w:rPr>
        <w:fldChar w:fldCharType="end"/>
      </w:r>
      <w:r>
        <w:rPr>
          <w:sz w:val="20"/>
          <w:szCs w:val="20"/>
        </w:rPr>
        <w:t>, les auteurs développent en détails le calcul d’incertitude de cette méthode</w:t>
      </w:r>
      <w:r w:rsidR="00AB3F07">
        <w:rPr>
          <w:sz w:val="20"/>
          <w:szCs w:val="20"/>
        </w:rPr>
        <w:t xml:space="preserve">. Ils aboutissent à une constatation assez surprenante : l’erreur est faible tant qu’on ne considère qu’une seule mesure (3.965) mais devient importante quand on essaye de faire une régression pour obtenir la « power </w:t>
      </w:r>
      <w:proofErr w:type="spellStart"/>
      <w:r w:rsidR="00AB3F07">
        <w:rPr>
          <w:sz w:val="20"/>
          <w:szCs w:val="20"/>
        </w:rPr>
        <w:t>law</w:t>
      </w:r>
      <w:proofErr w:type="spellEnd"/>
      <w:r w:rsidR="00AB3F07">
        <w:rPr>
          <w:sz w:val="20"/>
          <w:szCs w:val="20"/>
        </w:rPr>
        <w:t> » (dépend du coefficient r-Pearson et peut aller jusqu’à 13.3%)</w:t>
      </w:r>
      <w:r w:rsidR="0053597A">
        <w:rPr>
          <w:sz w:val="20"/>
          <w:szCs w:val="20"/>
        </w:rPr>
        <w:t>.</w:t>
      </w:r>
    </w:p>
    <w:p w:rsidR="00FB0A51" w:rsidRDefault="00FB0A51" w:rsidP="00AB3F07">
      <w:pPr>
        <w:jc w:val="both"/>
        <w:rPr>
          <w:sz w:val="20"/>
          <w:szCs w:val="20"/>
        </w:rPr>
      </w:pPr>
      <w:r>
        <w:rPr>
          <w:sz w:val="20"/>
          <w:szCs w:val="20"/>
        </w:rPr>
        <w:t>Cette méthode est particulièrement pratique pour mesurer des débits acceptables (et donc ok pour une différence de pression de 50 Pascal). Elle permet de mesurer des petits débits</w:t>
      </w:r>
      <w:r w:rsidR="00917661">
        <w:rPr>
          <w:sz w:val="20"/>
          <w:szCs w:val="20"/>
        </w:rPr>
        <w:t xml:space="preserve"> (entre 0 et 5</w:t>
      </w:r>
      <m:oMath>
        <m:r>
          <w:rPr>
            <w:rFonts w:ascii="Cambria Math" w:hAnsi="Cambria Math"/>
            <w:sz w:val="20"/>
            <w:szCs w:val="20"/>
          </w:rPr>
          <m:t xml:space="preserve"> </m:t>
        </m:r>
        <m:sSup>
          <m:sSupPr>
            <m:ctrlPr>
              <w:rPr>
                <w:rFonts w:ascii="Cambria Math" w:hAnsi="Cambria Math"/>
                <w:i/>
                <w:sz w:val="20"/>
                <w:szCs w:val="20"/>
              </w:rPr>
            </m:ctrlPr>
          </m:sSupPr>
          <m:e>
            <m:r>
              <w:rPr>
                <w:rFonts w:ascii="Cambria Math" w:hAnsi="Cambria Math"/>
                <w:sz w:val="20"/>
                <w:szCs w:val="20"/>
              </w:rPr>
              <m:t>m</m:t>
            </m:r>
          </m:e>
          <m:sup>
            <m:r>
              <w:rPr>
                <w:rFonts w:ascii="Cambria Math" w:hAnsi="Cambria Math"/>
                <w:sz w:val="20"/>
                <w:szCs w:val="20"/>
              </w:rPr>
              <m:t>3</m:t>
            </m:r>
          </m:sup>
        </m:sSup>
        <m:r>
          <w:rPr>
            <w:rFonts w:ascii="Cambria Math" w:hAnsi="Cambria Math"/>
            <w:sz w:val="20"/>
            <w:szCs w:val="20"/>
          </w:rPr>
          <m:t>/h</m:t>
        </m:r>
      </m:oMath>
      <w:r>
        <w:rPr>
          <w:sz w:val="20"/>
          <w:szCs w:val="20"/>
        </w:rPr>
        <w:t>, mais l’incertitude est malgré tout importante (</w:t>
      </w:r>
      <m:oMath>
        <m:r>
          <w:rPr>
            <w:rFonts w:ascii="Cambria Math" w:hAnsi="Cambria Math"/>
            <w:sz w:val="20"/>
            <w:szCs w:val="20"/>
          </w:rPr>
          <m:t>±10%</m:t>
        </m:r>
      </m:oMath>
      <w:r>
        <w:rPr>
          <w:rFonts w:eastAsiaTheme="minorEastAsia"/>
          <w:sz w:val="20"/>
          <w:szCs w:val="20"/>
        </w:rPr>
        <w:t>).</w:t>
      </w:r>
    </w:p>
    <w:p w:rsidR="00EC4573" w:rsidRPr="006624BA" w:rsidRDefault="00AB3F07" w:rsidP="00A7144E">
      <w:pPr>
        <w:pStyle w:val="Titre3"/>
        <w:numPr>
          <w:ilvl w:val="2"/>
          <w:numId w:val="3"/>
        </w:numPr>
        <w:spacing w:line="259" w:lineRule="auto"/>
        <w:rPr>
          <w:color w:val="000000" w:themeColor="text1"/>
          <w:lang w:val="fr-BE"/>
        </w:rPr>
      </w:pPr>
      <w:r>
        <w:rPr>
          <w:color w:val="000000" w:themeColor="text1"/>
          <w:lang w:val="fr-BE"/>
        </w:rPr>
        <w:lastRenderedPageBreak/>
        <w:t>Gaz traceurs CO2</w:t>
      </w:r>
    </w:p>
    <w:p w:rsidR="00FB0A51" w:rsidRDefault="00762F32" w:rsidP="00762F32">
      <w:pPr>
        <w:jc w:val="both"/>
        <w:rPr>
          <w:rFonts w:eastAsiaTheme="minorEastAsia"/>
          <w:sz w:val="20"/>
          <w:szCs w:val="20"/>
          <w:lang w:val="fr-BE"/>
        </w:rPr>
      </w:pPr>
      <w:r>
        <w:rPr>
          <w:sz w:val="20"/>
          <w:szCs w:val="20"/>
          <w:lang w:val="fr-BE"/>
        </w:rPr>
        <w:t>La méthode des g</w:t>
      </w:r>
      <w:r w:rsidR="00686033">
        <w:rPr>
          <w:sz w:val="20"/>
          <w:szCs w:val="20"/>
          <w:lang w:val="fr-BE"/>
        </w:rPr>
        <w:t xml:space="preserve">az traceur est développée dans </w:t>
      </w:r>
      <w:r w:rsidR="00686033">
        <w:rPr>
          <w:sz w:val="20"/>
          <w:szCs w:val="20"/>
          <w:lang w:val="fr-BE"/>
        </w:rPr>
        <w:fldChar w:fldCharType="begin"/>
      </w:r>
      <w:r w:rsidR="00500D8A">
        <w:rPr>
          <w:sz w:val="20"/>
          <w:szCs w:val="20"/>
          <w:lang w:val="fr-BE"/>
        </w:rPr>
        <w:instrText xml:space="preserve"> ADDIN EN.CITE &lt;EndNote&gt;&lt;Cite&gt;&lt;Author&gt;Ghazi&lt;/Author&gt;&lt;Year&gt;2014&lt;/Year&gt;&lt;RecNum&gt;77&lt;/RecNum&gt;&lt;DisplayText&gt;[15]&lt;/DisplayText&gt;&lt;record&gt;&lt;rec-number&gt;77&lt;/rec-number&gt;&lt;foreign-keys&gt;&lt;key app="EN" db-id="wx52rweesr59wfe0tf2xdtzg5frw2ppwzpp5" timestamp="1480685915"&gt;77&lt;/key&gt;&lt;/foreign-keys&gt;&lt;ref-type name="Journal Article"&gt;17&lt;/ref-type&gt;&lt;contributors&gt;&lt;authors&gt;&lt;author&gt;Ghazi, CJ&lt;/author&gt;&lt;author&gt;Marshall, JS&lt;/author&gt;&lt;/authors&gt;&lt;/contributors&gt;&lt;titles&gt;&lt;title&gt;A CO 2 tracer-gas method for local air leakage detection and characterization&lt;/title&gt;&lt;secondary-title&gt;Flow Measurement and Instrumentation&lt;/secondary-title&gt;&lt;/titles&gt;&lt;periodical&gt;&lt;full-title&gt;Flow Measurement and Instrumentation&lt;/full-title&gt;&lt;/periodical&gt;&lt;pages&gt;72-81&lt;/pages&gt;&lt;volume&gt;38&lt;/volume&gt;&lt;dates&gt;&lt;year&gt;2014&lt;/year&gt;&lt;/dates&gt;&lt;isbn&gt;0955-5986&lt;/isbn&gt;&lt;urls&gt;&lt;/urls&gt;&lt;/record&gt;&lt;/Cite&gt;&lt;/EndNote&gt;</w:instrText>
      </w:r>
      <w:r w:rsidR="00686033">
        <w:rPr>
          <w:sz w:val="20"/>
          <w:szCs w:val="20"/>
          <w:lang w:val="fr-BE"/>
        </w:rPr>
        <w:fldChar w:fldCharType="separate"/>
      </w:r>
      <w:r w:rsidR="00500D8A">
        <w:rPr>
          <w:noProof/>
          <w:sz w:val="20"/>
          <w:szCs w:val="20"/>
          <w:lang w:val="fr-BE"/>
        </w:rPr>
        <w:t>[15]</w:t>
      </w:r>
      <w:r w:rsidR="00686033">
        <w:rPr>
          <w:sz w:val="20"/>
          <w:szCs w:val="20"/>
          <w:lang w:val="fr-BE"/>
        </w:rPr>
        <w:fldChar w:fldCharType="end"/>
      </w:r>
      <w:r>
        <w:rPr>
          <w:sz w:val="20"/>
          <w:szCs w:val="20"/>
          <w:lang w:val="fr-BE"/>
        </w:rPr>
        <w:t xml:space="preserve">. Elle se base sur le même principe que la méthode de « chambre à pression », mais elle mesure la concentration en </w:t>
      </w:r>
      <m:oMath>
        <m:r>
          <w:rPr>
            <w:rFonts w:ascii="Cambria Math" w:hAnsi="Cambria Math"/>
            <w:sz w:val="20"/>
            <w:szCs w:val="20"/>
            <w:lang w:val="fr-BE"/>
          </w:rPr>
          <m:t>C</m:t>
        </m:r>
        <m:sSub>
          <m:sSubPr>
            <m:ctrlPr>
              <w:rPr>
                <w:rFonts w:ascii="Cambria Math" w:hAnsi="Cambria Math"/>
                <w:i/>
                <w:sz w:val="20"/>
                <w:szCs w:val="20"/>
                <w:lang w:val="fr-BE"/>
              </w:rPr>
            </m:ctrlPr>
          </m:sSubPr>
          <m:e>
            <m:r>
              <w:rPr>
                <w:rFonts w:ascii="Cambria Math" w:hAnsi="Cambria Math"/>
                <w:sz w:val="20"/>
                <w:szCs w:val="20"/>
                <w:lang w:val="fr-BE"/>
              </w:rPr>
              <m:t>O</m:t>
            </m:r>
          </m:e>
          <m:sub>
            <m:r>
              <w:rPr>
                <w:rFonts w:ascii="Cambria Math" w:hAnsi="Cambria Math"/>
                <w:sz w:val="20"/>
                <w:szCs w:val="20"/>
                <w:lang w:val="fr-BE"/>
              </w:rPr>
              <m:t>2</m:t>
            </m:r>
          </m:sub>
        </m:sSub>
      </m:oMath>
      <w:r>
        <w:rPr>
          <w:rFonts w:eastAsiaTheme="minorEastAsia"/>
          <w:sz w:val="20"/>
          <w:szCs w:val="20"/>
          <w:lang w:val="fr-BE"/>
        </w:rPr>
        <w:t xml:space="preserve"> plutôt que le débit d’air.</w:t>
      </w:r>
      <w:r w:rsidR="00FB0A51">
        <w:rPr>
          <w:rFonts w:eastAsiaTheme="minorEastAsia"/>
          <w:sz w:val="20"/>
          <w:szCs w:val="20"/>
          <w:lang w:val="fr-BE"/>
        </w:rPr>
        <w:t xml:space="preserve"> La méthode est complexe et bien détaillée dans l’article.</w:t>
      </w:r>
      <w:r>
        <w:rPr>
          <w:rFonts w:eastAsiaTheme="minorEastAsia"/>
          <w:sz w:val="20"/>
          <w:szCs w:val="20"/>
          <w:lang w:val="fr-BE"/>
        </w:rPr>
        <w:t xml:space="preserve"> </w:t>
      </w:r>
    </w:p>
    <w:p w:rsidR="00C17AB7" w:rsidRDefault="007B3075" w:rsidP="00762F32">
      <w:pPr>
        <w:jc w:val="both"/>
        <w:rPr>
          <w:sz w:val="20"/>
          <w:szCs w:val="20"/>
        </w:rPr>
      </w:pPr>
      <w:r>
        <w:rPr>
          <w:rFonts w:eastAsiaTheme="minorEastAsia"/>
          <w:sz w:val="20"/>
          <w:szCs w:val="20"/>
          <w:lang w:val="fr-BE"/>
        </w:rPr>
        <w:t xml:space="preserve">Le système mesure des débits plus faibles (mesure une ouverture circulaire de </w:t>
      </w:r>
      <m:oMath>
        <m:r>
          <w:rPr>
            <w:rFonts w:ascii="Cambria Math" w:eastAsiaTheme="minorEastAsia" w:hAnsi="Cambria Math"/>
            <w:sz w:val="20"/>
            <w:szCs w:val="20"/>
            <w:lang w:val="fr-BE"/>
          </w:rPr>
          <m:t>0.89±0.01</m:t>
        </m:r>
      </m:oMath>
      <w:r>
        <w:rPr>
          <w:rFonts w:eastAsiaTheme="minorEastAsia"/>
          <w:sz w:val="20"/>
          <w:szCs w:val="20"/>
          <w:lang w:val="fr-BE"/>
        </w:rPr>
        <w:t>mm</w:t>
      </w:r>
      <w:r w:rsidR="00917661">
        <w:rPr>
          <w:rFonts w:eastAsiaTheme="minorEastAsia"/>
          <w:sz w:val="20"/>
          <w:szCs w:val="20"/>
          <w:lang w:val="fr-BE"/>
        </w:rPr>
        <w:t>, les résultats montrent des mesures aux alentours de 0.015</w:t>
      </w:r>
      <m:oMath>
        <m:r>
          <w:rPr>
            <w:rFonts w:ascii="Cambria Math" w:eastAsiaTheme="minorEastAsia" w:hAnsi="Cambria Math"/>
            <w:sz w:val="20"/>
            <w:szCs w:val="20"/>
            <w:lang w:val="fr-BE"/>
          </w:rPr>
          <m:t xml:space="preserve"> </m:t>
        </m:r>
        <m:sSup>
          <m:sSupPr>
            <m:ctrlPr>
              <w:rPr>
                <w:rFonts w:ascii="Cambria Math" w:eastAsiaTheme="minorEastAsia" w:hAnsi="Cambria Math"/>
                <w:i/>
                <w:sz w:val="20"/>
                <w:szCs w:val="20"/>
                <w:lang w:val="fr-BE"/>
              </w:rPr>
            </m:ctrlPr>
          </m:sSupPr>
          <m:e>
            <m:r>
              <w:rPr>
                <w:rFonts w:ascii="Cambria Math" w:eastAsiaTheme="minorEastAsia" w:hAnsi="Cambria Math"/>
                <w:sz w:val="20"/>
                <w:szCs w:val="20"/>
                <w:lang w:val="fr-BE"/>
              </w:rPr>
              <m:t>m</m:t>
            </m:r>
          </m:e>
          <m:sup>
            <m:r>
              <w:rPr>
                <w:rFonts w:ascii="Cambria Math" w:eastAsiaTheme="minorEastAsia" w:hAnsi="Cambria Math"/>
                <w:sz w:val="20"/>
                <w:szCs w:val="20"/>
                <w:lang w:val="fr-BE"/>
              </w:rPr>
              <m:t>3</m:t>
            </m:r>
          </m:sup>
        </m:sSup>
        <m:r>
          <w:rPr>
            <w:rFonts w:ascii="Cambria Math" w:eastAsiaTheme="minorEastAsia" w:hAnsi="Cambria Math"/>
            <w:sz w:val="20"/>
            <w:szCs w:val="20"/>
            <w:lang w:val="fr-BE"/>
          </w:rPr>
          <m:t>/h</m:t>
        </m:r>
      </m:oMath>
      <w:r w:rsidR="00917661">
        <w:rPr>
          <w:rFonts w:eastAsiaTheme="minorEastAsia"/>
          <w:sz w:val="20"/>
          <w:szCs w:val="20"/>
          <w:lang w:val="fr-BE"/>
        </w:rPr>
        <w:t xml:space="preserve"> @50 Pa</w:t>
      </w:r>
      <w:r>
        <w:rPr>
          <w:rFonts w:eastAsiaTheme="minorEastAsia"/>
          <w:sz w:val="20"/>
          <w:szCs w:val="20"/>
          <w:lang w:val="fr-BE"/>
        </w:rPr>
        <w:t xml:space="preserve">) et est légèrement </w:t>
      </w:r>
      <w:r w:rsidR="00762F32">
        <w:rPr>
          <w:rFonts w:eastAsiaTheme="minorEastAsia"/>
          <w:sz w:val="20"/>
          <w:szCs w:val="20"/>
          <w:lang w:val="fr-BE"/>
        </w:rPr>
        <w:t>plus précis</w:t>
      </w:r>
      <w:r>
        <w:rPr>
          <w:rFonts w:eastAsiaTheme="minorEastAsia"/>
          <w:sz w:val="20"/>
          <w:szCs w:val="20"/>
          <w:lang w:val="fr-BE"/>
        </w:rPr>
        <w:t xml:space="preserve"> (</w:t>
      </w:r>
      <m:oMath>
        <m:r>
          <w:rPr>
            <w:rFonts w:ascii="Cambria Math" w:eastAsiaTheme="minorEastAsia" w:hAnsi="Cambria Math"/>
            <w:sz w:val="20"/>
            <w:szCs w:val="20"/>
            <w:lang w:val="fr-BE"/>
          </w:rPr>
          <m:t>6%</m:t>
        </m:r>
      </m:oMath>
      <w:r>
        <w:rPr>
          <w:rFonts w:eastAsiaTheme="minorEastAsia"/>
          <w:sz w:val="20"/>
          <w:szCs w:val="20"/>
          <w:lang w:val="fr-BE"/>
        </w:rPr>
        <w:t>)</w:t>
      </w:r>
      <w:r w:rsidR="00762F32">
        <w:rPr>
          <w:rFonts w:eastAsiaTheme="minorEastAsia"/>
          <w:sz w:val="20"/>
          <w:szCs w:val="20"/>
          <w:lang w:val="fr-BE"/>
        </w:rPr>
        <w:t>, mais requi</w:t>
      </w:r>
      <w:r w:rsidR="00917661">
        <w:rPr>
          <w:rFonts w:eastAsiaTheme="minorEastAsia"/>
          <w:sz w:val="20"/>
          <w:szCs w:val="20"/>
          <w:lang w:val="fr-BE"/>
        </w:rPr>
        <w:t>ert un matériel plus important.</w:t>
      </w:r>
    </w:p>
    <w:p w:rsidR="00EC4573" w:rsidRPr="006624BA" w:rsidRDefault="0053597A" w:rsidP="00A7144E">
      <w:pPr>
        <w:pStyle w:val="Titre3"/>
        <w:numPr>
          <w:ilvl w:val="2"/>
          <w:numId w:val="3"/>
        </w:numPr>
        <w:spacing w:line="259" w:lineRule="auto"/>
        <w:rPr>
          <w:color w:val="000000" w:themeColor="text1"/>
          <w:lang w:val="fr-BE"/>
        </w:rPr>
      </w:pPr>
      <w:r>
        <w:rPr>
          <w:color w:val="000000" w:themeColor="text1"/>
          <w:lang w:val="fr-BE"/>
        </w:rPr>
        <w:t>Fuites dans les gaines</w:t>
      </w:r>
    </w:p>
    <w:p w:rsidR="00C17AB7" w:rsidRDefault="0053597A" w:rsidP="000F2F01">
      <w:pPr>
        <w:jc w:val="both"/>
        <w:rPr>
          <w:sz w:val="20"/>
          <w:szCs w:val="20"/>
        </w:rPr>
      </w:pPr>
      <w:r>
        <w:rPr>
          <w:sz w:val="20"/>
          <w:szCs w:val="20"/>
        </w:rPr>
        <w:t>Les méthodes pour mesurer les fuites dans les gaines de ventilation</w:t>
      </w:r>
      <w:r w:rsidR="000F2F01">
        <w:rPr>
          <w:sz w:val="20"/>
          <w:szCs w:val="20"/>
        </w:rPr>
        <w:t xml:space="preserve"> sont nombreuses. Nous ne mentionnons ici, le travail de </w:t>
      </w:r>
      <w:r w:rsidR="00686033">
        <w:rPr>
          <w:sz w:val="20"/>
          <w:szCs w:val="20"/>
        </w:rPr>
        <w:fldChar w:fldCharType="begin"/>
      </w:r>
      <w:r w:rsidR="00500D8A">
        <w:rPr>
          <w:sz w:val="20"/>
          <w:szCs w:val="20"/>
        </w:rPr>
        <w:instrText xml:space="preserve"> ADDIN EN.CITE &lt;EndNote&gt;&lt;Cite&gt;&lt;Author&gt;Walker&lt;/Author&gt;&lt;Year&gt;2001&lt;/Year&gt;&lt;RecNum&gt;112&lt;/RecNum&gt;&lt;DisplayText&gt;[16]&lt;/DisplayText&gt;&lt;record&gt;&lt;rec-number&gt;112&lt;/rec-number&gt;&lt;foreign-keys&gt;&lt;key app="EN" db-id="wx52rweesr59wfe0tf2xdtzg5frw2ppwzpp5" timestamp="1497338606"&gt;112&lt;/key&gt;&lt;/foreign-keys&gt;&lt;ref-type name="Journal Article"&gt;17&lt;/ref-type&gt;&lt;contributors&gt;&lt;authors&gt;&lt;author&gt;Walker, IS&lt;/author&gt;&lt;author&gt;Sherman, MH&lt;/author&gt;&lt;author&gt;Wempen, J&lt;/author&gt;&lt;author&gt;Wang, D&lt;/author&gt;&lt;author&gt;McWilliams, JA&lt;/author&gt;&lt;author&gt;Dickerhoff, DJ&lt;/author&gt;&lt;/authors&gt;&lt;/contributors&gt;&lt;titles&gt;&lt;title&gt;Development of a new duct leakage test: DeltaQ&lt;/title&gt;&lt;secondary-title&gt;Lawrence Berkeley National Laboratory&lt;/secondary-title&gt;&lt;/titles&gt;&lt;periodical&gt;&lt;full-title&gt;Lawrence Berkeley National Laboratory&lt;/full-title&gt;&lt;/periodical&gt;&lt;dates&gt;&lt;year&gt;2001&lt;/year&gt;&lt;/dates&gt;&lt;urls&gt;&lt;/urls&gt;&lt;/record&gt;&lt;/Cite&gt;&lt;/EndNote&gt;</w:instrText>
      </w:r>
      <w:r w:rsidR="00686033">
        <w:rPr>
          <w:sz w:val="20"/>
          <w:szCs w:val="20"/>
        </w:rPr>
        <w:fldChar w:fldCharType="separate"/>
      </w:r>
      <w:r w:rsidR="00500D8A">
        <w:rPr>
          <w:noProof/>
          <w:sz w:val="20"/>
          <w:szCs w:val="20"/>
        </w:rPr>
        <w:t>[16]</w:t>
      </w:r>
      <w:r w:rsidR="00686033">
        <w:rPr>
          <w:sz w:val="20"/>
          <w:szCs w:val="20"/>
        </w:rPr>
        <w:fldChar w:fldCharType="end"/>
      </w:r>
      <w:r w:rsidR="000F2F01">
        <w:rPr>
          <w:sz w:val="20"/>
          <w:szCs w:val="20"/>
        </w:rPr>
        <w:t xml:space="preserve"> qui propose une méthode particulière et qui passe en revue d’autres méthodes existantes à ce moment-là. Nous ne nous attardons pas sur ces méthodes de mesure qui sont conçues spécifiquement pour mesurer les fuites à travers les conduites de ventilation, et ne sont donc probablement pas adaptées pour tout type de mesures.</w:t>
      </w:r>
    </w:p>
    <w:p w:rsidR="00EC4573" w:rsidRPr="006624BA" w:rsidRDefault="00EC4573" w:rsidP="00A7144E">
      <w:pPr>
        <w:pStyle w:val="Titre2"/>
        <w:numPr>
          <w:ilvl w:val="1"/>
          <w:numId w:val="3"/>
        </w:numPr>
        <w:spacing w:before="360" w:line="259" w:lineRule="auto"/>
        <w:rPr>
          <w:smallCaps/>
          <w:color w:val="000000" w:themeColor="text1"/>
          <w:sz w:val="28"/>
          <w:szCs w:val="28"/>
          <w:lang w:val="fr-BE"/>
        </w:rPr>
      </w:pPr>
      <w:r w:rsidRPr="006624BA">
        <w:rPr>
          <w:smallCaps/>
          <w:color w:val="000000" w:themeColor="text1"/>
          <w:sz w:val="28"/>
          <w:szCs w:val="28"/>
          <w:lang w:val="fr-BE"/>
        </w:rPr>
        <w:t>In-situ</w:t>
      </w:r>
    </w:p>
    <w:p w:rsidR="00EC4573" w:rsidRPr="006624BA" w:rsidRDefault="000F2F01" w:rsidP="00A7144E">
      <w:pPr>
        <w:pStyle w:val="Titre3"/>
        <w:numPr>
          <w:ilvl w:val="2"/>
          <w:numId w:val="3"/>
        </w:numPr>
        <w:spacing w:line="259" w:lineRule="auto"/>
        <w:rPr>
          <w:color w:val="000000" w:themeColor="text1"/>
          <w:lang w:val="fr-BE"/>
        </w:rPr>
      </w:pPr>
      <w:r>
        <w:rPr>
          <w:color w:val="000000" w:themeColor="text1"/>
          <w:lang w:val="fr-BE"/>
        </w:rPr>
        <w:t>Méthode indirecte</w:t>
      </w:r>
    </w:p>
    <w:p w:rsidR="00ED68DF" w:rsidRDefault="000F2F01" w:rsidP="00E25A3D">
      <w:pPr>
        <w:spacing w:after="120"/>
        <w:jc w:val="both"/>
        <w:rPr>
          <w:sz w:val="20"/>
          <w:szCs w:val="20"/>
        </w:rPr>
      </w:pPr>
      <w:r>
        <w:rPr>
          <w:sz w:val="20"/>
          <w:szCs w:val="20"/>
        </w:rPr>
        <w:t xml:space="preserve">La méthode indirecte est la méthode la plus utilisée </w:t>
      </w:r>
      <w:r w:rsidR="00527840">
        <w:rPr>
          <w:sz w:val="20"/>
          <w:szCs w:val="20"/>
        </w:rPr>
        <w:t xml:space="preserve">in-situ pour évaluer l’étanchéité à l’air d’un élément. Cette méthode consiste </w:t>
      </w:r>
      <w:r w:rsidR="00E25A3D">
        <w:rPr>
          <w:sz w:val="20"/>
          <w:szCs w:val="20"/>
        </w:rPr>
        <w:t xml:space="preserve">simplement </w:t>
      </w:r>
      <w:r w:rsidR="00527840">
        <w:rPr>
          <w:sz w:val="20"/>
          <w:szCs w:val="20"/>
        </w:rPr>
        <w:t xml:space="preserve">en deux « fan </w:t>
      </w:r>
      <w:proofErr w:type="spellStart"/>
      <w:r w:rsidR="00527840">
        <w:rPr>
          <w:sz w:val="20"/>
          <w:szCs w:val="20"/>
        </w:rPr>
        <w:t>pressurization</w:t>
      </w:r>
      <w:proofErr w:type="spellEnd"/>
      <w:r w:rsidR="00527840">
        <w:rPr>
          <w:sz w:val="20"/>
          <w:szCs w:val="20"/>
        </w:rPr>
        <w:t xml:space="preserve"> </w:t>
      </w:r>
      <w:proofErr w:type="spellStart"/>
      <w:r w:rsidR="00527840">
        <w:rPr>
          <w:sz w:val="20"/>
          <w:szCs w:val="20"/>
        </w:rPr>
        <w:t>measurement</w:t>
      </w:r>
      <w:r w:rsidR="0066204C">
        <w:rPr>
          <w:sz w:val="20"/>
          <w:szCs w:val="20"/>
        </w:rPr>
        <w:t>s</w:t>
      </w:r>
      <w:proofErr w:type="spellEnd"/>
      <w:r w:rsidR="00527840">
        <w:rPr>
          <w:sz w:val="20"/>
          <w:szCs w:val="20"/>
        </w:rPr>
        <w:t> »</w:t>
      </w:r>
      <w:r w:rsidR="00E25A3D">
        <w:rPr>
          <w:sz w:val="20"/>
          <w:szCs w:val="20"/>
        </w:rPr>
        <w:t xml:space="preserve"> successifs</w:t>
      </w:r>
      <w:r w:rsidR="0066204C">
        <w:rPr>
          <w:sz w:val="20"/>
          <w:szCs w:val="20"/>
        </w:rPr>
        <w:t> :</w:t>
      </w:r>
      <w:r w:rsidR="00527840">
        <w:rPr>
          <w:sz w:val="20"/>
          <w:szCs w:val="20"/>
        </w:rPr>
        <w:t xml:space="preserve"> un avant et un après avoir scellé le composant visé par la mesure. </w:t>
      </w:r>
      <w:r w:rsidR="00E25A3D">
        <w:rPr>
          <w:sz w:val="20"/>
          <w:szCs w:val="20"/>
        </w:rPr>
        <w:t xml:space="preserve">Les fuites d’air à travers le composant sont donc évaluées en faisant la différence entre les deux résultats obtenus. </w:t>
      </w:r>
      <w:r w:rsidR="00ED68DF" w:rsidRPr="00BF32D8">
        <w:rPr>
          <w:sz w:val="20"/>
          <w:szCs w:val="20"/>
        </w:rPr>
        <w:t>L</w:t>
      </w:r>
      <w:r w:rsidR="00BF32D8" w:rsidRPr="00BF32D8">
        <w:rPr>
          <w:sz w:val="20"/>
          <w:szCs w:val="20"/>
        </w:rPr>
        <w:t>e</w:t>
      </w:r>
      <w:r w:rsidR="00ED68DF" w:rsidRPr="00BF32D8">
        <w:rPr>
          <w:sz w:val="20"/>
          <w:szCs w:val="20"/>
        </w:rPr>
        <w:t xml:space="preserve"> </w:t>
      </w:r>
      <w:r w:rsidR="00BF32D8" w:rsidRPr="00BF32D8">
        <w:rPr>
          <w:sz w:val="20"/>
          <w:szCs w:val="20"/>
        </w:rPr>
        <w:fldChar w:fldCharType="begin"/>
      </w:r>
      <w:r w:rsidR="00BF32D8" w:rsidRPr="00BF32D8">
        <w:rPr>
          <w:sz w:val="20"/>
          <w:szCs w:val="20"/>
        </w:rPr>
        <w:instrText xml:space="preserve"> REF _Ref484792351 \h </w:instrText>
      </w:r>
      <w:r w:rsidR="00BF32D8">
        <w:rPr>
          <w:sz w:val="20"/>
          <w:szCs w:val="20"/>
        </w:rPr>
        <w:instrText xml:space="preserve"> \* MERGEFORMAT </w:instrText>
      </w:r>
      <w:r w:rsidR="00BF32D8" w:rsidRPr="00BF32D8">
        <w:rPr>
          <w:sz w:val="20"/>
          <w:szCs w:val="20"/>
        </w:rPr>
      </w:r>
      <w:r w:rsidR="00BF32D8" w:rsidRPr="00BF32D8">
        <w:rPr>
          <w:sz w:val="20"/>
          <w:szCs w:val="20"/>
        </w:rPr>
        <w:fldChar w:fldCharType="separate"/>
      </w:r>
      <w:r w:rsidR="0004457E" w:rsidRPr="0004457E">
        <w:rPr>
          <w:b/>
          <w:sz w:val="20"/>
          <w:szCs w:val="20"/>
        </w:rPr>
        <w:t>Tableau 1</w:t>
      </w:r>
      <w:r w:rsidR="00BF32D8" w:rsidRPr="00BF32D8">
        <w:rPr>
          <w:sz w:val="20"/>
          <w:szCs w:val="20"/>
        </w:rPr>
        <w:fldChar w:fldCharType="end"/>
      </w:r>
      <w:r w:rsidR="00ED68DF">
        <w:rPr>
          <w:sz w:val="20"/>
          <w:szCs w:val="20"/>
        </w:rPr>
        <w:t xml:space="preserve"> présente quelques travaux où les auteurs ont appliqué cette</w:t>
      </w:r>
      <w:r w:rsidR="00E25A3D">
        <w:rPr>
          <w:sz w:val="20"/>
          <w:szCs w:val="20"/>
        </w:rPr>
        <w:t xml:space="preserve"> méthode</w:t>
      </w:r>
      <w:r w:rsidR="00ED68DF">
        <w:rPr>
          <w:sz w:val="20"/>
          <w:szCs w:val="20"/>
        </w:rPr>
        <w:t>.</w:t>
      </w:r>
    </w:p>
    <w:p w:rsidR="00E572A2" w:rsidRDefault="00E572A2" w:rsidP="00E25A3D">
      <w:pPr>
        <w:spacing w:after="120"/>
        <w:jc w:val="both"/>
        <w:rPr>
          <w:sz w:val="20"/>
          <w:szCs w:val="20"/>
        </w:rPr>
      </w:pPr>
    </w:p>
    <w:p w:rsidR="00ED68DF" w:rsidRPr="00ED68DF" w:rsidRDefault="00ED68DF" w:rsidP="00E572A2">
      <w:pPr>
        <w:pStyle w:val="Lgende"/>
        <w:jc w:val="center"/>
        <w:rPr>
          <w:color w:val="auto"/>
        </w:rPr>
      </w:pPr>
      <w:bookmarkStart w:id="8" w:name="_Ref484792351"/>
      <w:r w:rsidRPr="00ED68DF">
        <w:rPr>
          <w:b/>
          <w:color w:val="auto"/>
        </w:rPr>
        <w:t xml:space="preserve">Tableau </w:t>
      </w:r>
      <w:r w:rsidRPr="00ED68DF">
        <w:rPr>
          <w:b/>
          <w:color w:val="auto"/>
        </w:rPr>
        <w:fldChar w:fldCharType="begin"/>
      </w:r>
      <w:r w:rsidRPr="00ED68DF">
        <w:rPr>
          <w:b/>
          <w:color w:val="auto"/>
        </w:rPr>
        <w:instrText xml:space="preserve"> SEQ Tableau \* ARABIC </w:instrText>
      </w:r>
      <w:r w:rsidRPr="00ED68DF">
        <w:rPr>
          <w:b/>
          <w:color w:val="auto"/>
        </w:rPr>
        <w:fldChar w:fldCharType="separate"/>
      </w:r>
      <w:r w:rsidR="0004457E">
        <w:rPr>
          <w:b/>
          <w:noProof/>
          <w:color w:val="auto"/>
        </w:rPr>
        <w:t>1</w:t>
      </w:r>
      <w:r w:rsidRPr="00ED68DF">
        <w:rPr>
          <w:b/>
          <w:color w:val="auto"/>
        </w:rPr>
        <w:fldChar w:fldCharType="end"/>
      </w:r>
      <w:bookmarkEnd w:id="8"/>
      <w:r w:rsidRPr="00ED68DF">
        <w:rPr>
          <w:b/>
          <w:color w:val="auto"/>
        </w:rPr>
        <w:t xml:space="preserve"> :</w:t>
      </w:r>
      <w:r w:rsidRPr="00ED68DF">
        <w:rPr>
          <w:color w:val="auto"/>
        </w:rPr>
        <w:t xml:space="preserve"> liste des articles ayant utilisé la méthode indirecte pour établir des </w:t>
      </w:r>
      <w:r w:rsidR="004E3BC5" w:rsidRPr="00ED68DF">
        <w:rPr>
          <w:color w:val="auto"/>
        </w:rPr>
        <w:t>valeurs</w:t>
      </w:r>
      <w:r w:rsidRPr="00ED68DF">
        <w:rPr>
          <w:color w:val="auto"/>
        </w:rPr>
        <w:t xml:space="preserve"> d'étanchéité à l'air de composants</w:t>
      </w:r>
    </w:p>
    <w:tbl>
      <w:tblPr>
        <w:tblStyle w:val="Grilledutableau"/>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5244"/>
        <w:gridCol w:w="1843"/>
      </w:tblGrid>
      <w:tr w:rsidR="00ED68DF" w:rsidRPr="00E25A3D" w:rsidTr="001C5017">
        <w:tc>
          <w:tcPr>
            <w:tcW w:w="2235" w:type="dxa"/>
            <w:tcBorders>
              <w:bottom w:val="single" w:sz="4" w:space="0" w:color="auto"/>
              <w:right w:val="single" w:sz="4" w:space="0" w:color="auto"/>
            </w:tcBorders>
          </w:tcPr>
          <w:p w:rsidR="00E25A3D" w:rsidRPr="00E25A3D" w:rsidRDefault="00E25A3D" w:rsidP="00E25A3D">
            <w:pPr>
              <w:spacing w:after="120"/>
              <w:jc w:val="center"/>
              <w:rPr>
                <w:b/>
                <w:sz w:val="20"/>
                <w:szCs w:val="20"/>
              </w:rPr>
            </w:pPr>
            <w:r w:rsidRPr="00E25A3D">
              <w:rPr>
                <w:b/>
                <w:sz w:val="20"/>
                <w:szCs w:val="20"/>
              </w:rPr>
              <w:t>Article</w:t>
            </w:r>
          </w:p>
        </w:tc>
        <w:tc>
          <w:tcPr>
            <w:tcW w:w="5244" w:type="dxa"/>
            <w:tcBorders>
              <w:left w:val="single" w:sz="4" w:space="0" w:color="auto"/>
              <w:bottom w:val="single" w:sz="4" w:space="0" w:color="auto"/>
              <w:right w:val="single" w:sz="4" w:space="0" w:color="auto"/>
            </w:tcBorders>
          </w:tcPr>
          <w:p w:rsidR="00E25A3D" w:rsidRPr="00E25A3D" w:rsidRDefault="00ED68DF" w:rsidP="00E25A3D">
            <w:pPr>
              <w:spacing w:after="120"/>
              <w:jc w:val="center"/>
              <w:rPr>
                <w:b/>
                <w:sz w:val="20"/>
                <w:szCs w:val="20"/>
              </w:rPr>
            </w:pPr>
            <w:r>
              <w:rPr>
                <w:b/>
                <w:sz w:val="20"/>
                <w:szCs w:val="20"/>
              </w:rPr>
              <w:t>Éléments mesurés</w:t>
            </w:r>
          </w:p>
        </w:tc>
        <w:tc>
          <w:tcPr>
            <w:tcW w:w="1843" w:type="dxa"/>
            <w:tcBorders>
              <w:left w:val="single" w:sz="4" w:space="0" w:color="auto"/>
              <w:bottom w:val="single" w:sz="4" w:space="0" w:color="auto"/>
            </w:tcBorders>
          </w:tcPr>
          <w:p w:rsidR="00E25A3D" w:rsidRPr="00E25A3D" w:rsidRDefault="00E25A3D" w:rsidP="00E25A3D">
            <w:pPr>
              <w:spacing w:after="120"/>
              <w:jc w:val="center"/>
              <w:rPr>
                <w:b/>
                <w:sz w:val="20"/>
                <w:szCs w:val="20"/>
              </w:rPr>
            </w:pPr>
            <w:r w:rsidRPr="00E25A3D">
              <w:rPr>
                <w:b/>
                <w:sz w:val="20"/>
                <w:szCs w:val="20"/>
              </w:rPr>
              <w:t>Incertitudes</w:t>
            </w:r>
          </w:p>
        </w:tc>
      </w:tr>
      <w:tr w:rsidR="001C5017" w:rsidRPr="00E25A3D" w:rsidTr="001C5017">
        <w:tc>
          <w:tcPr>
            <w:tcW w:w="2235" w:type="dxa"/>
            <w:tcBorders>
              <w:top w:val="single" w:sz="4" w:space="0" w:color="auto"/>
              <w:right w:val="single" w:sz="4" w:space="0" w:color="auto"/>
            </w:tcBorders>
          </w:tcPr>
          <w:p w:rsidR="001C5017" w:rsidRPr="001C5017" w:rsidRDefault="001C5017" w:rsidP="00E25A3D">
            <w:pPr>
              <w:spacing w:after="120"/>
              <w:jc w:val="center"/>
              <w:rPr>
                <w:b/>
                <w:sz w:val="4"/>
                <w:szCs w:val="20"/>
              </w:rPr>
            </w:pPr>
          </w:p>
        </w:tc>
        <w:tc>
          <w:tcPr>
            <w:tcW w:w="5244" w:type="dxa"/>
            <w:tcBorders>
              <w:top w:val="single" w:sz="4" w:space="0" w:color="auto"/>
              <w:left w:val="single" w:sz="4" w:space="0" w:color="auto"/>
              <w:right w:val="single" w:sz="4" w:space="0" w:color="auto"/>
            </w:tcBorders>
          </w:tcPr>
          <w:p w:rsidR="001C5017" w:rsidRPr="001C5017" w:rsidRDefault="001C5017" w:rsidP="00E25A3D">
            <w:pPr>
              <w:spacing w:after="120"/>
              <w:jc w:val="center"/>
              <w:rPr>
                <w:b/>
                <w:sz w:val="4"/>
                <w:szCs w:val="20"/>
              </w:rPr>
            </w:pPr>
          </w:p>
        </w:tc>
        <w:tc>
          <w:tcPr>
            <w:tcW w:w="1843" w:type="dxa"/>
            <w:tcBorders>
              <w:top w:val="single" w:sz="4" w:space="0" w:color="auto"/>
              <w:left w:val="single" w:sz="4" w:space="0" w:color="auto"/>
            </w:tcBorders>
          </w:tcPr>
          <w:p w:rsidR="001C5017" w:rsidRPr="001C5017" w:rsidRDefault="001C5017" w:rsidP="00E25A3D">
            <w:pPr>
              <w:spacing w:after="120"/>
              <w:jc w:val="center"/>
              <w:rPr>
                <w:b/>
                <w:sz w:val="4"/>
                <w:szCs w:val="20"/>
              </w:rPr>
            </w:pPr>
          </w:p>
        </w:tc>
      </w:tr>
      <w:tr w:rsidR="00ED68DF" w:rsidTr="001C5017">
        <w:tc>
          <w:tcPr>
            <w:tcW w:w="2235" w:type="dxa"/>
            <w:tcBorders>
              <w:right w:val="single" w:sz="4" w:space="0" w:color="auto"/>
            </w:tcBorders>
          </w:tcPr>
          <w:p w:rsidR="00E25A3D" w:rsidRDefault="00686033" w:rsidP="00500D8A">
            <w:pPr>
              <w:spacing w:after="120"/>
              <w:jc w:val="both"/>
              <w:rPr>
                <w:sz w:val="20"/>
                <w:szCs w:val="20"/>
              </w:rPr>
            </w:pPr>
            <w:r>
              <w:rPr>
                <w:sz w:val="20"/>
                <w:szCs w:val="20"/>
              </w:rPr>
              <w:fldChar w:fldCharType="begin"/>
            </w:r>
            <w:r w:rsidR="00500D8A">
              <w:rPr>
                <w:sz w:val="20"/>
                <w:szCs w:val="20"/>
              </w:rPr>
              <w:instrText xml:space="preserve"> ADDIN EN.CITE &lt;EndNote&gt;&lt;Cite&gt;&lt;Author&gt;Pinto&lt;/Author&gt;&lt;Year&gt;2011&lt;/Year&gt;&lt;RecNum&gt;43&lt;/RecNum&gt;&lt;DisplayText&gt;[7]&lt;/DisplayText&gt;&lt;record&gt;&lt;rec-number&gt;43&lt;/rec-number&gt;&lt;foreign-keys&gt;&lt;key app="EN" db-id="wx52rweesr59wfe0tf2xdtzg5frw2ppwzpp5" timestamp="1479732436"&gt;43&lt;/key&gt;&lt;/foreign-keys&gt;&lt;ref-type name="Journal Article"&gt;17&lt;/ref-type&gt;&lt;contributors&gt;&lt;authors&gt;&lt;author&gt;Pinto, Manuel&lt;/author&gt;&lt;author&gt;Viegas, João&lt;/author&gt;&lt;author&gt;de Freitas, VP&lt;/author&gt;&lt;/authors&gt;&lt;/contributors&gt;&lt;titles&gt;&lt;title&gt;Air permeability measurements of dwellings and building components in Portugal&lt;/title&gt;&lt;secondary-title&gt;Building and Environment&lt;/secondary-title&gt;&lt;/titles&gt;&lt;periodical&gt;&lt;full-title&gt;Building and Environment&lt;/full-title&gt;&lt;/periodical&gt;&lt;pages&gt;2480-2489&lt;/pages&gt;&lt;volume&gt;46&lt;/volume&gt;&lt;number&gt;12&lt;/number&gt;&lt;dates&gt;&lt;year&gt;2011&lt;/year&gt;&lt;/dates&gt;&lt;isbn&gt;0360-1323&lt;/isbn&gt;&lt;urls&gt;&lt;/urls&gt;&lt;/record&gt;&lt;/Cite&gt;&lt;/EndNote&gt;</w:instrText>
            </w:r>
            <w:r>
              <w:rPr>
                <w:sz w:val="20"/>
                <w:szCs w:val="20"/>
              </w:rPr>
              <w:fldChar w:fldCharType="separate"/>
            </w:r>
            <w:r w:rsidR="00500D8A">
              <w:rPr>
                <w:noProof/>
                <w:sz w:val="20"/>
                <w:szCs w:val="20"/>
              </w:rPr>
              <w:t>[7]</w:t>
            </w:r>
            <w:r>
              <w:rPr>
                <w:sz w:val="20"/>
                <w:szCs w:val="20"/>
              </w:rPr>
              <w:fldChar w:fldCharType="end"/>
            </w:r>
          </w:p>
        </w:tc>
        <w:tc>
          <w:tcPr>
            <w:tcW w:w="5244" w:type="dxa"/>
            <w:tcBorders>
              <w:left w:val="single" w:sz="4" w:space="0" w:color="auto"/>
              <w:right w:val="single" w:sz="4" w:space="0" w:color="auto"/>
            </w:tcBorders>
          </w:tcPr>
          <w:p w:rsidR="00E25A3D" w:rsidRDefault="00E25A3D" w:rsidP="00E25A3D">
            <w:pPr>
              <w:spacing w:after="120"/>
              <w:jc w:val="both"/>
              <w:rPr>
                <w:sz w:val="20"/>
                <w:szCs w:val="20"/>
              </w:rPr>
            </w:pPr>
            <w:r w:rsidRPr="004B6E59">
              <w:rPr>
                <w:sz w:val="20"/>
                <w:szCs w:val="20"/>
              </w:rPr>
              <w:t>les arrivées d’air autorégulées, les fenêtres courantes, les systèmes d’extraction des salles de bain, les chapeaux de ventilation, les boîtiers des volets roulant et les portes intérieur et extérieur</w:t>
            </w:r>
          </w:p>
        </w:tc>
        <w:tc>
          <w:tcPr>
            <w:tcW w:w="1843" w:type="dxa"/>
            <w:tcBorders>
              <w:left w:val="single" w:sz="4" w:space="0" w:color="auto"/>
            </w:tcBorders>
          </w:tcPr>
          <w:p w:rsidR="00E25A3D" w:rsidRDefault="00ED68DF" w:rsidP="00ED68DF">
            <w:pPr>
              <w:spacing w:after="120"/>
              <w:jc w:val="both"/>
              <w:rPr>
                <w:sz w:val="20"/>
                <w:szCs w:val="20"/>
              </w:rPr>
            </w:pPr>
            <m:oMath>
              <m:r>
                <w:rPr>
                  <w:rFonts w:ascii="Cambria Math" w:hAnsi="Cambria Math"/>
                  <w:sz w:val="20"/>
                  <w:szCs w:val="20"/>
                </w:rPr>
                <m:t>&lt;15%</m:t>
              </m:r>
            </m:oMath>
            <w:r>
              <w:rPr>
                <w:rFonts w:eastAsiaTheme="minorEastAsia"/>
                <w:sz w:val="20"/>
                <w:szCs w:val="20"/>
              </w:rPr>
              <w:t xml:space="preserve"> </w:t>
            </w:r>
          </w:p>
        </w:tc>
      </w:tr>
      <w:tr w:rsidR="00ED68DF" w:rsidTr="00ED68DF">
        <w:tc>
          <w:tcPr>
            <w:tcW w:w="2235" w:type="dxa"/>
            <w:tcBorders>
              <w:right w:val="single" w:sz="4" w:space="0" w:color="auto"/>
            </w:tcBorders>
          </w:tcPr>
          <w:p w:rsidR="00E25A3D" w:rsidRDefault="00686033" w:rsidP="00500D8A">
            <w:pPr>
              <w:spacing w:after="120"/>
              <w:jc w:val="both"/>
              <w:rPr>
                <w:sz w:val="20"/>
                <w:szCs w:val="20"/>
              </w:rPr>
            </w:pPr>
            <w:r>
              <w:rPr>
                <w:sz w:val="20"/>
                <w:szCs w:val="20"/>
              </w:rPr>
              <w:fldChar w:fldCharType="begin"/>
            </w:r>
            <w:r w:rsidR="00500D8A">
              <w:rPr>
                <w:sz w:val="20"/>
                <w:szCs w:val="20"/>
              </w:rPr>
              <w:instrText xml:space="preserve"> ADDIN EN.CITE &lt;EndNote&gt;&lt;Cite&gt;&lt;Author&gt;Pedro F. Pereira&lt;/Author&gt;&lt;Year&gt;2009&lt;/Year&gt;&lt;RecNum&gt;44&lt;/RecNum&gt;&lt;DisplayText&gt;[17]&lt;/DisplayText&gt;&lt;record&gt;&lt;rec-number&gt;44&lt;/rec-number&gt;&lt;foreign-keys&gt;&lt;key app="EN" db-id="wx52rweesr59wfe0tf2xdtzg5frw2ppwzpp5" timestamp="1479732765"&gt;44&lt;/key&gt;&lt;/foreign-keys&gt;&lt;ref-type name="Generic"&gt;13&lt;/ref-type&gt;&lt;contributors&gt;&lt;authors&gt;&lt;author&gt;Pedro F. Pereira, Ricardo M. S. F. Almeida, Nuno M. M. Ramos and Rui Sousa&lt;/author&gt;&lt;/authors&gt;&lt;/contributors&gt;&lt;titles&gt;&lt;title&gt;Testing for building components contribution to airtightness assessment&lt;/title&gt;&lt;/titles&gt;&lt;dates&gt;&lt;year&gt;2009&lt;/year&gt;&lt;/dates&gt;&lt;urls&gt;&lt;/urls&gt;&lt;/record&gt;&lt;/Cite&gt;&lt;/EndNote&gt;</w:instrText>
            </w:r>
            <w:r>
              <w:rPr>
                <w:sz w:val="20"/>
                <w:szCs w:val="20"/>
              </w:rPr>
              <w:fldChar w:fldCharType="separate"/>
            </w:r>
            <w:r w:rsidR="00500D8A">
              <w:rPr>
                <w:noProof/>
                <w:sz w:val="20"/>
                <w:szCs w:val="20"/>
              </w:rPr>
              <w:t>[17]</w:t>
            </w:r>
            <w:r>
              <w:rPr>
                <w:sz w:val="20"/>
                <w:szCs w:val="20"/>
              </w:rPr>
              <w:fldChar w:fldCharType="end"/>
            </w:r>
          </w:p>
        </w:tc>
        <w:tc>
          <w:tcPr>
            <w:tcW w:w="5244" w:type="dxa"/>
            <w:tcBorders>
              <w:left w:val="single" w:sz="4" w:space="0" w:color="auto"/>
              <w:right w:val="single" w:sz="4" w:space="0" w:color="auto"/>
            </w:tcBorders>
          </w:tcPr>
          <w:p w:rsidR="00E25A3D" w:rsidRDefault="00E25A3D" w:rsidP="00E25A3D">
            <w:pPr>
              <w:spacing w:after="120"/>
              <w:jc w:val="both"/>
              <w:rPr>
                <w:sz w:val="20"/>
                <w:szCs w:val="20"/>
              </w:rPr>
            </w:pPr>
            <w:r w:rsidRPr="004B6E59">
              <w:rPr>
                <w:sz w:val="20"/>
                <w:szCs w:val="20"/>
              </w:rPr>
              <w:t>faîte de toiture à versant, les châssis de fenêtres et les connexions entre les colonnes métalliques et le sol</w:t>
            </w:r>
          </w:p>
        </w:tc>
        <w:tc>
          <w:tcPr>
            <w:tcW w:w="1843" w:type="dxa"/>
            <w:tcBorders>
              <w:left w:val="single" w:sz="4" w:space="0" w:color="auto"/>
            </w:tcBorders>
          </w:tcPr>
          <w:p w:rsidR="00E25A3D" w:rsidRDefault="00E25A3D" w:rsidP="00E25A3D">
            <w:pPr>
              <w:spacing w:after="120"/>
              <w:jc w:val="both"/>
              <w:rPr>
                <w:sz w:val="20"/>
                <w:szCs w:val="20"/>
              </w:rPr>
            </w:pPr>
            <w:r>
              <w:rPr>
                <w:sz w:val="20"/>
                <w:szCs w:val="20"/>
              </w:rPr>
              <w:t>Non-discutées</w:t>
            </w:r>
          </w:p>
        </w:tc>
      </w:tr>
      <w:tr w:rsidR="00ED68DF" w:rsidTr="00ED68DF">
        <w:tc>
          <w:tcPr>
            <w:tcW w:w="2235" w:type="dxa"/>
            <w:tcBorders>
              <w:right w:val="single" w:sz="4" w:space="0" w:color="auto"/>
            </w:tcBorders>
          </w:tcPr>
          <w:p w:rsidR="00E25A3D" w:rsidRDefault="00686033" w:rsidP="00500D8A">
            <w:pPr>
              <w:spacing w:after="120"/>
              <w:jc w:val="both"/>
              <w:rPr>
                <w:sz w:val="20"/>
                <w:szCs w:val="20"/>
              </w:rPr>
            </w:pPr>
            <w:r>
              <w:rPr>
                <w:sz w:val="20"/>
                <w:szCs w:val="20"/>
              </w:rPr>
              <w:fldChar w:fldCharType="begin"/>
            </w:r>
            <w:r w:rsidR="00500D8A">
              <w:rPr>
                <w:sz w:val="20"/>
                <w:szCs w:val="20"/>
              </w:rPr>
              <w:instrText xml:space="preserve"> ADDIN EN.CITE &lt;EndNote&gt;&lt;Cite&gt;&lt;Author&gt;Langmans&lt;/Author&gt;&lt;Year&gt;2010&lt;/Year&gt;&lt;RecNum&gt;106&lt;/RecNum&gt;&lt;DisplayText&gt;[6]&lt;/DisplayText&gt;&lt;record&gt;&lt;rec-number&gt;106&lt;/rec-number&gt;&lt;foreign-keys&gt;&lt;key app="EN" db-id="wx52rweesr59wfe0tf2xdtzg5frw2ppwzpp5" timestamp="1497337700"&gt;106&lt;/key&gt;&lt;/foreign-keys&gt;&lt;ref-type name="Journal Article"&gt;17&lt;/ref-type&gt;&lt;contributors&gt;&lt;authors&gt;&lt;author&gt;Langmans, Jelle&lt;/author&gt;&lt;author&gt;Klein, Ralf&lt;/author&gt;&lt;author&gt;De Paepe, Michel&lt;/author&gt;&lt;author&gt;Roels, Staf&lt;/author&gt;&lt;/authors&gt;&lt;/contributors&gt;&lt;titles&gt;&lt;title&gt;Potential of wind barriers to assure airtightness of wood-frame low energy constructions&lt;/title&gt;&lt;secondary-title&gt;Energy and Buildings&lt;/secondary-title&gt;&lt;/titles&gt;&lt;periodical&gt;&lt;full-title&gt;Energy and buildings&lt;/full-title&gt;&lt;/periodical&gt;&lt;pages&gt;2376-2385&lt;/pages&gt;&lt;volume&gt;42&lt;/volume&gt;&lt;number&gt;12&lt;/number&gt;&lt;dates&gt;&lt;year&gt;2010&lt;/year&gt;&lt;/dates&gt;&lt;isbn&gt;0378-7788&lt;/isbn&gt;&lt;urls&gt;&lt;/urls&gt;&lt;/record&gt;&lt;/Cite&gt;&lt;/EndNote&gt;</w:instrText>
            </w:r>
            <w:r>
              <w:rPr>
                <w:sz w:val="20"/>
                <w:szCs w:val="20"/>
              </w:rPr>
              <w:fldChar w:fldCharType="separate"/>
            </w:r>
            <w:r w:rsidR="00500D8A">
              <w:rPr>
                <w:noProof/>
                <w:sz w:val="20"/>
                <w:szCs w:val="20"/>
              </w:rPr>
              <w:t>[6]</w:t>
            </w:r>
            <w:r>
              <w:rPr>
                <w:sz w:val="20"/>
                <w:szCs w:val="20"/>
              </w:rPr>
              <w:fldChar w:fldCharType="end"/>
            </w:r>
          </w:p>
        </w:tc>
        <w:tc>
          <w:tcPr>
            <w:tcW w:w="5244" w:type="dxa"/>
            <w:tcBorders>
              <w:left w:val="single" w:sz="4" w:space="0" w:color="auto"/>
              <w:right w:val="single" w:sz="4" w:space="0" w:color="auto"/>
            </w:tcBorders>
          </w:tcPr>
          <w:p w:rsidR="00E25A3D" w:rsidRDefault="00ED68DF" w:rsidP="00ED68DF">
            <w:pPr>
              <w:spacing w:after="120"/>
              <w:jc w:val="both"/>
              <w:rPr>
                <w:sz w:val="20"/>
                <w:szCs w:val="20"/>
              </w:rPr>
            </w:pPr>
            <w:r>
              <w:rPr>
                <w:sz w:val="20"/>
                <w:szCs w:val="20"/>
              </w:rPr>
              <w:t>Jonction entre portes/fenêtres et mur, jonction entre fondation et barrière étanche, joints aux coins de la barrière étanche, joints de maçonnerie des façades</w:t>
            </w:r>
            <w:r w:rsidR="00E30A91">
              <w:rPr>
                <w:sz w:val="20"/>
                <w:szCs w:val="20"/>
              </w:rPr>
              <w:t>, fibre de cellulose insufflée et les finissions</w:t>
            </w:r>
          </w:p>
        </w:tc>
        <w:tc>
          <w:tcPr>
            <w:tcW w:w="1843" w:type="dxa"/>
            <w:tcBorders>
              <w:left w:val="single" w:sz="4" w:space="0" w:color="auto"/>
            </w:tcBorders>
          </w:tcPr>
          <w:p w:rsidR="00E25A3D" w:rsidRDefault="00ED68DF" w:rsidP="00ED68DF">
            <w:pPr>
              <w:spacing w:after="120"/>
              <w:jc w:val="both"/>
              <w:rPr>
                <w:sz w:val="20"/>
                <w:szCs w:val="20"/>
              </w:rPr>
            </w:pPr>
            <m:oMath>
              <m:r>
                <w:rPr>
                  <w:rFonts w:ascii="Cambria Math" w:hAnsi="Cambria Math"/>
                  <w:sz w:val="20"/>
                  <w:szCs w:val="20"/>
                </w:rPr>
                <m:t>&lt;5%</m:t>
              </m:r>
            </m:oMath>
            <w:r>
              <w:rPr>
                <w:rFonts w:eastAsiaTheme="minorEastAsia"/>
                <w:sz w:val="20"/>
                <w:szCs w:val="20"/>
              </w:rPr>
              <w:t xml:space="preserve"> </w:t>
            </w:r>
          </w:p>
        </w:tc>
      </w:tr>
      <w:tr w:rsidR="00ED68DF" w:rsidTr="00ED68DF">
        <w:tc>
          <w:tcPr>
            <w:tcW w:w="2235" w:type="dxa"/>
            <w:tcBorders>
              <w:right w:val="single" w:sz="4" w:space="0" w:color="auto"/>
            </w:tcBorders>
          </w:tcPr>
          <w:p w:rsidR="00E25A3D" w:rsidRDefault="00686033" w:rsidP="00500D8A">
            <w:pPr>
              <w:spacing w:after="120"/>
              <w:jc w:val="both"/>
              <w:rPr>
                <w:sz w:val="20"/>
                <w:szCs w:val="20"/>
              </w:rPr>
            </w:pPr>
            <w:r>
              <w:rPr>
                <w:sz w:val="20"/>
                <w:szCs w:val="20"/>
              </w:rPr>
              <w:fldChar w:fldCharType="begin"/>
            </w:r>
            <w:r w:rsidR="00500D8A">
              <w:rPr>
                <w:sz w:val="20"/>
                <w:szCs w:val="20"/>
              </w:rPr>
              <w:instrText xml:space="preserve"> ADDIN EN.CITE &lt;EndNote&gt;&lt;Cite&gt;&lt;Author&gt;Almeida&lt;/Author&gt;&lt;Year&gt;2017&lt;/Year&gt;&lt;RecNum&gt;113&lt;/RecNum&gt;&lt;DisplayText&gt;[18]&lt;/DisplayText&gt;&lt;record&gt;&lt;rec-number&gt;113&lt;/rec-number&gt;&lt;foreign-keys&gt;&lt;key app="EN" db-id="wx52rweesr59wfe0tf2xdtzg5frw2ppwzpp5" timestamp="1497338673"&gt;113&lt;/key&gt;&lt;/foreign-keys&gt;&lt;ref-type name="Journal Article"&gt;17&lt;/ref-type&gt;&lt;contributors&gt;&lt;authors&gt;&lt;author&gt;Almeida, Ricardo MSF&lt;/author&gt;&lt;author&gt;Ramos, Nuno MM&lt;/author&gt;&lt;author&gt;Pereira, Pedro F&lt;/author&gt;&lt;/authors&gt;&lt;/contributors&gt;&lt;titles&gt;&lt;title&gt;A contribution for the quantification of the influence of windows on the airtightness of Southern European buildings&lt;/title&gt;&lt;secondary-title&gt;Energy and Buildings&lt;/secondary-title&gt;&lt;/titles&gt;&lt;periodical&gt;&lt;full-title&gt;Energy and buildings&lt;/full-title&gt;&lt;/periodical&gt;&lt;dates&gt;&lt;year&gt;2017&lt;/year&gt;&lt;/dates&gt;&lt;isbn&gt;0378-7788&lt;/isbn&gt;&lt;urls&gt;&lt;/urls&gt;&lt;/record&gt;&lt;/Cite&gt;&lt;/EndNote&gt;</w:instrText>
            </w:r>
            <w:r>
              <w:rPr>
                <w:sz w:val="20"/>
                <w:szCs w:val="20"/>
              </w:rPr>
              <w:fldChar w:fldCharType="separate"/>
            </w:r>
            <w:r w:rsidR="00500D8A">
              <w:rPr>
                <w:noProof/>
                <w:sz w:val="20"/>
                <w:szCs w:val="20"/>
              </w:rPr>
              <w:t>[18]</w:t>
            </w:r>
            <w:r>
              <w:rPr>
                <w:sz w:val="20"/>
                <w:szCs w:val="20"/>
              </w:rPr>
              <w:fldChar w:fldCharType="end"/>
            </w:r>
          </w:p>
        </w:tc>
        <w:tc>
          <w:tcPr>
            <w:tcW w:w="5244" w:type="dxa"/>
            <w:tcBorders>
              <w:left w:val="single" w:sz="4" w:space="0" w:color="auto"/>
              <w:right w:val="single" w:sz="4" w:space="0" w:color="auto"/>
            </w:tcBorders>
          </w:tcPr>
          <w:p w:rsidR="00E25A3D" w:rsidRDefault="00ED68DF" w:rsidP="00E25A3D">
            <w:pPr>
              <w:spacing w:after="120"/>
              <w:jc w:val="both"/>
              <w:rPr>
                <w:sz w:val="20"/>
                <w:szCs w:val="20"/>
              </w:rPr>
            </w:pPr>
            <w:r>
              <w:rPr>
                <w:sz w:val="20"/>
                <w:szCs w:val="20"/>
              </w:rPr>
              <w:t>Performance des fenêtres</w:t>
            </w:r>
          </w:p>
        </w:tc>
        <w:tc>
          <w:tcPr>
            <w:tcW w:w="1843" w:type="dxa"/>
            <w:tcBorders>
              <w:left w:val="single" w:sz="4" w:space="0" w:color="auto"/>
            </w:tcBorders>
          </w:tcPr>
          <w:p w:rsidR="00E25A3D" w:rsidRDefault="00ED68DF" w:rsidP="00ED68DF">
            <w:pPr>
              <w:spacing w:after="120"/>
              <w:jc w:val="both"/>
              <w:rPr>
                <w:sz w:val="20"/>
                <w:szCs w:val="20"/>
              </w:rPr>
            </w:pPr>
            <w:r>
              <w:rPr>
                <w:sz w:val="20"/>
                <w:szCs w:val="20"/>
              </w:rPr>
              <w:t xml:space="preserve">Entre </w:t>
            </w:r>
            <m:oMath>
              <m:r>
                <w:rPr>
                  <w:rFonts w:ascii="Cambria Math" w:hAnsi="Cambria Math"/>
                  <w:sz w:val="20"/>
                  <w:szCs w:val="20"/>
                </w:rPr>
                <m:t>4.3%</m:t>
              </m:r>
            </m:oMath>
            <w:r>
              <w:rPr>
                <w:sz w:val="20"/>
                <w:szCs w:val="20"/>
              </w:rPr>
              <w:t xml:space="preserve"> et </w:t>
            </w:r>
            <m:oMath>
              <m:r>
                <w:rPr>
                  <w:rFonts w:ascii="Cambria Math" w:hAnsi="Cambria Math"/>
                  <w:sz w:val="20"/>
                  <w:szCs w:val="20"/>
                </w:rPr>
                <m:t>6.6%</m:t>
              </m:r>
            </m:oMath>
          </w:p>
        </w:tc>
      </w:tr>
      <w:tr w:rsidR="00ED68DF" w:rsidTr="00ED68DF">
        <w:tc>
          <w:tcPr>
            <w:tcW w:w="2235" w:type="dxa"/>
            <w:tcBorders>
              <w:right w:val="single" w:sz="4" w:space="0" w:color="auto"/>
            </w:tcBorders>
          </w:tcPr>
          <w:p w:rsidR="00E25A3D" w:rsidRDefault="00686033" w:rsidP="00500D8A">
            <w:pPr>
              <w:spacing w:after="120"/>
              <w:jc w:val="both"/>
              <w:rPr>
                <w:sz w:val="20"/>
                <w:szCs w:val="20"/>
              </w:rPr>
            </w:pPr>
            <w:r>
              <w:rPr>
                <w:sz w:val="20"/>
                <w:szCs w:val="20"/>
              </w:rPr>
              <w:fldChar w:fldCharType="begin"/>
            </w:r>
            <w:r w:rsidR="00500D8A">
              <w:rPr>
                <w:sz w:val="20"/>
                <w:szCs w:val="20"/>
              </w:rPr>
              <w:instrText xml:space="preserve"> ADDIN EN.CITE &lt;EndNote&gt;&lt;Cite&gt;&lt;Author&gt;Dickerhoff&lt;/Author&gt;&lt;Year&gt;1982&lt;/Year&gt;&lt;RecNum&gt;68&lt;/RecNum&gt;&lt;DisplayText&gt;[19]&lt;/DisplayText&gt;&lt;record&gt;&lt;rec-number&gt;68&lt;/rec-number&gt;&lt;foreign-keys&gt;&lt;key app="EN" db-id="wx52rweesr59wfe0tf2xdtzg5frw2ppwzpp5" timestamp="1480676773"&gt;68&lt;/key&gt;&lt;/foreign-keys&gt;&lt;ref-type name="Journal Article"&gt;17&lt;/ref-type&gt;&lt;contributors&gt;&lt;authors&gt;&lt;author&gt;Dickerhoff, DJ&lt;/author&gt;&lt;author&gt;Grimsrud, David T&lt;/author&gt;&lt;author&gt;Lipschutz, Ronnie D&lt;/author&gt;&lt;/authors&gt;&lt;/contributors&gt;&lt;titles&gt;&lt;title&gt;Component leakage testing in residential buildings&lt;/title&gt;&lt;secondary-title&gt;Lawrence Berkeley National Laboratory&lt;/secondary-title&gt;&lt;/titles&gt;&lt;periodical&gt;&lt;full-title&gt;Lawrence Berkeley National Laboratory&lt;/full-title&gt;&lt;/periodical&gt;&lt;dates&gt;&lt;year&gt;1982&lt;/year&gt;&lt;/dates&gt;&lt;urls&gt;&lt;/urls&gt;&lt;/record&gt;&lt;/Cite&gt;&lt;/EndNote&gt;</w:instrText>
            </w:r>
            <w:r>
              <w:rPr>
                <w:sz w:val="20"/>
                <w:szCs w:val="20"/>
              </w:rPr>
              <w:fldChar w:fldCharType="separate"/>
            </w:r>
            <w:r w:rsidR="00500D8A">
              <w:rPr>
                <w:noProof/>
                <w:sz w:val="20"/>
                <w:szCs w:val="20"/>
              </w:rPr>
              <w:t>[19]</w:t>
            </w:r>
            <w:r>
              <w:rPr>
                <w:sz w:val="20"/>
                <w:szCs w:val="20"/>
              </w:rPr>
              <w:fldChar w:fldCharType="end"/>
            </w:r>
          </w:p>
        </w:tc>
        <w:tc>
          <w:tcPr>
            <w:tcW w:w="5244" w:type="dxa"/>
            <w:tcBorders>
              <w:left w:val="single" w:sz="4" w:space="0" w:color="auto"/>
              <w:right w:val="single" w:sz="4" w:space="0" w:color="auto"/>
            </w:tcBorders>
          </w:tcPr>
          <w:p w:rsidR="00E25A3D" w:rsidRDefault="00ED68DF" w:rsidP="00E25A3D">
            <w:pPr>
              <w:spacing w:after="120"/>
              <w:jc w:val="both"/>
              <w:rPr>
                <w:sz w:val="20"/>
                <w:szCs w:val="20"/>
              </w:rPr>
            </w:pPr>
            <w:r>
              <w:rPr>
                <w:sz w:val="20"/>
                <w:szCs w:val="20"/>
              </w:rPr>
              <w:t>Multiples composants</w:t>
            </w:r>
          </w:p>
        </w:tc>
        <w:tc>
          <w:tcPr>
            <w:tcW w:w="1843" w:type="dxa"/>
            <w:tcBorders>
              <w:left w:val="single" w:sz="4" w:space="0" w:color="auto"/>
            </w:tcBorders>
          </w:tcPr>
          <w:p w:rsidR="00E25A3D" w:rsidRDefault="00ED68DF" w:rsidP="00ED68DF">
            <w:pPr>
              <w:spacing w:after="120"/>
              <w:jc w:val="both"/>
              <w:rPr>
                <w:sz w:val="20"/>
                <w:szCs w:val="20"/>
              </w:rPr>
            </w:pPr>
            <m:oMath>
              <m:r>
                <w:rPr>
                  <w:rFonts w:ascii="Cambria Math" w:hAnsi="Cambria Math"/>
                  <w:sz w:val="20"/>
                  <w:szCs w:val="20"/>
                </w:rPr>
                <m:t>± 10%</m:t>
              </m:r>
            </m:oMath>
            <w:r>
              <w:rPr>
                <w:rFonts w:eastAsiaTheme="minorEastAsia"/>
                <w:sz w:val="20"/>
                <w:szCs w:val="20"/>
              </w:rPr>
              <w:t xml:space="preserve"> </w:t>
            </w:r>
          </w:p>
        </w:tc>
      </w:tr>
    </w:tbl>
    <w:p w:rsidR="00E25A3D" w:rsidRDefault="00E25A3D" w:rsidP="00E25A3D">
      <w:pPr>
        <w:spacing w:after="120"/>
        <w:jc w:val="both"/>
        <w:rPr>
          <w:sz w:val="20"/>
          <w:szCs w:val="20"/>
        </w:rPr>
      </w:pPr>
    </w:p>
    <w:p w:rsidR="00E572A2" w:rsidRDefault="00E572A2" w:rsidP="00E25A3D">
      <w:pPr>
        <w:spacing w:after="120"/>
        <w:jc w:val="both"/>
        <w:rPr>
          <w:sz w:val="20"/>
          <w:szCs w:val="20"/>
        </w:rPr>
      </w:pPr>
    </w:p>
    <w:p w:rsidR="004B6E59" w:rsidRDefault="00E30A91" w:rsidP="00E25A3D">
      <w:pPr>
        <w:jc w:val="both"/>
        <w:rPr>
          <w:sz w:val="20"/>
          <w:szCs w:val="20"/>
        </w:rPr>
      </w:pPr>
      <w:r>
        <w:rPr>
          <w:sz w:val="20"/>
          <w:szCs w:val="20"/>
        </w:rPr>
        <w:t>C</w:t>
      </w:r>
      <w:r w:rsidR="004B6E59">
        <w:rPr>
          <w:sz w:val="20"/>
          <w:szCs w:val="20"/>
        </w:rPr>
        <w:t>ette méthode</w:t>
      </w:r>
      <w:r>
        <w:rPr>
          <w:sz w:val="20"/>
          <w:szCs w:val="20"/>
        </w:rPr>
        <w:t xml:space="preserve"> est aussi utilisée</w:t>
      </w:r>
      <w:r w:rsidR="004B6E59">
        <w:rPr>
          <w:sz w:val="20"/>
          <w:szCs w:val="20"/>
        </w:rPr>
        <w:t xml:space="preserve"> pour évaluer l’efficacité et l’impact d’une mesure de rénovati</w:t>
      </w:r>
      <w:r w:rsidR="00686033">
        <w:rPr>
          <w:sz w:val="20"/>
          <w:szCs w:val="20"/>
        </w:rPr>
        <w:t xml:space="preserve">on. C’est ce qui est fait dans </w:t>
      </w:r>
      <w:r w:rsidR="00686033">
        <w:rPr>
          <w:sz w:val="20"/>
          <w:szCs w:val="20"/>
        </w:rPr>
        <w:fldChar w:fldCharType="begin"/>
      </w:r>
      <w:r w:rsidR="00500D8A">
        <w:rPr>
          <w:sz w:val="20"/>
          <w:szCs w:val="20"/>
        </w:rPr>
        <w:instrText xml:space="preserve"> ADDIN EN.CITE &lt;EndNote&gt;&lt;Cite&gt;&lt;Author&gt;Hrvoje Krstic&lt;/Author&gt;&lt;Year&gt;2014&lt;/Year&gt;&lt;RecNum&gt;45&lt;/RecNum&gt;&lt;DisplayText&gt;[20]&lt;/DisplayText&gt;&lt;record&gt;&lt;rec-number&gt;45&lt;/rec-number&gt;&lt;foreign-keys&gt;&lt;key app="EN" db-id="wx52rweesr59wfe0tf2xdtzg5frw2ppwzpp5" timestamp="1479733088"&gt;45&lt;/key&gt;&lt;/foreign-keys&gt;&lt;ref-type name="Journal Article"&gt;17&lt;/ref-type&gt;&lt;contributors&gt;&lt;authors&gt;&lt;author&gt;Hrvoje Krstic, Zeljko Koski, Matija Tomljanovic&lt;/author&gt;&lt;/authors&gt;&lt;/contributors&gt;&lt;titles&gt;&lt;title&gt;Influence of window type on the airtightness of residential units&lt;/title&gt;&lt;secondary-title&gt;e-GFOS&lt;/secondary-title&gt;&lt;/titles&gt;&lt;periodical&gt;&lt;full-title&gt;e-GFOS&lt;/full-title&gt;&lt;/periodical&gt;&lt;pages&gt;34-40&lt;/pages&gt;&lt;volume&gt;5&lt;/volume&gt;&lt;number&gt;9&lt;/number&gt;&lt;dates&gt;&lt;year&gt;2014&lt;/year&gt;&lt;/dates&gt;&lt;urls&gt;&lt;/urls&gt;&lt;/record&gt;&lt;/Cite&gt;&lt;/EndNote&gt;</w:instrText>
      </w:r>
      <w:r w:rsidR="00686033">
        <w:rPr>
          <w:sz w:val="20"/>
          <w:szCs w:val="20"/>
        </w:rPr>
        <w:fldChar w:fldCharType="separate"/>
      </w:r>
      <w:r w:rsidR="00500D8A">
        <w:rPr>
          <w:noProof/>
          <w:sz w:val="20"/>
          <w:szCs w:val="20"/>
        </w:rPr>
        <w:t>[20]</w:t>
      </w:r>
      <w:r w:rsidR="00686033">
        <w:rPr>
          <w:sz w:val="20"/>
          <w:szCs w:val="20"/>
        </w:rPr>
        <w:fldChar w:fldCharType="end"/>
      </w:r>
      <w:r w:rsidR="00686033">
        <w:rPr>
          <w:sz w:val="20"/>
          <w:szCs w:val="20"/>
        </w:rPr>
        <w:t xml:space="preserve"> </w:t>
      </w:r>
      <w:r w:rsidR="004B6E59">
        <w:rPr>
          <w:sz w:val="20"/>
          <w:szCs w:val="20"/>
        </w:rPr>
        <w:t xml:space="preserve">et </w:t>
      </w:r>
      <w:r w:rsidR="00686033">
        <w:rPr>
          <w:sz w:val="20"/>
          <w:szCs w:val="20"/>
        </w:rPr>
        <w:fldChar w:fldCharType="begin"/>
      </w:r>
      <w:r w:rsidR="00500D8A">
        <w:rPr>
          <w:sz w:val="20"/>
          <w:szCs w:val="20"/>
        </w:rPr>
        <w:instrText xml:space="preserve"> ADDIN EN.CITE &lt;EndNote&gt;&lt;Cite&gt;&lt;Author&gt;Urquhart&lt;/Author&gt;&lt;Year&gt;2015&lt;/Year&gt;&lt;RecNum&gt;46&lt;/RecNum&gt;&lt;DisplayText&gt;[21]&lt;/DisplayText&gt;&lt;record&gt;&lt;rec-number&gt;46&lt;/rec-number&gt;&lt;foreign-keys&gt;&lt;key app="EN" db-id="wx52rweesr59wfe0tf2xdtzg5frw2ppwzpp5" timestamp="1479733213"&gt;46&lt;/key&gt;&lt;/foreign-keys&gt;&lt;ref-type name="Journal Article"&gt;17&lt;/ref-type&gt;&lt;contributors&gt;&lt;authors&gt;&lt;author&gt;Urquhart, Robin&lt;/author&gt;&lt;author&gt;Richman, Russell&lt;/author&gt;&lt;author&gt;Finch, Graham&lt;/author&gt;&lt;/authors&gt;&lt;/contributors&gt;&lt;titles&gt;&lt;title&gt;The effect of an enclosure retrofit on air leakage rates for a multi-unit residential case-study building&lt;/title&gt;&lt;secondary-title&gt;Energy and Buildings&lt;/secondary-title&gt;&lt;/titles&gt;&lt;periodical&gt;&lt;full-title&gt;Energy and buildings&lt;/full-title&gt;&lt;/periodical&gt;&lt;pages&gt;35-44&lt;/pages&gt;&lt;volume&gt;86&lt;/volume&gt;&lt;dates&gt;&lt;year&gt;2015&lt;/year&gt;&lt;/dates&gt;&lt;isbn&gt;0378-7788&lt;/isbn&gt;&lt;urls&gt;&lt;/urls&gt;&lt;/record&gt;&lt;/Cite&gt;&lt;/EndNote&gt;</w:instrText>
      </w:r>
      <w:r w:rsidR="00686033">
        <w:rPr>
          <w:sz w:val="20"/>
          <w:szCs w:val="20"/>
        </w:rPr>
        <w:fldChar w:fldCharType="separate"/>
      </w:r>
      <w:r w:rsidR="00500D8A">
        <w:rPr>
          <w:noProof/>
          <w:sz w:val="20"/>
          <w:szCs w:val="20"/>
        </w:rPr>
        <w:t>[21]</w:t>
      </w:r>
      <w:r w:rsidR="00686033">
        <w:rPr>
          <w:sz w:val="20"/>
          <w:szCs w:val="20"/>
        </w:rPr>
        <w:fldChar w:fldCharType="end"/>
      </w:r>
      <w:r w:rsidR="00686033">
        <w:rPr>
          <w:sz w:val="20"/>
          <w:szCs w:val="20"/>
        </w:rPr>
        <w:t>.</w:t>
      </w:r>
    </w:p>
    <w:p w:rsidR="00917661" w:rsidRPr="004B6E59" w:rsidRDefault="00917661" w:rsidP="00E25A3D">
      <w:pPr>
        <w:jc w:val="both"/>
        <w:rPr>
          <w:sz w:val="20"/>
          <w:szCs w:val="20"/>
        </w:rPr>
      </w:pPr>
      <w:r>
        <w:rPr>
          <w:sz w:val="20"/>
          <w:szCs w:val="20"/>
        </w:rPr>
        <w:t>Il s’agit d’une méthode très simple à mettre en place puisque le système de pressurisation est souvent déjà requis pour d’autres tests. Cependant elle mesure des grandeurs importantes (</w:t>
      </w:r>
      <w:r w:rsidR="00856141">
        <w:rPr>
          <w:sz w:val="20"/>
          <w:szCs w:val="20"/>
        </w:rPr>
        <w:t xml:space="preserve">disons </w:t>
      </w:r>
      <w:r>
        <w:rPr>
          <w:sz w:val="20"/>
          <w:szCs w:val="20"/>
        </w:rPr>
        <w:t xml:space="preserve">entre </w:t>
      </w:r>
      <w:r w:rsidR="007F12A7">
        <w:rPr>
          <w:sz w:val="20"/>
          <w:szCs w:val="20"/>
        </w:rPr>
        <w:t>100</w:t>
      </w:r>
      <w:r>
        <w:rPr>
          <w:sz w:val="20"/>
          <w:szCs w:val="20"/>
        </w:rPr>
        <w:t xml:space="preserve"> et</w:t>
      </w:r>
      <w:r w:rsidR="00856141">
        <w:rPr>
          <w:sz w:val="20"/>
          <w:szCs w:val="20"/>
        </w:rPr>
        <w:t xml:space="preserve"> 500 </w:t>
      </w:r>
      <m:oMath>
        <m:sSup>
          <m:sSupPr>
            <m:ctrlPr>
              <w:rPr>
                <w:rFonts w:ascii="Cambria Math" w:hAnsi="Cambria Math"/>
                <w:i/>
                <w:sz w:val="20"/>
                <w:szCs w:val="20"/>
              </w:rPr>
            </m:ctrlPr>
          </m:sSupPr>
          <m:e>
            <m:r>
              <w:rPr>
                <w:rFonts w:ascii="Cambria Math" w:hAnsi="Cambria Math"/>
                <w:sz w:val="20"/>
                <w:szCs w:val="20"/>
              </w:rPr>
              <m:t>m</m:t>
            </m:r>
          </m:e>
          <m:sup>
            <m:r>
              <w:rPr>
                <w:rFonts w:ascii="Cambria Math" w:hAnsi="Cambria Math"/>
                <w:sz w:val="20"/>
                <w:szCs w:val="20"/>
              </w:rPr>
              <m:t>3</m:t>
            </m:r>
          </m:sup>
        </m:sSup>
        <m:r>
          <w:rPr>
            <w:rFonts w:ascii="Cambria Math" w:hAnsi="Cambria Math"/>
            <w:sz w:val="20"/>
            <w:szCs w:val="20"/>
          </w:rPr>
          <m:t>/h</m:t>
        </m:r>
      </m:oMath>
      <w:r w:rsidR="00856141">
        <w:rPr>
          <w:rFonts w:eastAsiaTheme="minorEastAsia"/>
          <w:sz w:val="20"/>
          <w:szCs w:val="20"/>
        </w:rPr>
        <w:t xml:space="preserve"> </w:t>
      </w:r>
      <w:r w:rsidR="00856141">
        <w:rPr>
          <w:rFonts w:eastAsiaTheme="minorEastAsia"/>
          <w:sz w:val="20"/>
          <w:szCs w:val="20"/>
        </w:rPr>
        <w:lastRenderedPageBreak/>
        <w:t>pour les bâtiments passifs</w:t>
      </w:r>
      <w:r w:rsidR="007F12A7">
        <w:rPr>
          <w:rFonts w:eastAsiaTheme="minorEastAsia"/>
          <w:sz w:val="20"/>
          <w:szCs w:val="20"/>
        </w:rPr>
        <w:t xml:space="preserve"> de dimension faible ou moyenne</w:t>
      </w:r>
      <w:r w:rsidR="00856141">
        <w:rPr>
          <w:rFonts w:eastAsiaTheme="minorEastAsia"/>
          <w:sz w:val="20"/>
          <w:szCs w:val="20"/>
        </w:rPr>
        <w:t>) avec une incertitude importante aussi (entre 4 et 10%).</w:t>
      </w:r>
      <w:r>
        <w:rPr>
          <w:sz w:val="20"/>
          <w:szCs w:val="20"/>
        </w:rPr>
        <w:t xml:space="preserve"> </w:t>
      </w:r>
    </w:p>
    <w:p w:rsidR="00EC4573" w:rsidRPr="006624BA" w:rsidRDefault="00CA39F0" w:rsidP="00A7144E">
      <w:pPr>
        <w:pStyle w:val="Titre3"/>
        <w:numPr>
          <w:ilvl w:val="2"/>
          <w:numId w:val="3"/>
        </w:numPr>
        <w:spacing w:line="259" w:lineRule="auto"/>
        <w:rPr>
          <w:color w:val="000000" w:themeColor="text1"/>
          <w:lang w:val="fr-BE"/>
        </w:rPr>
      </w:pPr>
      <w:r>
        <w:rPr>
          <w:color w:val="000000" w:themeColor="text1"/>
          <w:lang w:val="fr-BE"/>
        </w:rPr>
        <w:t>Méthode acoustique</w:t>
      </w:r>
    </w:p>
    <w:p w:rsidR="00856141" w:rsidRDefault="00CA39F0" w:rsidP="00E70B38">
      <w:pPr>
        <w:jc w:val="both"/>
        <w:rPr>
          <w:sz w:val="20"/>
          <w:szCs w:val="20"/>
        </w:rPr>
      </w:pPr>
      <w:r>
        <w:rPr>
          <w:sz w:val="20"/>
          <w:szCs w:val="20"/>
        </w:rPr>
        <w:t xml:space="preserve">Le son se déplaçant sous forme d’onde à travers l’air, des chercheurs ont logiquement cherché une manière de relier </w:t>
      </w:r>
      <w:r w:rsidR="00E70B38">
        <w:rPr>
          <w:sz w:val="20"/>
          <w:szCs w:val="20"/>
        </w:rPr>
        <w:t>l’étanchéité à l’air d’un bâtiment et l’atténuation sonore à travers la paroi d’un bâtiment</w:t>
      </w:r>
      <w:r>
        <w:rPr>
          <w:sz w:val="20"/>
          <w:szCs w:val="20"/>
        </w:rPr>
        <w:t>. En 201</w:t>
      </w:r>
      <w:r w:rsidR="00E70B38">
        <w:rPr>
          <w:sz w:val="20"/>
          <w:szCs w:val="20"/>
        </w:rPr>
        <w:t>4</w:t>
      </w:r>
      <w:r>
        <w:rPr>
          <w:sz w:val="20"/>
          <w:szCs w:val="20"/>
        </w:rPr>
        <w:t xml:space="preserve">, </w:t>
      </w:r>
      <w:r w:rsidR="00E70B38">
        <w:rPr>
          <w:sz w:val="20"/>
          <w:szCs w:val="20"/>
        </w:rPr>
        <w:t>des auteurs</w:t>
      </w:r>
      <w:r>
        <w:rPr>
          <w:sz w:val="20"/>
          <w:szCs w:val="20"/>
        </w:rPr>
        <w:t xml:space="preserve"> présente</w:t>
      </w:r>
      <w:r w:rsidR="00E70B38">
        <w:rPr>
          <w:sz w:val="20"/>
          <w:szCs w:val="20"/>
        </w:rPr>
        <w:t>nt</w:t>
      </w:r>
      <w:r>
        <w:rPr>
          <w:sz w:val="20"/>
          <w:szCs w:val="20"/>
        </w:rPr>
        <w:t xml:space="preserve"> l’approche acoustique </w:t>
      </w:r>
      <w:r w:rsidR="00E70B38">
        <w:rPr>
          <w:sz w:val="20"/>
          <w:szCs w:val="20"/>
        </w:rPr>
        <w:t>comme ayant le potentiel de, à terme, remplacer le</w:t>
      </w:r>
      <w:r w:rsidR="00686033">
        <w:rPr>
          <w:sz w:val="20"/>
          <w:szCs w:val="20"/>
        </w:rPr>
        <w:t xml:space="preserve">s méthodes de mesure actuelles </w:t>
      </w:r>
      <w:r w:rsidR="00686033">
        <w:rPr>
          <w:sz w:val="20"/>
          <w:szCs w:val="20"/>
        </w:rPr>
        <w:fldChar w:fldCharType="begin"/>
      </w:r>
      <w:r w:rsidR="00500D8A">
        <w:rPr>
          <w:sz w:val="20"/>
          <w:szCs w:val="20"/>
        </w:rPr>
        <w:instrText xml:space="preserve"> ADDIN EN.CITE &lt;EndNote&gt;&lt;Cite&gt;&lt;Author&gt;Raman&lt;/Author&gt;&lt;Year&gt;2014&lt;/Year&gt;&lt;RecNum&gt;80&lt;/RecNum&gt;&lt;DisplayText&gt;[22]&lt;/DisplayText&gt;&lt;record&gt;&lt;rec-number&gt;80&lt;/rec-number&gt;&lt;foreign-keys&gt;&lt;key app="EN" db-id="wx52rweesr59wfe0tf2xdtzg5frw2ppwzpp5" timestamp="1480686700"&gt;80&lt;/key&gt;&lt;/foreign-keys&gt;&lt;ref-type name="Conference Proceedings"&gt;10&lt;/ref-type&gt;&lt;contributors&gt;&lt;authors&gt;&lt;author&gt;Raman, Ganesh&lt;/author&gt;&lt;author&gt;Chelliah, Kanthasamy&lt;/author&gt;&lt;author&gt;Prakash, Manisha&lt;/author&gt;&lt;author&gt;Muehleisen, Ralph T&lt;/author&gt;&lt;/authors&gt;&lt;/contributors&gt;&lt;titles&gt;&lt;title&gt;Detection and quantification of building air infiltration using remote acoustic methods&lt;/title&gt;&lt;secondary-title&gt;43rd International Congress on Noise Control Engineering November&lt;/secondary-title&gt;&lt;/titles&gt;&lt;pages&gt;16-19&lt;/pages&gt;&lt;dates&gt;&lt;year&gt;2014&lt;/year&gt;&lt;/dates&gt;&lt;urls&gt;&lt;/urls&gt;&lt;/record&gt;&lt;/Cite&gt;&lt;/EndNote&gt;</w:instrText>
      </w:r>
      <w:r w:rsidR="00686033">
        <w:rPr>
          <w:sz w:val="20"/>
          <w:szCs w:val="20"/>
        </w:rPr>
        <w:fldChar w:fldCharType="separate"/>
      </w:r>
      <w:r w:rsidR="00500D8A">
        <w:rPr>
          <w:noProof/>
          <w:sz w:val="20"/>
          <w:szCs w:val="20"/>
        </w:rPr>
        <w:t>[22]</w:t>
      </w:r>
      <w:r w:rsidR="00686033">
        <w:rPr>
          <w:sz w:val="20"/>
          <w:szCs w:val="20"/>
        </w:rPr>
        <w:fldChar w:fldCharType="end"/>
      </w:r>
      <w:r w:rsidR="00E70B38">
        <w:rPr>
          <w:sz w:val="20"/>
          <w:szCs w:val="20"/>
        </w:rPr>
        <w:t>. De son côté, en 2015 l</w:t>
      </w:r>
      <w:r>
        <w:rPr>
          <w:sz w:val="20"/>
          <w:szCs w:val="20"/>
        </w:rPr>
        <w:t xml:space="preserve">e CSTC a tenté une approche pour quantifier les fuites d’air à partir de la mesure d’atténuation de l’onde </w:t>
      </w:r>
      <w:r w:rsidR="00686033">
        <w:rPr>
          <w:sz w:val="20"/>
          <w:szCs w:val="20"/>
        </w:rPr>
        <w:t xml:space="preserve">sonore </w:t>
      </w:r>
      <w:r w:rsidR="00686033">
        <w:rPr>
          <w:sz w:val="20"/>
          <w:szCs w:val="20"/>
        </w:rPr>
        <w:fldChar w:fldCharType="begin"/>
      </w:r>
      <w:r w:rsidR="00500D8A">
        <w:rPr>
          <w:sz w:val="20"/>
          <w:szCs w:val="20"/>
        </w:rPr>
        <w:instrText xml:space="preserve"> ADDIN EN.CITE &lt;EndNote&gt;&lt;Cite&gt;&lt;Author&gt;Duray&lt;/Author&gt;&lt;Year&gt;2015&lt;/Year&gt;&lt;RecNum&gt;79&lt;/RecNum&gt;&lt;DisplayText&gt;[23]&lt;/DisplayText&gt;&lt;record&gt;&lt;rec-number&gt;79&lt;/rec-number&gt;&lt;foreign-keys&gt;&lt;key app="EN" db-id="wx52rweesr59wfe0tf2xdtzg5frw2ppwzpp5" timestamp="1480686668"&gt;79&lt;/key&gt;&lt;/foreign-keys&gt;&lt;ref-type name="Journal Article"&gt;17&lt;/ref-type&gt;&lt;contributors&gt;&lt;authors&gt;&lt;author&gt;N. Duray &amp;#xD;B. Michaux&lt;/author&gt;&lt;/authors&gt;&lt;/contributors&gt;&lt;titles&gt;&lt;title&gt;Elaboration d’un protocole expérimental en vue de déterminer l’étanchéité à l’air de bâtiments et de parois via les ultrasons&lt;/title&gt;&lt;secondary-title&gt;Revue scientifique des ingénieurs industriels&lt;/secondary-title&gt;&lt;/titles&gt;&lt;periodical&gt;&lt;full-title&gt;Revue scientifique des ingénieurs industriels&lt;/full-title&gt;&lt;/periodical&gt;&lt;volume&gt;29&lt;/volume&gt;&lt;dates&gt;&lt;year&gt;2015&lt;/year&gt;&lt;/dates&gt;&lt;urls&gt;&lt;/urls&gt;&lt;/record&gt;&lt;/Cite&gt;&lt;/EndNote&gt;</w:instrText>
      </w:r>
      <w:r w:rsidR="00686033">
        <w:rPr>
          <w:sz w:val="20"/>
          <w:szCs w:val="20"/>
        </w:rPr>
        <w:fldChar w:fldCharType="separate"/>
      </w:r>
      <w:r w:rsidR="00500D8A">
        <w:rPr>
          <w:noProof/>
          <w:sz w:val="20"/>
          <w:szCs w:val="20"/>
        </w:rPr>
        <w:t>[23]</w:t>
      </w:r>
      <w:r w:rsidR="00686033">
        <w:rPr>
          <w:sz w:val="20"/>
          <w:szCs w:val="20"/>
        </w:rPr>
        <w:fldChar w:fldCharType="end"/>
      </w:r>
      <w:r>
        <w:rPr>
          <w:sz w:val="20"/>
          <w:szCs w:val="20"/>
        </w:rPr>
        <w:t xml:space="preserve">. </w:t>
      </w:r>
    </w:p>
    <w:p w:rsidR="00856141" w:rsidRPr="00C17AB7" w:rsidRDefault="00E70B38" w:rsidP="00E70B38">
      <w:pPr>
        <w:jc w:val="both"/>
        <w:rPr>
          <w:sz w:val="20"/>
          <w:szCs w:val="20"/>
        </w:rPr>
      </w:pPr>
      <w:r>
        <w:rPr>
          <w:sz w:val="20"/>
          <w:szCs w:val="20"/>
        </w:rPr>
        <w:t>Bien que prometteuse, la méthode demande encore de nombreuses améliorations (les auteurs estiment que les 5500 mesures réalisées ne représentent qu’une faible proportion des mesures nécessaires pour l’établissement d’une telle méthode).</w:t>
      </w:r>
      <w:r w:rsidR="007F12A7">
        <w:rPr>
          <w:sz w:val="20"/>
          <w:szCs w:val="20"/>
        </w:rPr>
        <w:t xml:space="preserve"> Les débits mesurés sont entre 0 et 10 </w:t>
      </w:r>
      <m:oMath>
        <m:sSup>
          <m:sSupPr>
            <m:ctrlPr>
              <w:rPr>
                <w:rFonts w:ascii="Cambria Math" w:hAnsi="Cambria Math"/>
                <w:i/>
                <w:sz w:val="20"/>
                <w:szCs w:val="20"/>
              </w:rPr>
            </m:ctrlPr>
          </m:sSupPr>
          <m:e>
            <m:r>
              <w:rPr>
                <w:rFonts w:ascii="Cambria Math" w:hAnsi="Cambria Math"/>
                <w:sz w:val="20"/>
                <w:szCs w:val="20"/>
              </w:rPr>
              <m:t>m</m:t>
            </m:r>
          </m:e>
          <m:sup>
            <m:r>
              <w:rPr>
                <w:rFonts w:ascii="Cambria Math" w:hAnsi="Cambria Math"/>
                <w:sz w:val="20"/>
                <w:szCs w:val="20"/>
              </w:rPr>
              <m:t>3</m:t>
            </m:r>
          </m:sup>
        </m:sSup>
        <m:r>
          <w:rPr>
            <w:rFonts w:ascii="Cambria Math" w:hAnsi="Cambria Math"/>
            <w:sz w:val="20"/>
            <w:szCs w:val="20"/>
          </w:rPr>
          <m:t>/h</m:t>
        </m:r>
      </m:oMath>
      <w:r w:rsidR="007F12A7">
        <w:rPr>
          <w:rFonts w:eastAsiaTheme="minorEastAsia"/>
          <w:sz w:val="20"/>
          <w:szCs w:val="20"/>
        </w:rPr>
        <w:t xml:space="preserve"> et la précision de mesure n’est pas établie.</w:t>
      </w:r>
    </w:p>
    <w:p w:rsidR="00EC4573" w:rsidRPr="006624BA" w:rsidRDefault="00EC4573" w:rsidP="00A7144E">
      <w:pPr>
        <w:pStyle w:val="Titre3"/>
        <w:numPr>
          <w:ilvl w:val="2"/>
          <w:numId w:val="3"/>
        </w:numPr>
        <w:spacing w:line="259" w:lineRule="auto"/>
        <w:rPr>
          <w:color w:val="000000" w:themeColor="text1"/>
          <w:lang w:val="fr-BE"/>
        </w:rPr>
      </w:pPr>
      <w:r w:rsidRPr="006624BA">
        <w:rPr>
          <w:color w:val="000000" w:themeColor="text1"/>
          <w:lang w:val="fr-BE"/>
        </w:rPr>
        <w:t>An</w:t>
      </w:r>
      <w:r w:rsidR="00856141">
        <w:rPr>
          <w:color w:val="000000" w:themeColor="text1"/>
          <w:lang w:val="fr-BE"/>
        </w:rPr>
        <w:t>émomètre</w:t>
      </w:r>
    </w:p>
    <w:p w:rsidR="00BF32D8" w:rsidRDefault="00BF32D8" w:rsidP="001C5017">
      <w:pPr>
        <w:jc w:val="both"/>
        <w:rPr>
          <w:sz w:val="20"/>
          <w:szCs w:val="20"/>
        </w:rPr>
      </w:pPr>
      <w:r>
        <w:rPr>
          <w:sz w:val="20"/>
          <w:szCs w:val="20"/>
        </w:rPr>
        <w:t xml:space="preserve">Un </w:t>
      </w:r>
      <w:r w:rsidRPr="00BF32D8">
        <w:rPr>
          <w:sz w:val="20"/>
          <w:szCs w:val="20"/>
        </w:rPr>
        <w:t>anémomètre (</w:t>
      </w:r>
      <w:r w:rsidRPr="00BF32D8">
        <w:rPr>
          <w:sz w:val="20"/>
          <w:szCs w:val="20"/>
        </w:rPr>
        <w:fldChar w:fldCharType="begin"/>
      </w:r>
      <w:r w:rsidRPr="00BF32D8">
        <w:rPr>
          <w:sz w:val="20"/>
          <w:szCs w:val="20"/>
        </w:rPr>
        <w:instrText xml:space="preserve"> REF _Ref484792326 \h </w:instrText>
      </w:r>
      <w:r>
        <w:rPr>
          <w:sz w:val="20"/>
          <w:szCs w:val="20"/>
        </w:rPr>
        <w:instrText xml:space="preserve"> \* MERGEFORMAT </w:instrText>
      </w:r>
      <w:r w:rsidRPr="00BF32D8">
        <w:rPr>
          <w:sz w:val="20"/>
          <w:szCs w:val="20"/>
        </w:rPr>
      </w:r>
      <w:r w:rsidRPr="00BF32D8">
        <w:rPr>
          <w:sz w:val="20"/>
          <w:szCs w:val="20"/>
        </w:rPr>
        <w:fldChar w:fldCharType="separate"/>
      </w:r>
      <w:r w:rsidR="0004457E" w:rsidRPr="0004457E">
        <w:rPr>
          <w:b/>
          <w:sz w:val="20"/>
          <w:szCs w:val="20"/>
        </w:rPr>
        <w:t>Figure 2</w:t>
      </w:r>
      <w:r w:rsidRPr="00BF32D8">
        <w:rPr>
          <w:sz w:val="20"/>
          <w:szCs w:val="20"/>
        </w:rPr>
        <w:fldChar w:fldCharType="end"/>
      </w:r>
      <w:r w:rsidRPr="00BF32D8">
        <w:rPr>
          <w:sz w:val="20"/>
          <w:szCs w:val="20"/>
        </w:rPr>
        <w:t>) est un instrument</w:t>
      </w:r>
      <w:r>
        <w:rPr>
          <w:sz w:val="20"/>
          <w:szCs w:val="20"/>
        </w:rPr>
        <w:t xml:space="preserve"> permettant de mesurer le flux d’air à travers une certaine section (souvent circulaire). Cette technique es</w:t>
      </w:r>
      <w:r w:rsidR="003C46F3">
        <w:rPr>
          <w:sz w:val="20"/>
          <w:szCs w:val="20"/>
        </w:rPr>
        <w:t xml:space="preserve">t utilisée dans </w:t>
      </w:r>
      <w:r w:rsidR="003C46F3">
        <w:rPr>
          <w:sz w:val="20"/>
          <w:szCs w:val="20"/>
        </w:rPr>
        <w:fldChar w:fldCharType="begin"/>
      </w:r>
      <w:r w:rsidR="00500D8A">
        <w:rPr>
          <w:sz w:val="20"/>
          <w:szCs w:val="20"/>
        </w:rPr>
        <w:instrText xml:space="preserve"> ADDIN EN.CITE &lt;EndNote&gt;&lt;Cite&gt;&lt;Author&gt;Cuce&lt;/Author&gt;&lt;Year&gt;2017&lt;/Year&gt;&lt;RecNum&gt;114&lt;/RecNum&gt;&lt;DisplayText&gt;[24]&lt;/DisplayText&gt;&lt;record&gt;&lt;rec-number&gt;114&lt;/rec-number&gt;&lt;foreign-keys&gt;&lt;key app="EN" db-id="wx52rweesr59wfe0tf2xdtzg5frw2ppwzpp5" timestamp="1497339027"&gt;114&lt;/key&gt;&lt;/foreign-keys&gt;&lt;ref-type name="Journal Article"&gt;17&lt;/ref-type&gt;&lt;contributors&gt;&lt;authors&gt;&lt;author&gt;Cuce, Erdem&lt;/author&gt;&lt;/authors&gt;&lt;/contributors&gt;&lt;titles&gt;&lt;title&gt;Role of airtightness in energy loss from windows: Experimental results from in-situ tests&lt;/title&gt;&lt;secondary-title&gt;Energy and Buildings&lt;/secondary-title&gt;&lt;/titles&gt;&lt;periodical&gt;&lt;full-title&gt;Energy and buildings&lt;/full-title&gt;&lt;/periodical&gt;&lt;pages&gt;449-455&lt;/pages&gt;&lt;volume&gt;139&lt;/volume&gt;&lt;dates&gt;&lt;year&gt;2017&lt;/year&gt;&lt;/dates&gt;&lt;isbn&gt;0378-7788&lt;/isbn&gt;&lt;urls&gt;&lt;/urls&gt;&lt;/record&gt;&lt;/Cite&gt;&lt;/EndNote&gt;</w:instrText>
      </w:r>
      <w:r w:rsidR="003C46F3">
        <w:rPr>
          <w:sz w:val="20"/>
          <w:szCs w:val="20"/>
        </w:rPr>
        <w:fldChar w:fldCharType="separate"/>
      </w:r>
      <w:r w:rsidR="00500D8A">
        <w:rPr>
          <w:noProof/>
          <w:sz w:val="20"/>
          <w:szCs w:val="20"/>
        </w:rPr>
        <w:t>[24]</w:t>
      </w:r>
      <w:r w:rsidR="003C46F3">
        <w:rPr>
          <w:sz w:val="20"/>
          <w:szCs w:val="20"/>
        </w:rPr>
        <w:fldChar w:fldCharType="end"/>
      </w:r>
      <w:r>
        <w:rPr>
          <w:sz w:val="20"/>
          <w:szCs w:val="20"/>
        </w:rPr>
        <w:t xml:space="preserve"> pour estimer l’efficacité d’une rénovation pour une fenêtre. L’incertitude dans ce contexte n’est pas discutée par l’auteur.</w:t>
      </w:r>
      <w:r w:rsidR="00703A1A">
        <w:rPr>
          <w:sz w:val="20"/>
          <w:szCs w:val="20"/>
        </w:rPr>
        <w:t xml:space="preserve"> Le contexte de l’article </w:t>
      </w:r>
      <w:r w:rsidR="003C46F3">
        <w:rPr>
          <w:sz w:val="20"/>
          <w:szCs w:val="20"/>
        </w:rPr>
        <w:fldChar w:fldCharType="begin"/>
      </w:r>
      <w:r w:rsidR="00500D8A">
        <w:rPr>
          <w:sz w:val="20"/>
          <w:szCs w:val="20"/>
        </w:rPr>
        <w:instrText xml:space="preserve"> ADDIN EN.CITE &lt;EndNote&gt;&lt;Cite&gt;&lt;Author&gt;Villafruela&lt;/Author&gt;&lt;Year&gt;2016&lt;/Year&gt;&lt;RecNum&gt;115&lt;/RecNum&gt;&lt;DisplayText&gt;[25]&lt;/DisplayText&gt;&lt;record&gt;&lt;rec-number&gt;115&lt;/rec-number&gt;&lt;foreign-keys&gt;&lt;key app="EN" db-id="wx52rweesr59wfe0tf2xdtzg5frw2ppwzpp5" timestamp="1497339066"&gt;115&lt;/key&gt;&lt;/foreign-keys&gt;&lt;ref-type name="Journal Article"&gt;17&lt;/ref-type&gt;&lt;contributors&gt;&lt;authors&gt;&lt;author&gt;Villafruela, JM&lt;/author&gt;&lt;author&gt;San José, JF&lt;/author&gt;&lt;author&gt;Castro, F&lt;/author&gt;&lt;author&gt;Zarzuelo, A&lt;/author&gt;&lt;/authors&gt;&lt;/contributors&gt;&lt;titles&gt;&lt;title&gt;Airflow patterns through a sliding door during opening and foot traffic in operating rooms&lt;/title&gt;&lt;secondary-title&gt;Building and Environment&lt;/secondary-title&gt;&lt;/titles&gt;&lt;periodical&gt;&lt;full-title&gt;Building and Environment&lt;/full-title&gt;&lt;/periodical&gt;&lt;pages&gt;190-198&lt;/pages&gt;&lt;volume&gt;109&lt;/volume&gt;&lt;dates&gt;&lt;year&gt;2016&lt;/year&gt;&lt;/dates&gt;&lt;isbn&gt;0360-1323&lt;/isbn&gt;&lt;urls&gt;&lt;/urls&gt;&lt;/record&gt;&lt;/Cite&gt;&lt;/EndNote&gt;</w:instrText>
      </w:r>
      <w:r w:rsidR="003C46F3">
        <w:rPr>
          <w:sz w:val="20"/>
          <w:szCs w:val="20"/>
        </w:rPr>
        <w:fldChar w:fldCharType="separate"/>
      </w:r>
      <w:r w:rsidR="00500D8A">
        <w:rPr>
          <w:noProof/>
          <w:sz w:val="20"/>
          <w:szCs w:val="20"/>
        </w:rPr>
        <w:t>[25]</w:t>
      </w:r>
      <w:r w:rsidR="003C46F3">
        <w:rPr>
          <w:sz w:val="20"/>
          <w:szCs w:val="20"/>
        </w:rPr>
        <w:fldChar w:fldCharType="end"/>
      </w:r>
      <w:r w:rsidR="00703A1A">
        <w:rPr>
          <w:sz w:val="20"/>
          <w:szCs w:val="20"/>
        </w:rPr>
        <w:t xml:space="preserve"> est différent : l’article vise à établir la vitesse de l’air à l’ouverture d’une porte dans un hôpital. C’est aussi un anémomètre qui est utilisé dans ce contexte et qui mesure le passage d’air en 24 points différents sur la porte. </w:t>
      </w:r>
    </w:p>
    <w:p w:rsidR="00BF32D8" w:rsidRDefault="00BF32D8" w:rsidP="00BF32D8">
      <w:pPr>
        <w:keepNext/>
        <w:jc w:val="center"/>
      </w:pPr>
      <w:r>
        <w:rPr>
          <w:noProof/>
          <w:sz w:val="20"/>
          <w:szCs w:val="20"/>
          <w:lang w:val="fr-BE" w:eastAsia="fr-BE"/>
        </w:rPr>
        <w:drawing>
          <wp:inline distT="0" distB="0" distL="0" distR="0" wp14:anchorId="05610642" wp14:editId="7639B318">
            <wp:extent cx="2857500" cy="28575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mometre-digital-thermometre-mesure-vitesse-temp.jpg"/>
                    <pic:cNvPicPr/>
                  </pic:nvPicPr>
                  <pic:blipFill>
                    <a:blip r:embed="rId7">
                      <a:extLst>
                        <a:ext uri="{28A0092B-C50C-407E-A947-70E740481C1C}">
                          <a14:useLocalDpi xmlns:a14="http://schemas.microsoft.com/office/drawing/2010/main" val="0"/>
                        </a:ext>
                      </a:extLst>
                    </a:blip>
                    <a:stretch>
                      <a:fillRect/>
                    </a:stretch>
                  </pic:blipFill>
                  <pic:spPr>
                    <a:xfrm>
                      <a:off x="0" y="0"/>
                      <a:ext cx="2857500" cy="2857500"/>
                    </a:xfrm>
                    <a:prstGeom prst="rect">
                      <a:avLst/>
                    </a:prstGeom>
                  </pic:spPr>
                </pic:pic>
              </a:graphicData>
            </a:graphic>
          </wp:inline>
        </w:drawing>
      </w:r>
    </w:p>
    <w:p w:rsidR="00BF32D8" w:rsidRPr="00703A1A" w:rsidRDefault="00BF32D8" w:rsidP="00703A1A">
      <w:pPr>
        <w:pStyle w:val="Lgende"/>
        <w:jc w:val="center"/>
        <w:rPr>
          <w:color w:val="auto"/>
        </w:rPr>
      </w:pPr>
      <w:bookmarkStart w:id="9" w:name="_Ref484792326"/>
      <w:r w:rsidRPr="00BF32D8">
        <w:rPr>
          <w:b/>
          <w:color w:val="auto"/>
        </w:rPr>
        <w:t xml:space="preserve">Figure </w:t>
      </w:r>
      <w:r w:rsidRPr="00BF32D8">
        <w:rPr>
          <w:b/>
          <w:color w:val="auto"/>
        </w:rPr>
        <w:fldChar w:fldCharType="begin"/>
      </w:r>
      <w:r w:rsidRPr="00BF32D8">
        <w:rPr>
          <w:b/>
          <w:color w:val="auto"/>
        </w:rPr>
        <w:instrText xml:space="preserve"> SEQ Figure \* ARABIC </w:instrText>
      </w:r>
      <w:r w:rsidRPr="00BF32D8">
        <w:rPr>
          <w:b/>
          <w:color w:val="auto"/>
        </w:rPr>
        <w:fldChar w:fldCharType="separate"/>
      </w:r>
      <w:r w:rsidR="0004457E">
        <w:rPr>
          <w:b/>
          <w:noProof/>
          <w:color w:val="auto"/>
        </w:rPr>
        <w:t>2</w:t>
      </w:r>
      <w:r w:rsidRPr="00BF32D8">
        <w:rPr>
          <w:b/>
          <w:color w:val="auto"/>
        </w:rPr>
        <w:fldChar w:fldCharType="end"/>
      </w:r>
      <w:bookmarkEnd w:id="9"/>
      <w:r w:rsidRPr="00BF32D8">
        <w:rPr>
          <w:b/>
          <w:color w:val="auto"/>
        </w:rPr>
        <w:t xml:space="preserve"> :</w:t>
      </w:r>
      <w:r w:rsidRPr="00BF32D8">
        <w:rPr>
          <w:color w:val="auto"/>
        </w:rPr>
        <w:t xml:space="preserve"> anémomètre</w:t>
      </w:r>
    </w:p>
    <w:p w:rsidR="00EC4573" w:rsidRPr="00C17AB7" w:rsidRDefault="00856141" w:rsidP="00856141">
      <w:pPr>
        <w:jc w:val="both"/>
        <w:rPr>
          <w:sz w:val="20"/>
          <w:szCs w:val="20"/>
        </w:rPr>
      </w:pPr>
      <w:r>
        <w:rPr>
          <w:sz w:val="20"/>
          <w:szCs w:val="20"/>
        </w:rPr>
        <w:t xml:space="preserve">La méthode est relativement simple (matériel portable) et sa précision peut être assez bonne si le vent est faible et le matériel de qualité. Cependant elle dispose d’un gros défaut : il faut que le débit d’air mesuré par l’anémomètre corresponde bien au débit d’air que l’on souhaite mesurer. </w:t>
      </w:r>
      <w:r w:rsidR="005F0A3B">
        <w:rPr>
          <w:sz w:val="20"/>
          <w:szCs w:val="20"/>
        </w:rPr>
        <w:t>On les débits mesurés et la précision de l’anémomètre dépend grandement</w:t>
      </w:r>
      <w:r w:rsidR="005F0A3B">
        <w:rPr>
          <w:rFonts w:eastAsiaTheme="minorEastAsia"/>
          <w:sz w:val="20"/>
          <w:szCs w:val="20"/>
        </w:rPr>
        <w:t xml:space="preserve"> du matériel choisi. On imagine respectivement 0-50 </w:t>
      </w:r>
      <m:oMath>
        <m:sSup>
          <m:sSupPr>
            <m:ctrlPr>
              <w:rPr>
                <w:rFonts w:ascii="Cambria Math" w:eastAsiaTheme="minorEastAsia" w:hAnsi="Cambria Math"/>
                <w:i/>
                <w:sz w:val="20"/>
                <w:szCs w:val="20"/>
              </w:rPr>
            </m:ctrlPr>
          </m:sSupPr>
          <m:e>
            <m:r>
              <w:rPr>
                <w:rFonts w:ascii="Cambria Math" w:eastAsiaTheme="minorEastAsia" w:hAnsi="Cambria Math"/>
                <w:sz w:val="20"/>
                <w:szCs w:val="20"/>
              </w:rPr>
              <m:t>m</m:t>
            </m:r>
          </m:e>
          <m:sup>
            <m:r>
              <w:rPr>
                <w:rFonts w:ascii="Cambria Math" w:eastAsiaTheme="minorEastAsia" w:hAnsi="Cambria Math"/>
                <w:sz w:val="20"/>
                <w:szCs w:val="20"/>
              </w:rPr>
              <m:t>3</m:t>
            </m:r>
          </m:sup>
        </m:sSup>
        <m:r>
          <w:rPr>
            <w:rFonts w:ascii="Cambria Math" w:eastAsiaTheme="minorEastAsia" w:hAnsi="Cambria Math"/>
            <w:sz w:val="20"/>
            <w:szCs w:val="20"/>
          </w:rPr>
          <m:t>/h</m:t>
        </m:r>
      </m:oMath>
      <w:r w:rsidR="005F0A3B">
        <w:rPr>
          <w:rFonts w:eastAsiaTheme="minorEastAsia"/>
          <w:sz w:val="20"/>
          <w:szCs w:val="20"/>
        </w:rPr>
        <w:t xml:space="preserve"> et </w:t>
      </w:r>
      <m:oMath>
        <m:r>
          <w:rPr>
            <w:rFonts w:ascii="Cambria Math" w:eastAsiaTheme="minorEastAsia" w:hAnsi="Cambria Math"/>
            <w:sz w:val="20"/>
            <w:szCs w:val="20"/>
          </w:rPr>
          <m:t xml:space="preserve">± 0.1 </m:t>
        </m:r>
        <m:sSup>
          <m:sSupPr>
            <m:ctrlPr>
              <w:rPr>
                <w:rFonts w:ascii="Cambria Math" w:eastAsiaTheme="minorEastAsia" w:hAnsi="Cambria Math"/>
                <w:i/>
                <w:sz w:val="20"/>
                <w:szCs w:val="20"/>
              </w:rPr>
            </m:ctrlPr>
          </m:sSupPr>
          <m:e>
            <m:r>
              <w:rPr>
                <w:rFonts w:ascii="Cambria Math" w:eastAsiaTheme="minorEastAsia" w:hAnsi="Cambria Math"/>
                <w:sz w:val="20"/>
                <w:szCs w:val="20"/>
              </w:rPr>
              <m:t>m</m:t>
            </m:r>
          </m:e>
          <m:sup>
            <m:r>
              <w:rPr>
                <w:rFonts w:ascii="Cambria Math" w:eastAsiaTheme="minorEastAsia" w:hAnsi="Cambria Math"/>
                <w:sz w:val="20"/>
                <w:szCs w:val="20"/>
              </w:rPr>
              <m:t>3</m:t>
            </m:r>
          </m:sup>
        </m:sSup>
        <m:r>
          <w:rPr>
            <w:rFonts w:ascii="Cambria Math" w:eastAsiaTheme="minorEastAsia" w:hAnsi="Cambria Math"/>
            <w:sz w:val="20"/>
            <w:szCs w:val="20"/>
          </w:rPr>
          <m:t>/h</m:t>
        </m:r>
      </m:oMath>
      <w:r w:rsidR="005F0A3B">
        <w:rPr>
          <w:rFonts w:eastAsiaTheme="minorEastAsia"/>
          <w:sz w:val="20"/>
          <w:szCs w:val="20"/>
        </w:rPr>
        <w:t xml:space="preserve"> de précision.</w:t>
      </w:r>
    </w:p>
    <w:p w:rsidR="00EC4573" w:rsidRPr="006624BA" w:rsidRDefault="00EC4573" w:rsidP="00A7144E">
      <w:pPr>
        <w:pStyle w:val="Titre3"/>
        <w:numPr>
          <w:ilvl w:val="2"/>
          <w:numId w:val="3"/>
        </w:numPr>
        <w:spacing w:line="259" w:lineRule="auto"/>
        <w:rPr>
          <w:color w:val="000000" w:themeColor="text1"/>
          <w:lang w:val="fr-BE"/>
        </w:rPr>
      </w:pPr>
      <w:r w:rsidRPr="006624BA">
        <w:rPr>
          <w:color w:val="000000" w:themeColor="text1"/>
          <w:lang w:val="fr-BE"/>
        </w:rPr>
        <w:t>IR Camera</w:t>
      </w:r>
    </w:p>
    <w:p w:rsidR="004E3BC5" w:rsidRDefault="004F734F" w:rsidP="004E3BC5">
      <w:pPr>
        <w:jc w:val="both"/>
        <w:rPr>
          <w:sz w:val="20"/>
          <w:szCs w:val="20"/>
        </w:rPr>
      </w:pPr>
      <w:r>
        <w:rPr>
          <w:sz w:val="20"/>
          <w:szCs w:val="20"/>
        </w:rPr>
        <w:t>Dans</w:t>
      </w:r>
      <w:r w:rsidR="003C46F3">
        <w:rPr>
          <w:sz w:val="20"/>
          <w:szCs w:val="20"/>
        </w:rPr>
        <w:t xml:space="preserve"> </w:t>
      </w:r>
      <w:r w:rsidR="003C46F3">
        <w:rPr>
          <w:sz w:val="20"/>
          <w:szCs w:val="20"/>
        </w:rPr>
        <w:fldChar w:fldCharType="begin"/>
      </w:r>
      <w:r w:rsidR="00500D8A">
        <w:rPr>
          <w:sz w:val="20"/>
          <w:szCs w:val="20"/>
        </w:rPr>
        <w:instrText xml:space="preserve"> ADDIN EN.CITE &lt;EndNote&gt;&lt;Cite&gt;&lt;Author&gt;Kalamees&lt;/Author&gt;&lt;Year&gt;2017&lt;/Year&gt;&lt;RecNum&gt;110&lt;/RecNum&gt;&lt;DisplayText&gt;[13]&lt;/DisplayText&gt;&lt;record&gt;&lt;rec-number&gt;110&lt;/rec-number&gt;&lt;foreign-keys&gt;&lt;key app="EN" db-id="wx52rweesr59wfe0tf2xdtzg5frw2ppwzpp5" timestamp="1497338454"&gt;110&lt;/key&gt;&lt;/foreign-keys&gt;&lt;ref-type name="Journal Article"&gt;17&lt;/ref-type&gt;&lt;contributors&gt;&lt;authors&gt;&lt;author&gt;Kalamees, Targo&lt;/author&gt;&lt;author&gt;Alev, Üllar&lt;/author&gt;&lt;author&gt;Pärnalaas, Mihkel&lt;/author&gt;&lt;/authors&gt;&lt;/contributors&gt;&lt;titles&gt;&lt;title&gt;Air leakage levels in timber frame building envelope joints&lt;/title&gt;&lt;secondary-title&gt;Building and Environment&lt;/secondary-title&gt;&lt;/titles&gt;&lt;periodical&gt;&lt;full-title&gt;Building and Environment&lt;/full-title&gt;&lt;/periodical&gt;&lt;pages&gt;121-129&lt;/pages&gt;&lt;volume&gt;116&lt;/volume&gt;&lt;dates&gt;&lt;year&gt;2017&lt;/year&gt;&lt;/dates&gt;&lt;isbn&gt;0360-1323&lt;/isbn&gt;&lt;urls&gt;&lt;/urls&gt;&lt;/record&gt;&lt;/Cite&gt;&lt;/EndNote&gt;</w:instrText>
      </w:r>
      <w:r w:rsidR="003C46F3">
        <w:rPr>
          <w:sz w:val="20"/>
          <w:szCs w:val="20"/>
        </w:rPr>
        <w:fldChar w:fldCharType="separate"/>
      </w:r>
      <w:r w:rsidR="00500D8A">
        <w:rPr>
          <w:noProof/>
          <w:sz w:val="20"/>
          <w:szCs w:val="20"/>
        </w:rPr>
        <w:t>[13]</w:t>
      </w:r>
      <w:r w:rsidR="003C46F3">
        <w:rPr>
          <w:sz w:val="20"/>
          <w:szCs w:val="20"/>
        </w:rPr>
        <w:fldChar w:fldCharType="end"/>
      </w:r>
      <w:r w:rsidR="00D6570D">
        <w:rPr>
          <w:sz w:val="20"/>
          <w:szCs w:val="20"/>
        </w:rPr>
        <w:t>,</w:t>
      </w:r>
      <w:r>
        <w:rPr>
          <w:sz w:val="20"/>
          <w:szCs w:val="20"/>
        </w:rPr>
        <w:t xml:space="preserve"> la caméra infrarouge est utilisée d’une part pour localiser les fuites d’air et d’autre part pour déterminer leur importance. En effet, la diminution relative de température de surface intérieure est utilisée pour déterminer et classer les lieux de fuite.</w:t>
      </w:r>
      <w:r w:rsidR="00D6570D">
        <w:rPr>
          <w:sz w:val="20"/>
          <w:szCs w:val="20"/>
        </w:rPr>
        <w:t xml:space="preserve"> </w:t>
      </w:r>
      <w:r w:rsidR="003C46F3">
        <w:rPr>
          <w:sz w:val="20"/>
          <w:szCs w:val="20"/>
        </w:rPr>
        <w:t xml:space="preserve">Dans </w:t>
      </w:r>
      <w:r w:rsidR="003C46F3">
        <w:rPr>
          <w:sz w:val="20"/>
          <w:szCs w:val="20"/>
        </w:rPr>
        <w:fldChar w:fldCharType="begin"/>
      </w:r>
      <w:r w:rsidR="00500D8A">
        <w:rPr>
          <w:sz w:val="20"/>
          <w:szCs w:val="20"/>
        </w:rPr>
        <w:instrText xml:space="preserve"> ADDIN EN.CITE &lt;EndNote&gt;&lt;Cite&gt;&lt;Author&gt;Barreira&lt;/Author&gt;&lt;Year&gt;2017&lt;/Year&gt;&lt;RecNum&gt;116&lt;/RecNum&gt;&lt;DisplayText&gt;[26]&lt;/DisplayText&gt;&lt;record&gt;&lt;rec-number&gt;116&lt;/rec-number&gt;&lt;foreign-keys&gt;&lt;key app="EN" db-id="wx52rweesr59wfe0tf2xdtzg5frw2ppwzpp5" timestamp="1497339129"&gt;116&lt;/key&gt;&lt;/foreign-keys&gt;&lt;ref-type name="Journal Article"&gt;17&lt;/ref-type&gt;&lt;contributors&gt;&lt;authors&gt;&lt;author&gt;Barreira, Eva&lt;/author&gt;&lt;author&gt;Almeida, Ricardo MSF&lt;/author&gt;&lt;author&gt;Moreira, Mariana&lt;/author&gt;&lt;/authors&gt;&lt;/contributors&gt;&lt;titles&gt;&lt;title&gt;An infrared thermography passive approach to assess the effect of leakage points in buildings&lt;/title&gt;&lt;secondary-title&gt;Energy and Buildings&lt;/secondary-title&gt;&lt;/titles&gt;&lt;periodical&gt;&lt;full-title&gt;Energy and buildings&lt;/full-title&gt;&lt;/periodical&gt;&lt;pages&gt;224-235&lt;/pages&gt;&lt;volume&gt;140&lt;/volume&gt;&lt;dates&gt;&lt;year&gt;2017&lt;/year&gt;&lt;/dates&gt;&lt;isbn&gt;0378-7788&lt;/isbn&gt;&lt;urls&gt;&lt;/urls&gt;&lt;/record&gt;&lt;/Cite&gt;&lt;/EndNote&gt;</w:instrText>
      </w:r>
      <w:r w:rsidR="003C46F3">
        <w:rPr>
          <w:sz w:val="20"/>
          <w:szCs w:val="20"/>
        </w:rPr>
        <w:fldChar w:fldCharType="separate"/>
      </w:r>
      <w:r w:rsidR="00500D8A">
        <w:rPr>
          <w:noProof/>
          <w:sz w:val="20"/>
          <w:szCs w:val="20"/>
        </w:rPr>
        <w:t>[26]</w:t>
      </w:r>
      <w:r w:rsidR="003C46F3">
        <w:rPr>
          <w:sz w:val="20"/>
          <w:szCs w:val="20"/>
        </w:rPr>
        <w:fldChar w:fldCharType="end"/>
      </w:r>
      <w:r w:rsidR="008C40D8">
        <w:rPr>
          <w:sz w:val="20"/>
          <w:szCs w:val="20"/>
        </w:rPr>
        <w:t xml:space="preserve">, les auteurs vont plus loin : ils développent un indice ayant pour but de quantifier l’effet des fuites d’air </w:t>
      </w:r>
      <w:r w:rsidR="004E3BC5">
        <w:rPr>
          <w:sz w:val="20"/>
          <w:szCs w:val="20"/>
        </w:rPr>
        <w:t xml:space="preserve">sur la température de surface. </w:t>
      </w:r>
    </w:p>
    <w:p w:rsidR="00EC4573" w:rsidRDefault="004E3BC5" w:rsidP="004E3BC5">
      <w:pPr>
        <w:jc w:val="both"/>
        <w:rPr>
          <w:sz w:val="20"/>
          <w:szCs w:val="20"/>
        </w:rPr>
      </w:pPr>
      <w:r>
        <w:rPr>
          <w:sz w:val="20"/>
          <w:szCs w:val="20"/>
        </w:rPr>
        <w:lastRenderedPageBreak/>
        <w:t>En comparaison aux autres méthodes, l’IR caméra est particulièrement pratique et facile. Il est probablement que ce système de mesure se développe ces prochaines années. Malheureusement, aujourd’hui il n’existe encore aucune méthode pour quantifier les fuites d’air à l’aide de cette méthode de mesure.</w:t>
      </w:r>
    </w:p>
    <w:p w:rsidR="00EC4573" w:rsidRPr="006624BA" w:rsidRDefault="005F1B90" w:rsidP="00A7144E">
      <w:pPr>
        <w:pStyle w:val="Titre1"/>
        <w:numPr>
          <w:ilvl w:val="0"/>
          <w:numId w:val="3"/>
        </w:numPr>
        <w:pBdr>
          <w:bottom w:val="single" w:sz="4" w:space="1" w:color="595959" w:themeColor="text1" w:themeTint="A6"/>
        </w:pBdr>
        <w:spacing w:before="360" w:after="160" w:line="259" w:lineRule="auto"/>
        <w:ind w:left="432" w:hanging="432"/>
        <w:rPr>
          <w:smallCaps/>
          <w:color w:val="000000" w:themeColor="text1"/>
          <w:sz w:val="36"/>
          <w:szCs w:val="36"/>
          <w:lang w:val="fr-BE"/>
        </w:rPr>
      </w:pPr>
      <w:r>
        <w:rPr>
          <w:smallCaps/>
          <w:color w:val="000000" w:themeColor="text1"/>
          <w:sz w:val="36"/>
          <w:szCs w:val="36"/>
          <w:lang w:val="fr-BE"/>
        </w:rPr>
        <w:t>Méthode suggérée</w:t>
      </w:r>
    </w:p>
    <w:p w:rsidR="004E3BC5" w:rsidRDefault="005F0A3B" w:rsidP="00A7144E">
      <w:pPr>
        <w:pStyle w:val="Titre2"/>
        <w:numPr>
          <w:ilvl w:val="1"/>
          <w:numId w:val="3"/>
        </w:numPr>
        <w:spacing w:before="360" w:line="259" w:lineRule="auto"/>
        <w:rPr>
          <w:smallCaps/>
          <w:color w:val="000000" w:themeColor="text1"/>
          <w:sz w:val="28"/>
          <w:szCs w:val="28"/>
          <w:lang w:val="fr-BE"/>
        </w:rPr>
      </w:pPr>
      <w:r>
        <w:rPr>
          <w:smallCaps/>
          <w:color w:val="000000" w:themeColor="text1"/>
          <w:sz w:val="28"/>
          <w:szCs w:val="28"/>
          <w:lang w:val="fr-BE"/>
        </w:rPr>
        <w:t>Quelle méthode choisir ?</w:t>
      </w:r>
    </w:p>
    <w:p w:rsidR="00A40742" w:rsidRDefault="00A40742" w:rsidP="00A40742">
      <w:pPr>
        <w:spacing w:after="0"/>
        <w:jc w:val="both"/>
        <w:rPr>
          <w:sz w:val="20"/>
          <w:szCs w:val="20"/>
        </w:rPr>
      </w:pPr>
    </w:p>
    <w:p w:rsidR="00E572A2" w:rsidRDefault="00B37F0C" w:rsidP="005F0A3B">
      <w:pPr>
        <w:jc w:val="both"/>
        <w:rPr>
          <w:sz w:val="20"/>
          <w:szCs w:val="20"/>
        </w:rPr>
      </w:pPr>
      <w:r>
        <w:rPr>
          <w:sz w:val="20"/>
          <w:szCs w:val="20"/>
        </w:rPr>
        <w:t xml:space="preserve">Dans le cadre de notre projet, le choix de la méthode est guidé par les mesures désirées et les moyens disponibles. Le but est de mesurer avec précision </w:t>
      </w:r>
      <w:r>
        <w:rPr>
          <w:rFonts w:eastAsiaTheme="minorEastAsia"/>
          <w:sz w:val="20"/>
          <w:szCs w:val="20"/>
        </w:rPr>
        <w:t>(incertitude</w:t>
      </w:r>
      <m:oMath>
        <m:r>
          <w:rPr>
            <w:rFonts w:ascii="Cambria Math" w:eastAsiaTheme="minorEastAsia" w:hAnsi="Cambria Math"/>
            <w:sz w:val="20"/>
            <w:szCs w:val="20"/>
          </w:rPr>
          <m:t xml:space="preserve"> &lt;10%</m:t>
        </m:r>
      </m:oMath>
      <w:r>
        <w:rPr>
          <w:rFonts w:eastAsiaTheme="minorEastAsia"/>
          <w:sz w:val="20"/>
          <w:szCs w:val="20"/>
        </w:rPr>
        <w:t>) des débits de faible valeur (</w:t>
      </w:r>
      <m:oMath>
        <m:r>
          <w:rPr>
            <w:rFonts w:ascii="Cambria Math" w:eastAsiaTheme="minorEastAsia" w:hAnsi="Cambria Math"/>
            <w:sz w:val="20"/>
            <w:szCs w:val="20"/>
          </w:rPr>
          <m:t xml:space="preserve">0-50 </m:t>
        </m:r>
        <m:sSup>
          <m:sSupPr>
            <m:ctrlPr>
              <w:rPr>
                <w:rFonts w:ascii="Cambria Math" w:eastAsiaTheme="minorEastAsia" w:hAnsi="Cambria Math"/>
                <w:i/>
                <w:sz w:val="20"/>
                <w:szCs w:val="20"/>
              </w:rPr>
            </m:ctrlPr>
          </m:sSupPr>
          <m:e>
            <m:r>
              <w:rPr>
                <w:rFonts w:ascii="Cambria Math" w:eastAsiaTheme="minorEastAsia" w:hAnsi="Cambria Math"/>
                <w:sz w:val="20"/>
                <w:szCs w:val="20"/>
              </w:rPr>
              <m:t>m</m:t>
            </m:r>
          </m:e>
          <m:sup>
            <m:r>
              <w:rPr>
                <w:rFonts w:ascii="Cambria Math" w:eastAsiaTheme="minorEastAsia" w:hAnsi="Cambria Math"/>
                <w:sz w:val="20"/>
                <w:szCs w:val="20"/>
              </w:rPr>
              <m:t>3</m:t>
            </m:r>
          </m:sup>
        </m:sSup>
        <m:r>
          <w:rPr>
            <w:rFonts w:ascii="Cambria Math" w:eastAsiaTheme="minorEastAsia" w:hAnsi="Cambria Math"/>
            <w:sz w:val="20"/>
            <w:szCs w:val="20"/>
          </w:rPr>
          <m:t>/h</m:t>
        </m:r>
      </m:oMath>
      <w:r>
        <w:rPr>
          <w:rFonts w:eastAsiaTheme="minorEastAsia"/>
          <w:sz w:val="20"/>
          <w:szCs w:val="20"/>
        </w:rPr>
        <w:t>).</w:t>
      </w:r>
      <w:r>
        <w:rPr>
          <w:sz w:val="20"/>
          <w:szCs w:val="20"/>
        </w:rPr>
        <w:t xml:space="preserve"> A travers ce projet, nous souhaitons aussi caractériser l’impact que peut avoir la mise en œuvre d’éléments ou de détails de construction. Dans ce but, nous avons accès à un certain nombre de chantiers et orientons donc la méthode de mesure sur des mesures in-situ.</w:t>
      </w:r>
      <w:r w:rsidR="00B7480C">
        <w:rPr>
          <w:sz w:val="20"/>
          <w:szCs w:val="20"/>
        </w:rPr>
        <w:t xml:space="preserve"> </w:t>
      </w:r>
      <w:r w:rsidR="00B7480C" w:rsidRPr="00B7480C">
        <w:rPr>
          <w:sz w:val="20"/>
          <w:szCs w:val="20"/>
        </w:rPr>
        <w:t xml:space="preserve">Le </w:t>
      </w:r>
      <w:r w:rsidR="00B7480C" w:rsidRPr="00B7480C">
        <w:rPr>
          <w:sz w:val="20"/>
          <w:szCs w:val="20"/>
        </w:rPr>
        <w:fldChar w:fldCharType="begin"/>
      </w:r>
      <w:r w:rsidR="00B7480C" w:rsidRPr="00B7480C">
        <w:rPr>
          <w:sz w:val="20"/>
          <w:szCs w:val="20"/>
        </w:rPr>
        <w:instrText xml:space="preserve"> REF _Ref485043735 \h </w:instrText>
      </w:r>
      <w:r w:rsidR="00B7480C">
        <w:rPr>
          <w:sz w:val="20"/>
          <w:szCs w:val="20"/>
        </w:rPr>
        <w:instrText xml:space="preserve"> \* MERGEFORMAT </w:instrText>
      </w:r>
      <w:r w:rsidR="00B7480C" w:rsidRPr="00B7480C">
        <w:rPr>
          <w:sz w:val="20"/>
          <w:szCs w:val="20"/>
        </w:rPr>
      </w:r>
      <w:r w:rsidR="00B7480C" w:rsidRPr="00B7480C">
        <w:rPr>
          <w:sz w:val="20"/>
          <w:szCs w:val="20"/>
        </w:rPr>
        <w:fldChar w:fldCharType="separate"/>
      </w:r>
      <w:r w:rsidR="0004457E" w:rsidRPr="0004457E">
        <w:rPr>
          <w:b/>
          <w:sz w:val="20"/>
          <w:szCs w:val="20"/>
        </w:rPr>
        <w:t>Tableau 2</w:t>
      </w:r>
      <w:r w:rsidR="00B7480C" w:rsidRPr="00B7480C">
        <w:rPr>
          <w:sz w:val="20"/>
          <w:szCs w:val="20"/>
        </w:rPr>
        <w:fldChar w:fldCharType="end"/>
      </w:r>
      <w:r w:rsidR="005F0A3B" w:rsidRPr="00B7480C">
        <w:rPr>
          <w:sz w:val="20"/>
          <w:szCs w:val="20"/>
        </w:rPr>
        <w:t xml:space="preserve"> </w:t>
      </w:r>
      <w:r w:rsidR="00B7480C">
        <w:rPr>
          <w:sz w:val="20"/>
          <w:szCs w:val="20"/>
        </w:rPr>
        <w:t xml:space="preserve">reprend les méthodes de mesure présentées ci-dessus. A la lecture de ce tableau, la méthode « anémomètre » correspond le mieux à nos besoins. </w:t>
      </w:r>
    </w:p>
    <w:p w:rsidR="00B7480C" w:rsidRDefault="00B7480C" w:rsidP="005F0A3B">
      <w:pPr>
        <w:jc w:val="both"/>
        <w:rPr>
          <w:sz w:val="20"/>
          <w:szCs w:val="20"/>
        </w:rPr>
      </w:pPr>
    </w:p>
    <w:p w:rsidR="00E572A2" w:rsidRPr="00E572A2" w:rsidRDefault="00E572A2" w:rsidP="00E572A2">
      <w:pPr>
        <w:pStyle w:val="Lgende"/>
        <w:jc w:val="center"/>
        <w:rPr>
          <w:color w:val="auto"/>
        </w:rPr>
      </w:pPr>
      <w:bookmarkStart w:id="10" w:name="_Ref485043735"/>
      <w:r w:rsidRPr="00E572A2">
        <w:rPr>
          <w:b/>
          <w:color w:val="auto"/>
        </w:rPr>
        <w:t xml:space="preserve">Tableau </w:t>
      </w:r>
      <w:r w:rsidRPr="00E572A2">
        <w:rPr>
          <w:b/>
          <w:color w:val="auto"/>
        </w:rPr>
        <w:fldChar w:fldCharType="begin"/>
      </w:r>
      <w:r w:rsidRPr="00E572A2">
        <w:rPr>
          <w:b/>
          <w:color w:val="auto"/>
        </w:rPr>
        <w:instrText xml:space="preserve"> SEQ Tableau \* ARABIC </w:instrText>
      </w:r>
      <w:r w:rsidRPr="00E572A2">
        <w:rPr>
          <w:b/>
          <w:color w:val="auto"/>
        </w:rPr>
        <w:fldChar w:fldCharType="separate"/>
      </w:r>
      <w:r w:rsidR="0004457E">
        <w:rPr>
          <w:b/>
          <w:noProof/>
          <w:color w:val="auto"/>
        </w:rPr>
        <w:t>2</w:t>
      </w:r>
      <w:r w:rsidRPr="00E572A2">
        <w:rPr>
          <w:b/>
          <w:color w:val="auto"/>
        </w:rPr>
        <w:fldChar w:fldCharType="end"/>
      </w:r>
      <w:bookmarkEnd w:id="10"/>
      <w:r w:rsidRPr="00E572A2">
        <w:rPr>
          <w:b/>
          <w:color w:val="auto"/>
        </w:rPr>
        <w:t xml:space="preserve"> :</w:t>
      </w:r>
      <w:r w:rsidRPr="00E572A2">
        <w:rPr>
          <w:color w:val="auto"/>
        </w:rPr>
        <w:t xml:space="preserve"> méthodes de mesure d'étanchéité à l'air de composants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1276"/>
        <w:gridCol w:w="1701"/>
        <w:gridCol w:w="3260"/>
      </w:tblGrid>
      <w:tr w:rsidR="00DB5344" w:rsidTr="00E572A2">
        <w:tc>
          <w:tcPr>
            <w:tcW w:w="2943" w:type="dxa"/>
            <w:tcBorders>
              <w:top w:val="single" w:sz="4" w:space="0" w:color="auto"/>
              <w:bottom w:val="single" w:sz="4" w:space="0" w:color="auto"/>
            </w:tcBorders>
          </w:tcPr>
          <w:p w:rsidR="00DB5344" w:rsidRDefault="00DB5344" w:rsidP="005F0A3B">
            <w:pPr>
              <w:jc w:val="both"/>
              <w:rPr>
                <w:sz w:val="20"/>
                <w:szCs w:val="20"/>
              </w:rPr>
            </w:pPr>
          </w:p>
        </w:tc>
        <w:tc>
          <w:tcPr>
            <w:tcW w:w="1276" w:type="dxa"/>
            <w:tcBorders>
              <w:top w:val="single" w:sz="4" w:space="0" w:color="auto"/>
              <w:bottom w:val="single" w:sz="4" w:space="0" w:color="auto"/>
            </w:tcBorders>
          </w:tcPr>
          <w:p w:rsidR="00DB5344" w:rsidRPr="00DB5344" w:rsidRDefault="00DB5344" w:rsidP="00DB5344">
            <w:pPr>
              <w:jc w:val="center"/>
              <w:rPr>
                <w:b/>
                <w:sz w:val="20"/>
                <w:szCs w:val="20"/>
              </w:rPr>
            </w:pPr>
            <w:r w:rsidRPr="00DB5344">
              <w:rPr>
                <w:b/>
                <w:sz w:val="20"/>
                <w:szCs w:val="20"/>
              </w:rPr>
              <w:t>Précision</w:t>
            </w:r>
          </w:p>
        </w:tc>
        <w:tc>
          <w:tcPr>
            <w:tcW w:w="1701" w:type="dxa"/>
            <w:tcBorders>
              <w:top w:val="single" w:sz="4" w:space="0" w:color="auto"/>
              <w:bottom w:val="single" w:sz="4" w:space="0" w:color="auto"/>
            </w:tcBorders>
          </w:tcPr>
          <w:p w:rsidR="00DB5344" w:rsidRPr="00DB5344" w:rsidRDefault="00DB5344" w:rsidP="00DB5344">
            <w:pPr>
              <w:jc w:val="center"/>
              <w:rPr>
                <w:b/>
                <w:sz w:val="20"/>
                <w:szCs w:val="20"/>
              </w:rPr>
            </w:pPr>
            <w:r w:rsidRPr="00DB5344">
              <w:rPr>
                <w:b/>
                <w:sz w:val="20"/>
                <w:szCs w:val="20"/>
              </w:rPr>
              <w:t>Débits mesurés</w:t>
            </w:r>
            <w:r>
              <w:rPr>
                <w:b/>
                <w:sz w:val="20"/>
                <w:szCs w:val="20"/>
              </w:rPr>
              <w:t>*</w:t>
            </w:r>
          </w:p>
        </w:tc>
        <w:tc>
          <w:tcPr>
            <w:tcW w:w="3260" w:type="dxa"/>
            <w:tcBorders>
              <w:top w:val="single" w:sz="4" w:space="0" w:color="auto"/>
              <w:bottom w:val="single" w:sz="4" w:space="0" w:color="auto"/>
            </w:tcBorders>
          </w:tcPr>
          <w:p w:rsidR="00DB5344" w:rsidRPr="00DB5344" w:rsidRDefault="00DB5344" w:rsidP="00DB5344">
            <w:pPr>
              <w:jc w:val="center"/>
              <w:rPr>
                <w:b/>
                <w:sz w:val="20"/>
                <w:szCs w:val="20"/>
              </w:rPr>
            </w:pPr>
            <w:r>
              <w:rPr>
                <w:b/>
                <w:sz w:val="20"/>
                <w:szCs w:val="20"/>
              </w:rPr>
              <w:t>Matériel requis</w:t>
            </w:r>
            <w:r w:rsidR="00F8669E">
              <w:rPr>
                <w:b/>
                <w:sz w:val="20"/>
                <w:szCs w:val="20"/>
              </w:rPr>
              <w:t xml:space="preserve"> et commentaire</w:t>
            </w:r>
          </w:p>
        </w:tc>
      </w:tr>
      <w:tr w:rsidR="00F8669E" w:rsidTr="00E572A2">
        <w:tc>
          <w:tcPr>
            <w:tcW w:w="9180" w:type="dxa"/>
            <w:gridSpan w:val="4"/>
            <w:tcBorders>
              <w:top w:val="single" w:sz="4" w:space="0" w:color="auto"/>
            </w:tcBorders>
          </w:tcPr>
          <w:p w:rsidR="00E572A2" w:rsidRPr="00C5323C" w:rsidRDefault="00E572A2" w:rsidP="005F0A3B">
            <w:pPr>
              <w:jc w:val="both"/>
              <w:rPr>
                <w:sz w:val="10"/>
                <w:szCs w:val="20"/>
                <w:u w:val="single"/>
              </w:rPr>
            </w:pPr>
          </w:p>
          <w:p w:rsidR="00F8669E" w:rsidRPr="00F8669E" w:rsidRDefault="00F8669E" w:rsidP="005F0A3B">
            <w:pPr>
              <w:jc w:val="both"/>
              <w:rPr>
                <w:sz w:val="20"/>
                <w:szCs w:val="20"/>
                <w:u w:val="single"/>
              </w:rPr>
            </w:pPr>
            <w:r w:rsidRPr="005F0A3B">
              <w:rPr>
                <w:sz w:val="20"/>
                <w:szCs w:val="20"/>
                <w:u w:val="single"/>
              </w:rPr>
              <w:t>Laboratoire :</w:t>
            </w:r>
          </w:p>
        </w:tc>
      </w:tr>
      <w:tr w:rsidR="00DB5344" w:rsidTr="00E572A2">
        <w:tc>
          <w:tcPr>
            <w:tcW w:w="2943" w:type="dxa"/>
          </w:tcPr>
          <w:p w:rsidR="00DB5344" w:rsidRPr="005F0A3B" w:rsidRDefault="00DB5344" w:rsidP="005F0A3B">
            <w:pPr>
              <w:pStyle w:val="Paragraphedeliste"/>
              <w:numPr>
                <w:ilvl w:val="0"/>
                <w:numId w:val="8"/>
              </w:numPr>
              <w:jc w:val="both"/>
              <w:rPr>
                <w:sz w:val="20"/>
                <w:szCs w:val="20"/>
              </w:rPr>
            </w:pPr>
            <w:r>
              <w:rPr>
                <w:sz w:val="20"/>
                <w:szCs w:val="20"/>
              </w:rPr>
              <w:t>Chambre à pression</w:t>
            </w:r>
          </w:p>
        </w:tc>
        <w:tc>
          <w:tcPr>
            <w:tcW w:w="1276" w:type="dxa"/>
          </w:tcPr>
          <w:p w:rsidR="00DB5344" w:rsidRDefault="00DB5344" w:rsidP="00DB5344">
            <w:pPr>
              <w:jc w:val="center"/>
              <w:rPr>
                <w:sz w:val="20"/>
                <w:szCs w:val="20"/>
              </w:rPr>
            </w:pPr>
            <m:oMathPara>
              <m:oMath>
                <m:r>
                  <w:rPr>
                    <w:rFonts w:ascii="Cambria Math" w:hAnsi="Cambria Math"/>
                    <w:sz w:val="20"/>
                    <w:szCs w:val="20"/>
                  </w:rPr>
                  <m:t>±10%</m:t>
                </m:r>
              </m:oMath>
            </m:oMathPara>
          </w:p>
        </w:tc>
        <w:tc>
          <w:tcPr>
            <w:tcW w:w="1701" w:type="dxa"/>
          </w:tcPr>
          <w:p w:rsidR="00DB5344" w:rsidRDefault="00DB5344" w:rsidP="00DB5344">
            <w:pPr>
              <w:jc w:val="center"/>
              <w:rPr>
                <w:sz w:val="20"/>
                <w:szCs w:val="20"/>
              </w:rPr>
            </w:pPr>
            <w:r>
              <w:rPr>
                <w:sz w:val="20"/>
                <w:szCs w:val="20"/>
              </w:rPr>
              <w:t>+ +</w:t>
            </w:r>
          </w:p>
        </w:tc>
        <w:tc>
          <w:tcPr>
            <w:tcW w:w="3260" w:type="dxa"/>
          </w:tcPr>
          <w:p w:rsidR="00F8669E" w:rsidRDefault="00DB5344" w:rsidP="00DB5344">
            <w:pPr>
              <w:jc w:val="both"/>
              <w:rPr>
                <w:sz w:val="20"/>
                <w:szCs w:val="20"/>
              </w:rPr>
            </w:pPr>
            <w:r>
              <w:rPr>
                <w:sz w:val="20"/>
                <w:szCs w:val="20"/>
              </w:rPr>
              <w:t>Chambre à pression, débitmètre et capteurs</w:t>
            </w:r>
          </w:p>
        </w:tc>
      </w:tr>
      <w:tr w:rsidR="00DB5344" w:rsidTr="00E572A2">
        <w:tc>
          <w:tcPr>
            <w:tcW w:w="2943" w:type="dxa"/>
            <w:tcBorders>
              <w:bottom w:val="single" w:sz="4" w:space="0" w:color="auto"/>
            </w:tcBorders>
          </w:tcPr>
          <w:p w:rsidR="00DB5344" w:rsidRPr="005F0A3B" w:rsidRDefault="00DB5344" w:rsidP="005F0A3B">
            <w:pPr>
              <w:pStyle w:val="Paragraphedeliste"/>
              <w:numPr>
                <w:ilvl w:val="0"/>
                <w:numId w:val="8"/>
              </w:numPr>
              <w:jc w:val="both"/>
              <w:rPr>
                <w:sz w:val="20"/>
                <w:szCs w:val="20"/>
              </w:rPr>
            </w:pPr>
            <w:r>
              <w:rPr>
                <w:sz w:val="20"/>
                <w:szCs w:val="20"/>
              </w:rPr>
              <w:t>Gaz traceurs</w:t>
            </w:r>
          </w:p>
        </w:tc>
        <w:tc>
          <w:tcPr>
            <w:tcW w:w="1276" w:type="dxa"/>
            <w:tcBorders>
              <w:bottom w:val="single" w:sz="4" w:space="0" w:color="auto"/>
            </w:tcBorders>
          </w:tcPr>
          <w:p w:rsidR="00DB5344" w:rsidRDefault="00DB5344" w:rsidP="00DB5344">
            <w:pPr>
              <w:jc w:val="center"/>
              <w:rPr>
                <w:sz w:val="20"/>
                <w:szCs w:val="20"/>
              </w:rPr>
            </w:pPr>
            <m:oMathPara>
              <m:oMath>
                <m:r>
                  <w:rPr>
                    <w:rFonts w:ascii="Cambria Math" w:hAnsi="Cambria Math"/>
                    <w:sz w:val="20"/>
                    <w:szCs w:val="20"/>
                  </w:rPr>
                  <m:t>6%</m:t>
                </m:r>
              </m:oMath>
            </m:oMathPara>
          </w:p>
        </w:tc>
        <w:tc>
          <w:tcPr>
            <w:tcW w:w="1701" w:type="dxa"/>
            <w:tcBorders>
              <w:bottom w:val="single" w:sz="4" w:space="0" w:color="auto"/>
            </w:tcBorders>
          </w:tcPr>
          <w:p w:rsidR="00DB5344" w:rsidRDefault="00DB5344" w:rsidP="00DB5344">
            <w:pPr>
              <w:jc w:val="center"/>
              <w:rPr>
                <w:sz w:val="20"/>
                <w:szCs w:val="20"/>
              </w:rPr>
            </w:pPr>
            <w:r>
              <w:rPr>
                <w:sz w:val="20"/>
                <w:szCs w:val="20"/>
              </w:rPr>
              <w:t xml:space="preserve">+ + + </w:t>
            </w:r>
          </w:p>
        </w:tc>
        <w:tc>
          <w:tcPr>
            <w:tcW w:w="3260" w:type="dxa"/>
            <w:tcBorders>
              <w:bottom w:val="single" w:sz="4" w:space="0" w:color="auto"/>
            </w:tcBorders>
          </w:tcPr>
          <w:p w:rsidR="00E572A2" w:rsidRDefault="00DB5344" w:rsidP="00DB5344">
            <w:pPr>
              <w:jc w:val="both"/>
              <w:rPr>
                <w:rFonts w:eastAsiaTheme="minorEastAsia"/>
                <w:sz w:val="20"/>
                <w:szCs w:val="20"/>
              </w:rPr>
            </w:pPr>
            <w:r>
              <w:rPr>
                <w:sz w:val="20"/>
                <w:szCs w:val="20"/>
              </w:rPr>
              <w:t>Double chambre à pression,</w:t>
            </w:r>
            <m:oMath>
              <m:r>
                <w:rPr>
                  <w:rFonts w:ascii="Cambria Math" w:hAnsi="Cambria Math"/>
                  <w:sz w:val="20"/>
                  <w:szCs w:val="20"/>
                </w:rPr>
                <m:t xml:space="preserve"> C</m:t>
              </m:r>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2</m:t>
                  </m:r>
                </m:sub>
              </m:sSub>
            </m:oMath>
            <w:r>
              <w:rPr>
                <w:rFonts w:eastAsiaTheme="minorEastAsia"/>
                <w:sz w:val="20"/>
                <w:szCs w:val="20"/>
              </w:rPr>
              <w:t>, capteurs</w:t>
            </w:r>
          </w:p>
          <w:p w:rsidR="00C5323C" w:rsidRPr="00C5323C" w:rsidRDefault="00C5323C" w:rsidP="00DB5344">
            <w:pPr>
              <w:jc w:val="both"/>
              <w:rPr>
                <w:rFonts w:eastAsiaTheme="minorEastAsia"/>
                <w:sz w:val="10"/>
                <w:szCs w:val="20"/>
              </w:rPr>
            </w:pPr>
          </w:p>
        </w:tc>
      </w:tr>
      <w:tr w:rsidR="00F8669E" w:rsidTr="00E572A2">
        <w:tc>
          <w:tcPr>
            <w:tcW w:w="9180" w:type="dxa"/>
            <w:gridSpan w:val="4"/>
            <w:tcBorders>
              <w:top w:val="single" w:sz="4" w:space="0" w:color="auto"/>
            </w:tcBorders>
          </w:tcPr>
          <w:p w:rsidR="00E572A2" w:rsidRPr="00C5323C" w:rsidRDefault="00E572A2" w:rsidP="005F0A3B">
            <w:pPr>
              <w:jc w:val="both"/>
              <w:rPr>
                <w:sz w:val="10"/>
                <w:szCs w:val="20"/>
                <w:u w:val="single"/>
              </w:rPr>
            </w:pPr>
          </w:p>
          <w:p w:rsidR="00F8669E" w:rsidRPr="00F8669E" w:rsidRDefault="00F8669E" w:rsidP="005F0A3B">
            <w:pPr>
              <w:jc w:val="both"/>
              <w:rPr>
                <w:sz w:val="20"/>
                <w:szCs w:val="20"/>
                <w:u w:val="single"/>
              </w:rPr>
            </w:pPr>
            <w:r w:rsidRPr="005F0A3B">
              <w:rPr>
                <w:sz w:val="20"/>
                <w:szCs w:val="20"/>
                <w:u w:val="single"/>
              </w:rPr>
              <w:t>In-situ :</w:t>
            </w:r>
          </w:p>
        </w:tc>
      </w:tr>
      <w:tr w:rsidR="00DB5344" w:rsidTr="00E572A2">
        <w:tc>
          <w:tcPr>
            <w:tcW w:w="2943" w:type="dxa"/>
          </w:tcPr>
          <w:p w:rsidR="00DB5344" w:rsidRPr="005F0A3B" w:rsidRDefault="00DB5344" w:rsidP="005F0A3B">
            <w:pPr>
              <w:pStyle w:val="Paragraphedeliste"/>
              <w:numPr>
                <w:ilvl w:val="0"/>
                <w:numId w:val="9"/>
              </w:numPr>
              <w:jc w:val="both"/>
              <w:rPr>
                <w:sz w:val="20"/>
                <w:szCs w:val="20"/>
              </w:rPr>
            </w:pPr>
            <w:r>
              <w:rPr>
                <w:sz w:val="20"/>
                <w:szCs w:val="20"/>
              </w:rPr>
              <w:t>Méthode indirecte</w:t>
            </w:r>
          </w:p>
        </w:tc>
        <w:tc>
          <w:tcPr>
            <w:tcW w:w="1276" w:type="dxa"/>
          </w:tcPr>
          <w:p w:rsidR="00DB5344" w:rsidRDefault="00DB5344" w:rsidP="00DB5344">
            <w:pPr>
              <w:jc w:val="center"/>
              <w:rPr>
                <w:sz w:val="20"/>
                <w:szCs w:val="20"/>
              </w:rPr>
            </w:pPr>
            <m:oMathPara>
              <m:oMath>
                <m:r>
                  <w:rPr>
                    <w:rFonts w:ascii="Cambria Math" w:hAnsi="Cambria Math"/>
                    <w:sz w:val="20"/>
                    <w:szCs w:val="20"/>
                  </w:rPr>
                  <m:t>±10%</m:t>
                </m:r>
              </m:oMath>
            </m:oMathPara>
          </w:p>
        </w:tc>
        <w:tc>
          <w:tcPr>
            <w:tcW w:w="1701" w:type="dxa"/>
          </w:tcPr>
          <w:p w:rsidR="00DB5344" w:rsidRDefault="00DB5344" w:rsidP="00DB5344">
            <w:pPr>
              <w:jc w:val="center"/>
              <w:rPr>
                <w:sz w:val="20"/>
                <w:szCs w:val="20"/>
              </w:rPr>
            </w:pPr>
            <w:r>
              <w:rPr>
                <w:sz w:val="20"/>
                <w:szCs w:val="20"/>
              </w:rPr>
              <w:t>+</w:t>
            </w:r>
          </w:p>
        </w:tc>
        <w:tc>
          <w:tcPr>
            <w:tcW w:w="3260" w:type="dxa"/>
          </w:tcPr>
          <w:p w:rsidR="00DB5344" w:rsidRDefault="00DB5344" w:rsidP="005F0A3B">
            <w:pPr>
              <w:jc w:val="both"/>
              <w:rPr>
                <w:sz w:val="20"/>
                <w:szCs w:val="20"/>
              </w:rPr>
            </w:pPr>
            <w:proofErr w:type="spellStart"/>
            <w:r>
              <w:rPr>
                <w:sz w:val="20"/>
                <w:szCs w:val="20"/>
              </w:rPr>
              <w:t>Blowerdoor</w:t>
            </w:r>
            <w:proofErr w:type="spellEnd"/>
          </w:p>
        </w:tc>
      </w:tr>
      <w:tr w:rsidR="00DB5344" w:rsidTr="00E572A2">
        <w:tc>
          <w:tcPr>
            <w:tcW w:w="2943" w:type="dxa"/>
          </w:tcPr>
          <w:p w:rsidR="00DB5344" w:rsidRPr="005F0A3B" w:rsidRDefault="00DB5344" w:rsidP="005F0A3B">
            <w:pPr>
              <w:pStyle w:val="Paragraphedeliste"/>
              <w:numPr>
                <w:ilvl w:val="0"/>
                <w:numId w:val="9"/>
              </w:numPr>
              <w:jc w:val="both"/>
              <w:rPr>
                <w:sz w:val="20"/>
                <w:szCs w:val="20"/>
              </w:rPr>
            </w:pPr>
            <w:r>
              <w:rPr>
                <w:sz w:val="20"/>
                <w:szCs w:val="20"/>
              </w:rPr>
              <w:t>Méthode acoustique</w:t>
            </w:r>
          </w:p>
        </w:tc>
        <w:tc>
          <w:tcPr>
            <w:tcW w:w="1276" w:type="dxa"/>
          </w:tcPr>
          <w:p w:rsidR="00DB5344" w:rsidRDefault="00E572A2" w:rsidP="00DB5344">
            <w:pPr>
              <w:jc w:val="center"/>
              <w:rPr>
                <w:sz w:val="20"/>
                <w:szCs w:val="20"/>
              </w:rPr>
            </w:pPr>
            <w:proofErr w:type="spellStart"/>
            <w:r>
              <w:rPr>
                <w:sz w:val="20"/>
                <w:szCs w:val="20"/>
              </w:rPr>
              <w:t>n.a</w:t>
            </w:r>
            <w:proofErr w:type="spellEnd"/>
            <w:r>
              <w:rPr>
                <w:sz w:val="20"/>
                <w:szCs w:val="20"/>
              </w:rPr>
              <w:t>.</w:t>
            </w:r>
          </w:p>
        </w:tc>
        <w:tc>
          <w:tcPr>
            <w:tcW w:w="1701" w:type="dxa"/>
          </w:tcPr>
          <w:p w:rsidR="00DB5344" w:rsidRDefault="00DB5344" w:rsidP="00DB5344">
            <w:pPr>
              <w:jc w:val="center"/>
              <w:rPr>
                <w:sz w:val="20"/>
                <w:szCs w:val="20"/>
              </w:rPr>
            </w:pPr>
            <w:r>
              <w:rPr>
                <w:sz w:val="20"/>
                <w:szCs w:val="20"/>
              </w:rPr>
              <w:t>+ +</w:t>
            </w:r>
          </w:p>
        </w:tc>
        <w:tc>
          <w:tcPr>
            <w:tcW w:w="3260" w:type="dxa"/>
          </w:tcPr>
          <w:p w:rsidR="00DB5344" w:rsidRDefault="00DB5344" w:rsidP="005F0A3B">
            <w:pPr>
              <w:jc w:val="both"/>
              <w:rPr>
                <w:sz w:val="20"/>
                <w:szCs w:val="20"/>
              </w:rPr>
            </w:pPr>
            <w:r>
              <w:rPr>
                <w:sz w:val="20"/>
                <w:szCs w:val="20"/>
              </w:rPr>
              <w:t>Kit de mesure d’ultrasons</w:t>
            </w:r>
            <w:r w:rsidR="00F8669E">
              <w:rPr>
                <w:sz w:val="20"/>
                <w:szCs w:val="20"/>
              </w:rPr>
              <w:t>, méthode très récente</w:t>
            </w:r>
          </w:p>
        </w:tc>
      </w:tr>
      <w:tr w:rsidR="00DB5344" w:rsidTr="00E572A2">
        <w:tc>
          <w:tcPr>
            <w:tcW w:w="2943" w:type="dxa"/>
          </w:tcPr>
          <w:p w:rsidR="00DB5344" w:rsidRPr="005F0A3B" w:rsidRDefault="00DB5344" w:rsidP="005F0A3B">
            <w:pPr>
              <w:pStyle w:val="Paragraphedeliste"/>
              <w:numPr>
                <w:ilvl w:val="0"/>
                <w:numId w:val="9"/>
              </w:numPr>
              <w:jc w:val="both"/>
              <w:rPr>
                <w:sz w:val="20"/>
                <w:szCs w:val="20"/>
              </w:rPr>
            </w:pPr>
            <w:r>
              <w:rPr>
                <w:sz w:val="20"/>
                <w:szCs w:val="20"/>
              </w:rPr>
              <w:t>Anémomètre</w:t>
            </w:r>
          </w:p>
        </w:tc>
        <w:tc>
          <w:tcPr>
            <w:tcW w:w="1276" w:type="dxa"/>
          </w:tcPr>
          <w:p w:rsidR="00DB5344" w:rsidRDefault="00DB5344" w:rsidP="00DB5344">
            <w:pPr>
              <w:jc w:val="center"/>
              <w:rPr>
                <w:sz w:val="20"/>
                <w:szCs w:val="20"/>
              </w:rPr>
            </w:pPr>
            <m:oMathPara>
              <m:oMath>
                <m:r>
                  <w:rPr>
                    <w:rFonts w:ascii="Cambria Math" w:hAnsi="Cambria Math"/>
                    <w:sz w:val="20"/>
                    <w:szCs w:val="20"/>
                  </w:rPr>
                  <m:t xml:space="preserve">± 0.1 </m:t>
                </m:r>
                <m:sSup>
                  <m:sSupPr>
                    <m:ctrlPr>
                      <w:rPr>
                        <w:rFonts w:ascii="Cambria Math" w:hAnsi="Cambria Math"/>
                        <w:i/>
                        <w:sz w:val="20"/>
                        <w:szCs w:val="20"/>
                      </w:rPr>
                    </m:ctrlPr>
                  </m:sSupPr>
                  <m:e>
                    <m:r>
                      <w:rPr>
                        <w:rFonts w:ascii="Cambria Math" w:hAnsi="Cambria Math"/>
                        <w:sz w:val="20"/>
                        <w:szCs w:val="20"/>
                      </w:rPr>
                      <m:t>m</m:t>
                    </m:r>
                  </m:e>
                  <m:sup>
                    <m:r>
                      <w:rPr>
                        <w:rFonts w:ascii="Cambria Math" w:hAnsi="Cambria Math"/>
                        <w:sz w:val="20"/>
                        <w:szCs w:val="20"/>
                      </w:rPr>
                      <m:t>3</m:t>
                    </m:r>
                  </m:sup>
                </m:sSup>
                <m:r>
                  <w:rPr>
                    <w:rFonts w:ascii="Cambria Math" w:hAnsi="Cambria Math"/>
                    <w:sz w:val="20"/>
                    <w:szCs w:val="20"/>
                  </w:rPr>
                  <m:t>/h</m:t>
                </m:r>
              </m:oMath>
            </m:oMathPara>
          </w:p>
        </w:tc>
        <w:tc>
          <w:tcPr>
            <w:tcW w:w="1701" w:type="dxa"/>
          </w:tcPr>
          <w:p w:rsidR="00DB5344" w:rsidRDefault="00DB5344" w:rsidP="00DB5344">
            <w:pPr>
              <w:jc w:val="center"/>
              <w:rPr>
                <w:sz w:val="20"/>
                <w:szCs w:val="20"/>
              </w:rPr>
            </w:pPr>
            <w:r>
              <w:rPr>
                <w:sz w:val="20"/>
                <w:szCs w:val="20"/>
              </w:rPr>
              <w:t xml:space="preserve">+ + </w:t>
            </w:r>
          </w:p>
        </w:tc>
        <w:tc>
          <w:tcPr>
            <w:tcW w:w="3260" w:type="dxa"/>
          </w:tcPr>
          <w:p w:rsidR="00DB5344" w:rsidRDefault="00DB5344" w:rsidP="005F0A3B">
            <w:pPr>
              <w:jc w:val="both"/>
              <w:rPr>
                <w:sz w:val="20"/>
                <w:szCs w:val="20"/>
              </w:rPr>
            </w:pPr>
            <w:proofErr w:type="spellStart"/>
            <w:r>
              <w:rPr>
                <w:sz w:val="20"/>
                <w:szCs w:val="20"/>
              </w:rPr>
              <w:t>Blowerdoor</w:t>
            </w:r>
            <w:proofErr w:type="spellEnd"/>
            <w:r>
              <w:rPr>
                <w:sz w:val="20"/>
                <w:szCs w:val="20"/>
              </w:rPr>
              <w:t xml:space="preserve"> et anémomètre</w:t>
            </w:r>
          </w:p>
        </w:tc>
      </w:tr>
      <w:tr w:rsidR="00DB5344" w:rsidTr="00E572A2">
        <w:tc>
          <w:tcPr>
            <w:tcW w:w="2943" w:type="dxa"/>
            <w:tcBorders>
              <w:bottom w:val="single" w:sz="4" w:space="0" w:color="auto"/>
            </w:tcBorders>
          </w:tcPr>
          <w:p w:rsidR="00DB5344" w:rsidRPr="005F0A3B" w:rsidRDefault="00DB5344" w:rsidP="005F0A3B">
            <w:pPr>
              <w:pStyle w:val="Paragraphedeliste"/>
              <w:numPr>
                <w:ilvl w:val="0"/>
                <w:numId w:val="9"/>
              </w:numPr>
              <w:jc w:val="both"/>
              <w:rPr>
                <w:sz w:val="20"/>
                <w:szCs w:val="20"/>
              </w:rPr>
            </w:pPr>
            <w:r>
              <w:rPr>
                <w:sz w:val="20"/>
                <w:szCs w:val="20"/>
              </w:rPr>
              <w:t>Caméra infrarouge</w:t>
            </w:r>
          </w:p>
        </w:tc>
        <w:tc>
          <w:tcPr>
            <w:tcW w:w="1276" w:type="dxa"/>
            <w:tcBorders>
              <w:bottom w:val="single" w:sz="4" w:space="0" w:color="auto"/>
            </w:tcBorders>
          </w:tcPr>
          <w:p w:rsidR="00DB5344" w:rsidRDefault="00E572A2" w:rsidP="00DB5344">
            <w:pPr>
              <w:jc w:val="center"/>
              <w:rPr>
                <w:sz w:val="20"/>
                <w:szCs w:val="20"/>
              </w:rPr>
            </w:pPr>
            <w:proofErr w:type="spellStart"/>
            <w:r>
              <w:rPr>
                <w:sz w:val="20"/>
                <w:szCs w:val="20"/>
              </w:rPr>
              <w:t>n.a</w:t>
            </w:r>
            <w:proofErr w:type="spellEnd"/>
            <w:r>
              <w:rPr>
                <w:sz w:val="20"/>
                <w:szCs w:val="20"/>
              </w:rPr>
              <w:t>.</w:t>
            </w:r>
          </w:p>
        </w:tc>
        <w:tc>
          <w:tcPr>
            <w:tcW w:w="1701" w:type="dxa"/>
            <w:tcBorders>
              <w:bottom w:val="single" w:sz="4" w:space="0" w:color="auto"/>
            </w:tcBorders>
          </w:tcPr>
          <w:p w:rsidR="00DB5344" w:rsidRDefault="00E572A2" w:rsidP="00DB5344">
            <w:pPr>
              <w:jc w:val="center"/>
              <w:rPr>
                <w:sz w:val="20"/>
                <w:szCs w:val="20"/>
              </w:rPr>
            </w:pPr>
            <w:proofErr w:type="spellStart"/>
            <w:r>
              <w:rPr>
                <w:sz w:val="20"/>
                <w:szCs w:val="20"/>
              </w:rPr>
              <w:t>n.a</w:t>
            </w:r>
            <w:proofErr w:type="spellEnd"/>
            <w:r>
              <w:rPr>
                <w:sz w:val="20"/>
                <w:szCs w:val="20"/>
              </w:rPr>
              <w:t>.</w:t>
            </w:r>
            <w:r w:rsidR="00DB5344">
              <w:rPr>
                <w:sz w:val="20"/>
                <w:szCs w:val="20"/>
              </w:rPr>
              <w:t xml:space="preserve"> </w:t>
            </w:r>
          </w:p>
        </w:tc>
        <w:tc>
          <w:tcPr>
            <w:tcW w:w="3260" w:type="dxa"/>
            <w:tcBorders>
              <w:bottom w:val="single" w:sz="4" w:space="0" w:color="auto"/>
            </w:tcBorders>
          </w:tcPr>
          <w:p w:rsidR="00E572A2" w:rsidRDefault="00DB5344" w:rsidP="005F0A3B">
            <w:pPr>
              <w:jc w:val="both"/>
              <w:rPr>
                <w:sz w:val="20"/>
                <w:szCs w:val="20"/>
              </w:rPr>
            </w:pPr>
            <w:r>
              <w:rPr>
                <w:sz w:val="20"/>
                <w:szCs w:val="20"/>
              </w:rPr>
              <w:t>Caméra infrarouge</w:t>
            </w:r>
            <w:r w:rsidR="00F8669E">
              <w:rPr>
                <w:sz w:val="20"/>
                <w:szCs w:val="20"/>
              </w:rPr>
              <w:t>, méthode très récente</w:t>
            </w:r>
          </w:p>
          <w:p w:rsidR="00C5323C" w:rsidRPr="00C5323C" w:rsidRDefault="00C5323C" w:rsidP="005F0A3B">
            <w:pPr>
              <w:jc w:val="both"/>
              <w:rPr>
                <w:sz w:val="10"/>
                <w:szCs w:val="20"/>
              </w:rPr>
            </w:pPr>
          </w:p>
        </w:tc>
      </w:tr>
      <w:tr w:rsidR="00F8669E" w:rsidTr="00E572A2">
        <w:tc>
          <w:tcPr>
            <w:tcW w:w="9180" w:type="dxa"/>
            <w:gridSpan w:val="4"/>
            <w:tcBorders>
              <w:top w:val="single" w:sz="4" w:space="0" w:color="auto"/>
            </w:tcBorders>
          </w:tcPr>
          <w:p w:rsidR="00C5323C" w:rsidRPr="00C5323C" w:rsidRDefault="00C5323C" w:rsidP="00A40742">
            <w:pPr>
              <w:jc w:val="both"/>
              <w:rPr>
                <w:i/>
                <w:sz w:val="8"/>
                <w:szCs w:val="20"/>
              </w:rPr>
            </w:pPr>
          </w:p>
          <w:p w:rsidR="00F8669E" w:rsidRPr="00E572A2" w:rsidRDefault="00F8669E" w:rsidP="00A40742">
            <w:pPr>
              <w:jc w:val="both"/>
              <w:rPr>
                <w:i/>
                <w:sz w:val="18"/>
                <w:szCs w:val="20"/>
              </w:rPr>
            </w:pPr>
            <w:r w:rsidRPr="00E572A2">
              <w:rPr>
                <w:i/>
                <w:sz w:val="18"/>
                <w:szCs w:val="20"/>
              </w:rPr>
              <w:t xml:space="preserve">* Débits mesurés en </w:t>
            </w:r>
            <m:oMath>
              <m:sSup>
                <m:sSupPr>
                  <m:ctrlPr>
                    <w:rPr>
                      <w:rFonts w:ascii="Cambria Math" w:hAnsi="Cambria Math"/>
                      <w:i/>
                      <w:sz w:val="18"/>
                      <w:szCs w:val="20"/>
                    </w:rPr>
                  </m:ctrlPr>
                </m:sSupPr>
                <m:e>
                  <m:r>
                    <w:rPr>
                      <w:rFonts w:ascii="Cambria Math" w:hAnsi="Cambria Math"/>
                      <w:sz w:val="18"/>
                      <w:szCs w:val="20"/>
                    </w:rPr>
                    <m:t>m</m:t>
                  </m:r>
                </m:e>
                <m:sup>
                  <m:r>
                    <w:rPr>
                      <w:rFonts w:ascii="Cambria Math" w:hAnsi="Cambria Math"/>
                      <w:sz w:val="18"/>
                      <w:szCs w:val="20"/>
                    </w:rPr>
                    <m:t>3</m:t>
                  </m:r>
                </m:sup>
              </m:sSup>
              <m:r>
                <w:rPr>
                  <w:rFonts w:ascii="Cambria Math" w:hAnsi="Cambria Math"/>
                  <w:sz w:val="18"/>
                  <w:szCs w:val="20"/>
                </w:rPr>
                <m:t>/h</m:t>
              </m:r>
            </m:oMath>
            <w:r w:rsidRPr="00E572A2">
              <w:rPr>
                <w:i/>
                <w:sz w:val="18"/>
                <w:szCs w:val="20"/>
              </w:rPr>
              <w:t xml:space="preserve"> : + = 0 – </w:t>
            </w:r>
            <w:r w:rsidR="00A40742">
              <w:rPr>
                <w:i/>
                <w:sz w:val="18"/>
                <w:szCs w:val="20"/>
              </w:rPr>
              <w:t>10</w:t>
            </w:r>
            <w:r w:rsidRPr="00E572A2">
              <w:rPr>
                <w:i/>
                <w:sz w:val="18"/>
                <w:szCs w:val="20"/>
              </w:rPr>
              <w:t xml:space="preserve">00 ; + + = 0 – 50 ; + + + = 0 – 0.1  </w:t>
            </w:r>
          </w:p>
        </w:tc>
      </w:tr>
    </w:tbl>
    <w:p w:rsidR="00B7480C" w:rsidRDefault="00B7480C" w:rsidP="00B7480C">
      <w:pPr>
        <w:rPr>
          <w:lang w:val="fr-BE"/>
        </w:rPr>
      </w:pPr>
    </w:p>
    <w:p w:rsidR="00EC4573" w:rsidRPr="006624BA" w:rsidRDefault="00C17AB7" w:rsidP="00A7144E">
      <w:pPr>
        <w:pStyle w:val="Titre2"/>
        <w:numPr>
          <w:ilvl w:val="1"/>
          <w:numId w:val="3"/>
        </w:numPr>
        <w:spacing w:before="360" w:line="259" w:lineRule="auto"/>
        <w:rPr>
          <w:smallCaps/>
          <w:color w:val="000000" w:themeColor="text1"/>
          <w:sz w:val="28"/>
          <w:szCs w:val="28"/>
          <w:lang w:val="fr-BE"/>
        </w:rPr>
      </w:pPr>
      <w:r w:rsidRPr="006624BA">
        <w:rPr>
          <w:smallCaps/>
          <w:color w:val="000000" w:themeColor="text1"/>
          <w:sz w:val="28"/>
          <w:szCs w:val="28"/>
          <w:lang w:val="fr-BE"/>
        </w:rPr>
        <w:t>Description de la méthode</w:t>
      </w:r>
    </w:p>
    <w:p w:rsidR="00B7480C" w:rsidRDefault="00B7480C" w:rsidP="00B7480C">
      <w:pPr>
        <w:spacing w:after="0"/>
        <w:rPr>
          <w:sz w:val="20"/>
          <w:szCs w:val="20"/>
        </w:rPr>
      </w:pPr>
    </w:p>
    <w:p w:rsidR="008B46AE" w:rsidRPr="008B46AE" w:rsidRDefault="00B7480C" w:rsidP="00C17AB7">
      <w:pPr>
        <w:rPr>
          <w:sz w:val="20"/>
          <w:szCs w:val="20"/>
        </w:rPr>
      </w:pPr>
      <w:r>
        <w:rPr>
          <w:sz w:val="20"/>
          <w:szCs w:val="20"/>
        </w:rPr>
        <w:t>La « méthode de l’anémomètre » vise simplement à mesurer l’air passant à travers l’instrument de mesure. La difficulté de cette méthode réside dans la mesure de l’entièreté du débit nous intéressant. La surface à travers lequel l’anémomètre mesure un débit d’air n’est pas variable alors que nous aimerions l’utiliser pour mesurer différents types de fuite d’air</w:t>
      </w:r>
      <w:r w:rsidRPr="008B46AE">
        <w:rPr>
          <w:sz w:val="20"/>
          <w:szCs w:val="20"/>
        </w:rPr>
        <w:t>.</w:t>
      </w:r>
      <w:r w:rsidR="008B46AE" w:rsidRPr="008B46AE">
        <w:rPr>
          <w:sz w:val="20"/>
          <w:szCs w:val="20"/>
        </w:rPr>
        <w:t xml:space="preserve"> La </w:t>
      </w:r>
      <w:r w:rsidR="008B46AE" w:rsidRPr="008B46AE">
        <w:rPr>
          <w:sz w:val="20"/>
          <w:szCs w:val="20"/>
        </w:rPr>
        <w:fldChar w:fldCharType="begin"/>
      </w:r>
      <w:r w:rsidR="008B46AE" w:rsidRPr="008B46AE">
        <w:rPr>
          <w:sz w:val="20"/>
          <w:szCs w:val="20"/>
        </w:rPr>
        <w:instrText xml:space="preserve"> REF _Ref485044564 \h </w:instrText>
      </w:r>
      <w:r w:rsidR="008B46AE">
        <w:rPr>
          <w:sz w:val="20"/>
          <w:szCs w:val="20"/>
        </w:rPr>
        <w:instrText xml:space="preserve"> \* MERGEFORMAT </w:instrText>
      </w:r>
      <w:r w:rsidR="008B46AE" w:rsidRPr="008B46AE">
        <w:rPr>
          <w:sz w:val="20"/>
          <w:szCs w:val="20"/>
        </w:rPr>
      </w:r>
      <w:r w:rsidR="008B46AE" w:rsidRPr="008B46AE">
        <w:rPr>
          <w:sz w:val="20"/>
          <w:szCs w:val="20"/>
        </w:rPr>
        <w:fldChar w:fldCharType="separate"/>
      </w:r>
      <w:r w:rsidR="0004457E" w:rsidRPr="0004457E">
        <w:rPr>
          <w:b/>
          <w:color w:val="000000" w:themeColor="text1"/>
          <w:sz w:val="20"/>
          <w:szCs w:val="20"/>
        </w:rPr>
        <w:t xml:space="preserve">Figure </w:t>
      </w:r>
      <w:r w:rsidR="0004457E" w:rsidRPr="0004457E">
        <w:rPr>
          <w:b/>
          <w:noProof/>
          <w:color w:val="000000" w:themeColor="text1"/>
          <w:sz w:val="20"/>
          <w:szCs w:val="20"/>
        </w:rPr>
        <w:t>3</w:t>
      </w:r>
      <w:r w:rsidR="008B46AE" w:rsidRPr="008B46AE">
        <w:rPr>
          <w:sz w:val="20"/>
          <w:szCs w:val="20"/>
        </w:rPr>
        <w:fldChar w:fldCharType="end"/>
      </w:r>
      <w:r w:rsidR="008B46AE">
        <w:rPr>
          <w:sz w:val="20"/>
          <w:szCs w:val="20"/>
        </w:rPr>
        <w:t xml:space="preserve"> montre une mesure faite à l’aide d’un anémomètre, illustrant ainsi la difficulté mentionné plus haut : le dispositif sous cette forme ne permet pas de mesurer l’entièreté du débit au bord de la fenêtre.</w:t>
      </w:r>
    </w:p>
    <w:p w:rsidR="008B46AE" w:rsidRDefault="008B46AE" w:rsidP="008B46AE">
      <w:pPr>
        <w:keepNext/>
        <w:jc w:val="center"/>
      </w:pPr>
      <w:r w:rsidRPr="008B46AE">
        <w:rPr>
          <w:noProof/>
          <w:sz w:val="20"/>
          <w:szCs w:val="20"/>
          <w:lang w:val="fr-BE" w:eastAsia="fr-BE"/>
        </w:rPr>
        <w:lastRenderedPageBreak/>
        <w:drawing>
          <wp:inline distT="0" distB="0" distL="0" distR="0">
            <wp:extent cx="2405812" cy="1534430"/>
            <wp:effectExtent l="0" t="0" r="0" b="889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1129" t="24837" r="6890" b="13482"/>
                    <a:stretch/>
                  </pic:blipFill>
                  <pic:spPr bwMode="auto">
                    <a:xfrm>
                      <a:off x="0" y="0"/>
                      <a:ext cx="2412429" cy="1538650"/>
                    </a:xfrm>
                    <a:prstGeom prst="rect">
                      <a:avLst/>
                    </a:prstGeom>
                    <a:noFill/>
                    <a:ln>
                      <a:noFill/>
                    </a:ln>
                    <a:extLst>
                      <a:ext uri="{53640926-AAD7-44D8-BBD7-CCE9431645EC}">
                        <a14:shadowObscured xmlns:a14="http://schemas.microsoft.com/office/drawing/2010/main"/>
                      </a:ext>
                    </a:extLst>
                  </pic:spPr>
                </pic:pic>
              </a:graphicData>
            </a:graphic>
          </wp:inline>
        </w:drawing>
      </w:r>
    </w:p>
    <w:p w:rsidR="008B46AE" w:rsidRPr="008B46AE" w:rsidRDefault="008B46AE" w:rsidP="008B46AE">
      <w:pPr>
        <w:pStyle w:val="Lgende"/>
        <w:jc w:val="center"/>
        <w:rPr>
          <w:color w:val="000000" w:themeColor="text1"/>
          <w:sz w:val="20"/>
          <w:szCs w:val="20"/>
        </w:rPr>
      </w:pPr>
      <w:bookmarkStart w:id="11" w:name="_Ref485044564"/>
      <w:r w:rsidRPr="008B46AE">
        <w:rPr>
          <w:b/>
          <w:color w:val="000000" w:themeColor="text1"/>
        </w:rPr>
        <w:t xml:space="preserve">Figure </w:t>
      </w:r>
      <w:r w:rsidRPr="008B46AE">
        <w:rPr>
          <w:b/>
          <w:color w:val="000000" w:themeColor="text1"/>
        </w:rPr>
        <w:fldChar w:fldCharType="begin"/>
      </w:r>
      <w:r w:rsidRPr="008B46AE">
        <w:rPr>
          <w:b/>
          <w:color w:val="000000" w:themeColor="text1"/>
        </w:rPr>
        <w:instrText xml:space="preserve"> SEQ Figure \* ARABIC </w:instrText>
      </w:r>
      <w:r w:rsidRPr="008B46AE">
        <w:rPr>
          <w:b/>
          <w:color w:val="000000" w:themeColor="text1"/>
        </w:rPr>
        <w:fldChar w:fldCharType="separate"/>
      </w:r>
      <w:r w:rsidR="0004457E">
        <w:rPr>
          <w:b/>
          <w:noProof/>
          <w:color w:val="000000" w:themeColor="text1"/>
        </w:rPr>
        <w:t>3</w:t>
      </w:r>
      <w:r w:rsidRPr="008B46AE">
        <w:rPr>
          <w:b/>
          <w:color w:val="000000" w:themeColor="text1"/>
        </w:rPr>
        <w:fldChar w:fldCharType="end"/>
      </w:r>
      <w:bookmarkEnd w:id="11"/>
      <w:r>
        <w:rPr>
          <w:b/>
          <w:color w:val="000000" w:themeColor="text1"/>
        </w:rPr>
        <w:t> </w:t>
      </w:r>
      <w:r w:rsidRPr="008B46AE">
        <w:rPr>
          <w:b/>
          <w:color w:val="000000" w:themeColor="text1"/>
        </w:rPr>
        <w:t>:</w:t>
      </w:r>
      <w:r w:rsidRPr="008B46AE">
        <w:rPr>
          <w:color w:val="000000" w:themeColor="text1"/>
        </w:rPr>
        <w:t xml:space="preserve"> Anémomètre utilisé pour évaluer le débit au coin inférieur droit d</w:t>
      </w:r>
      <w:r>
        <w:rPr>
          <w:color w:val="000000" w:themeColor="text1"/>
        </w:rPr>
        <w:t>’</w:t>
      </w:r>
      <w:r w:rsidRPr="008B46AE">
        <w:rPr>
          <w:color w:val="000000" w:themeColor="text1"/>
        </w:rPr>
        <w:t>un châssis</w:t>
      </w:r>
      <w:r>
        <w:rPr>
          <w:color w:val="000000" w:themeColor="text1"/>
        </w:rPr>
        <w:t xml:space="preserve"> [</w:t>
      </w:r>
      <w:proofErr w:type="spellStart"/>
      <w:r>
        <w:rPr>
          <w:color w:val="000000" w:themeColor="text1"/>
        </w:rPr>
        <w:t>Cuce</w:t>
      </w:r>
      <w:proofErr w:type="spellEnd"/>
      <w:r>
        <w:rPr>
          <w:color w:val="000000" w:themeColor="text1"/>
        </w:rPr>
        <w:t xml:space="preserve"> 2017]</w:t>
      </w:r>
    </w:p>
    <w:p w:rsidR="008B46AE" w:rsidRDefault="008B46AE" w:rsidP="00E73E0B">
      <w:pPr>
        <w:jc w:val="both"/>
        <w:rPr>
          <w:sz w:val="20"/>
          <w:szCs w:val="20"/>
        </w:rPr>
      </w:pPr>
      <w:r>
        <w:rPr>
          <w:sz w:val="20"/>
          <w:szCs w:val="20"/>
        </w:rPr>
        <w:t>Pour résoudre ce problème, nous nous inspirons des mesures de laboratoire : la chambre à pression</w:t>
      </w:r>
      <w:r w:rsidR="007C2E15">
        <w:rPr>
          <w:sz w:val="20"/>
          <w:szCs w:val="20"/>
        </w:rPr>
        <w:t xml:space="preserve">. La </w:t>
      </w:r>
      <w:r w:rsidR="00E73E0B">
        <w:rPr>
          <w:sz w:val="20"/>
          <w:szCs w:val="20"/>
        </w:rPr>
        <w:t xml:space="preserve"> </w:t>
      </w:r>
      <w:r w:rsidR="00E73E0B" w:rsidRPr="00E73E0B">
        <w:rPr>
          <w:sz w:val="20"/>
          <w:szCs w:val="20"/>
        </w:rPr>
        <w:fldChar w:fldCharType="begin"/>
      </w:r>
      <w:r w:rsidR="00E73E0B" w:rsidRPr="00E73E0B">
        <w:rPr>
          <w:sz w:val="20"/>
          <w:szCs w:val="20"/>
        </w:rPr>
        <w:instrText xml:space="preserve"> REF _Ref485045815 \h </w:instrText>
      </w:r>
      <w:r w:rsidR="00E73E0B">
        <w:rPr>
          <w:sz w:val="20"/>
          <w:szCs w:val="20"/>
        </w:rPr>
        <w:instrText xml:space="preserve"> \* MERGEFORMAT </w:instrText>
      </w:r>
      <w:r w:rsidR="00E73E0B" w:rsidRPr="00E73E0B">
        <w:rPr>
          <w:sz w:val="20"/>
          <w:szCs w:val="20"/>
        </w:rPr>
      </w:r>
      <w:r w:rsidR="00E73E0B" w:rsidRPr="00E73E0B">
        <w:rPr>
          <w:sz w:val="20"/>
          <w:szCs w:val="20"/>
        </w:rPr>
        <w:fldChar w:fldCharType="separate"/>
      </w:r>
      <w:r w:rsidR="0004457E" w:rsidRPr="0004457E">
        <w:rPr>
          <w:b/>
          <w:color w:val="000000" w:themeColor="text1"/>
          <w:sz w:val="20"/>
          <w:szCs w:val="20"/>
        </w:rPr>
        <w:t xml:space="preserve">Figure </w:t>
      </w:r>
      <w:r w:rsidR="0004457E" w:rsidRPr="0004457E">
        <w:rPr>
          <w:b/>
          <w:noProof/>
          <w:color w:val="000000" w:themeColor="text1"/>
          <w:sz w:val="20"/>
          <w:szCs w:val="20"/>
        </w:rPr>
        <w:t>4</w:t>
      </w:r>
      <w:r w:rsidR="00E73E0B" w:rsidRPr="00E73E0B">
        <w:rPr>
          <w:sz w:val="20"/>
          <w:szCs w:val="20"/>
        </w:rPr>
        <w:fldChar w:fldCharType="end"/>
      </w:r>
      <w:r w:rsidR="00E73E0B" w:rsidRPr="00E73E0B">
        <w:rPr>
          <w:sz w:val="20"/>
          <w:szCs w:val="20"/>
        </w:rPr>
        <w:t xml:space="preserve"> </w:t>
      </w:r>
      <w:r w:rsidR="007C2E15">
        <w:rPr>
          <w:sz w:val="20"/>
          <w:szCs w:val="20"/>
        </w:rPr>
        <w:t>schématise la situation</w:t>
      </w:r>
      <w:r w:rsidR="00E73E0B">
        <w:rPr>
          <w:sz w:val="20"/>
          <w:szCs w:val="20"/>
        </w:rPr>
        <w:t> : une différence de pression (</w:t>
      </w:r>
      <m:oMath>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1</m:t>
            </m:r>
          </m:sub>
        </m:sSub>
        <m:r>
          <w:rPr>
            <w:rFonts w:ascii="Cambria Math" w:hAnsi="Cambria Math"/>
            <w:sz w:val="20"/>
            <w:szCs w:val="20"/>
          </w:rPr>
          <m:t>&gt;</m:t>
        </m:r>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2</m:t>
            </m:r>
          </m:sub>
        </m:sSub>
      </m:oMath>
      <w:r w:rsidR="00E73E0B">
        <w:rPr>
          <w:rFonts w:eastAsiaTheme="minorEastAsia"/>
          <w:sz w:val="20"/>
          <w:szCs w:val="20"/>
        </w:rPr>
        <w:t>)</w:t>
      </w:r>
      <w:r w:rsidR="00E73E0B">
        <w:rPr>
          <w:sz w:val="20"/>
          <w:szCs w:val="20"/>
        </w:rPr>
        <w:t xml:space="preserve"> est imposée de part et d’autre de l’élément testé, entraînant un débit à travers les imperfections de l’élément. En conditions </w:t>
      </w:r>
      <w:r w:rsidR="00732BBA">
        <w:rPr>
          <w:sz w:val="20"/>
          <w:szCs w:val="20"/>
        </w:rPr>
        <w:t>d</w:t>
      </w:r>
      <w:r w:rsidR="00E73E0B">
        <w:rPr>
          <w:sz w:val="20"/>
          <w:szCs w:val="20"/>
        </w:rPr>
        <w:t>’équilibre, le débit</w:t>
      </w:r>
      <w:r w:rsidR="00732BBA">
        <w:rPr>
          <w:sz w:val="20"/>
          <w:szCs w:val="20"/>
        </w:rPr>
        <w:t xml:space="preserve"> d’air sortant de la chambre </w:t>
      </w:r>
      <w:r w:rsidR="00732BBA">
        <w:rPr>
          <w:rFonts w:eastAsiaTheme="minorEastAsia"/>
          <w:sz w:val="20"/>
          <w:szCs w:val="20"/>
        </w:rPr>
        <w:t>(</w:t>
      </w:r>
      <m:oMath>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1</m:t>
            </m:r>
          </m:sub>
        </m:sSub>
      </m:oMath>
      <w:r w:rsidR="00732BBA">
        <w:rPr>
          <w:rFonts w:eastAsiaTheme="minorEastAsia"/>
          <w:sz w:val="20"/>
          <w:szCs w:val="20"/>
        </w:rPr>
        <w:t>) sera exactement compensé par un débit d’air entrant (</w:t>
      </w:r>
      <m:oMath>
        <m:sSub>
          <m:sSubPr>
            <m:ctrlPr>
              <w:rPr>
                <w:rFonts w:ascii="Cambria Math" w:eastAsiaTheme="minorEastAsia" w:hAnsi="Cambria Math"/>
                <w:i/>
                <w:sz w:val="20"/>
                <w:szCs w:val="20"/>
              </w:rPr>
            </m:ctrlPr>
          </m:sSubPr>
          <m:e>
            <m:r>
              <w:rPr>
                <w:rFonts w:ascii="Cambria Math" w:eastAsiaTheme="minorEastAsia" w:hAnsi="Cambria Math"/>
                <w:sz w:val="20"/>
                <w:szCs w:val="20"/>
              </w:rPr>
              <m:t>Q</m:t>
            </m:r>
          </m:e>
          <m:sub>
            <m:r>
              <w:rPr>
                <w:rFonts w:ascii="Cambria Math" w:eastAsiaTheme="minorEastAsia" w:hAnsi="Cambria Math"/>
                <w:sz w:val="20"/>
                <w:szCs w:val="20"/>
              </w:rPr>
              <m:t>2</m:t>
            </m:r>
          </m:sub>
        </m:sSub>
      </m:oMath>
      <w:r w:rsidR="00732BBA">
        <w:rPr>
          <w:rFonts w:eastAsiaTheme="minorEastAsia"/>
          <w:sz w:val="20"/>
          <w:szCs w:val="20"/>
        </w:rPr>
        <w:t>)</w:t>
      </w:r>
      <w:r w:rsidR="00E73E0B">
        <w:rPr>
          <w:sz w:val="20"/>
          <w:szCs w:val="20"/>
        </w:rPr>
        <w:t xml:space="preserve"> </w:t>
      </w:r>
      <w:r w:rsidR="00732BBA">
        <w:rPr>
          <w:sz w:val="20"/>
          <w:szCs w:val="20"/>
        </w:rPr>
        <w:t>et les mesures de</w:t>
      </w:r>
      <m:oMath>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2</m:t>
            </m:r>
          </m:sub>
        </m:sSub>
      </m:oMath>
      <w:r w:rsidR="00732BBA">
        <w:rPr>
          <w:rFonts w:eastAsiaTheme="minorEastAsia"/>
          <w:sz w:val="20"/>
          <w:szCs w:val="20"/>
        </w:rPr>
        <w:t xml:space="preserve">, </w:t>
      </w:r>
      <m:oMath>
        <m:sSub>
          <m:sSubPr>
            <m:ctrlPr>
              <w:rPr>
                <w:rFonts w:ascii="Cambria Math" w:eastAsiaTheme="minorEastAsia" w:hAnsi="Cambria Math"/>
                <w:i/>
                <w:sz w:val="20"/>
                <w:szCs w:val="20"/>
              </w:rPr>
            </m:ctrlPr>
          </m:sSubPr>
          <m:e>
            <m:r>
              <w:rPr>
                <w:rFonts w:ascii="Cambria Math" w:eastAsiaTheme="minorEastAsia" w:hAnsi="Cambria Math"/>
                <w:sz w:val="20"/>
                <w:szCs w:val="20"/>
              </w:rPr>
              <m:t>P</m:t>
            </m:r>
          </m:e>
          <m:sub>
            <m:r>
              <w:rPr>
                <w:rFonts w:ascii="Cambria Math" w:eastAsiaTheme="minorEastAsia" w:hAnsi="Cambria Math"/>
                <w:sz w:val="20"/>
                <w:szCs w:val="20"/>
              </w:rPr>
              <m:t>1</m:t>
            </m:r>
          </m:sub>
        </m:sSub>
      </m:oMath>
      <w:r w:rsidR="00732BBA">
        <w:rPr>
          <w:rFonts w:eastAsiaTheme="minorEastAsia"/>
          <w:sz w:val="20"/>
          <w:szCs w:val="20"/>
        </w:rPr>
        <w:t xml:space="preserve"> et </w:t>
      </w:r>
      <m:oMath>
        <m:sSub>
          <m:sSubPr>
            <m:ctrlPr>
              <w:rPr>
                <w:rFonts w:ascii="Cambria Math" w:eastAsiaTheme="minorEastAsia" w:hAnsi="Cambria Math"/>
                <w:i/>
                <w:sz w:val="20"/>
                <w:szCs w:val="20"/>
              </w:rPr>
            </m:ctrlPr>
          </m:sSubPr>
          <m:e>
            <m:r>
              <w:rPr>
                <w:rFonts w:ascii="Cambria Math" w:eastAsiaTheme="minorEastAsia" w:hAnsi="Cambria Math"/>
                <w:sz w:val="20"/>
                <w:szCs w:val="20"/>
              </w:rPr>
              <m:t>P</m:t>
            </m:r>
          </m:e>
          <m:sub>
            <m:r>
              <w:rPr>
                <w:rFonts w:ascii="Cambria Math" w:eastAsiaTheme="minorEastAsia" w:hAnsi="Cambria Math"/>
                <w:sz w:val="20"/>
                <w:szCs w:val="20"/>
              </w:rPr>
              <m:t>2</m:t>
            </m:r>
          </m:sub>
        </m:sSub>
      </m:oMath>
      <w:r w:rsidR="00732BBA">
        <w:rPr>
          <w:rFonts w:eastAsiaTheme="minorEastAsia"/>
          <w:sz w:val="20"/>
          <w:szCs w:val="20"/>
        </w:rPr>
        <w:t xml:space="preserve"> permettront d’obtenir le débit passant à travers l’élément testé @50 Pa.</w:t>
      </w:r>
    </w:p>
    <w:p w:rsidR="00E73E0B" w:rsidRDefault="007C2E15" w:rsidP="00E73E0B">
      <w:pPr>
        <w:keepNext/>
        <w:jc w:val="center"/>
      </w:pPr>
      <w:r>
        <w:rPr>
          <w:noProof/>
          <w:sz w:val="20"/>
          <w:szCs w:val="20"/>
          <w:lang w:val="fr-BE" w:eastAsia="fr-BE"/>
        </w:rPr>
        <w:drawing>
          <wp:inline distT="0" distB="0" distL="0" distR="0">
            <wp:extent cx="2989779" cy="210484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apture4.PNG"/>
                    <pic:cNvPicPr/>
                  </pic:nvPicPr>
                  <pic:blipFill>
                    <a:blip r:embed="rId9">
                      <a:extLst>
                        <a:ext uri="{28A0092B-C50C-407E-A947-70E740481C1C}">
                          <a14:useLocalDpi xmlns:a14="http://schemas.microsoft.com/office/drawing/2010/main" val="0"/>
                        </a:ext>
                      </a:extLst>
                    </a:blip>
                    <a:stretch>
                      <a:fillRect/>
                    </a:stretch>
                  </pic:blipFill>
                  <pic:spPr>
                    <a:xfrm>
                      <a:off x="0" y="0"/>
                      <a:ext cx="3039486" cy="2139840"/>
                    </a:xfrm>
                    <a:prstGeom prst="rect">
                      <a:avLst/>
                    </a:prstGeom>
                  </pic:spPr>
                </pic:pic>
              </a:graphicData>
            </a:graphic>
          </wp:inline>
        </w:drawing>
      </w:r>
    </w:p>
    <w:p w:rsidR="00355630" w:rsidRPr="00732BBA" w:rsidRDefault="00E73E0B" w:rsidP="00732BBA">
      <w:pPr>
        <w:pStyle w:val="Lgende"/>
        <w:jc w:val="center"/>
        <w:rPr>
          <w:color w:val="000000" w:themeColor="text1"/>
          <w:sz w:val="20"/>
          <w:szCs w:val="20"/>
        </w:rPr>
      </w:pPr>
      <w:bookmarkStart w:id="12" w:name="_Ref485045815"/>
      <w:r w:rsidRPr="00E73E0B">
        <w:rPr>
          <w:b/>
          <w:color w:val="000000" w:themeColor="text1"/>
        </w:rPr>
        <w:t xml:space="preserve">Figure </w:t>
      </w:r>
      <w:r w:rsidRPr="00E73E0B">
        <w:rPr>
          <w:b/>
          <w:color w:val="000000" w:themeColor="text1"/>
        </w:rPr>
        <w:fldChar w:fldCharType="begin"/>
      </w:r>
      <w:r w:rsidRPr="00E73E0B">
        <w:rPr>
          <w:b/>
          <w:color w:val="000000" w:themeColor="text1"/>
        </w:rPr>
        <w:instrText xml:space="preserve"> SEQ Figure \* ARABIC </w:instrText>
      </w:r>
      <w:r w:rsidRPr="00E73E0B">
        <w:rPr>
          <w:b/>
          <w:color w:val="000000" w:themeColor="text1"/>
        </w:rPr>
        <w:fldChar w:fldCharType="separate"/>
      </w:r>
      <w:r w:rsidR="0004457E">
        <w:rPr>
          <w:b/>
          <w:noProof/>
          <w:color w:val="000000" w:themeColor="text1"/>
        </w:rPr>
        <w:t>4</w:t>
      </w:r>
      <w:r w:rsidRPr="00E73E0B">
        <w:rPr>
          <w:b/>
          <w:color w:val="000000" w:themeColor="text1"/>
        </w:rPr>
        <w:fldChar w:fldCharType="end"/>
      </w:r>
      <w:bookmarkEnd w:id="12"/>
      <w:r w:rsidRPr="00E73E0B">
        <w:rPr>
          <w:b/>
          <w:color w:val="000000" w:themeColor="text1"/>
        </w:rPr>
        <w:t xml:space="preserve"> :</w:t>
      </w:r>
      <w:r w:rsidRPr="00E73E0B">
        <w:rPr>
          <w:color w:val="000000" w:themeColor="text1"/>
        </w:rPr>
        <w:t xml:space="preserve"> schématisation de la prise de mesure</w:t>
      </w:r>
    </w:p>
    <w:p w:rsidR="00732BBA" w:rsidRPr="00732BBA" w:rsidRDefault="00732BBA" w:rsidP="00C17AB7">
      <w:pPr>
        <w:pStyle w:val="Titre1"/>
        <w:numPr>
          <w:ilvl w:val="0"/>
          <w:numId w:val="3"/>
        </w:numPr>
        <w:pBdr>
          <w:bottom w:val="single" w:sz="4" w:space="1" w:color="595959" w:themeColor="text1" w:themeTint="A6"/>
        </w:pBdr>
        <w:spacing w:before="360" w:after="160" w:line="259" w:lineRule="auto"/>
        <w:ind w:left="432" w:hanging="432"/>
        <w:rPr>
          <w:smallCaps/>
          <w:color w:val="000000" w:themeColor="text1"/>
          <w:sz w:val="36"/>
          <w:szCs w:val="36"/>
          <w:lang w:val="fr-BE"/>
        </w:rPr>
      </w:pPr>
      <w:r>
        <w:rPr>
          <w:smallCaps/>
          <w:color w:val="000000" w:themeColor="text1"/>
          <w:sz w:val="36"/>
          <w:szCs w:val="36"/>
          <w:lang w:val="fr-BE"/>
        </w:rPr>
        <w:t>Question</w:t>
      </w:r>
      <w:r w:rsidR="00EC4573" w:rsidRPr="006624BA">
        <w:rPr>
          <w:smallCaps/>
          <w:color w:val="000000" w:themeColor="text1"/>
          <w:sz w:val="36"/>
          <w:szCs w:val="36"/>
          <w:lang w:val="fr-BE"/>
        </w:rPr>
        <w:t>s</w:t>
      </w:r>
    </w:p>
    <w:p w:rsidR="00732BBA" w:rsidRPr="00732BBA" w:rsidRDefault="00732BBA" w:rsidP="00732BBA">
      <w:pPr>
        <w:pStyle w:val="Paragraphedeliste"/>
        <w:numPr>
          <w:ilvl w:val="0"/>
          <w:numId w:val="9"/>
        </w:numPr>
        <w:jc w:val="both"/>
        <w:rPr>
          <w:sz w:val="20"/>
          <w:szCs w:val="20"/>
        </w:rPr>
      </w:pPr>
      <w:r>
        <w:rPr>
          <w:sz w:val="20"/>
          <w:szCs w:val="20"/>
        </w:rPr>
        <w:t xml:space="preserve">Doit-on vraiment imposer une pression </w:t>
      </w:r>
      <m:oMath>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1</m:t>
            </m:r>
          </m:sub>
        </m:sSub>
      </m:oMath>
      <w:r>
        <w:rPr>
          <w:rFonts w:eastAsiaTheme="minorEastAsia"/>
          <w:sz w:val="20"/>
          <w:szCs w:val="20"/>
        </w:rPr>
        <w:t xml:space="preserve"> ? Ou ne peut-on pas imposer une pression </w:t>
      </w:r>
      <m:oMath>
        <m:sSub>
          <m:sSubPr>
            <m:ctrlPr>
              <w:rPr>
                <w:rFonts w:ascii="Cambria Math" w:eastAsiaTheme="minorEastAsia" w:hAnsi="Cambria Math"/>
                <w:i/>
                <w:sz w:val="20"/>
                <w:szCs w:val="20"/>
              </w:rPr>
            </m:ctrlPr>
          </m:sSubPr>
          <m:e>
            <m:r>
              <w:rPr>
                <w:rFonts w:ascii="Cambria Math" w:eastAsiaTheme="minorEastAsia" w:hAnsi="Cambria Math"/>
                <w:sz w:val="20"/>
                <w:szCs w:val="20"/>
              </w:rPr>
              <m:t>P</m:t>
            </m:r>
          </m:e>
          <m:sub>
            <m:r>
              <w:rPr>
                <w:rFonts w:ascii="Cambria Math" w:eastAsiaTheme="minorEastAsia" w:hAnsi="Cambria Math"/>
                <w:sz w:val="20"/>
                <w:szCs w:val="20"/>
              </w:rPr>
              <m:t>0</m:t>
            </m:r>
          </m:sub>
        </m:sSub>
      </m:oMath>
      <w:r>
        <w:rPr>
          <w:rFonts w:eastAsiaTheme="minorEastAsia"/>
          <w:sz w:val="20"/>
          <w:szCs w:val="20"/>
        </w:rPr>
        <w:t xml:space="preserve"> et laisser un état d’équilibre s’installer entre les trois pressions ?</w:t>
      </w:r>
    </w:p>
    <w:p w:rsidR="00732BBA" w:rsidRDefault="00732BBA" w:rsidP="00732BBA">
      <w:pPr>
        <w:pStyle w:val="Paragraphedeliste"/>
        <w:numPr>
          <w:ilvl w:val="0"/>
          <w:numId w:val="9"/>
        </w:numPr>
        <w:jc w:val="both"/>
        <w:rPr>
          <w:sz w:val="20"/>
          <w:szCs w:val="20"/>
        </w:rPr>
      </w:pPr>
      <w:r>
        <w:rPr>
          <w:sz w:val="20"/>
          <w:szCs w:val="20"/>
        </w:rPr>
        <w:t>Quelles sont les incertitudes de la méthode ? Comment les évaluer individuellement ? Méthode de Monte Carlo ?</w:t>
      </w:r>
    </w:p>
    <w:p w:rsidR="00732BBA" w:rsidRDefault="00732BBA" w:rsidP="00732BBA">
      <w:pPr>
        <w:pStyle w:val="Paragraphedeliste"/>
        <w:numPr>
          <w:ilvl w:val="0"/>
          <w:numId w:val="9"/>
        </w:numPr>
        <w:jc w:val="both"/>
        <w:rPr>
          <w:sz w:val="20"/>
          <w:szCs w:val="20"/>
        </w:rPr>
      </w:pPr>
      <w:r>
        <w:rPr>
          <w:sz w:val="20"/>
          <w:szCs w:val="20"/>
        </w:rPr>
        <w:t xml:space="preserve">Pratiquement, comment créer la chambre à pression ? N.B : elle doit pouvoir s’adapter </w:t>
      </w:r>
      <w:r w:rsidR="00CD2B35">
        <w:rPr>
          <w:sz w:val="20"/>
          <w:szCs w:val="20"/>
        </w:rPr>
        <w:t>aux différents éléments mesurés et doit être parfaitement étanche.</w:t>
      </w:r>
    </w:p>
    <w:p w:rsidR="00B03C91" w:rsidRDefault="00732BBA" w:rsidP="00C17AB7">
      <w:pPr>
        <w:pStyle w:val="Paragraphedeliste"/>
        <w:numPr>
          <w:ilvl w:val="0"/>
          <w:numId w:val="9"/>
        </w:numPr>
        <w:jc w:val="both"/>
        <w:rPr>
          <w:sz w:val="20"/>
          <w:szCs w:val="20"/>
        </w:rPr>
      </w:pPr>
      <w:r>
        <w:rPr>
          <w:sz w:val="20"/>
          <w:szCs w:val="20"/>
        </w:rPr>
        <w:t>Vérification de la méthode</w:t>
      </w:r>
      <w:r w:rsidR="00CD2B35">
        <w:rPr>
          <w:sz w:val="20"/>
          <w:szCs w:val="20"/>
        </w:rPr>
        <w:t> ? E</w:t>
      </w:r>
      <w:r>
        <w:rPr>
          <w:sz w:val="20"/>
          <w:szCs w:val="20"/>
        </w:rPr>
        <w:t xml:space="preserve">ffectuer un ou plusieurs tests de reproductibilité ? </w:t>
      </w:r>
      <w:r w:rsidR="00CD2B35">
        <w:rPr>
          <w:sz w:val="20"/>
          <w:szCs w:val="20"/>
        </w:rPr>
        <w:t xml:space="preserve">Effectuer le test sur un élément testé en laboratoire ? Effectuer le test sur un élément très simplement modélisable (ouverture circulaire dans une plaque étanche ? </w:t>
      </w:r>
    </w:p>
    <w:p w:rsidR="003C46F3" w:rsidRDefault="003C46F3">
      <w:pPr>
        <w:rPr>
          <w:sz w:val="20"/>
          <w:szCs w:val="20"/>
        </w:rPr>
      </w:pPr>
      <w:r>
        <w:rPr>
          <w:sz w:val="20"/>
          <w:szCs w:val="20"/>
        </w:rPr>
        <w:br w:type="page"/>
      </w:r>
    </w:p>
    <w:p w:rsidR="003C46F3" w:rsidRDefault="003C46F3" w:rsidP="003C46F3">
      <w:pPr>
        <w:pStyle w:val="Titre1"/>
        <w:numPr>
          <w:ilvl w:val="0"/>
          <w:numId w:val="3"/>
        </w:numPr>
        <w:pBdr>
          <w:bottom w:val="single" w:sz="4" w:space="1" w:color="595959" w:themeColor="text1" w:themeTint="A6"/>
        </w:pBdr>
        <w:spacing w:before="360" w:after="160" w:line="259" w:lineRule="auto"/>
        <w:ind w:left="432" w:hanging="432"/>
        <w:rPr>
          <w:smallCaps/>
          <w:color w:val="000000" w:themeColor="text1"/>
          <w:sz w:val="36"/>
          <w:szCs w:val="36"/>
          <w:lang w:val="fr-BE"/>
        </w:rPr>
      </w:pPr>
      <w:r w:rsidRPr="003C46F3">
        <w:rPr>
          <w:smallCaps/>
          <w:color w:val="000000" w:themeColor="text1"/>
          <w:sz w:val="36"/>
          <w:szCs w:val="36"/>
          <w:lang w:val="fr-BE"/>
        </w:rPr>
        <w:lastRenderedPageBreak/>
        <w:t>Références</w:t>
      </w:r>
    </w:p>
    <w:p w:rsidR="003C46F3" w:rsidRPr="003C46F3" w:rsidRDefault="003C46F3" w:rsidP="003C46F3">
      <w:pPr>
        <w:spacing w:after="0"/>
        <w:rPr>
          <w:sz w:val="14"/>
          <w:lang w:val="fr-BE"/>
        </w:rPr>
      </w:pPr>
    </w:p>
    <w:p w:rsidR="00500D8A" w:rsidRPr="00500D8A" w:rsidRDefault="00B03C91" w:rsidP="00500D8A">
      <w:pPr>
        <w:pStyle w:val="EndNoteBibliography"/>
        <w:spacing w:after="0"/>
        <w:ind w:left="720" w:hanging="720"/>
        <w:rPr>
          <w:i/>
        </w:rPr>
      </w:pPr>
      <w:r>
        <w:rPr>
          <w:sz w:val="20"/>
          <w:szCs w:val="20"/>
        </w:rPr>
        <w:fldChar w:fldCharType="begin"/>
      </w:r>
      <w:r w:rsidRPr="00044D10">
        <w:rPr>
          <w:sz w:val="20"/>
          <w:szCs w:val="20"/>
          <w:lang w:val="fr-BE"/>
        </w:rPr>
        <w:instrText xml:space="preserve"> ADDIN EN.REFLIST </w:instrText>
      </w:r>
      <w:r>
        <w:rPr>
          <w:sz w:val="20"/>
          <w:szCs w:val="20"/>
        </w:rPr>
        <w:fldChar w:fldCharType="separate"/>
      </w:r>
      <w:r w:rsidR="00500D8A" w:rsidRPr="007C3AE6">
        <w:rPr>
          <w:lang w:val="fr-BE"/>
        </w:rPr>
        <w:t>1.</w:t>
      </w:r>
      <w:r w:rsidR="00500D8A" w:rsidRPr="007C3AE6">
        <w:rPr>
          <w:lang w:val="fr-BE"/>
        </w:rPr>
        <w:tab/>
      </w:r>
      <w:r w:rsidR="00500D8A" w:rsidRPr="007C3AE6">
        <w:rPr>
          <w:i/>
          <w:lang w:val="fr-BE"/>
        </w:rPr>
        <w:t xml:space="preserve">NBN EN 13829:2001. Performance thermique des bâtiments - Détermination de la perméabilité à l'air des bâtiments - Méthode de pressurisation par ventilateur (ISO 9972:1996, modifiée). </w:t>
      </w:r>
      <w:r w:rsidR="00500D8A" w:rsidRPr="00500D8A">
        <w:rPr>
          <w:i/>
        </w:rPr>
        <w:t>IBN, Brussels.</w:t>
      </w:r>
    </w:p>
    <w:p w:rsidR="00500D8A" w:rsidRPr="00500D8A" w:rsidRDefault="00500D8A" w:rsidP="00500D8A">
      <w:pPr>
        <w:pStyle w:val="EndNoteBibliography"/>
        <w:spacing w:after="0"/>
        <w:ind w:left="720" w:hanging="720"/>
      </w:pPr>
      <w:r w:rsidRPr="00500D8A">
        <w:t>2.</w:t>
      </w:r>
      <w:r w:rsidRPr="00500D8A">
        <w:tab/>
        <w:t xml:space="preserve">BIPM, I., et al., </w:t>
      </w:r>
      <w:r w:rsidRPr="00500D8A">
        <w:rPr>
          <w:i/>
        </w:rPr>
        <w:t>Evaluation of measurement data—guide for the expression of uncertainty in measurement. JCGM 100: 2008</w:t>
      </w:r>
      <w:r w:rsidRPr="00500D8A">
        <w:t>. 2008.</w:t>
      </w:r>
    </w:p>
    <w:p w:rsidR="00500D8A" w:rsidRPr="00500D8A" w:rsidRDefault="00500D8A" w:rsidP="00500D8A">
      <w:pPr>
        <w:pStyle w:val="EndNoteBibliography"/>
        <w:spacing w:after="0"/>
        <w:ind w:left="720" w:hanging="720"/>
      </w:pPr>
      <w:r w:rsidRPr="00500D8A">
        <w:t>3.</w:t>
      </w:r>
      <w:r w:rsidRPr="00500D8A">
        <w:tab/>
        <w:t xml:space="preserve">Sherman, M. and L. Palmiter, </w:t>
      </w:r>
      <w:r w:rsidRPr="00500D8A">
        <w:rPr>
          <w:i/>
        </w:rPr>
        <w:t>Uncertainties in fan pressurization measurements</w:t>
      </w:r>
      <w:r w:rsidRPr="00500D8A">
        <w:t xml:space="preserve">, in </w:t>
      </w:r>
      <w:r w:rsidRPr="00500D8A">
        <w:rPr>
          <w:i/>
        </w:rPr>
        <w:t>Airflow performance of building envelopes, components, and systems</w:t>
      </w:r>
      <w:r w:rsidRPr="00500D8A">
        <w:t>. 1995, ASTM International.</w:t>
      </w:r>
    </w:p>
    <w:p w:rsidR="00500D8A" w:rsidRPr="00500D8A" w:rsidRDefault="00500D8A" w:rsidP="00500D8A">
      <w:pPr>
        <w:pStyle w:val="EndNoteBibliography"/>
        <w:spacing w:after="0"/>
        <w:ind w:left="720" w:hanging="720"/>
      </w:pPr>
      <w:r w:rsidRPr="00500D8A">
        <w:t>4.</w:t>
      </w:r>
      <w:r w:rsidRPr="00500D8A">
        <w:tab/>
        <w:t xml:space="preserve">Delmotte, C. </w:t>
      </w:r>
      <w:r w:rsidRPr="00500D8A">
        <w:rPr>
          <w:i/>
        </w:rPr>
        <w:t>Airtightness of buildings-Calculation of combined standard uncertainty</w:t>
      </w:r>
      <w:r w:rsidRPr="00500D8A">
        <w:t xml:space="preserve">. in </w:t>
      </w:r>
      <w:r w:rsidRPr="00500D8A">
        <w:rPr>
          <w:i/>
        </w:rPr>
        <w:t>AIVC Conference. Athens, Greece</w:t>
      </w:r>
      <w:r w:rsidRPr="00500D8A">
        <w:t>. 2013.</w:t>
      </w:r>
    </w:p>
    <w:p w:rsidR="00500D8A" w:rsidRPr="00500D8A" w:rsidRDefault="00500D8A" w:rsidP="00500D8A">
      <w:pPr>
        <w:pStyle w:val="EndNoteBibliography"/>
        <w:spacing w:after="0"/>
        <w:ind w:left="720" w:hanging="720"/>
      </w:pPr>
      <w:r w:rsidRPr="00500D8A">
        <w:t>5.</w:t>
      </w:r>
      <w:r w:rsidRPr="00500D8A">
        <w:tab/>
        <w:t xml:space="preserve">Delmotte, C. and J. Laverge. </w:t>
      </w:r>
      <w:r w:rsidRPr="00500D8A">
        <w:rPr>
          <w:i/>
        </w:rPr>
        <w:t>Interlaboratory tests for the determination of repeatability and reproducibility of buildings airtightness measurements</w:t>
      </w:r>
      <w:r w:rsidRPr="00500D8A">
        <w:t xml:space="preserve">. in </w:t>
      </w:r>
      <w:r w:rsidRPr="00500D8A">
        <w:rPr>
          <w:i/>
        </w:rPr>
        <w:t>32nd AIVC conference and 1st TightVent Conference: Towards Optimal Airtightness Performance</w:t>
      </w:r>
      <w:r w:rsidRPr="00500D8A">
        <w:t>. 2011.</w:t>
      </w:r>
    </w:p>
    <w:p w:rsidR="00500D8A" w:rsidRPr="00500D8A" w:rsidRDefault="00500D8A" w:rsidP="00500D8A">
      <w:pPr>
        <w:pStyle w:val="EndNoteBibliography"/>
        <w:spacing w:after="0"/>
        <w:ind w:left="720" w:hanging="720"/>
      </w:pPr>
      <w:r w:rsidRPr="00500D8A">
        <w:t>6.</w:t>
      </w:r>
      <w:r w:rsidRPr="00500D8A">
        <w:tab/>
        <w:t xml:space="preserve">Langmans, J., et al., </w:t>
      </w:r>
      <w:r w:rsidRPr="00500D8A">
        <w:rPr>
          <w:i/>
        </w:rPr>
        <w:t>Potential of wind barriers to assure airtightness of wood-frame low energy constructions.</w:t>
      </w:r>
      <w:r w:rsidRPr="00500D8A">
        <w:t xml:space="preserve"> Energy and Buildings, 2010. </w:t>
      </w:r>
      <w:r w:rsidRPr="00500D8A">
        <w:rPr>
          <w:b/>
        </w:rPr>
        <w:t>42</w:t>
      </w:r>
      <w:r w:rsidRPr="00500D8A">
        <w:t>(12): p. 2376-2385.</w:t>
      </w:r>
    </w:p>
    <w:p w:rsidR="00500D8A" w:rsidRPr="00500D8A" w:rsidRDefault="00500D8A" w:rsidP="00500D8A">
      <w:pPr>
        <w:pStyle w:val="EndNoteBibliography"/>
        <w:spacing w:after="0"/>
        <w:ind w:left="720" w:hanging="720"/>
      </w:pPr>
      <w:r w:rsidRPr="00500D8A">
        <w:t>7.</w:t>
      </w:r>
      <w:r w:rsidRPr="00500D8A">
        <w:tab/>
        <w:t xml:space="preserve">Pinto, M., J. Viegas, and V. de Freitas, </w:t>
      </w:r>
      <w:r w:rsidRPr="00500D8A">
        <w:rPr>
          <w:i/>
        </w:rPr>
        <w:t>Air permeability measurements of dwellings and building components in Portugal.</w:t>
      </w:r>
      <w:r w:rsidRPr="00500D8A">
        <w:t xml:space="preserve"> Building and Environment, 2011. </w:t>
      </w:r>
      <w:r w:rsidRPr="00500D8A">
        <w:rPr>
          <w:b/>
        </w:rPr>
        <w:t>46</w:t>
      </w:r>
      <w:r w:rsidRPr="00500D8A">
        <w:t>(12): p. 2480-2489.</w:t>
      </w:r>
    </w:p>
    <w:p w:rsidR="00500D8A" w:rsidRPr="00500D8A" w:rsidRDefault="00500D8A" w:rsidP="00500D8A">
      <w:pPr>
        <w:pStyle w:val="EndNoteBibliography"/>
        <w:spacing w:after="0"/>
        <w:ind w:left="720" w:hanging="720"/>
      </w:pPr>
      <w:r w:rsidRPr="00500D8A">
        <w:t>8.</w:t>
      </w:r>
      <w:r w:rsidRPr="00500D8A">
        <w:tab/>
        <w:t xml:space="preserve">Relander, T.-O., B. Heiskel, and J.S. Tyssedal, </w:t>
      </w:r>
      <w:r w:rsidRPr="00500D8A">
        <w:rPr>
          <w:i/>
        </w:rPr>
        <w:t>The influence of the joint between the basement wall and the wood-frame wall on the airtightness of wood-frame houses.</w:t>
      </w:r>
      <w:r w:rsidRPr="00500D8A">
        <w:t xml:space="preserve"> Energy and Buildings, 2011. </w:t>
      </w:r>
      <w:r w:rsidRPr="00500D8A">
        <w:rPr>
          <w:b/>
        </w:rPr>
        <w:t>43</w:t>
      </w:r>
      <w:r w:rsidRPr="00500D8A">
        <w:t>(6): p. 1304-1314.</w:t>
      </w:r>
    </w:p>
    <w:p w:rsidR="00500D8A" w:rsidRPr="00500D8A" w:rsidRDefault="00500D8A" w:rsidP="00500D8A">
      <w:pPr>
        <w:pStyle w:val="EndNoteBibliography"/>
        <w:spacing w:after="0"/>
        <w:ind w:left="720" w:hanging="720"/>
      </w:pPr>
      <w:r w:rsidRPr="00500D8A">
        <w:t>9.</w:t>
      </w:r>
      <w:r w:rsidRPr="00500D8A">
        <w:tab/>
        <w:t xml:space="preserve">Relander, T.-O., T. Kvande, and J.V. Thue, </w:t>
      </w:r>
      <w:r w:rsidRPr="00500D8A">
        <w:rPr>
          <w:i/>
        </w:rPr>
        <w:t>The influence of lightweight aggregate concrete element chimneys on the airtightness of wood-frame houses.</w:t>
      </w:r>
      <w:r w:rsidRPr="00500D8A">
        <w:t xml:space="preserve"> Energy and Buildings, 2010. </w:t>
      </w:r>
      <w:r w:rsidRPr="00500D8A">
        <w:rPr>
          <w:b/>
        </w:rPr>
        <w:t>42</w:t>
      </w:r>
      <w:r w:rsidRPr="00500D8A">
        <w:t>(5): p. 684-694.</w:t>
      </w:r>
    </w:p>
    <w:p w:rsidR="00500D8A" w:rsidRPr="00500D8A" w:rsidRDefault="00500D8A" w:rsidP="00500D8A">
      <w:pPr>
        <w:pStyle w:val="EndNoteBibliography"/>
        <w:spacing w:after="0"/>
        <w:ind w:left="720" w:hanging="720"/>
      </w:pPr>
      <w:r w:rsidRPr="00500D8A">
        <w:t>10.</w:t>
      </w:r>
      <w:r w:rsidRPr="00500D8A">
        <w:tab/>
        <w:t xml:space="preserve">Relander, T.-O., et al., </w:t>
      </w:r>
      <w:r w:rsidRPr="00500D8A">
        <w:rPr>
          <w:i/>
        </w:rPr>
        <w:t>The influence of structural floors on the airtightness of wood-frame houses.</w:t>
      </w:r>
      <w:r w:rsidRPr="00500D8A">
        <w:t xml:space="preserve"> Energy and Buildings, 2011. </w:t>
      </w:r>
      <w:r w:rsidRPr="00500D8A">
        <w:rPr>
          <w:b/>
        </w:rPr>
        <w:t>43</w:t>
      </w:r>
      <w:r w:rsidRPr="00500D8A">
        <w:t>(2): p. 639-652.</w:t>
      </w:r>
    </w:p>
    <w:p w:rsidR="00500D8A" w:rsidRPr="00500D8A" w:rsidRDefault="00500D8A" w:rsidP="00500D8A">
      <w:pPr>
        <w:pStyle w:val="EndNoteBibliography"/>
        <w:spacing w:after="0"/>
        <w:ind w:left="720" w:hanging="720"/>
      </w:pPr>
      <w:r w:rsidRPr="00500D8A">
        <w:t>11.</w:t>
      </w:r>
      <w:r w:rsidRPr="00500D8A">
        <w:tab/>
        <w:t xml:space="preserve">Relander, T.-O., J.V. Thue, and A. Gustavsen. </w:t>
      </w:r>
      <w:r w:rsidRPr="00500D8A">
        <w:rPr>
          <w:i/>
        </w:rPr>
        <w:t>Air tightness performance of different sealing methods for windows in wood-frame buildings</w:t>
      </w:r>
      <w:r w:rsidRPr="00500D8A">
        <w:t xml:space="preserve">. in </w:t>
      </w:r>
      <w:r w:rsidRPr="00500D8A">
        <w:rPr>
          <w:i/>
        </w:rPr>
        <w:t>8th Nordic Symposium on Building Physics, Copenhagen, Denmark</w:t>
      </w:r>
      <w:r w:rsidRPr="00500D8A">
        <w:t>. 2008. Citeseer.</w:t>
      </w:r>
    </w:p>
    <w:p w:rsidR="00500D8A" w:rsidRPr="00500D8A" w:rsidRDefault="00500D8A" w:rsidP="00500D8A">
      <w:pPr>
        <w:pStyle w:val="EndNoteBibliography"/>
        <w:spacing w:after="0"/>
        <w:ind w:left="720" w:hanging="720"/>
      </w:pPr>
      <w:r w:rsidRPr="00500D8A">
        <w:t>12.</w:t>
      </w:r>
      <w:r w:rsidRPr="00500D8A">
        <w:tab/>
        <w:t xml:space="preserve">Van Den Bossche, N., et al., </w:t>
      </w:r>
      <w:r w:rsidRPr="00500D8A">
        <w:rPr>
          <w:i/>
        </w:rPr>
        <w:t>Airtightness of the window–wall interface in cavity brick walls.</w:t>
      </w:r>
      <w:r w:rsidRPr="00500D8A">
        <w:t xml:space="preserve"> Energy and Buildings, 2012. </w:t>
      </w:r>
      <w:r w:rsidRPr="00500D8A">
        <w:rPr>
          <w:b/>
        </w:rPr>
        <w:t>45</w:t>
      </w:r>
      <w:r w:rsidRPr="00500D8A">
        <w:t>: p. 32-42.</w:t>
      </w:r>
    </w:p>
    <w:p w:rsidR="00500D8A" w:rsidRPr="00500D8A" w:rsidRDefault="00500D8A" w:rsidP="00500D8A">
      <w:pPr>
        <w:pStyle w:val="EndNoteBibliography"/>
        <w:spacing w:after="0"/>
        <w:ind w:left="720" w:hanging="720"/>
      </w:pPr>
      <w:r w:rsidRPr="00500D8A">
        <w:t>13.</w:t>
      </w:r>
      <w:r w:rsidRPr="00500D8A">
        <w:tab/>
        <w:t xml:space="preserve">Kalamees, T., Ü. Alev, and M. Pärnalaas, </w:t>
      </w:r>
      <w:r w:rsidRPr="00500D8A">
        <w:rPr>
          <w:i/>
        </w:rPr>
        <w:t>Air leakage levels in timber frame building envelope joints.</w:t>
      </w:r>
      <w:r w:rsidRPr="00500D8A">
        <w:t xml:space="preserve"> Building and Environment, 2017. </w:t>
      </w:r>
      <w:r w:rsidRPr="00500D8A">
        <w:rPr>
          <w:b/>
        </w:rPr>
        <w:t>116</w:t>
      </w:r>
      <w:r w:rsidRPr="00500D8A">
        <w:t>: p. 121-129.</w:t>
      </w:r>
    </w:p>
    <w:p w:rsidR="00500D8A" w:rsidRPr="00500D8A" w:rsidRDefault="00500D8A" w:rsidP="00500D8A">
      <w:pPr>
        <w:pStyle w:val="EndNoteBibliography"/>
        <w:spacing w:after="0"/>
        <w:ind w:left="720" w:hanging="720"/>
      </w:pPr>
      <w:r w:rsidRPr="00500D8A">
        <w:t>14.</w:t>
      </w:r>
      <w:r w:rsidRPr="00500D8A">
        <w:tab/>
        <w:t xml:space="preserve">NBN, E., </w:t>
      </w:r>
      <w:r w:rsidRPr="00500D8A">
        <w:rPr>
          <w:i/>
        </w:rPr>
        <w:t>12114, 2000.</w:t>
      </w:r>
      <w:r w:rsidRPr="00500D8A">
        <w:t xml:space="preserve"> Thermal performance of buildings–air permeability of building components and building elements–laboratory test method. CEN, Brussels, Belgium.</w:t>
      </w:r>
    </w:p>
    <w:p w:rsidR="00500D8A" w:rsidRPr="00500D8A" w:rsidRDefault="00500D8A" w:rsidP="00500D8A">
      <w:pPr>
        <w:pStyle w:val="EndNoteBibliography"/>
        <w:spacing w:after="0"/>
        <w:ind w:left="720" w:hanging="720"/>
      </w:pPr>
      <w:r w:rsidRPr="00500D8A">
        <w:t>15.</w:t>
      </w:r>
      <w:r w:rsidRPr="00500D8A">
        <w:tab/>
        <w:t xml:space="preserve">Ghazi, C. and J. Marshall, </w:t>
      </w:r>
      <w:r w:rsidRPr="00500D8A">
        <w:rPr>
          <w:i/>
        </w:rPr>
        <w:t>A CO 2 tracer-gas method for local air leakage detection and characterization.</w:t>
      </w:r>
      <w:r w:rsidRPr="00500D8A">
        <w:t xml:space="preserve"> Flow Measurement and Instrumentation, 2014. </w:t>
      </w:r>
      <w:r w:rsidRPr="00500D8A">
        <w:rPr>
          <w:b/>
        </w:rPr>
        <w:t>38</w:t>
      </w:r>
      <w:r w:rsidRPr="00500D8A">
        <w:t>: p. 72-81.</w:t>
      </w:r>
    </w:p>
    <w:p w:rsidR="00500D8A" w:rsidRPr="00500D8A" w:rsidRDefault="00500D8A" w:rsidP="00500D8A">
      <w:pPr>
        <w:pStyle w:val="EndNoteBibliography"/>
        <w:spacing w:after="0"/>
        <w:ind w:left="720" w:hanging="720"/>
      </w:pPr>
      <w:r w:rsidRPr="00500D8A">
        <w:t>16.</w:t>
      </w:r>
      <w:r w:rsidRPr="00500D8A">
        <w:tab/>
        <w:t xml:space="preserve">Walker, I., et al., </w:t>
      </w:r>
      <w:r w:rsidRPr="00500D8A">
        <w:rPr>
          <w:i/>
        </w:rPr>
        <w:t>Development of a new duct leakage test: DeltaQ.</w:t>
      </w:r>
      <w:r w:rsidRPr="00500D8A">
        <w:t xml:space="preserve"> Lawrence Berkeley National Laboratory, 2001.</w:t>
      </w:r>
    </w:p>
    <w:p w:rsidR="00500D8A" w:rsidRPr="00500D8A" w:rsidRDefault="00500D8A" w:rsidP="00500D8A">
      <w:pPr>
        <w:pStyle w:val="EndNoteBibliography"/>
        <w:spacing w:after="0"/>
        <w:ind w:left="720" w:hanging="720"/>
      </w:pPr>
      <w:r w:rsidRPr="00500D8A">
        <w:t>17.</w:t>
      </w:r>
      <w:r w:rsidRPr="00500D8A">
        <w:tab/>
        <w:t xml:space="preserve">Pedro F. Pereira, R.M.S.F.A., Nuno M. M. Ramos and Rui Sousa, </w:t>
      </w:r>
      <w:r w:rsidRPr="00500D8A">
        <w:rPr>
          <w:i/>
        </w:rPr>
        <w:t>Testing for building components contribution to airtightness assessment</w:t>
      </w:r>
      <w:r w:rsidRPr="00500D8A">
        <w:t>. 2009.</w:t>
      </w:r>
    </w:p>
    <w:p w:rsidR="00500D8A" w:rsidRPr="00500D8A" w:rsidRDefault="00500D8A" w:rsidP="00500D8A">
      <w:pPr>
        <w:pStyle w:val="EndNoteBibliography"/>
        <w:spacing w:after="0"/>
        <w:ind w:left="720" w:hanging="720"/>
      </w:pPr>
      <w:r w:rsidRPr="00500D8A">
        <w:t>18.</w:t>
      </w:r>
      <w:r w:rsidRPr="00500D8A">
        <w:tab/>
        <w:t xml:space="preserve">Almeida, R.M., N.M. Ramos, and P.F. Pereira, </w:t>
      </w:r>
      <w:r w:rsidRPr="00500D8A">
        <w:rPr>
          <w:i/>
        </w:rPr>
        <w:t>A contribution for the quantification of the influence of windows on the airtightness of Southern European buildings.</w:t>
      </w:r>
      <w:r w:rsidRPr="00500D8A">
        <w:t xml:space="preserve"> Energy and Buildings, 2017.</w:t>
      </w:r>
    </w:p>
    <w:p w:rsidR="00500D8A" w:rsidRPr="00500D8A" w:rsidRDefault="00500D8A" w:rsidP="00500D8A">
      <w:pPr>
        <w:pStyle w:val="EndNoteBibliography"/>
        <w:spacing w:after="0"/>
        <w:ind w:left="720" w:hanging="720"/>
      </w:pPr>
      <w:r w:rsidRPr="00500D8A">
        <w:t>19.</w:t>
      </w:r>
      <w:r w:rsidRPr="00500D8A">
        <w:tab/>
        <w:t xml:space="preserve">Dickerhoff, D., D.T. Grimsrud, and R.D. Lipschutz, </w:t>
      </w:r>
      <w:r w:rsidRPr="00500D8A">
        <w:rPr>
          <w:i/>
        </w:rPr>
        <w:t>Component leakage testing in residential buildings.</w:t>
      </w:r>
      <w:r w:rsidRPr="00500D8A">
        <w:t xml:space="preserve"> Lawrence Berkeley National Laboratory, 1982.</w:t>
      </w:r>
    </w:p>
    <w:p w:rsidR="00500D8A" w:rsidRPr="00500D8A" w:rsidRDefault="00500D8A" w:rsidP="00500D8A">
      <w:pPr>
        <w:pStyle w:val="EndNoteBibliography"/>
        <w:spacing w:after="0"/>
        <w:ind w:left="720" w:hanging="720"/>
      </w:pPr>
      <w:r w:rsidRPr="00500D8A">
        <w:t>20.</w:t>
      </w:r>
      <w:r w:rsidRPr="00500D8A">
        <w:tab/>
        <w:t xml:space="preserve">Hrvoje Krstic, Z.K., Matija Tomljanovic, </w:t>
      </w:r>
      <w:r w:rsidRPr="00500D8A">
        <w:rPr>
          <w:i/>
        </w:rPr>
        <w:t>Influence of window type on the airtightness of residential units.</w:t>
      </w:r>
      <w:r w:rsidRPr="00500D8A">
        <w:t xml:space="preserve"> e-GFOS, 2014. </w:t>
      </w:r>
      <w:r w:rsidRPr="00500D8A">
        <w:rPr>
          <w:b/>
        </w:rPr>
        <w:t>5</w:t>
      </w:r>
      <w:r w:rsidRPr="00500D8A">
        <w:t>(9): p. 34-40.</w:t>
      </w:r>
    </w:p>
    <w:p w:rsidR="00500D8A" w:rsidRPr="00500D8A" w:rsidRDefault="00500D8A" w:rsidP="00500D8A">
      <w:pPr>
        <w:pStyle w:val="EndNoteBibliography"/>
        <w:spacing w:after="0"/>
        <w:ind w:left="720" w:hanging="720"/>
      </w:pPr>
      <w:r w:rsidRPr="00500D8A">
        <w:t>21.</w:t>
      </w:r>
      <w:r w:rsidRPr="00500D8A">
        <w:tab/>
        <w:t xml:space="preserve">Urquhart, R., R. Richman, and G. Finch, </w:t>
      </w:r>
      <w:r w:rsidRPr="00500D8A">
        <w:rPr>
          <w:i/>
        </w:rPr>
        <w:t>The effect of an enclosure retrofit on air leakage rates for a multi-unit residential case-study building.</w:t>
      </w:r>
      <w:r w:rsidRPr="00500D8A">
        <w:t xml:space="preserve"> Energy and Buildings, 2015. </w:t>
      </w:r>
      <w:r w:rsidRPr="00500D8A">
        <w:rPr>
          <w:b/>
        </w:rPr>
        <w:t>86</w:t>
      </w:r>
      <w:r w:rsidRPr="00500D8A">
        <w:t>: p. 35-44.</w:t>
      </w:r>
    </w:p>
    <w:p w:rsidR="00500D8A" w:rsidRPr="007C3AE6" w:rsidRDefault="00500D8A" w:rsidP="00500D8A">
      <w:pPr>
        <w:pStyle w:val="EndNoteBibliography"/>
        <w:spacing w:after="0"/>
        <w:ind w:left="720" w:hanging="720"/>
        <w:rPr>
          <w:lang w:val="fr-BE"/>
        </w:rPr>
      </w:pPr>
      <w:r w:rsidRPr="00500D8A">
        <w:lastRenderedPageBreak/>
        <w:t>22.</w:t>
      </w:r>
      <w:r w:rsidRPr="00500D8A">
        <w:tab/>
        <w:t xml:space="preserve">Raman, G., et al. </w:t>
      </w:r>
      <w:r w:rsidRPr="00500D8A">
        <w:rPr>
          <w:i/>
        </w:rPr>
        <w:t>Detection and quantification of building air infiltration using remote acoustic methods</w:t>
      </w:r>
      <w:r w:rsidRPr="00500D8A">
        <w:t xml:space="preserve">. in </w:t>
      </w:r>
      <w:r w:rsidRPr="00500D8A">
        <w:rPr>
          <w:i/>
        </w:rPr>
        <w:t>43rd International Congress on Noise Control Engineering November</w:t>
      </w:r>
      <w:r w:rsidRPr="00500D8A">
        <w:t xml:space="preserve">. </w:t>
      </w:r>
      <w:r w:rsidRPr="007C3AE6">
        <w:rPr>
          <w:lang w:val="fr-BE"/>
        </w:rPr>
        <w:t>2014.</w:t>
      </w:r>
    </w:p>
    <w:p w:rsidR="00500D8A" w:rsidRPr="00500D8A" w:rsidRDefault="00500D8A" w:rsidP="00500D8A">
      <w:pPr>
        <w:pStyle w:val="EndNoteBibliography"/>
        <w:spacing w:after="0"/>
        <w:ind w:left="720" w:hanging="720"/>
      </w:pPr>
      <w:r w:rsidRPr="007C3AE6">
        <w:rPr>
          <w:lang w:val="fr-BE"/>
        </w:rPr>
        <w:t>23.</w:t>
      </w:r>
      <w:r w:rsidRPr="007C3AE6">
        <w:rPr>
          <w:lang w:val="fr-BE"/>
        </w:rPr>
        <w:tab/>
        <w:t xml:space="preserve">Michaux, N.D.B., </w:t>
      </w:r>
      <w:r w:rsidRPr="007C3AE6">
        <w:rPr>
          <w:i/>
          <w:lang w:val="fr-BE"/>
        </w:rPr>
        <w:t>Elaboration d’un protocole expérimental en vue de déterminer l’étanchéité à l’air de bâtiments et de parois via les ultrasons.</w:t>
      </w:r>
      <w:r w:rsidRPr="007C3AE6">
        <w:rPr>
          <w:lang w:val="fr-BE"/>
        </w:rPr>
        <w:t xml:space="preserve"> </w:t>
      </w:r>
      <w:r w:rsidRPr="00500D8A">
        <w:t xml:space="preserve">Revue scientifique des ingénieurs industriels, 2015. </w:t>
      </w:r>
      <w:r w:rsidRPr="00500D8A">
        <w:rPr>
          <w:b/>
        </w:rPr>
        <w:t>29</w:t>
      </w:r>
      <w:r w:rsidRPr="00500D8A">
        <w:t>.</w:t>
      </w:r>
    </w:p>
    <w:p w:rsidR="00500D8A" w:rsidRPr="00500D8A" w:rsidRDefault="00500D8A" w:rsidP="00500D8A">
      <w:pPr>
        <w:pStyle w:val="EndNoteBibliography"/>
        <w:spacing w:after="0"/>
        <w:ind w:left="720" w:hanging="720"/>
      </w:pPr>
      <w:r w:rsidRPr="00500D8A">
        <w:t>24.</w:t>
      </w:r>
      <w:r w:rsidRPr="00500D8A">
        <w:tab/>
        <w:t xml:space="preserve">Cuce, E., </w:t>
      </w:r>
      <w:r w:rsidRPr="00500D8A">
        <w:rPr>
          <w:i/>
        </w:rPr>
        <w:t>Role of airtightness in energy loss from windows: Experimental results from in-situ tests.</w:t>
      </w:r>
      <w:r w:rsidRPr="00500D8A">
        <w:t xml:space="preserve"> Energy and Buildings, 2017. </w:t>
      </w:r>
      <w:r w:rsidRPr="00500D8A">
        <w:rPr>
          <w:b/>
        </w:rPr>
        <w:t>139</w:t>
      </w:r>
      <w:r w:rsidRPr="00500D8A">
        <w:t>: p. 449-455.</w:t>
      </w:r>
    </w:p>
    <w:p w:rsidR="00500D8A" w:rsidRPr="00500D8A" w:rsidRDefault="00500D8A" w:rsidP="00500D8A">
      <w:pPr>
        <w:pStyle w:val="EndNoteBibliography"/>
        <w:spacing w:after="0"/>
        <w:ind w:left="720" w:hanging="720"/>
      </w:pPr>
      <w:r w:rsidRPr="00500D8A">
        <w:t>25.</w:t>
      </w:r>
      <w:r w:rsidRPr="00500D8A">
        <w:tab/>
        <w:t xml:space="preserve">Villafruela, J., et al., </w:t>
      </w:r>
      <w:r w:rsidRPr="00500D8A">
        <w:rPr>
          <w:i/>
        </w:rPr>
        <w:t>Airflow patterns through a sliding door during opening and foot traffic in operating rooms.</w:t>
      </w:r>
      <w:r w:rsidRPr="00500D8A">
        <w:t xml:space="preserve"> Building and Environment, 2016. </w:t>
      </w:r>
      <w:r w:rsidRPr="00500D8A">
        <w:rPr>
          <w:b/>
        </w:rPr>
        <w:t>109</w:t>
      </w:r>
      <w:r w:rsidRPr="00500D8A">
        <w:t>: p. 190-198.</w:t>
      </w:r>
    </w:p>
    <w:p w:rsidR="00500D8A" w:rsidRPr="00500D8A" w:rsidRDefault="00500D8A" w:rsidP="00500D8A">
      <w:pPr>
        <w:pStyle w:val="EndNoteBibliography"/>
        <w:ind w:left="720" w:hanging="720"/>
      </w:pPr>
      <w:r w:rsidRPr="00500D8A">
        <w:t>26.</w:t>
      </w:r>
      <w:r w:rsidRPr="00500D8A">
        <w:tab/>
        <w:t xml:space="preserve">Barreira, E., R.M. Almeida, and M. Moreira, </w:t>
      </w:r>
      <w:r w:rsidRPr="00500D8A">
        <w:rPr>
          <w:i/>
        </w:rPr>
        <w:t>An infrared thermography passive approach to assess the effect of leakage points in buildings.</w:t>
      </w:r>
      <w:r w:rsidRPr="00500D8A">
        <w:t xml:space="preserve"> Energy and Buildings, 2017. </w:t>
      </w:r>
      <w:r w:rsidRPr="00500D8A">
        <w:rPr>
          <w:b/>
        </w:rPr>
        <w:t>140</w:t>
      </w:r>
      <w:r w:rsidRPr="00500D8A">
        <w:t>: p. 224-235.</w:t>
      </w:r>
    </w:p>
    <w:p w:rsidR="005F1B90" w:rsidRPr="00B03C91" w:rsidRDefault="00B03C91" w:rsidP="00B03C91">
      <w:r>
        <w:fldChar w:fldCharType="end"/>
      </w:r>
    </w:p>
    <w:sectPr w:rsidR="005F1B90" w:rsidRPr="00B03C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D0899"/>
    <w:multiLevelType w:val="hybridMultilevel"/>
    <w:tmpl w:val="CCBCD2F0"/>
    <w:lvl w:ilvl="0" w:tplc="60C0130A">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F3E3BCC"/>
    <w:multiLevelType w:val="multilevel"/>
    <w:tmpl w:val="6E32CF8A"/>
    <w:lvl w:ilvl="0">
      <w:start w:val="1"/>
      <w:numFmt w:val="decimal"/>
      <w:lvlText w:val="%1."/>
      <w:lvlJc w:val="left"/>
      <w:pPr>
        <w:ind w:left="720" w:hanging="360"/>
      </w:pPr>
      <w:rPr>
        <w:rFonts w:hint="default"/>
      </w:rPr>
    </w:lvl>
    <w:lvl w:ilvl="1">
      <w:start w:val="1"/>
      <w:numFmt w:val="decimal"/>
      <w:isLgl/>
      <w:lvlText w:val="%1.%2"/>
      <w:lvlJc w:val="left"/>
      <w:pPr>
        <w:ind w:left="450" w:hanging="450"/>
      </w:pPr>
      <w:rPr>
        <w:rFonts w:hint="default"/>
        <w:lang w:val="fr-FR"/>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3A685CD6"/>
    <w:multiLevelType w:val="hybridMultilevel"/>
    <w:tmpl w:val="12468038"/>
    <w:lvl w:ilvl="0" w:tplc="594874EC">
      <w:start w:val="14"/>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C0A1C25"/>
    <w:multiLevelType w:val="hybridMultilevel"/>
    <w:tmpl w:val="63DE9F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E3529E9"/>
    <w:multiLevelType w:val="hybridMultilevel"/>
    <w:tmpl w:val="C0CE5280"/>
    <w:lvl w:ilvl="0" w:tplc="080C000B">
      <w:start w:val="1"/>
      <w:numFmt w:val="bullet"/>
      <w:lvlText w:val=""/>
      <w:lvlJc w:val="left"/>
      <w:pPr>
        <w:ind w:left="502" w:hanging="360"/>
      </w:pPr>
      <w:rPr>
        <w:rFonts w:ascii="Wingdings" w:hAnsi="Wingdings" w:hint="default"/>
      </w:rPr>
    </w:lvl>
    <w:lvl w:ilvl="1" w:tplc="080C0003" w:tentative="1">
      <w:start w:val="1"/>
      <w:numFmt w:val="bullet"/>
      <w:lvlText w:val="o"/>
      <w:lvlJc w:val="left"/>
      <w:pPr>
        <w:ind w:left="1222" w:hanging="360"/>
      </w:pPr>
      <w:rPr>
        <w:rFonts w:ascii="Courier New" w:hAnsi="Courier New" w:cs="Courier New" w:hint="default"/>
      </w:rPr>
    </w:lvl>
    <w:lvl w:ilvl="2" w:tplc="080C0005" w:tentative="1">
      <w:start w:val="1"/>
      <w:numFmt w:val="bullet"/>
      <w:lvlText w:val=""/>
      <w:lvlJc w:val="left"/>
      <w:pPr>
        <w:ind w:left="1942" w:hanging="360"/>
      </w:pPr>
      <w:rPr>
        <w:rFonts w:ascii="Wingdings" w:hAnsi="Wingdings" w:hint="default"/>
      </w:rPr>
    </w:lvl>
    <w:lvl w:ilvl="3" w:tplc="080C0001" w:tentative="1">
      <w:start w:val="1"/>
      <w:numFmt w:val="bullet"/>
      <w:lvlText w:val=""/>
      <w:lvlJc w:val="left"/>
      <w:pPr>
        <w:ind w:left="2662" w:hanging="360"/>
      </w:pPr>
      <w:rPr>
        <w:rFonts w:ascii="Symbol" w:hAnsi="Symbol" w:hint="default"/>
      </w:rPr>
    </w:lvl>
    <w:lvl w:ilvl="4" w:tplc="080C0003" w:tentative="1">
      <w:start w:val="1"/>
      <w:numFmt w:val="bullet"/>
      <w:lvlText w:val="o"/>
      <w:lvlJc w:val="left"/>
      <w:pPr>
        <w:ind w:left="3382" w:hanging="360"/>
      </w:pPr>
      <w:rPr>
        <w:rFonts w:ascii="Courier New" w:hAnsi="Courier New" w:cs="Courier New" w:hint="default"/>
      </w:rPr>
    </w:lvl>
    <w:lvl w:ilvl="5" w:tplc="080C0005" w:tentative="1">
      <w:start w:val="1"/>
      <w:numFmt w:val="bullet"/>
      <w:lvlText w:val=""/>
      <w:lvlJc w:val="left"/>
      <w:pPr>
        <w:ind w:left="4102" w:hanging="360"/>
      </w:pPr>
      <w:rPr>
        <w:rFonts w:ascii="Wingdings" w:hAnsi="Wingdings" w:hint="default"/>
      </w:rPr>
    </w:lvl>
    <w:lvl w:ilvl="6" w:tplc="080C0001" w:tentative="1">
      <w:start w:val="1"/>
      <w:numFmt w:val="bullet"/>
      <w:lvlText w:val=""/>
      <w:lvlJc w:val="left"/>
      <w:pPr>
        <w:ind w:left="4822" w:hanging="360"/>
      </w:pPr>
      <w:rPr>
        <w:rFonts w:ascii="Symbol" w:hAnsi="Symbol" w:hint="default"/>
      </w:rPr>
    </w:lvl>
    <w:lvl w:ilvl="7" w:tplc="080C0003" w:tentative="1">
      <w:start w:val="1"/>
      <w:numFmt w:val="bullet"/>
      <w:lvlText w:val="o"/>
      <w:lvlJc w:val="left"/>
      <w:pPr>
        <w:ind w:left="5542" w:hanging="360"/>
      </w:pPr>
      <w:rPr>
        <w:rFonts w:ascii="Courier New" w:hAnsi="Courier New" w:cs="Courier New" w:hint="default"/>
      </w:rPr>
    </w:lvl>
    <w:lvl w:ilvl="8" w:tplc="080C0005" w:tentative="1">
      <w:start w:val="1"/>
      <w:numFmt w:val="bullet"/>
      <w:lvlText w:val=""/>
      <w:lvlJc w:val="left"/>
      <w:pPr>
        <w:ind w:left="6262" w:hanging="360"/>
      </w:pPr>
      <w:rPr>
        <w:rFonts w:ascii="Wingdings" w:hAnsi="Wingdings" w:hint="default"/>
      </w:rPr>
    </w:lvl>
  </w:abstractNum>
  <w:abstractNum w:abstractNumId="5" w15:restartNumberingAfterBreak="0">
    <w:nsid w:val="47350081"/>
    <w:multiLevelType w:val="hybridMultilevel"/>
    <w:tmpl w:val="42400D44"/>
    <w:lvl w:ilvl="0" w:tplc="080C000B">
      <w:start w:val="1"/>
      <w:numFmt w:val="bullet"/>
      <w:lvlText w:val=""/>
      <w:lvlJc w:val="left"/>
      <w:pPr>
        <w:ind w:left="502" w:hanging="360"/>
      </w:pPr>
      <w:rPr>
        <w:rFonts w:ascii="Wingdings" w:hAnsi="Wingdings" w:hint="default"/>
      </w:rPr>
    </w:lvl>
    <w:lvl w:ilvl="1" w:tplc="080C0003" w:tentative="1">
      <w:start w:val="1"/>
      <w:numFmt w:val="bullet"/>
      <w:lvlText w:val="o"/>
      <w:lvlJc w:val="left"/>
      <w:pPr>
        <w:ind w:left="1222" w:hanging="360"/>
      </w:pPr>
      <w:rPr>
        <w:rFonts w:ascii="Courier New" w:hAnsi="Courier New" w:cs="Courier New" w:hint="default"/>
      </w:rPr>
    </w:lvl>
    <w:lvl w:ilvl="2" w:tplc="080C0005" w:tentative="1">
      <w:start w:val="1"/>
      <w:numFmt w:val="bullet"/>
      <w:lvlText w:val=""/>
      <w:lvlJc w:val="left"/>
      <w:pPr>
        <w:ind w:left="1942" w:hanging="360"/>
      </w:pPr>
      <w:rPr>
        <w:rFonts w:ascii="Wingdings" w:hAnsi="Wingdings" w:hint="default"/>
      </w:rPr>
    </w:lvl>
    <w:lvl w:ilvl="3" w:tplc="080C0001" w:tentative="1">
      <w:start w:val="1"/>
      <w:numFmt w:val="bullet"/>
      <w:lvlText w:val=""/>
      <w:lvlJc w:val="left"/>
      <w:pPr>
        <w:ind w:left="2662" w:hanging="360"/>
      </w:pPr>
      <w:rPr>
        <w:rFonts w:ascii="Symbol" w:hAnsi="Symbol" w:hint="default"/>
      </w:rPr>
    </w:lvl>
    <w:lvl w:ilvl="4" w:tplc="080C0003" w:tentative="1">
      <w:start w:val="1"/>
      <w:numFmt w:val="bullet"/>
      <w:lvlText w:val="o"/>
      <w:lvlJc w:val="left"/>
      <w:pPr>
        <w:ind w:left="3382" w:hanging="360"/>
      </w:pPr>
      <w:rPr>
        <w:rFonts w:ascii="Courier New" w:hAnsi="Courier New" w:cs="Courier New" w:hint="default"/>
      </w:rPr>
    </w:lvl>
    <w:lvl w:ilvl="5" w:tplc="080C0005" w:tentative="1">
      <w:start w:val="1"/>
      <w:numFmt w:val="bullet"/>
      <w:lvlText w:val=""/>
      <w:lvlJc w:val="left"/>
      <w:pPr>
        <w:ind w:left="4102" w:hanging="360"/>
      </w:pPr>
      <w:rPr>
        <w:rFonts w:ascii="Wingdings" w:hAnsi="Wingdings" w:hint="default"/>
      </w:rPr>
    </w:lvl>
    <w:lvl w:ilvl="6" w:tplc="080C0001" w:tentative="1">
      <w:start w:val="1"/>
      <w:numFmt w:val="bullet"/>
      <w:lvlText w:val=""/>
      <w:lvlJc w:val="left"/>
      <w:pPr>
        <w:ind w:left="4822" w:hanging="360"/>
      </w:pPr>
      <w:rPr>
        <w:rFonts w:ascii="Symbol" w:hAnsi="Symbol" w:hint="default"/>
      </w:rPr>
    </w:lvl>
    <w:lvl w:ilvl="7" w:tplc="080C0003" w:tentative="1">
      <w:start w:val="1"/>
      <w:numFmt w:val="bullet"/>
      <w:lvlText w:val="o"/>
      <w:lvlJc w:val="left"/>
      <w:pPr>
        <w:ind w:left="5542" w:hanging="360"/>
      </w:pPr>
      <w:rPr>
        <w:rFonts w:ascii="Courier New" w:hAnsi="Courier New" w:cs="Courier New" w:hint="default"/>
      </w:rPr>
    </w:lvl>
    <w:lvl w:ilvl="8" w:tplc="080C0005" w:tentative="1">
      <w:start w:val="1"/>
      <w:numFmt w:val="bullet"/>
      <w:lvlText w:val=""/>
      <w:lvlJc w:val="left"/>
      <w:pPr>
        <w:ind w:left="6262" w:hanging="360"/>
      </w:pPr>
      <w:rPr>
        <w:rFonts w:ascii="Wingdings" w:hAnsi="Wingdings" w:hint="default"/>
      </w:rPr>
    </w:lvl>
  </w:abstractNum>
  <w:abstractNum w:abstractNumId="6" w15:restartNumberingAfterBreak="0">
    <w:nsid w:val="4EB41698"/>
    <w:multiLevelType w:val="multilevel"/>
    <w:tmpl w:val="086EC3FE"/>
    <w:lvl w:ilvl="0">
      <w:start w:val="1"/>
      <w:numFmt w:val="decimal"/>
      <w:lvlText w:val="%1."/>
      <w:lvlJc w:val="left"/>
      <w:pPr>
        <w:ind w:left="720" w:hanging="360"/>
      </w:pPr>
      <w:rPr>
        <w:rFonts w:hint="default"/>
      </w:rPr>
    </w:lvl>
    <w:lvl w:ilvl="1">
      <w:start w:val="1"/>
      <w:numFmt w:val="decimal"/>
      <w:isLgl/>
      <w:lvlText w:val="%1.%2"/>
      <w:lvlJc w:val="left"/>
      <w:pPr>
        <w:ind w:left="45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5A3F5DB1"/>
    <w:multiLevelType w:val="hybridMultilevel"/>
    <w:tmpl w:val="4DCE296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C893825"/>
    <w:multiLevelType w:val="hybridMultilevel"/>
    <w:tmpl w:val="75EA0B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188706F"/>
    <w:multiLevelType w:val="multilevel"/>
    <w:tmpl w:val="086EC3FE"/>
    <w:lvl w:ilvl="0">
      <w:start w:val="1"/>
      <w:numFmt w:val="decimal"/>
      <w:lvlText w:val="%1."/>
      <w:lvlJc w:val="left"/>
      <w:pPr>
        <w:ind w:left="720" w:hanging="360"/>
      </w:pPr>
      <w:rPr>
        <w:rFonts w:hint="default"/>
      </w:rPr>
    </w:lvl>
    <w:lvl w:ilvl="1">
      <w:start w:val="1"/>
      <w:numFmt w:val="decimal"/>
      <w:isLgl/>
      <w:lvlText w:val="%1.%2"/>
      <w:lvlJc w:val="left"/>
      <w:pPr>
        <w:ind w:left="45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7"/>
  </w:num>
  <w:num w:numId="2">
    <w:abstractNumId w:val="3"/>
  </w:num>
  <w:num w:numId="3">
    <w:abstractNumId w:val="1"/>
  </w:num>
  <w:num w:numId="4">
    <w:abstractNumId w:val="9"/>
  </w:num>
  <w:num w:numId="5">
    <w:abstractNumId w:val="6"/>
  </w:num>
  <w:num w:numId="6">
    <w:abstractNumId w:val="8"/>
  </w:num>
  <w:num w:numId="7">
    <w:abstractNumId w:val="0"/>
  </w:num>
  <w:num w:numId="8">
    <w:abstractNumId w:val="4"/>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x52rweesr59wfe0tf2xdtzg5frw2ppwzpp5&quot;&gt;Surchauffe&lt;record-ids&gt;&lt;item&gt;38&lt;/item&gt;&lt;item&gt;39&lt;/item&gt;&lt;item&gt;40&lt;/item&gt;&lt;item&gt;43&lt;/item&gt;&lt;item&gt;44&lt;/item&gt;&lt;item&gt;45&lt;/item&gt;&lt;item&gt;46&lt;/item&gt;&lt;item&gt;53&lt;/item&gt;&lt;item&gt;68&lt;/item&gt;&lt;item&gt;77&lt;/item&gt;&lt;item&gt;79&lt;/item&gt;&lt;item&gt;80&lt;/item&gt;&lt;item&gt;94&lt;/item&gt;&lt;item&gt;100&lt;/item&gt;&lt;item&gt;102&lt;/item&gt;&lt;item&gt;104&lt;/item&gt;&lt;item&gt;106&lt;/item&gt;&lt;item&gt;107&lt;/item&gt;&lt;item&gt;108&lt;/item&gt;&lt;item&gt;110&lt;/item&gt;&lt;item&gt;111&lt;/item&gt;&lt;item&gt;112&lt;/item&gt;&lt;item&gt;113&lt;/item&gt;&lt;item&gt;114&lt;/item&gt;&lt;item&gt;115&lt;/item&gt;&lt;item&gt;116&lt;/item&gt;&lt;/record-ids&gt;&lt;/item&gt;&lt;/Libraries&gt;"/>
  </w:docVars>
  <w:rsids>
    <w:rsidRoot w:val="008A41FF"/>
    <w:rsid w:val="00043610"/>
    <w:rsid w:val="0004457E"/>
    <w:rsid w:val="00044D10"/>
    <w:rsid w:val="000B7539"/>
    <w:rsid w:val="000B7635"/>
    <w:rsid w:val="000F2F01"/>
    <w:rsid w:val="0010097A"/>
    <w:rsid w:val="00116E4E"/>
    <w:rsid w:val="001A4EC0"/>
    <w:rsid w:val="001A5A71"/>
    <w:rsid w:val="001B3B85"/>
    <w:rsid w:val="001C5017"/>
    <w:rsid w:val="0030697F"/>
    <w:rsid w:val="00306B4B"/>
    <w:rsid w:val="00355630"/>
    <w:rsid w:val="00394D63"/>
    <w:rsid w:val="003C46F3"/>
    <w:rsid w:val="003C56A4"/>
    <w:rsid w:val="004910D6"/>
    <w:rsid w:val="004B6E59"/>
    <w:rsid w:val="004E3BC5"/>
    <w:rsid w:val="004F51BA"/>
    <w:rsid w:val="004F734F"/>
    <w:rsid w:val="00500D8A"/>
    <w:rsid w:val="00507EC6"/>
    <w:rsid w:val="00527840"/>
    <w:rsid w:val="0053597A"/>
    <w:rsid w:val="005B1295"/>
    <w:rsid w:val="005F0A3B"/>
    <w:rsid w:val="005F1B90"/>
    <w:rsid w:val="0063435A"/>
    <w:rsid w:val="0066204C"/>
    <w:rsid w:val="006624BA"/>
    <w:rsid w:val="006772B9"/>
    <w:rsid w:val="00686033"/>
    <w:rsid w:val="00703A1A"/>
    <w:rsid w:val="00732BBA"/>
    <w:rsid w:val="00762F32"/>
    <w:rsid w:val="0077129E"/>
    <w:rsid w:val="007B3075"/>
    <w:rsid w:val="007C2E15"/>
    <w:rsid w:val="007C3AE6"/>
    <w:rsid w:val="007F12A7"/>
    <w:rsid w:val="00856141"/>
    <w:rsid w:val="008A41FF"/>
    <w:rsid w:val="008B46AE"/>
    <w:rsid w:val="008C40D8"/>
    <w:rsid w:val="00901249"/>
    <w:rsid w:val="00917661"/>
    <w:rsid w:val="00937A5C"/>
    <w:rsid w:val="00A40742"/>
    <w:rsid w:val="00A7144E"/>
    <w:rsid w:val="00AA2443"/>
    <w:rsid w:val="00AB3F07"/>
    <w:rsid w:val="00B03C91"/>
    <w:rsid w:val="00B37F0C"/>
    <w:rsid w:val="00B7480C"/>
    <w:rsid w:val="00BB4FFC"/>
    <w:rsid w:val="00BC5DB1"/>
    <w:rsid w:val="00BD0375"/>
    <w:rsid w:val="00BF32D8"/>
    <w:rsid w:val="00C17AB7"/>
    <w:rsid w:val="00C5323C"/>
    <w:rsid w:val="00CA39F0"/>
    <w:rsid w:val="00CD2B35"/>
    <w:rsid w:val="00D16087"/>
    <w:rsid w:val="00D27F7D"/>
    <w:rsid w:val="00D6570D"/>
    <w:rsid w:val="00DA2A08"/>
    <w:rsid w:val="00DB5344"/>
    <w:rsid w:val="00E25A3D"/>
    <w:rsid w:val="00E30A91"/>
    <w:rsid w:val="00E572A2"/>
    <w:rsid w:val="00E70B38"/>
    <w:rsid w:val="00E73E0B"/>
    <w:rsid w:val="00EA2E4C"/>
    <w:rsid w:val="00EA3359"/>
    <w:rsid w:val="00EC4573"/>
    <w:rsid w:val="00ED68DF"/>
    <w:rsid w:val="00EE4A30"/>
    <w:rsid w:val="00F8669E"/>
    <w:rsid w:val="00FB0A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5396AC-2126-446B-85B7-3ED149AF9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EC4573"/>
    <w:pPr>
      <w:keepNext/>
      <w:keepLines/>
      <w:spacing w:before="480" w:after="12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EC457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EC4573"/>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E4A30"/>
    <w:pPr>
      <w:ind w:left="720"/>
      <w:contextualSpacing/>
    </w:pPr>
  </w:style>
  <w:style w:type="paragraph" w:styleId="Titre">
    <w:name w:val="Title"/>
    <w:basedOn w:val="Normal"/>
    <w:next w:val="Normal"/>
    <w:link w:val="TitreCar"/>
    <w:uiPriority w:val="10"/>
    <w:qFormat/>
    <w:rsid w:val="00D1608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D16087"/>
    <w:rPr>
      <w:rFonts w:asciiTheme="majorHAnsi" w:eastAsiaTheme="majorEastAsia" w:hAnsiTheme="majorHAnsi" w:cstheme="majorBidi"/>
      <w:color w:val="17365D" w:themeColor="text2" w:themeShade="BF"/>
      <w:spacing w:val="5"/>
      <w:kern w:val="28"/>
      <w:sz w:val="52"/>
      <w:szCs w:val="52"/>
    </w:rPr>
  </w:style>
  <w:style w:type="character" w:customStyle="1" w:styleId="Titre1Car">
    <w:name w:val="Titre 1 Car"/>
    <w:basedOn w:val="Policepardfaut"/>
    <w:link w:val="Titre1"/>
    <w:uiPriority w:val="9"/>
    <w:rsid w:val="00EC4573"/>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EC4573"/>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EC4573"/>
    <w:rPr>
      <w:rFonts w:asciiTheme="majorHAnsi" w:eastAsiaTheme="majorEastAsia" w:hAnsiTheme="majorHAnsi" w:cstheme="majorBidi"/>
      <w:b/>
      <w:bCs/>
      <w:color w:val="4F81BD" w:themeColor="accent1"/>
    </w:rPr>
  </w:style>
  <w:style w:type="paragraph" w:styleId="Textedebulles">
    <w:name w:val="Balloon Text"/>
    <w:basedOn w:val="Normal"/>
    <w:link w:val="TextedebullesCar"/>
    <w:uiPriority w:val="99"/>
    <w:semiHidden/>
    <w:unhideWhenUsed/>
    <w:rsid w:val="006624B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624BA"/>
    <w:rPr>
      <w:rFonts w:ascii="Tahoma" w:hAnsi="Tahoma" w:cs="Tahoma"/>
      <w:sz w:val="16"/>
      <w:szCs w:val="16"/>
    </w:rPr>
  </w:style>
  <w:style w:type="paragraph" w:styleId="Lgende">
    <w:name w:val="caption"/>
    <w:basedOn w:val="Normal"/>
    <w:next w:val="Normal"/>
    <w:uiPriority w:val="35"/>
    <w:unhideWhenUsed/>
    <w:qFormat/>
    <w:rsid w:val="006624BA"/>
    <w:pPr>
      <w:spacing w:line="240" w:lineRule="auto"/>
    </w:pPr>
    <w:rPr>
      <w:rFonts w:eastAsiaTheme="minorEastAsia"/>
      <w:i/>
      <w:iCs/>
      <w:color w:val="1F497D" w:themeColor="text2"/>
      <w:sz w:val="18"/>
      <w:szCs w:val="18"/>
    </w:rPr>
  </w:style>
  <w:style w:type="table" w:styleId="Grilledutableau">
    <w:name w:val="Table Grid"/>
    <w:basedOn w:val="TableauNormal"/>
    <w:uiPriority w:val="59"/>
    <w:rsid w:val="00A714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043610"/>
    <w:rPr>
      <w:color w:val="808080"/>
    </w:rPr>
  </w:style>
  <w:style w:type="paragraph" w:customStyle="1" w:styleId="EndNoteBibliographyTitle">
    <w:name w:val="EndNote Bibliography Title"/>
    <w:basedOn w:val="Normal"/>
    <w:link w:val="EndNoteBibliographyTitleCar"/>
    <w:rsid w:val="00732BBA"/>
    <w:pPr>
      <w:spacing w:after="0"/>
      <w:jc w:val="center"/>
    </w:pPr>
    <w:rPr>
      <w:rFonts w:ascii="Calibri" w:hAnsi="Calibri"/>
      <w:noProof/>
      <w:lang w:val="en-US"/>
    </w:rPr>
  </w:style>
  <w:style w:type="character" w:customStyle="1" w:styleId="EndNoteBibliographyTitleCar">
    <w:name w:val="EndNote Bibliography Title Car"/>
    <w:basedOn w:val="Policepardfaut"/>
    <w:link w:val="EndNoteBibliographyTitle"/>
    <w:rsid w:val="00732BBA"/>
    <w:rPr>
      <w:rFonts w:ascii="Calibri" w:hAnsi="Calibri"/>
      <w:noProof/>
      <w:lang w:val="en-US"/>
    </w:rPr>
  </w:style>
  <w:style w:type="paragraph" w:customStyle="1" w:styleId="EndNoteBibliography">
    <w:name w:val="EndNote Bibliography"/>
    <w:basedOn w:val="Normal"/>
    <w:link w:val="EndNoteBibliographyCar"/>
    <w:rsid w:val="00732BBA"/>
    <w:pPr>
      <w:spacing w:line="240" w:lineRule="auto"/>
    </w:pPr>
    <w:rPr>
      <w:rFonts w:ascii="Calibri" w:hAnsi="Calibri"/>
      <w:noProof/>
      <w:lang w:val="en-US"/>
    </w:rPr>
  </w:style>
  <w:style w:type="character" w:customStyle="1" w:styleId="EndNoteBibliographyCar">
    <w:name w:val="EndNote Bibliography Car"/>
    <w:basedOn w:val="Policepardfaut"/>
    <w:link w:val="EndNoteBibliography"/>
    <w:rsid w:val="00732BBA"/>
    <w:rPr>
      <w:rFonts w:ascii="Calibri" w:hAnsi="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7B189-FB59-40B2-BE50-41CB3D073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1103</TotalTime>
  <Pages>11</Pages>
  <Words>9134</Words>
  <Characters>50242</Characters>
  <Application>Microsoft Office Word</Application>
  <DocSecurity>0</DocSecurity>
  <Lines>418</Lines>
  <Paragraphs>118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Prignon</dc:creator>
  <cp:lastModifiedBy>Martin Prignon</cp:lastModifiedBy>
  <cp:revision>12</cp:revision>
  <cp:lastPrinted>2017-08-07T09:09:00Z</cp:lastPrinted>
  <dcterms:created xsi:type="dcterms:W3CDTF">2017-06-08T14:00:00Z</dcterms:created>
  <dcterms:modified xsi:type="dcterms:W3CDTF">2017-12-11T14:59:00Z</dcterms:modified>
</cp:coreProperties>
</file>