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42CE72" w14:textId="7219E118" w:rsidR="006C476A" w:rsidRPr="00697DC3" w:rsidRDefault="006C476A" w:rsidP="007E0B7F">
      <w:pPr>
        <w:pStyle w:val="Sansinterligne"/>
        <w:spacing w:after="120"/>
        <w:jc w:val="both"/>
        <w:rPr>
          <w:rFonts w:cs="Times New Roman"/>
          <w:b/>
          <w:szCs w:val="24"/>
          <w:lang w:eastAsia="fr-BE"/>
        </w:rPr>
      </w:pPr>
      <w:r w:rsidRPr="00DF323F">
        <w:rPr>
          <w:rFonts w:cs="Times New Roman"/>
          <w:b/>
          <w:szCs w:val="24"/>
          <w:lang w:val="fr-FR"/>
        </w:rPr>
        <w:t>Clément Fontan &amp; Antoine de Cabanes</w:t>
      </w:r>
      <w:r w:rsidRPr="00697DC3">
        <w:rPr>
          <w:rFonts w:cs="Times New Roman"/>
          <w:b/>
          <w:szCs w:val="24"/>
          <w:lang w:eastAsia="fr-BE"/>
        </w:rPr>
        <w:t>:</w:t>
      </w:r>
    </w:p>
    <w:p w14:paraId="3AF6CB19" w14:textId="310FF363" w:rsidR="00DF427A" w:rsidRDefault="00DF427A" w:rsidP="007E0B7F">
      <w:pPr>
        <w:pStyle w:val="Sansinterligne"/>
        <w:spacing w:after="120"/>
        <w:jc w:val="both"/>
        <w:rPr>
          <w:rFonts w:cs="Times New Roman"/>
          <w:b/>
          <w:szCs w:val="24"/>
          <w:lang w:val="en-GB" w:eastAsia="fr-BE"/>
        </w:rPr>
      </w:pPr>
      <w:r w:rsidRPr="00DF323F">
        <w:rPr>
          <w:rFonts w:cs="Times New Roman"/>
          <w:b/>
          <w:szCs w:val="24"/>
          <w:lang w:val="en-GB" w:eastAsia="fr-BE"/>
        </w:rPr>
        <w:t xml:space="preserve">The Euro Crisis: The Battle of Ideas. How to Address </w:t>
      </w:r>
      <w:r w:rsidR="006C476A" w:rsidRPr="00DF323F">
        <w:rPr>
          <w:rFonts w:cs="Times New Roman"/>
          <w:b/>
          <w:szCs w:val="24"/>
          <w:lang w:val="en-GB" w:eastAsia="fr-BE"/>
        </w:rPr>
        <w:t xml:space="preserve">the Euro Crisis </w:t>
      </w:r>
      <w:r w:rsidRPr="00DF323F">
        <w:rPr>
          <w:rFonts w:cs="Times New Roman"/>
          <w:b/>
          <w:szCs w:val="24"/>
          <w:lang w:val="en-GB" w:eastAsia="fr-BE"/>
        </w:rPr>
        <w:t>– and its Effects on European Integration</w:t>
      </w:r>
    </w:p>
    <w:p w14:paraId="28DA5633" w14:textId="77777777" w:rsidR="000F7FAC" w:rsidRPr="00DF323F" w:rsidRDefault="000F7FAC" w:rsidP="007E0B7F">
      <w:pPr>
        <w:pStyle w:val="Sansinterligne"/>
        <w:spacing w:after="120"/>
        <w:jc w:val="both"/>
        <w:rPr>
          <w:rFonts w:cs="Times New Roman"/>
          <w:b/>
          <w:szCs w:val="24"/>
          <w:lang w:val="en-GB" w:eastAsia="fr-BE"/>
        </w:rPr>
      </w:pPr>
    </w:p>
    <w:p w14:paraId="5B29AD61" w14:textId="77777777" w:rsidR="00DF427A" w:rsidRPr="00DF323F" w:rsidRDefault="00DF427A" w:rsidP="007E0B7F">
      <w:pPr>
        <w:pStyle w:val="Sansinterligne"/>
        <w:jc w:val="both"/>
        <w:rPr>
          <w:rFonts w:cs="Times New Roman"/>
          <w:b/>
          <w:szCs w:val="24"/>
          <w:lang w:val="en-GB" w:eastAsia="fr-BE"/>
        </w:rPr>
      </w:pPr>
      <w:r w:rsidRPr="00DF323F">
        <w:rPr>
          <w:rFonts w:cs="Times New Roman"/>
          <w:b/>
          <w:szCs w:val="24"/>
          <w:lang w:val="en-GB" w:eastAsia="fr-BE"/>
        </w:rPr>
        <w:t>Introduction</w:t>
      </w:r>
    </w:p>
    <w:p w14:paraId="68ED4DAF" w14:textId="4BF8EE43" w:rsidR="00DF427A" w:rsidRPr="00DF323F" w:rsidRDefault="00DF427A" w:rsidP="007E0B7F">
      <w:pPr>
        <w:pStyle w:val="Sansinterligne"/>
        <w:jc w:val="both"/>
        <w:rPr>
          <w:rFonts w:cs="Times New Roman"/>
          <w:szCs w:val="24"/>
          <w:lang w:val="en-GB" w:eastAsia="fr-BE"/>
        </w:rPr>
      </w:pPr>
      <w:r w:rsidRPr="00DF323F">
        <w:rPr>
          <w:rFonts w:cs="Times New Roman"/>
          <w:szCs w:val="24"/>
          <w:lang w:val="en-GB" w:eastAsia="fr-BE"/>
        </w:rPr>
        <w:t xml:space="preserve">From the failure of the Werner Plan in the 1970s </w:t>
      </w:r>
      <w:r w:rsidR="00072463">
        <w:rPr>
          <w:rFonts w:cs="Times New Roman"/>
          <w:szCs w:val="24"/>
          <w:lang w:val="en-GB" w:eastAsia="fr-BE"/>
        </w:rPr>
        <w:t xml:space="preserve">(see Section 1.1) </w:t>
      </w:r>
      <w:r w:rsidRPr="00DF323F">
        <w:rPr>
          <w:rFonts w:cs="Times New Roman"/>
          <w:szCs w:val="24"/>
          <w:lang w:val="en-GB" w:eastAsia="fr-BE"/>
        </w:rPr>
        <w:t>to the current debates on the Rec</w:t>
      </w:r>
      <w:r w:rsidR="00BE00E1" w:rsidRPr="00DF323F">
        <w:rPr>
          <w:rFonts w:cs="Times New Roman"/>
          <w:szCs w:val="24"/>
          <w:lang w:val="en-GB" w:eastAsia="fr-BE"/>
        </w:rPr>
        <w:t xml:space="preserve">overy and Resilience Facility </w:t>
      </w:r>
      <w:r w:rsidRPr="00DF323F">
        <w:rPr>
          <w:rFonts w:cs="Times New Roman"/>
          <w:szCs w:val="24"/>
          <w:lang w:val="en-GB" w:eastAsia="fr-BE"/>
        </w:rPr>
        <w:t>(RRF), European Union (EU)</w:t>
      </w:r>
      <w:r w:rsidR="005536AA" w:rsidRPr="00DF323F">
        <w:rPr>
          <w:rFonts w:cs="Times New Roman"/>
          <w:szCs w:val="24"/>
          <w:lang w:val="en-GB" w:eastAsia="fr-BE"/>
        </w:rPr>
        <w:t xml:space="preserve"> member </w:t>
      </w:r>
      <w:r w:rsidRPr="00DF323F">
        <w:rPr>
          <w:rFonts w:cs="Times New Roman"/>
          <w:szCs w:val="24"/>
          <w:lang w:val="en-GB" w:eastAsia="fr-BE"/>
        </w:rPr>
        <w:t>states have disagreed on the adequate degree of fiscal and budgetary mutualisation in the Economic and Monetary Union (EMU). These persistent conflicts are in strong contrast with the successful negotiations on the creation of the euro area in the early 1990s</w:t>
      </w:r>
      <w:r w:rsidR="00BE00E1" w:rsidRPr="00DF323F">
        <w:rPr>
          <w:rFonts w:cs="Times New Roman"/>
          <w:szCs w:val="24"/>
          <w:lang w:val="en-GB" w:eastAsia="fr-BE"/>
        </w:rPr>
        <w:t>,</w:t>
      </w:r>
      <w:r w:rsidRPr="00DF323F">
        <w:rPr>
          <w:rFonts w:cs="Times New Roman"/>
          <w:szCs w:val="24"/>
          <w:lang w:val="en-GB" w:eastAsia="fr-BE"/>
        </w:rPr>
        <w:t xml:space="preserve"> and the deepening of financial integration since then (McNamara</w:t>
      </w:r>
      <w:r w:rsidR="00072463">
        <w:rPr>
          <w:rFonts w:cs="Times New Roman"/>
          <w:szCs w:val="24"/>
          <w:lang w:val="en-GB" w:eastAsia="fr-BE"/>
        </w:rPr>
        <w:t>,</w:t>
      </w:r>
      <w:r w:rsidRPr="00DF323F">
        <w:rPr>
          <w:rFonts w:cs="Times New Roman"/>
          <w:szCs w:val="24"/>
          <w:lang w:val="en-GB" w:eastAsia="fr-BE"/>
        </w:rPr>
        <w:t xml:space="preserve"> 1998). In fact, since its creation in 1999, the euro area is shaped by a deep asymmetry between the integration of monetary policy, which is formulated at the supranational level by the European Central Bank (ECB), and budgetary and fiscal policies, which mainly follow an intergovernmental logic (Howarth &amp; Lo</w:t>
      </w:r>
      <w:r w:rsidR="007C7731" w:rsidRPr="00DF323F">
        <w:rPr>
          <w:rFonts w:cs="Times New Roman"/>
          <w:szCs w:val="24"/>
          <w:lang w:val="en-GB" w:eastAsia="fr-BE"/>
        </w:rPr>
        <w:t>e</w:t>
      </w:r>
      <w:r w:rsidRPr="00DF323F">
        <w:rPr>
          <w:rFonts w:cs="Times New Roman"/>
          <w:szCs w:val="24"/>
          <w:lang w:val="en-GB" w:eastAsia="fr-BE"/>
        </w:rPr>
        <w:t>del</w:t>
      </w:r>
      <w:r w:rsidR="00072463">
        <w:rPr>
          <w:rFonts w:cs="Times New Roman"/>
          <w:szCs w:val="24"/>
          <w:lang w:val="en-GB" w:eastAsia="fr-BE"/>
        </w:rPr>
        <w:t>,</w:t>
      </w:r>
      <w:r w:rsidRPr="00DF323F">
        <w:rPr>
          <w:rFonts w:cs="Times New Roman"/>
          <w:szCs w:val="24"/>
          <w:lang w:val="en-GB" w:eastAsia="fr-BE"/>
        </w:rPr>
        <w:t xml:space="preserve"> 2005). With the benefit of retrospect, we know that this asymmetry was one of the main drivers of the economic imbalances of the euro area, which started to unfold from 2007 onwards and were conducive to the euro crisis. </w:t>
      </w:r>
    </w:p>
    <w:p w14:paraId="72CA1E8B" w14:textId="27D95D41" w:rsidR="00DF427A" w:rsidRPr="00DF323F" w:rsidRDefault="00DF427A" w:rsidP="007E0B7F">
      <w:pPr>
        <w:jc w:val="both"/>
        <w:rPr>
          <w:rFonts w:cs="Times New Roman"/>
          <w:szCs w:val="24"/>
          <w:lang w:eastAsia="fr-BE"/>
        </w:rPr>
      </w:pPr>
      <w:r w:rsidRPr="00DF323F">
        <w:rPr>
          <w:rFonts w:cs="Times New Roman"/>
          <w:szCs w:val="24"/>
          <w:lang w:eastAsia="fr-BE"/>
        </w:rPr>
        <w:t xml:space="preserve">What are the </w:t>
      </w:r>
      <w:r w:rsidR="00BE00E1" w:rsidRPr="00DF323F">
        <w:rPr>
          <w:rFonts w:cs="Times New Roman"/>
          <w:szCs w:val="24"/>
          <w:lang w:eastAsia="fr-BE"/>
        </w:rPr>
        <w:t xml:space="preserve">historical </w:t>
      </w:r>
      <w:r w:rsidRPr="00DF323F">
        <w:rPr>
          <w:rFonts w:cs="Times New Roman"/>
          <w:szCs w:val="24"/>
          <w:lang w:eastAsia="fr-BE"/>
        </w:rPr>
        <w:t>roots of the</w:t>
      </w:r>
      <w:r w:rsidR="00BE00E1" w:rsidRPr="00DF323F">
        <w:rPr>
          <w:rFonts w:cs="Times New Roman"/>
          <w:szCs w:val="24"/>
          <w:lang w:eastAsia="fr-BE"/>
        </w:rPr>
        <w:t xml:space="preserve"> battle of ideas that shape the</w:t>
      </w:r>
      <w:r w:rsidRPr="00DF323F">
        <w:rPr>
          <w:rFonts w:cs="Times New Roman"/>
          <w:szCs w:val="24"/>
          <w:lang w:eastAsia="fr-BE"/>
        </w:rPr>
        <w:t xml:space="preserve"> </w:t>
      </w:r>
      <w:r w:rsidR="00C0798B">
        <w:rPr>
          <w:rFonts w:cs="Times New Roman"/>
          <w:szCs w:val="24"/>
          <w:lang w:eastAsia="fr-BE"/>
        </w:rPr>
        <w:t>e</w:t>
      </w:r>
      <w:r w:rsidRPr="00DF323F">
        <w:rPr>
          <w:rFonts w:cs="Times New Roman"/>
          <w:szCs w:val="24"/>
          <w:lang w:eastAsia="fr-BE"/>
        </w:rPr>
        <w:t xml:space="preserve">uro area asymmetry and why was it conducive </w:t>
      </w:r>
      <w:r w:rsidRPr="00DF323F">
        <w:rPr>
          <w:rFonts w:cs="Times New Roman"/>
          <w:szCs w:val="24"/>
        </w:rPr>
        <w:t>to</w:t>
      </w:r>
      <w:r w:rsidRPr="00DF323F">
        <w:rPr>
          <w:rFonts w:cs="Times New Roman"/>
          <w:szCs w:val="24"/>
          <w:lang w:eastAsia="fr-BE"/>
        </w:rPr>
        <w:t xml:space="preserve"> the crisis? What does the </w:t>
      </w:r>
      <w:r w:rsidR="00F100B5">
        <w:rPr>
          <w:rFonts w:cs="Times New Roman"/>
          <w:szCs w:val="24"/>
          <w:lang w:eastAsia="fr-BE"/>
        </w:rPr>
        <w:t xml:space="preserve"> response</w:t>
      </w:r>
      <w:r w:rsidR="00F100B5" w:rsidRPr="00DF323F">
        <w:rPr>
          <w:rFonts w:cs="Times New Roman"/>
          <w:szCs w:val="24"/>
          <w:lang w:eastAsia="fr-BE"/>
        </w:rPr>
        <w:t xml:space="preserve"> </w:t>
      </w:r>
      <w:r w:rsidRPr="00DF323F">
        <w:rPr>
          <w:rFonts w:cs="Times New Roman"/>
          <w:szCs w:val="24"/>
          <w:lang w:eastAsia="fr-BE"/>
        </w:rPr>
        <w:t>of political authorities to the euro crisis teach us about the battle of ideas that underlies the 2021-2027 Multiannual Financial Framework (MFF) negotiations and the present state of distributional conflicts between EU countries?</w:t>
      </w:r>
    </w:p>
    <w:p w14:paraId="4F02B0E2" w14:textId="3195BDD9" w:rsidR="00DF427A" w:rsidRPr="00DF323F" w:rsidRDefault="00DF427A" w:rsidP="007E0B7F">
      <w:pPr>
        <w:jc w:val="both"/>
        <w:rPr>
          <w:rFonts w:cs="Times New Roman"/>
          <w:szCs w:val="24"/>
          <w:lang w:eastAsia="fr-BE"/>
        </w:rPr>
      </w:pPr>
      <w:r w:rsidRPr="00DF323F">
        <w:rPr>
          <w:rFonts w:cs="Times New Roman"/>
          <w:szCs w:val="24"/>
          <w:lang w:eastAsia="fr-BE"/>
        </w:rPr>
        <w:t xml:space="preserve">This chapter aims at answering these questions by shedding light on the ideational struggles about the EMU economic governance before, during and, to a lesser extent, after the euro crisis. In the first section, we underline that the institutional design of the euro area is the outcome of </w:t>
      </w:r>
      <w:r w:rsidRPr="00DF323F">
        <w:rPr>
          <w:rFonts w:cs="Times New Roman"/>
          <w:szCs w:val="24"/>
          <w:lang w:eastAsia="fr-BE"/>
        </w:rPr>
        <w:lastRenderedPageBreak/>
        <w:t xml:space="preserve">ideational struggles, which are unfolding and evolving since the 1960s. The second section analyses the battle of ideas between the different policy players </w:t>
      </w:r>
      <w:r w:rsidR="00BE00E1" w:rsidRPr="00DF323F">
        <w:rPr>
          <w:rFonts w:cs="Times New Roman"/>
          <w:szCs w:val="24"/>
          <w:lang w:eastAsia="fr-BE"/>
        </w:rPr>
        <w:t>who</w:t>
      </w:r>
      <w:r w:rsidRPr="00DF323F">
        <w:rPr>
          <w:rFonts w:cs="Times New Roman"/>
          <w:szCs w:val="24"/>
          <w:lang w:eastAsia="fr-BE"/>
        </w:rPr>
        <w:t xml:space="preserve"> were fighting to frame the causes of the euro area crisis and the subsequent policy solutions. In our conclusion, we draw links between the battle of ideas that took place during the euro area crisis and the negotiations on the RFF</w:t>
      </w:r>
      <w:r w:rsidR="00C0798B">
        <w:rPr>
          <w:rFonts w:cs="Times New Roman"/>
          <w:szCs w:val="24"/>
          <w:lang w:eastAsia="fr-BE"/>
        </w:rPr>
        <w:t xml:space="preserve"> and the MFF. </w:t>
      </w:r>
    </w:p>
    <w:p w14:paraId="3548A7A4" w14:textId="0D84C0C8" w:rsidR="00DF427A" w:rsidRPr="00DF323F" w:rsidRDefault="00DF427A" w:rsidP="007E0B7F">
      <w:pPr>
        <w:jc w:val="both"/>
        <w:rPr>
          <w:rFonts w:cs="Times New Roman"/>
          <w:szCs w:val="24"/>
          <w:lang w:eastAsia="fr-BE"/>
        </w:rPr>
      </w:pPr>
      <w:r w:rsidRPr="00DF323F">
        <w:rPr>
          <w:rFonts w:cs="Times New Roman"/>
          <w:szCs w:val="24"/>
          <w:lang w:eastAsia="fr-BE"/>
        </w:rPr>
        <w:t xml:space="preserve">In this chapter, we do not take a position on theoretical debates about the nature of ideas. More precisely, we follow the assumption that ideas have a </w:t>
      </w:r>
      <w:r w:rsidR="00C0798B">
        <w:rPr>
          <w:rFonts w:cs="Times New Roman"/>
          <w:szCs w:val="24"/>
          <w:lang w:eastAsia="fr-BE"/>
        </w:rPr>
        <w:t>“</w:t>
      </w:r>
      <w:r w:rsidRPr="00DF323F">
        <w:rPr>
          <w:rFonts w:cs="Times New Roman"/>
          <w:szCs w:val="24"/>
          <w:lang w:eastAsia="fr-BE"/>
        </w:rPr>
        <w:t>Janus-faced nature</w:t>
      </w:r>
      <w:r w:rsidR="00C0798B">
        <w:rPr>
          <w:rFonts w:cs="Times New Roman"/>
          <w:szCs w:val="24"/>
          <w:lang w:eastAsia="fr-BE"/>
        </w:rPr>
        <w:t>”</w:t>
      </w:r>
      <w:r w:rsidRPr="00DF323F">
        <w:rPr>
          <w:rFonts w:cs="Times New Roman"/>
          <w:szCs w:val="24"/>
          <w:lang w:eastAsia="fr-BE"/>
        </w:rPr>
        <w:t xml:space="preserve"> (Parson</w:t>
      </w:r>
      <w:r w:rsidR="002D34F8" w:rsidRPr="00DF323F">
        <w:rPr>
          <w:rFonts w:cs="Times New Roman"/>
          <w:szCs w:val="24"/>
          <w:lang w:eastAsia="fr-BE"/>
        </w:rPr>
        <w:t>s</w:t>
      </w:r>
      <w:r w:rsidR="002E503D">
        <w:rPr>
          <w:rFonts w:cs="Times New Roman"/>
          <w:szCs w:val="24"/>
          <w:lang w:eastAsia="fr-BE"/>
        </w:rPr>
        <w:t>,</w:t>
      </w:r>
      <w:r w:rsidRPr="00DF323F">
        <w:rPr>
          <w:rFonts w:cs="Times New Roman"/>
          <w:szCs w:val="24"/>
          <w:lang w:eastAsia="fr-BE"/>
        </w:rPr>
        <w:t xml:space="preserve"> 2002). On the one hand, ideas influence power structure</w:t>
      </w:r>
      <w:r w:rsidR="00BE00E1" w:rsidRPr="00DF323F">
        <w:rPr>
          <w:rFonts w:cs="Times New Roman"/>
          <w:szCs w:val="24"/>
          <w:lang w:eastAsia="fr-BE"/>
        </w:rPr>
        <w:t>s</w:t>
      </w:r>
      <w:r w:rsidRPr="00DF323F">
        <w:rPr>
          <w:rFonts w:cs="Times New Roman"/>
          <w:szCs w:val="24"/>
          <w:lang w:eastAsia="fr-BE"/>
        </w:rPr>
        <w:t xml:space="preserve"> to the extent that they shape actors’ worldviews, beliefs and their realm</w:t>
      </w:r>
      <w:r w:rsidR="00C0798B">
        <w:rPr>
          <w:rFonts w:cs="Times New Roman"/>
          <w:szCs w:val="24"/>
          <w:lang w:eastAsia="fr-BE"/>
        </w:rPr>
        <w:t>s</w:t>
      </w:r>
      <w:r w:rsidRPr="00DF323F">
        <w:rPr>
          <w:rFonts w:cs="Times New Roman"/>
          <w:szCs w:val="24"/>
          <w:lang w:eastAsia="fr-BE"/>
        </w:rPr>
        <w:t xml:space="preserve"> of possibility (Diez</w:t>
      </w:r>
      <w:r w:rsidR="002E503D">
        <w:rPr>
          <w:rFonts w:cs="Times New Roman"/>
          <w:szCs w:val="24"/>
          <w:lang w:eastAsia="fr-BE"/>
        </w:rPr>
        <w:t>,</w:t>
      </w:r>
      <w:r w:rsidRPr="00DF323F">
        <w:rPr>
          <w:rFonts w:cs="Times New Roman"/>
          <w:szCs w:val="24"/>
          <w:lang w:eastAsia="fr-BE"/>
        </w:rPr>
        <w:t xml:space="preserve"> 2001). On the other hand, ideas can be mobili</w:t>
      </w:r>
      <w:r w:rsidR="00072463">
        <w:rPr>
          <w:rFonts w:cs="Times New Roman"/>
          <w:szCs w:val="24"/>
          <w:lang w:eastAsia="fr-BE"/>
        </w:rPr>
        <w:t>s</w:t>
      </w:r>
      <w:r w:rsidRPr="00DF323F">
        <w:rPr>
          <w:rFonts w:cs="Times New Roman"/>
          <w:szCs w:val="24"/>
          <w:lang w:eastAsia="fr-BE"/>
        </w:rPr>
        <w:t>ed by strategic players in the pursuit of their interests to build unlikely alliances or legitimi</w:t>
      </w:r>
      <w:r w:rsidR="00072463">
        <w:rPr>
          <w:rFonts w:cs="Times New Roman"/>
          <w:szCs w:val="24"/>
          <w:lang w:eastAsia="fr-BE"/>
        </w:rPr>
        <w:t>s</w:t>
      </w:r>
      <w:r w:rsidRPr="00DF323F">
        <w:rPr>
          <w:rFonts w:cs="Times New Roman"/>
          <w:szCs w:val="24"/>
          <w:lang w:eastAsia="fr-BE"/>
        </w:rPr>
        <w:t>e controversial decisions (Jabko</w:t>
      </w:r>
      <w:r w:rsidR="00072463">
        <w:rPr>
          <w:rFonts w:cs="Times New Roman"/>
          <w:szCs w:val="24"/>
          <w:lang w:eastAsia="fr-BE"/>
        </w:rPr>
        <w:t>,</w:t>
      </w:r>
      <w:r w:rsidRPr="00DF323F">
        <w:rPr>
          <w:rFonts w:cs="Times New Roman"/>
          <w:szCs w:val="24"/>
          <w:lang w:eastAsia="fr-BE"/>
        </w:rPr>
        <w:t xml:space="preserve"> 2006).</w:t>
      </w:r>
    </w:p>
    <w:p w14:paraId="3F541ABE" w14:textId="77777777" w:rsidR="00DF427A" w:rsidRPr="000F7FAC" w:rsidRDefault="00DF427A" w:rsidP="007E0B7F">
      <w:pPr>
        <w:pStyle w:val="Sansinterligne"/>
        <w:spacing w:before="120" w:after="120"/>
        <w:jc w:val="both"/>
        <w:rPr>
          <w:rFonts w:cs="Times New Roman"/>
          <w:b/>
          <w:bCs/>
          <w:szCs w:val="24"/>
          <w:lang w:val="en-GB" w:eastAsia="fr-BE"/>
        </w:rPr>
      </w:pPr>
      <w:r w:rsidRPr="000F7FAC">
        <w:rPr>
          <w:rFonts w:cs="Times New Roman"/>
          <w:b/>
          <w:szCs w:val="24"/>
          <w:lang w:val="en-GB" w:eastAsia="fr-BE"/>
        </w:rPr>
        <w:t>1</w:t>
      </w:r>
      <w:r w:rsidR="006C476A" w:rsidRPr="000F7FAC">
        <w:rPr>
          <w:rFonts w:cs="Times New Roman"/>
          <w:b/>
          <w:szCs w:val="24"/>
          <w:lang w:val="en-GB" w:eastAsia="fr-BE"/>
        </w:rPr>
        <w:t>.</w:t>
      </w:r>
      <w:r w:rsidRPr="000F7FAC">
        <w:rPr>
          <w:rFonts w:cs="Times New Roman"/>
          <w:b/>
          <w:szCs w:val="24"/>
          <w:lang w:val="en-GB" w:eastAsia="fr-BE"/>
        </w:rPr>
        <w:t xml:space="preserve"> </w:t>
      </w:r>
      <w:r w:rsidR="006C476A" w:rsidRPr="000F7FAC">
        <w:rPr>
          <w:rFonts w:cs="Times New Roman"/>
          <w:b/>
          <w:szCs w:val="24"/>
          <w:lang w:val="en-GB" w:eastAsia="fr-BE"/>
        </w:rPr>
        <w:tab/>
      </w:r>
      <w:r w:rsidRPr="000F7FAC">
        <w:rPr>
          <w:rFonts w:cs="Times New Roman"/>
          <w:b/>
          <w:szCs w:val="24"/>
          <w:lang w:val="en-GB" w:eastAsia="fr-BE"/>
        </w:rPr>
        <w:t>The history of the battle of ideas and the origins of EMU imbalances</w:t>
      </w:r>
    </w:p>
    <w:p w14:paraId="1892AE89" w14:textId="77777777" w:rsidR="00DF427A" w:rsidRPr="000F7FAC" w:rsidRDefault="00DF427A" w:rsidP="007E0B7F">
      <w:pPr>
        <w:pStyle w:val="Sansinterligne"/>
        <w:spacing w:after="120"/>
        <w:jc w:val="both"/>
        <w:rPr>
          <w:rFonts w:cs="Times New Roman"/>
          <w:i/>
          <w:szCs w:val="24"/>
          <w:lang w:val="en-GB"/>
        </w:rPr>
      </w:pPr>
      <w:r w:rsidRPr="000F7FAC">
        <w:rPr>
          <w:rFonts w:cs="Times New Roman"/>
          <w:i/>
          <w:szCs w:val="24"/>
          <w:lang w:val="en-GB"/>
        </w:rPr>
        <w:t>1</w:t>
      </w:r>
      <w:r w:rsidR="006C476A" w:rsidRPr="000F7FAC">
        <w:rPr>
          <w:rFonts w:cs="Times New Roman"/>
          <w:i/>
          <w:szCs w:val="24"/>
          <w:lang w:val="en-GB"/>
        </w:rPr>
        <w:t>.1</w:t>
      </w:r>
      <w:r w:rsidRPr="000F7FAC">
        <w:rPr>
          <w:rFonts w:cs="Times New Roman"/>
          <w:i/>
          <w:szCs w:val="24"/>
          <w:lang w:val="en-GB"/>
        </w:rPr>
        <w:t xml:space="preserve"> </w:t>
      </w:r>
      <w:r w:rsidR="006C476A" w:rsidRPr="000F7FAC">
        <w:rPr>
          <w:rFonts w:cs="Times New Roman"/>
          <w:i/>
          <w:szCs w:val="24"/>
          <w:lang w:val="en-GB"/>
        </w:rPr>
        <w:tab/>
      </w:r>
      <w:r w:rsidRPr="000F7FAC">
        <w:rPr>
          <w:rFonts w:cs="Times New Roman"/>
          <w:i/>
          <w:szCs w:val="24"/>
          <w:lang w:val="en-GB"/>
        </w:rPr>
        <w:t>The historical roots of the battle of ideas</w:t>
      </w:r>
    </w:p>
    <w:p w14:paraId="4E3E8A7F" w14:textId="6EA94681" w:rsidR="00DF427A" w:rsidRPr="00DF323F" w:rsidRDefault="00DF427A" w:rsidP="007E0B7F">
      <w:pPr>
        <w:pStyle w:val="Sansinterligne"/>
        <w:jc w:val="both"/>
        <w:rPr>
          <w:rFonts w:cs="Times New Roman"/>
          <w:szCs w:val="24"/>
          <w:lang w:val="en-GB" w:eastAsia="fr-BE"/>
        </w:rPr>
      </w:pPr>
      <w:r w:rsidRPr="00DF323F">
        <w:rPr>
          <w:rFonts w:cs="Times New Roman"/>
          <w:szCs w:val="24"/>
          <w:lang w:val="en-GB" w:eastAsia="fr-BE"/>
        </w:rPr>
        <w:t>Two competing economic visions shaped the early phases of economic integration in the European Economic Communities (EEC) in the 1960s (Warlouzet</w:t>
      </w:r>
      <w:r w:rsidR="00D76026">
        <w:rPr>
          <w:rFonts w:cs="Times New Roman"/>
          <w:szCs w:val="24"/>
          <w:lang w:val="en-GB" w:eastAsia="fr-BE"/>
        </w:rPr>
        <w:t>,</w:t>
      </w:r>
      <w:r w:rsidRPr="00DF323F">
        <w:rPr>
          <w:rFonts w:cs="Times New Roman"/>
          <w:szCs w:val="24"/>
          <w:lang w:val="en-GB" w:eastAsia="fr-BE"/>
        </w:rPr>
        <w:t xml:space="preserve"> 2019). On the one hand, the dirigist</w:t>
      </w:r>
      <w:r w:rsidR="008534CF" w:rsidRPr="00DF323F">
        <w:rPr>
          <w:rFonts w:cs="Times New Roman"/>
          <w:szCs w:val="24"/>
          <w:lang w:val="en-GB" w:eastAsia="fr-BE"/>
        </w:rPr>
        <w:t>e</w:t>
      </w:r>
      <w:r w:rsidRPr="00DF323F">
        <w:rPr>
          <w:rFonts w:cs="Times New Roman"/>
          <w:szCs w:val="24"/>
          <w:lang w:val="en-GB" w:eastAsia="fr-BE"/>
        </w:rPr>
        <w:t xml:space="preserve"> paradigm encouraged states to play a developmental role in their economy by steering credit in strategic sectors and fostering industrial development. This policy paradigm was influential in the majority of EEC states, including France, Italy, Belgium and the Netherlands. On the other hand, the ordoliberal paradigm promoted markets as the most efficient allocation mechanism but recogni</w:t>
      </w:r>
      <w:r w:rsidR="00072463">
        <w:rPr>
          <w:rFonts w:cs="Times New Roman"/>
          <w:szCs w:val="24"/>
          <w:lang w:val="en-GB" w:eastAsia="fr-BE"/>
        </w:rPr>
        <w:t>s</w:t>
      </w:r>
      <w:r w:rsidRPr="00DF323F">
        <w:rPr>
          <w:rFonts w:cs="Times New Roman"/>
          <w:szCs w:val="24"/>
          <w:lang w:val="en-GB" w:eastAsia="fr-BE"/>
        </w:rPr>
        <w:t xml:space="preserve">ed that public authorities must create a proper legal environment to ensure fair competition. However, these interventions should not distort market prices and mechanisms. For example, </w:t>
      </w:r>
      <w:r w:rsidR="00DD3623">
        <w:rPr>
          <w:rFonts w:cs="Times New Roman"/>
          <w:szCs w:val="24"/>
          <w:lang w:val="en-GB" w:eastAsia="fr-BE"/>
        </w:rPr>
        <w:t>s</w:t>
      </w:r>
      <w:r w:rsidRPr="00DF323F">
        <w:rPr>
          <w:rFonts w:cs="Times New Roman"/>
          <w:szCs w:val="24"/>
          <w:lang w:val="en-GB" w:eastAsia="fr-BE"/>
        </w:rPr>
        <w:t xml:space="preserve">tates should </w:t>
      </w:r>
      <w:r w:rsidR="00DD201B" w:rsidRPr="00DF323F">
        <w:rPr>
          <w:rFonts w:cs="Times New Roman"/>
          <w:szCs w:val="24"/>
          <w:lang w:val="en-GB" w:eastAsia="fr-BE"/>
        </w:rPr>
        <w:t>over</w:t>
      </w:r>
      <w:r w:rsidR="00DD201B">
        <w:rPr>
          <w:rFonts w:cs="Times New Roman"/>
          <w:szCs w:val="24"/>
          <w:lang w:val="en-GB" w:eastAsia="fr-BE"/>
        </w:rPr>
        <w:t>see</w:t>
      </w:r>
      <w:r w:rsidR="00DD201B" w:rsidRPr="00DF323F">
        <w:rPr>
          <w:rFonts w:cs="Times New Roman"/>
          <w:szCs w:val="24"/>
          <w:lang w:val="en-GB" w:eastAsia="fr-BE"/>
        </w:rPr>
        <w:t xml:space="preserve"> </w:t>
      </w:r>
      <w:r w:rsidR="00BE00E1" w:rsidRPr="00DF323F">
        <w:rPr>
          <w:rFonts w:cs="Times New Roman"/>
          <w:szCs w:val="24"/>
          <w:lang w:val="en-GB" w:eastAsia="fr-BE"/>
        </w:rPr>
        <w:t>merger and acquisitions but refrain from engaging</w:t>
      </w:r>
      <w:r w:rsidRPr="00DF323F">
        <w:rPr>
          <w:rFonts w:cs="Times New Roman"/>
          <w:szCs w:val="24"/>
          <w:lang w:val="en-GB" w:eastAsia="fr-BE"/>
        </w:rPr>
        <w:t xml:space="preserve"> in fiscal and monetary expansionary policies since they</w:t>
      </w:r>
      <w:r w:rsidR="00BE00E1" w:rsidRPr="00DF323F">
        <w:rPr>
          <w:rFonts w:cs="Times New Roman"/>
          <w:szCs w:val="24"/>
          <w:lang w:val="en-GB" w:eastAsia="fr-BE"/>
        </w:rPr>
        <w:t xml:space="preserve"> allegedly</w:t>
      </w:r>
      <w:r w:rsidRPr="00DF323F">
        <w:rPr>
          <w:rFonts w:cs="Times New Roman"/>
          <w:szCs w:val="24"/>
          <w:lang w:val="en-GB" w:eastAsia="fr-BE"/>
        </w:rPr>
        <w:t xml:space="preserve"> destabilise markets and spur inflation. This paradigm has been associated with the </w:t>
      </w:r>
      <w:r w:rsidRPr="00DF323F">
        <w:rPr>
          <w:rFonts w:cs="Times New Roman"/>
          <w:i/>
          <w:iCs/>
          <w:szCs w:val="24"/>
          <w:lang w:val="en-GB" w:eastAsia="fr-BE"/>
        </w:rPr>
        <w:t>Wirtschaftswunder</w:t>
      </w:r>
      <w:r w:rsidRPr="00DF323F">
        <w:rPr>
          <w:rFonts w:cs="Times New Roman"/>
          <w:szCs w:val="24"/>
          <w:lang w:val="en-GB" w:eastAsia="fr-BE"/>
        </w:rPr>
        <w:t xml:space="preserve"> and the build-up of a social-market economy in post-war Germany</w:t>
      </w:r>
      <w:r w:rsidR="00072463" w:rsidRPr="00DF323F">
        <w:rPr>
          <w:rStyle w:val="Appeldenotedefin"/>
          <w:rFonts w:cs="Times New Roman"/>
          <w:szCs w:val="24"/>
          <w:lang w:val="en-GB" w:eastAsia="fr-BE"/>
        </w:rPr>
        <w:endnoteReference w:id="1"/>
      </w:r>
      <w:r w:rsidR="00072463" w:rsidRPr="00DF323F">
        <w:rPr>
          <w:rFonts w:cs="Times New Roman"/>
          <w:szCs w:val="24"/>
          <w:lang w:val="en-GB" w:eastAsia="fr-BE"/>
        </w:rPr>
        <w:t xml:space="preserve"> </w:t>
      </w:r>
      <w:r w:rsidRPr="00DF323F">
        <w:rPr>
          <w:rFonts w:cs="Times New Roman"/>
          <w:szCs w:val="24"/>
          <w:lang w:val="en-GB" w:eastAsia="fr-BE"/>
        </w:rPr>
        <w:t xml:space="preserve">(Bonefeld, 2012). While these </w:t>
      </w:r>
      <w:r w:rsidR="00C0798B">
        <w:rPr>
          <w:rFonts w:cs="Times New Roman"/>
          <w:szCs w:val="24"/>
          <w:lang w:val="en-GB" w:eastAsia="fr-BE"/>
        </w:rPr>
        <w:t xml:space="preserve">two </w:t>
      </w:r>
      <w:r w:rsidRPr="00DF323F">
        <w:rPr>
          <w:rFonts w:cs="Times New Roman"/>
          <w:szCs w:val="24"/>
          <w:lang w:val="en-GB" w:eastAsia="fr-BE"/>
        </w:rPr>
        <w:t>economic paradigms strongly influenced EEC sectorial policies, they failed to set up a macroeconomic framework to coordinate European economies at the supranational level</w:t>
      </w:r>
      <w:r w:rsidR="00072463">
        <w:rPr>
          <w:rFonts w:cs="Times New Roman"/>
          <w:szCs w:val="24"/>
          <w:lang w:val="en-GB" w:eastAsia="fr-BE"/>
        </w:rPr>
        <w:t>.</w:t>
      </w:r>
      <w:r w:rsidR="00072463" w:rsidRPr="00DF323F">
        <w:rPr>
          <w:rStyle w:val="Appeldenotedefin"/>
          <w:rFonts w:cs="Times New Roman"/>
          <w:szCs w:val="24"/>
          <w:lang w:val="en-GB" w:eastAsia="fr-BE"/>
        </w:rPr>
        <w:endnoteReference w:id="2"/>
      </w:r>
      <w:r w:rsidR="00072463" w:rsidRPr="00DF323F">
        <w:rPr>
          <w:rFonts w:cs="Times New Roman"/>
          <w:szCs w:val="24"/>
          <w:lang w:val="en-GB" w:eastAsia="fr-BE"/>
        </w:rPr>
        <w:t xml:space="preserve"> </w:t>
      </w:r>
      <w:r w:rsidRPr="00DF323F">
        <w:rPr>
          <w:rFonts w:cs="Times New Roman"/>
          <w:szCs w:val="24"/>
          <w:lang w:val="en-GB" w:eastAsia="fr-BE"/>
        </w:rPr>
        <w:t>This failure was caused by political and technical factors (Canihac</w:t>
      </w:r>
      <w:r w:rsidR="00072463">
        <w:rPr>
          <w:rFonts w:cs="Times New Roman"/>
          <w:szCs w:val="24"/>
          <w:lang w:val="en-GB" w:eastAsia="fr-BE"/>
        </w:rPr>
        <w:t>,</w:t>
      </w:r>
      <w:r w:rsidRPr="00DF323F">
        <w:rPr>
          <w:rFonts w:cs="Times New Roman"/>
          <w:szCs w:val="24"/>
          <w:lang w:val="en-GB" w:eastAsia="fr-BE"/>
        </w:rPr>
        <w:t xml:space="preserve"> 20</w:t>
      </w:r>
      <w:r w:rsidR="00DF5AC2">
        <w:rPr>
          <w:rFonts w:cs="Times New Roman"/>
          <w:szCs w:val="24"/>
          <w:lang w:val="en-GB" w:eastAsia="fr-BE"/>
        </w:rPr>
        <w:t>21</w:t>
      </w:r>
      <w:r w:rsidRPr="00DF323F">
        <w:rPr>
          <w:rFonts w:cs="Times New Roman"/>
          <w:szCs w:val="24"/>
          <w:lang w:val="en-GB" w:eastAsia="fr-BE"/>
        </w:rPr>
        <w:t>).  First, under De Gaulle’s leadership, France refused to delegate macro-economic competencies to the European Commission, which led to the empty chair crisis</w:t>
      </w:r>
      <w:r w:rsidR="00DD201B">
        <w:rPr>
          <w:rStyle w:val="Appeldenotedefin"/>
          <w:rFonts w:cs="Times New Roman"/>
          <w:szCs w:val="24"/>
          <w:lang w:val="en-GB" w:eastAsia="fr-BE"/>
        </w:rPr>
        <w:endnoteReference w:id="3"/>
      </w:r>
      <w:r w:rsidRPr="00DF323F">
        <w:rPr>
          <w:rFonts w:cs="Times New Roman"/>
          <w:szCs w:val="24"/>
          <w:lang w:val="en-GB" w:eastAsia="fr-BE"/>
        </w:rPr>
        <w:t>. Second, economists had technical difficulties to develop a supranational macroeconomic framework because there was a lack of harmonisation of nationa</w:t>
      </w:r>
      <w:r w:rsidR="00DD3623">
        <w:rPr>
          <w:rFonts w:cs="Times New Roman"/>
          <w:szCs w:val="24"/>
          <w:lang w:val="en-GB" w:eastAsia="fr-BE"/>
        </w:rPr>
        <w:t xml:space="preserve">l statistics and methodological </w:t>
      </w:r>
      <w:r w:rsidRPr="00DF323F">
        <w:rPr>
          <w:rFonts w:cs="Times New Roman"/>
          <w:szCs w:val="24"/>
          <w:lang w:val="en-GB" w:eastAsia="fr-BE"/>
        </w:rPr>
        <w:t>disagreements among them. </w:t>
      </w:r>
    </w:p>
    <w:p w14:paraId="505403FA" w14:textId="3908C165" w:rsidR="00DF427A" w:rsidRPr="00DF323F" w:rsidRDefault="00DF427A" w:rsidP="007E0B7F">
      <w:pPr>
        <w:jc w:val="both"/>
        <w:rPr>
          <w:rFonts w:cs="Times New Roman"/>
          <w:szCs w:val="24"/>
          <w:lang w:eastAsia="fr-BE"/>
        </w:rPr>
      </w:pPr>
      <w:r w:rsidRPr="00DF323F">
        <w:rPr>
          <w:rFonts w:cs="Times New Roman"/>
          <w:szCs w:val="24"/>
          <w:lang w:eastAsia="fr-BE"/>
        </w:rPr>
        <w:t xml:space="preserve">This battle of ideas shifted in 1969 with the elaboration of the Werner report, which laid down a plan for </w:t>
      </w:r>
      <w:r w:rsidR="00C0798B">
        <w:rPr>
          <w:rFonts w:cs="Times New Roman"/>
          <w:szCs w:val="24"/>
          <w:lang w:eastAsia="fr-BE"/>
        </w:rPr>
        <w:t>economic and monetary unification</w:t>
      </w:r>
      <w:r w:rsidRPr="00DF323F">
        <w:rPr>
          <w:rFonts w:cs="Times New Roman"/>
          <w:szCs w:val="24"/>
          <w:lang w:eastAsia="fr-BE"/>
        </w:rPr>
        <w:t xml:space="preserve"> (Maes, 2004). The report oscillated between two policy options: the “economist” and the “monetarist” approaches of integration (Dyson &amp; Featherstone</w:t>
      </w:r>
      <w:r w:rsidR="00072463">
        <w:rPr>
          <w:rFonts w:cs="Times New Roman"/>
          <w:szCs w:val="24"/>
          <w:lang w:eastAsia="fr-BE"/>
        </w:rPr>
        <w:t>,</w:t>
      </w:r>
      <w:r w:rsidRPr="00DF323F">
        <w:rPr>
          <w:rFonts w:cs="Times New Roman"/>
          <w:szCs w:val="24"/>
          <w:lang w:eastAsia="fr-BE"/>
        </w:rPr>
        <w:t xml:space="preserve"> 1999, </w:t>
      </w:r>
      <w:r w:rsidR="00AA6E84">
        <w:rPr>
          <w:rFonts w:cs="Times New Roman"/>
          <w:szCs w:val="24"/>
          <w:lang w:eastAsia="fr-BE"/>
        </w:rPr>
        <w:t>pp</w:t>
      </w:r>
      <w:r w:rsidRPr="00DF323F">
        <w:rPr>
          <w:rFonts w:cs="Times New Roman"/>
          <w:szCs w:val="24"/>
          <w:lang w:eastAsia="fr-BE"/>
        </w:rPr>
        <w:t xml:space="preserve">. 29-30). On the one hand, </w:t>
      </w:r>
      <w:r w:rsidR="00C0798B">
        <w:rPr>
          <w:rFonts w:cs="Times New Roman"/>
          <w:szCs w:val="24"/>
          <w:lang w:eastAsia="fr-BE"/>
        </w:rPr>
        <w:t>French officials</w:t>
      </w:r>
      <w:r w:rsidRPr="00DF323F">
        <w:rPr>
          <w:rFonts w:cs="Times New Roman"/>
          <w:szCs w:val="24"/>
          <w:lang w:eastAsia="fr-BE"/>
        </w:rPr>
        <w:t xml:space="preserve"> promoted a “monetarist” approach whereby monetary integration comes with endogenous effects that would foster economic convergence in the currency area. In their perspective, establishing a common currency should precede economic integration. On the other hand, a German-led “economist” approach argued that EEC economies must reach a certain level of economic homogeneity before merging into a currency zone, or else monetary policy would not be optimal for participant countries. German policy circles considered common fiscal rules as a prerequisite step for diffusing a culture of </w:t>
      </w:r>
      <w:r w:rsidR="00C0798B">
        <w:rPr>
          <w:rFonts w:cs="Times New Roman"/>
          <w:szCs w:val="24"/>
          <w:lang w:eastAsia="fr-BE"/>
        </w:rPr>
        <w:t xml:space="preserve">economic </w:t>
      </w:r>
      <w:r w:rsidRPr="00DF323F">
        <w:rPr>
          <w:rFonts w:cs="Times New Roman"/>
          <w:szCs w:val="24"/>
          <w:lang w:eastAsia="fr-BE"/>
        </w:rPr>
        <w:t xml:space="preserve">stability within EEC countries before introducing a common currency. In line with this view, the </w:t>
      </w:r>
      <w:r w:rsidRPr="002E3730">
        <w:rPr>
          <w:rFonts w:cs="Times New Roman"/>
          <w:i/>
          <w:szCs w:val="24"/>
          <w:lang w:eastAsia="fr-BE"/>
        </w:rPr>
        <w:t>Bundesbank</w:t>
      </w:r>
      <w:r w:rsidRPr="00DF323F">
        <w:rPr>
          <w:rFonts w:cs="Times New Roman"/>
          <w:szCs w:val="24"/>
          <w:lang w:eastAsia="fr-BE"/>
        </w:rPr>
        <w:t xml:space="preserve"> introduced the “coronation theory”, </w:t>
      </w:r>
      <w:r w:rsidR="00EC0FC6" w:rsidRPr="00DF323F">
        <w:rPr>
          <w:rFonts w:cs="Times New Roman"/>
          <w:szCs w:val="24"/>
          <w:lang w:eastAsia="fr-BE"/>
        </w:rPr>
        <w:t xml:space="preserve">whereby </w:t>
      </w:r>
      <w:r w:rsidRPr="00DF323F">
        <w:rPr>
          <w:rFonts w:cs="Times New Roman"/>
          <w:szCs w:val="24"/>
          <w:lang w:eastAsia="fr-BE"/>
        </w:rPr>
        <w:t xml:space="preserve">monetary integration should only come after a significant degree of economic convergence. The Werner </w:t>
      </w:r>
      <w:r w:rsidR="00EC0FC6" w:rsidRPr="00DF323F">
        <w:rPr>
          <w:rFonts w:cs="Times New Roman"/>
          <w:szCs w:val="24"/>
          <w:lang w:eastAsia="fr-BE"/>
        </w:rPr>
        <w:t>report</w:t>
      </w:r>
      <w:r w:rsidRPr="00DF323F">
        <w:rPr>
          <w:rFonts w:cs="Times New Roman"/>
          <w:szCs w:val="24"/>
          <w:lang w:eastAsia="fr-BE"/>
        </w:rPr>
        <w:t xml:space="preserve"> released in 1970 embraced arguments of both </w:t>
      </w:r>
      <w:r w:rsidR="00180715">
        <w:rPr>
          <w:rFonts w:cs="Times New Roman"/>
          <w:szCs w:val="24"/>
          <w:lang w:eastAsia="fr-BE"/>
        </w:rPr>
        <w:t>approaches</w:t>
      </w:r>
      <w:r w:rsidRPr="00DF323F">
        <w:rPr>
          <w:rFonts w:cs="Times New Roman"/>
          <w:szCs w:val="24"/>
          <w:lang w:eastAsia="fr-BE"/>
        </w:rPr>
        <w:t xml:space="preserve"> as it advised a parallel monetary and economic integration and proposed a roadmap for implementing a monetary union within a decade.</w:t>
      </w:r>
    </w:p>
    <w:p w14:paraId="42295F7E" w14:textId="7B0DF3FA" w:rsidR="00DF427A" w:rsidRPr="00DF323F" w:rsidRDefault="00DF427A" w:rsidP="007E0B7F">
      <w:pPr>
        <w:jc w:val="both"/>
        <w:rPr>
          <w:rFonts w:cs="Times New Roman"/>
          <w:szCs w:val="24"/>
          <w:lang w:eastAsia="fr-BE"/>
        </w:rPr>
      </w:pPr>
      <w:r w:rsidRPr="00DF323F">
        <w:rPr>
          <w:rFonts w:cs="Times New Roman"/>
          <w:szCs w:val="24"/>
          <w:lang w:eastAsia="fr-BE"/>
        </w:rPr>
        <w:t xml:space="preserve">However, the ambitious strategy of parallel integration of the Werner plan was quickly abandoned in the wake of the collapse of the Bretton Woods system in the early 1970s. EEC governments faced new dilemmas in a world of floating exchange rates where states compete to retain and attract capital, which </w:t>
      </w:r>
      <w:r w:rsidR="00EC0FC6" w:rsidRPr="00DF323F">
        <w:rPr>
          <w:rFonts w:cs="Times New Roman"/>
          <w:szCs w:val="24"/>
          <w:lang w:eastAsia="fr-BE"/>
        </w:rPr>
        <w:t>started to circulate</w:t>
      </w:r>
      <w:r w:rsidRPr="00DF323F">
        <w:rPr>
          <w:rFonts w:cs="Times New Roman"/>
          <w:szCs w:val="24"/>
          <w:lang w:eastAsia="fr-BE"/>
        </w:rPr>
        <w:t xml:space="preserve"> freely (Helleiner, 1994). On the one hand, the growing interconnection of their economies called for a common response to this crisis. EEC policies such as the Common Agricultural Policy (CAP) required a stable exc</w:t>
      </w:r>
      <w:r w:rsidR="008534CF" w:rsidRPr="00DF323F">
        <w:rPr>
          <w:rFonts w:cs="Times New Roman"/>
          <w:szCs w:val="24"/>
          <w:lang w:eastAsia="fr-BE"/>
        </w:rPr>
        <w:t>hange rate regime among member s</w:t>
      </w:r>
      <w:r w:rsidRPr="00DF323F">
        <w:rPr>
          <w:rFonts w:cs="Times New Roman"/>
          <w:szCs w:val="24"/>
          <w:lang w:eastAsia="fr-BE"/>
        </w:rPr>
        <w:t>tates (McNamara</w:t>
      </w:r>
      <w:r w:rsidR="00800BA6">
        <w:rPr>
          <w:rFonts w:cs="Times New Roman"/>
          <w:szCs w:val="24"/>
          <w:lang w:eastAsia="fr-BE"/>
        </w:rPr>
        <w:t>,</w:t>
      </w:r>
      <w:r w:rsidRPr="00DF323F">
        <w:rPr>
          <w:rFonts w:cs="Times New Roman"/>
          <w:szCs w:val="24"/>
          <w:lang w:eastAsia="fr-BE"/>
        </w:rPr>
        <w:t xml:space="preserve"> 1998). On the other hand, the crisis triggered national economic retrenchment as EEC states were facing </w:t>
      </w:r>
      <w:r w:rsidR="002E3730" w:rsidRPr="00DF323F">
        <w:rPr>
          <w:rFonts w:cs="Times New Roman"/>
          <w:szCs w:val="24"/>
          <w:lang w:eastAsia="fr-BE"/>
        </w:rPr>
        <w:t>stagflation</w:t>
      </w:r>
      <w:r w:rsidR="002E3730">
        <w:rPr>
          <w:rFonts w:cs="Times New Roman"/>
          <w:szCs w:val="24"/>
          <w:lang w:eastAsia="fr-BE"/>
        </w:rPr>
        <w:t xml:space="preserve"> and </w:t>
      </w:r>
      <w:r w:rsidRPr="00DF323F">
        <w:rPr>
          <w:rFonts w:cs="Times New Roman"/>
          <w:szCs w:val="24"/>
          <w:lang w:eastAsia="fr-BE"/>
        </w:rPr>
        <w:t>the collapse of the post-war growth model. The combination of mass unemployment and high inflation also undermined some core tenets of the Keynesian paradigm, which formed the theoretical basis of the dirigiste approach.</w:t>
      </w:r>
      <w:r w:rsidR="00EC0FC6" w:rsidRPr="00DF323F">
        <w:rPr>
          <w:rFonts w:cs="Times New Roman"/>
          <w:szCs w:val="24"/>
          <w:lang w:eastAsia="fr-BE"/>
        </w:rPr>
        <w:t xml:space="preserve"> </w:t>
      </w:r>
      <w:r w:rsidRPr="00DF323F">
        <w:rPr>
          <w:rFonts w:cs="Times New Roman"/>
          <w:szCs w:val="24"/>
          <w:lang w:eastAsia="fr-BE"/>
        </w:rPr>
        <w:t xml:space="preserve">The first European monetary cooperation project, the European </w:t>
      </w:r>
      <w:r w:rsidR="002E3730">
        <w:rPr>
          <w:rFonts w:cs="Times New Roman"/>
          <w:szCs w:val="24"/>
          <w:lang w:eastAsia="fr-BE"/>
        </w:rPr>
        <w:t>“</w:t>
      </w:r>
      <w:r w:rsidRPr="00DF323F">
        <w:rPr>
          <w:rFonts w:cs="Times New Roman"/>
          <w:szCs w:val="24"/>
          <w:lang w:eastAsia="fr-BE"/>
        </w:rPr>
        <w:t>currency snake</w:t>
      </w:r>
      <w:r w:rsidR="002E3730">
        <w:rPr>
          <w:rFonts w:cs="Times New Roman"/>
          <w:szCs w:val="24"/>
          <w:lang w:eastAsia="fr-BE"/>
        </w:rPr>
        <w:t>”</w:t>
      </w:r>
      <w:r w:rsidRPr="00DF323F">
        <w:rPr>
          <w:rFonts w:cs="Times New Roman"/>
          <w:szCs w:val="24"/>
          <w:lang w:eastAsia="fr-BE"/>
        </w:rPr>
        <w:t xml:space="preserve">, is an outcome of this dilemma. While the </w:t>
      </w:r>
      <w:r w:rsidR="00800BA6">
        <w:rPr>
          <w:rFonts w:cs="Times New Roman"/>
          <w:szCs w:val="24"/>
          <w:lang w:eastAsia="fr-BE"/>
        </w:rPr>
        <w:t>s</w:t>
      </w:r>
      <w:r w:rsidR="00800BA6" w:rsidRPr="00DF323F">
        <w:rPr>
          <w:rFonts w:cs="Times New Roman"/>
          <w:szCs w:val="24"/>
          <w:lang w:eastAsia="fr-BE"/>
        </w:rPr>
        <w:t xml:space="preserve">nake </w:t>
      </w:r>
      <w:r w:rsidRPr="00DF323F">
        <w:rPr>
          <w:rFonts w:cs="Times New Roman"/>
          <w:szCs w:val="24"/>
          <w:lang w:eastAsia="fr-BE"/>
        </w:rPr>
        <w:t xml:space="preserve">aimed at limiting the fluctuations of exchange rates, it only amounted to loose monetary coordination because EEC states were strongly attached to their monetary sovereignty and the pursuit of their national economic objectives. </w:t>
      </w:r>
      <w:r w:rsidR="00EC0FC6" w:rsidRPr="00DF323F">
        <w:rPr>
          <w:rFonts w:cs="Times New Roman"/>
          <w:szCs w:val="24"/>
          <w:lang w:eastAsia="fr-BE"/>
        </w:rPr>
        <w:t>In other words, during the 1970</w:t>
      </w:r>
      <w:r w:rsidRPr="00DF323F">
        <w:rPr>
          <w:rFonts w:cs="Times New Roman"/>
          <w:szCs w:val="24"/>
          <w:lang w:eastAsia="fr-BE"/>
        </w:rPr>
        <w:t>s crisis, the lack of ideational convergence and cooperation between national leaders led to a pause of the supranational economic integration. However, the growing interdependencies between European economies and the build-up of international networks between technocrats and civil servants from different E</w:t>
      </w:r>
      <w:r w:rsidR="002E3730">
        <w:rPr>
          <w:rFonts w:cs="Times New Roman"/>
          <w:szCs w:val="24"/>
          <w:lang w:eastAsia="fr-BE"/>
        </w:rPr>
        <w:t>E</w:t>
      </w:r>
      <w:r w:rsidRPr="00DF323F">
        <w:rPr>
          <w:rFonts w:cs="Times New Roman"/>
          <w:szCs w:val="24"/>
          <w:lang w:eastAsia="fr-BE"/>
        </w:rPr>
        <w:t>C countries paved the way for the relaunch of monetary integration, albeit in the very different economic context of the 1980s (Mourlon-Druol, 2012).</w:t>
      </w:r>
    </w:p>
    <w:p w14:paraId="48413E2A" w14:textId="6155BFD2" w:rsidR="00DF427A" w:rsidRPr="00DF323F" w:rsidRDefault="00DF427A" w:rsidP="007E0B7F">
      <w:pPr>
        <w:jc w:val="both"/>
        <w:rPr>
          <w:rFonts w:cs="Times New Roman"/>
          <w:szCs w:val="24"/>
          <w:lang w:eastAsia="fr-BE"/>
        </w:rPr>
      </w:pPr>
      <w:r w:rsidRPr="00DF323F">
        <w:rPr>
          <w:rFonts w:cs="Times New Roman"/>
          <w:szCs w:val="24"/>
          <w:lang w:eastAsia="fr-BE"/>
        </w:rPr>
        <w:t>A shift in the battle of ideas occurred at the beginning of the 1980s, as EEC governments gradually conv</w:t>
      </w:r>
      <w:r w:rsidR="00EC0FC6" w:rsidRPr="00DF323F">
        <w:rPr>
          <w:rFonts w:cs="Times New Roman"/>
          <w:szCs w:val="24"/>
          <w:lang w:eastAsia="fr-BE"/>
        </w:rPr>
        <w:t xml:space="preserve">erged towards anti-inflationary, pro-market </w:t>
      </w:r>
      <w:r w:rsidRPr="00DF323F">
        <w:rPr>
          <w:rFonts w:cs="Times New Roman"/>
          <w:szCs w:val="24"/>
          <w:lang w:eastAsia="fr-BE"/>
        </w:rPr>
        <w:t>policies. In fact, in 1979, they created the European Monetary System (EMS), which imposed tighter coordination of exchange rate</w:t>
      </w:r>
      <w:r w:rsidR="00EC0FC6" w:rsidRPr="00DF323F">
        <w:rPr>
          <w:rFonts w:cs="Times New Roman"/>
          <w:szCs w:val="24"/>
          <w:lang w:eastAsia="fr-BE"/>
        </w:rPr>
        <w:t>s</w:t>
      </w:r>
      <w:r w:rsidRPr="00DF323F">
        <w:rPr>
          <w:rFonts w:cs="Times New Roman"/>
          <w:szCs w:val="24"/>
          <w:lang w:eastAsia="fr-BE"/>
        </w:rPr>
        <w:t xml:space="preserve"> by using the </w:t>
      </w:r>
      <w:r w:rsidRPr="00180715">
        <w:rPr>
          <w:rFonts w:cs="Times New Roman"/>
          <w:i/>
          <w:szCs w:val="24"/>
          <w:lang w:eastAsia="fr-BE"/>
        </w:rPr>
        <w:t>Deutschmark</w:t>
      </w:r>
      <w:r w:rsidRPr="00DF323F">
        <w:rPr>
          <w:rFonts w:cs="Times New Roman"/>
          <w:szCs w:val="24"/>
          <w:lang w:eastAsia="fr-BE"/>
        </w:rPr>
        <w:t xml:space="preserve">, the strongest European currency, as a </w:t>
      </w:r>
      <w:r w:rsidRPr="00DF323F">
        <w:rPr>
          <w:rFonts w:cs="Times New Roman"/>
          <w:i/>
          <w:szCs w:val="24"/>
          <w:lang w:eastAsia="fr-BE"/>
        </w:rPr>
        <w:t>de facto</w:t>
      </w:r>
      <w:r w:rsidRPr="00DF323F">
        <w:rPr>
          <w:rFonts w:cs="Times New Roman"/>
          <w:szCs w:val="24"/>
          <w:lang w:eastAsia="fr-BE"/>
        </w:rPr>
        <w:t xml:space="preserve"> peg. Under the EMS, governments soon realised that they were facing a strong trade-off between the pursuit of national economic policies and the respect of the EMS rules</w:t>
      </w:r>
      <w:r w:rsidR="00800BA6">
        <w:rPr>
          <w:rFonts w:cs="Times New Roman"/>
          <w:szCs w:val="24"/>
          <w:lang w:eastAsia="fr-BE"/>
        </w:rPr>
        <w:t>.</w:t>
      </w:r>
      <w:r w:rsidR="00072463" w:rsidRPr="00DF323F">
        <w:rPr>
          <w:rStyle w:val="Appeldenotedefin"/>
          <w:rFonts w:cs="Times New Roman"/>
          <w:szCs w:val="24"/>
          <w:lang w:eastAsia="fr-BE"/>
        </w:rPr>
        <w:endnoteReference w:id="4"/>
      </w:r>
      <w:r w:rsidR="007E0B7F">
        <w:rPr>
          <w:rFonts w:cs="Times New Roman"/>
          <w:szCs w:val="24"/>
          <w:lang w:eastAsia="fr-BE"/>
        </w:rPr>
        <w:t xml:space="preserve"> </w:t>
      </w:r>
      <w:r w:rsidRPr="00DF323F">
        <w:rPr>
          <w:rFonts w:cs="Times New Roman"/>
          <w:szCs w:val="24"/>
          <w:lang w:eastAsia="fr-BE"/>
        </w:rPr>
        <w:t xml:space="preserve">This is well exemplified with the 1983 austerity turn in France. Francois Mitterrand, the first French Socialist president, started to implement an expansionary economic policy following his election in 1981. However, this policy made it difficult to keep stable exchange rates towards the </w:t>
      </w:r>
      <w:r w:rsidRPr="007E0B7F">
        <w:rPr>
          <w:rFonts w:cs="Times New Roman"/>
          <w:szCs w:val="24"/>
          <w:lang w:eastAsia="fr-BE"/>
        </w:rPr>
        <w:t xml:space="preserve">Deutschmark </w:t>
      </w:r>
      <w:r w:rsidRPr="00DF323F">
        <w:rPr>
          <w:rFonts w:cs="Times New Roman"/>
          <w:szCs w:val="24"/>
          <w:lang w:eastAsia="fr-BE"/>
        </w:rPr>
        <w:t xml:space="preserve">because of increasing outwards capital flows towards Germany and a deteriorating trade balance. In March 1983, the French presidency faced two exclusive policy options: either they pursued their strategy of economic expansion but had to leave the EMS, or France remained in the EMS but had to reverse </w:t>
      </w:r>
      <w:r w:rsidR="002E3730">
        <w:rPr>
          <w:rFonts w:cs="Times New Roman"/>
          <w:szCs w:val="24"/>
          <w:lang w:eastAsia="fr-BE"/>
        </w:rPr>
        <w:t xml:space="preserve">its </w:t>
      </w:r>
      <w:r w:rsidRPr="00DF323F">
        <w:rPr>
          <w:rFonts w:cs="Times New Roman"/>
          <w:szCs w:val="24"/>
          <w:lang w:eastAsia="fr-BE"/>
        </w:rPr>
        <w:t>policy stance. Following the advice of Jacques Delors, who was the Finance Minister at the time, the French government did a policy U-turn as it implemented fiscal consolidation measures and raised interest rates to keep the Franc at parity with the Deutschmark (Lemoine</w:t>
      </w:r>
      <w:r w:rsidR="00800BA6">
        <w:rPr>
          <w:rFonts w:cs="Times New Roman"/>
          <w:szCs w:val="24"/>
          <w:lang w:eastAsia="fr-BE"/>
        </w:rPr>
        <w:t>,</w:t>
      </w:r>
      <w:r w:rsidRPr="00DF323F">
        <w:rPr>
          <w:rFonts w:cs="Times New Roman"/>
          <w:szCs w:val="24"/>
          <w:lang w:eastAsia="fr-BE"/>
        </w:rPr>
        <w:t xml:space="preserve"> 2016). </w:t>
      </w:r>
      <w:r w:rsidR="00EC0FC6" w:rsidRPr="00DF323F">
        <w:rPr>
          <w:rFonts w:cs="Times New Roman"/>
          <w:szCs w:val="24"/>
          <w:lang w:eastAsia="fr-BE"/>
        </w:rPr>
        <w:t xml:space="preserve">This </w:t>
      </w:r>
      <w:r w:rsidRPr="00DF323F">
        <w:rPr>
          <w:rFonts w:cs="Times New Roman"/>
          <w:szCs w:val="24"/>
          <w:lang w:eastAsia="fr-BE"/>
        </w:rPr>
        <w:t>episode revealed the Deutschmark hegemony in the EMS and the ensuing lack of room for economic manoeuvre for other participating countries (Marsh, 1992).</w:t>
      </w:r>
      <w:r w:rsidR="00EC0FC6" w:rsidRPr="00DF323F">
        <w:rPr>
          <w:rFonts w:cs="Times New Roman"/>
          <w:szCs w:val="24"/>
          <w:lang w:eastAsia="fr-BE"/>
        </w:rPr>
        <w:t xml:space="preserve"> In turn, </w:t>
      </w:r>
      <w:r w:rsidR="00BE1C83" w:rsidRPr="00DF323F">
        <w:rPr>
          <w:rFonts w:cs="Times New Roman"/>
          <w:szCs w:val="24"/>
          <w:lang w:eastAsia="fr-BE"/>
        </w:rPr>
        <w:t>European social-democratic parties gradually abandoned the Keynesian policy framework for the benefit of pro-market solutions (</w:t>
      </w:r>
      <w:r w:rsidR="00035B3A">
        <w:rPr>
          <w:rFonts w:cs="Times New Roman"/>
          <w:szCs w:val="24"/>
          <w:lang w:eastAsia="fr-BE"/>
        </w:rPr>
        <w:t>d</w:t>
      </w:r>
      <w:r w:rsidR="00BE1C83" w:rsidRPr="00DF323F">
        <w:rPr>
          <w:rFonts w:cs="Times New Roman"/>
          <w:szCs w:val="24"/>
          <w:lang w:eastAsia="fr-BE"/>
        </w:rPr>
        <w:t>e Waele et al</w:t>
      </w:r>
      <w:r w:rsidR="00800BA6">
        <w:rPr>
          <w:rFonts w:cs="Times New Roman"/>
          <w:szCs w:val="24"/>
          <w:lang w:eastAsia="fr-BE"/>
        </w:rPr>
        <w:t>.</w:t>
      </w:r>
      <w:r w:rsidR="00BE1C83" w:rsidRPr="00DF323F">
        <w:rPr>
          <w:rFonts w:cs="Times New Roman"/>
          <w:szCs w:val="24"/>
          <w:lang w:eastAsia="fr-BE"/>
        </w:rPr>
        <w:t>, 2013)</w:t>
      </w:r>
      <w:r w:rsidR="00AA6E84">
        <w:rPr>
          <w:rFonts w:cs="Times New Roman"/>
          <w:szCs w:val="24"/>
          <w:lang w:eastAsia="fr-BE"/>
        </w:rPr>
        <w:t xml:space="preserve">. </w:t>
      </w:r>
      <w:r w:rsidR="00BE1C83" w:rsidRPr="00DF323F">
        <w:rPr>
          <w:rFonts w:cs="Times New Roman"/>
          <w:szCs w:val="24"/>
          <w:lang w:eastAsia="fr-BE"/>
        </w:rPr>
        <w:t xml:space="preserve"> </w:t>
      </w:r>
    </w:p>
    <w:p w14:paraId="09FA9F7D" w14:textId="5C982CEF" w:rsidR="00DF427A" w:rsidRPr="00DF323F" w:rsidRDefault="00DF427A" w:rsidP="007E0B7F">
      <w:pPr>
        <w:jc w:val="both"/>
        <w:rPr>
          <w:rFonts w:cs="Times New Roman"/>
          <w:szCs w:val="24"/>
          <w:lang w:eastAsia="fr-BE"/>
        </w:rPr>
      </w:pPr>
      <w:r w:rsidRPr="00DF323F">
        <w:rPr>
          <w:rFonts w:cs="Times New Roman"/>
          <w:szCs w:val="24"/>
          <w:lang w:eastAsia="fr-BE"/>
        </w:rPr>
        <w:t>In sum, the post-war European economic integration has been influenced by two competing economic paradigms, which evolved through various crises. The French promoted a dirigiste economic model and believed that monetary integration would strengthen the convergence of European economies. Conversely, German ordo-liberals believed that a shared culture of price stability and a stronger economic convergence between EEC countries was necessary before a furthe</w:t>
      </w:r>
      <w:r w:rsidR="002E3730">
        <w:rPr>
          <w:rFonts w:cs="Times New Roman"/>
          <w:szCs w:val="24"/>
          <w:lang w:eastAsia="fr-BE"/>
        </w:rPr>
        <w:t>r</w:t>
      </w:r>
      <w:r w:rsidRPr="00DF323F">
        <w:rPr>
          <w:rFonts w:cs="Times New Roman"/>
          <w:szCs w:val="24"/>
          <w:lang w:eastAsia="fr-BE"/>
        </w:rPr>
        <w:t xml:space="preserve"> delegation of competencies to the supranational level. While these two paradigms were equally influential in the ea</w:t>
      </w:r>
      <w:r w:rsidR="00BE1C83" w:rsidRPr="00DF323F">
        <w:rPr>
          <w:rFonts w:cs="Times New Roman"/>
          <w:szCs w:val="24"/>
          <w:lang w:eastAsia="fr-BE"/>
        </w:rPr>
        <w:t>rly stages of the EEC, the 1970</w:t>
      </w:r>
      <w:r w:rsidRPr="00DF323F">
        <w:rPr>
          <w:rFonts w:cs="Times New Roman"/>
          <w:szCs w:val="24"/>
          <w:lang w:eastAsia="fr-BE"/>
        </w:rPr>
        <w:t>s crises, the prioritisation of inflation control policies and the convergence of EMS currencies towards the Deutschmark led to a stronger influence of the German policy model in the 1980s</w:t>
      </w:r>
      <w:r w:rsidR="00922239">
        <w:rPr>
          <w:rFonts w:cs="Times New Roman"/>
          <w:szCs w:val="24"/>
          <w:lang w:eastAsia="fr-BE"/>
        </w:rPr>
        <w:t xml:space="preserve"> (McNamara, 1998)</w:t>
      </w:r>
      <w:r w:rsidRPr="00DF323F">
        <w:rPr>
          <w:rFonts w:cs="Times New Roman"/>
          <w:szCs w:val="24"/>
          <w:lang w:eastAsia="fr-BE"/>
        </w:rPr>
        <w:t>. </w:t>
      </w:r>
    </w:p>
    <w:p w14:paraId="6EC523CC" w14:textId="31ACBAD3" w:rsidR="00DF427A" w:rsidRPr="00DF323F" w:rsidRDefault="00DF323F" w:rsidP="007E0B7F">
      <w:pPr>
        <w:pStyle w:val="Sansinterligne"/>
        <w:spacing w:before="120" w:after="100" w:afterAutospacing="1"/>
        <w:jc w:val="both"/>
        <w:rPr>
          <w:rFonts w:cs="Times New Roman"/>
          <w:i/>
          <w:szCs w:val="24"/>
          <w:lang w:val="en-GB"/>
        </w:rPr>
      </w:pPr>
      <w:r w:rsidRPr="00DF323F">
        <w:rPr>
          <w:rFonts w:cs="Times New Roman"/>
          <w:i/>
          <w:szCs w:val="24"/>
          <w:lang w:val="en-GB"/>
        </w:rPr>
        <w:t>1.</w:t>
      </w:r>
      <w:r w:rsidR="00DF427A" w:rsidRPr="00DF323F">
        <w:rPr>
          <w:rFonts w:cs="Times New Roman"/>
          <w:i/>
          <w:szCs w:val="24"/>
          <w:lang w:val="en-GB"/>
        </w:rPr>
        <w:t xml:space="preserve">2 </w:t>
      </w:r>
      <w:r w:rsidRPr="00DF323F">
        <w:rPr>
          <w:rFonts w:cs="Times New Roman"/>
          <w:i/>
          <w:szCs w:val="24"/>
          <w:lang w:val="en-GB"/>
        </w:rPr>
        <w:tab/>
      </w:r>
      <w:r w:rsidR="00DF427A" w:rsidRPr="00DF323F">
        <w:rPr>
          <w:rFonts w:cs="Times New Roman"/>
          <w:i/>
          <w:szCs w:val="24"/>
          <w:lang w:val="en-GB"/>
        </w:rPr>
        <w:t>The outcome of the battle of ideas: an asymmetrical euro area</w:t>
      </w:r>
    </w:p>
    <w:p w14:paraId="1BFB3B74" w14:textId="4A87FAD5" w:rsidR="00DF427A" w:rsidRPr="00DF323F" w:rsidRDefault="00BE1C83" w:rsidP="007E0B7F">
      <w:pPr>
        <w:pStyle w:val="Sansinterligne"/>
        <w:jc w:val="both"/>
        <w:rPr>
          <w:rFonts w:cs="Times New Roman"/>
          <w:szCs w:val="24"/>
          <w:lang w:val="en-GB" w:eastAsia="fr-BE"/>
        </w:rPr>
      </w:pPr>
      <w:r w:rsidRPr="00DF323F">
        <w:rPr>
          <w:rFonts w:cs="Times New Roman"/>
          <w:szCs w:val="24"/>
          <w:lang w:val="en-GB" w:eastAsia="fr-BE"/>
        </w:rPr>
        <w:t>In the late 1980</w:t>
      </w:r>
      <w:r w:rsidR="00DF427A" w:rsidRPr="00DF323F">
        <w:rPr>
          <w:rFonts w:cs="Times New Roman"/>
          <w:szCs w:val="24"/>
          <w:lang w:val="en-GB" w:eastAsia="fr-BE"/>
        </w:rPr>
        <w:t>s, the Delors Commission pursued an integration strategy</w:t>
      </w:r>
      <w:r w:rsidRPr="00DF323F">
        <w:rPr>
          <w:rFonts w:cs="Times New Roman"/>
          <w:szCs w:val="24"/>
          <w:lang w:val="en-GB" w:eastAsia="fr-BE"/>
        </w:rPr>
        <w:t xml:space="preserve"> that </w:t>
      </w:r>
      <w:r w:rsidR="00DF427A" w:rsidRPr="00DF323F">
        <w:rPr>
          <w:rFonts w:cs="Times New Roman"/>
          <w:szCs w:val="24"/>
          <w:lang w:val="en-GB" w:eastAsia="fr-BE"/>
        </w:rPr>
        <w:t>paved the way for the creation of the Economic and Monetary Union (EMU) in 1992. On the one hand, the European Commission promoted the “market revolution</w:t>
      </w:r>
      <w:r w:rsidR="00AA6E84">
        <w:rPr>
          <w:rFonts w:cs="Times New Roman"/>
          <w:szCs w:val="24"/>
          <w:lang w:val="en-GB" w:eastAsia="fr-BE"/>
        </w:rPr>
        <w:t>”</w:t>
      </w:r>
      <w:r w:rsidR="00DF427A" w:rsidRPr="00DF323F">
        <w:rPr>
          <w:rFonts w:cs="Times New Roman"/>
          <w:szCs w:val="24"/>
          <w:lang w:val="en-GB" w:eastAsia="fr-BE"/>
        </w:rPr>
        <w:t xml:space="preserve"> to form new alliances between EEC states. On the other hand, Jacques Delors strategically narrowed the focus of EMU negotiations on monetary integration to bypass past resistances against </w:t>
      </w:r>
      <w:r w:rsidRPr="00DF323F">
        <w:rPr>
          <w:rFonts w:cs="Times New Roman"/>
          <w:szCs w:val="24"/>
          <w:lang w:val="en-GB" w:eastAsia="fr-BE"/>
        </w:rPr>
        <w:t xml:space="preserve">budgetary and fiscal </w:t>
      </w:r>
      <w:r w:rsidR="00DF427A" w:rsidRPr="00DF323F">
        <w:rPr>
          <w:rFonts w:cs="Times New Roman"/>
          <w:szCs w:val="24"/>
          <w:lang w:val="en-GB" w:eastAsia="fr-BE"/>
        </w:rPr>
        <w:t>integration.</w:t>
      </w:r>
    </w:p>
    <w:p w14:paraId="10248BD0" w14:textId="74169297" w:rsidR="00DF427A" w:rsidRPr="00DF323F" w:rsidRDefault="00DF427A" w:rsidP="007E0B7F">
      <w:pPr>
        <w:jc w:val="both"/>
        <w:rPr>
          <w:rFonts w:cs="Times New Roman"/>
          <w:szCs w:val="24"/>
          <w:lang w:eastAsia="fr-BE"/>
        </w:rPr>
      </w:pPr>
      <w:r w:rsidRPr="00DF323F">
        <w:rPr>
          <w:rFonts w:cs="Times New Roman"/>
          <w:szCs w:val="24"/>
          <w:lang w:eastAsia="fr-BE"/>
        </w:rPr>
        <w:t>First, the Delors Commission mobili</w:t>
      </w:r>
      <w:r w:rsidR="00F42D9D">
        <w:rPr>
          <w:rFonts w:cs="Times New Roman"/>
          <w:szCs w:val="24"/>
          <w:lang w:eastAsia="fr-BE"/>
        </w:rPr>
        <w:t>s</w:t>
      </w:r>
      <w:r w:rsidRPr="00DF323F">
        <w:rPr>
          <w:rFonts w:cs="Times New Roman"/>
          <w:szCs w:val="24"/>
          <w:lang w:eastAsia="fr-BE"/>
        </w:rPr>
        <w:t>ed market rationales to build unlikely political alliances and foster support for further economic integration (Jabko</w:t>
      </w:r>
      <w:r w:rsidR="00800BA6">
        <w:rPr>
          <w:rFonts w:cs="Times New Roman"/>
          <w:szCs w:val="24"/>
          <w:lang w:eastAsia="fr-BE"/>
        </w:rPr>
        <w:t>,</w:t>
      </w:r>
      <w:r w:rsidRPr="00DF323F">
        <w:rPr>
          <w:rFonts w:cs="Times New Roman"/>
          <w:szCs w:val="24"/>
          <w:lang w:eastAsia="fr-BE"/>
        </w:rPr>
        <w:t xml:space="preserve"> 2006). For example, the 1983 austerity turn convinced French policymakers that, in a world where capital roams freely, market confidence was necessary to </w:t>
      </w:r>
      <w:r w:rsidR="00922239">
        <w:rPr>
          <w:rFonts w:cs="Times New Roman"/>
          <w:szCs w:val="24"/>
          <w:lang w:eastAsia="fr-BE"/>
        </w:rPr>
        <w:t>spur</w:t>
      </w:r>
      <w:r w:rsidR="00922239" w:rsidRPr="00DF323F">
        <w:rPr>
          <w:rFonts w:cs="Times New Roman"/>
          <w:szCs w:val="24"/>
          <w:lang w:eastAsia="fr-BE"/>
        </w:rPr>
        <w:t xml:space="preserve"> </w:t>
      </w:r>
      <w:r w:rsidRPr="00DF323F">
        <w:rPr>
          <w:rFonts w:cs="Times New Roman"/>
          <w:szCs w:val="24"/>
          <w:lang w:eastAsia="fr-BE"/>
        </w:rPr>
        <w:t>economic reforms. From this perspective, the delegation of monetary policy to a supranational central bank</w:t>
      </w:r>
      <w:r w:rsidR="002E3730">
        <w:rPr>
          <w:rFonts w:cs="Times New Roman"/>
          <w:szCs w:val="24"/>
          <w:lang w:eastAsia="fr-BE"/>
        </w:rPr>
        <w:t xml:space="preserve"> would</w:t>
      </w:r>
      <w:r w:rsidRPr="00DF323F">
        <w:rPr>
          <w:rFonts w:cs="Times New Roman"/>
          <w:szCs w:val="24"/>
          <w:lang w:eastAsia="fr-BE"/>
        </w:rPr>
        <w:t xml:space="preserve"> s</w:t>
      </w:r>
      <w:r w:rsidR="002E3730">
        <w:rPr>
          <w:rFonts w:cs="Times New Roman"/>
          <w:szCs w:val="24"/>
          <w:lang w:eastAsia="fr-BE"/>
        </w:rPr>
        <w:t>trengthen</w:t>
      </w:r>
      <w:r w:rsidRPr="00DF323F">
        <w:rPr>
          <w:rFonts w:cs="Times New Roman"/>
          <w:szCs w:val="24"/>
          <w:lang w:eastAsia="fr-BE"/>
        </w:rPr>
        <w:t xml:space="preserve"> French sovereignty, as it </w:t>
      </w:r>
      <w:r w:rsidR="002E3730">
        <w:rPr>
          <w:rFonts w:cs="Times New Roman"/>
          <w:szCs w:val="24"/>
          <w:lang w:eastAsia="fr-BE"/>
        </w:rPr>
        <w:t>would benefit</w:t>
      </w:r>
      <w:r w:rsidRPr="00DF323F">
        <w:rPr>
          <w:rFonts w:cs="Times New Roman"/>
          <w:szCs w:val="24"/>
          <w:lang w:eastAsia="fr-BE"/>
        </w:rPr>
        <w:t xml:space="preserve"> from the German ‘imported’ market credibility into the new currency. Moreover, Italian policymakers saw the European monetary integration process as a window of opportunity to “moderni</w:t>
      </w:r>
      <w:r w:rsidR="008B6789">
        <w:rPr>
          <w:rFonts w:cs="Times New Roman"/>
          <w:szCs w:val="24"/>
          <w:lang w:eastAsia="fr-BE"/>
        </w:rPr>
        <w:t>s</w:t>
      </w:r>
      <w:r w:rsidRPr="00DF323F">
        <w:rPr>
          <w:rFonts w:cs="Times New Roman"/>
          <w:szCs w:val="24"/>
          <w:lang w:eastAsia="fr-BE"/>
        </w:rPr>
        <w:t>e” their economy by implementing unpopular economic reforms without taking the electoral blame for it (</w:t>
      </w:r>
      <w:r w:rsidRPr="00DF323F">
        <w:rPr>
          <w:rFonts w:cs="Times New Roman"/>
          <w:i/>
          <w:iCs/>
          <w:szCs w:val="24"/>
          <w:lang w:eastAsia="fr-BE"/>
        </w:rPr>
        <w:t>vincolo estorno)</w:t>
      </w:r>
      <w:r w:rsidRPr="00DF323F">
        <w:rPr>
          <w:rFonts w:cs="Times New Roman"/>
          <w:szCs w:val="24"/>
          <w:lang w:eastAsia="fr-BE"/>
        </w:rPr>
        <w:t xml:space="preserve"> (Dyson &amp; Featherstone, 1996). Conversely, German elites saw the creation of common currency as a way to increase trade, and thus German export</w:t>
      </w:r>
      <w:r w:rsidR="00BE1C83" w:rsidRPr="00DF323F">
        <w:rPr>
          <w:rFonts w:cs="Times New Roman"/>
          <w:szCs w:val="24"/>
          <w:lang w:eastAsia="fr-BE"/>
        </w:rPr>
        <w:t>s, in the EEC</w:t>
      </w:r>
      <w:r w:rsidR="00922239">
        <w:rPr>
          <w:rFonts w:cs="Times New Roman"/>
          <w:szCs w:val="24"/>
          <w:lang w:eastAsia="fr-BE"/>
        </w:rPr>
        <w:t xml:space="preserve">. </w:t>
      </w:r>
      <w:r w:rsidR="00BE1C83" w:rsidRPr="00DF323F">
        <w:rPr>
          <w:rFonts w:cs="Times New Roman"/>
          <w:szCs w:val="24"/>
          <w:lang w:eastAsia="fr-BE"/>
        </w:rPr>
        <w:t xml:space="preserve">In </w:t>
      </w:r>
      <w:r w:rsidR="00922239">
        <w:rPr>
          <w:rFonts w:cs="Times New Roman"/>
          <w:szCs w:val="24"/>
          <w:lang w:eastAsia="fr-BE"/>
        </w:rPr>
        <w:t>sum</w:t>
      </w:r>
      <w:r w:rsidR="00BE1C83" w:rsidRPr="00DF323F">
        <w:rPr>
          <w:rFonts w:cs="Times New Roman"/>
          <w:szCs w:val="24"/>
          <w:lang w:eastAsia="fr-BE"/>
        </w:rPr>
        <w:t>,</w:t>
      </w:r>
      <w:r w:rsidRPr="00DF323F">
        <w:rPr>
          <w:rFonts w:cs="Times New Roman"/>
          <w:szCs w:val="24"/>
          <w:lang w:eastAsia="fr-BE"/>
        </w:rPr>
        <w:t xml:space="preserve"> the Commission </w:t>
      </w:r>
      <w:r w:rsidR="00BE1C83" w:rsidRPr="00DF323F">
        <w:rPr>
          <w:rFonts w:cs="Times New Roman"/>
          <w:szCs w:val="24"/>
          <w:lang w:eastAsia="fr-BE"/>
        </w:rPr>
        <w:t xml:space="preserve">used the market as a “talisman” </w:t>
      </w:r>
      <w:r w:rsidRPr="00DF323F">
        <w:rPr>
          <w:rFonts w:cs="Times New Roman"/>
          <w:szCs w:val="24"/>
          <w:lang w:eastAsia="fr-BE"/>
        </w:rPr>
        <w:t xml:space="preserve">to bridge the different economic preferences and perceived interests of governments and </w:t>
      </w:r>
      <w:r w:rsidR="00922239" w:rsidRPr="00DF323F">
        <w:rPr>
          <w:rFonts w:cs="Times New Roman"/>
          <w:szCs w:val="24"/>
          <w:lang w:eastAsia="fr-BE"/>
        </w:rPr>
        <w:t>en</w:t>
      </w:r>
      <w:r w:rsidR="00922239">
        <w:rPr>
          <w:rFonts w:cs="Times New Roman"/>
          <w:szCs w:val="24"/>
          <w:lang w:eastAsia="fr-BE"/>
        </w:rPr>
        <w:t>list</w:t>
      </w:r>
      <w:r w:rsidR="00922239" w:rsidRPr="00DF323F">
        <w:rPr>
          <w:rFonts w:cs="Times New Roman"/>
          <w:szCs w:val="24"/>
          <w:lang w:eastAsia="fr-BE"/>
        </w:rPr>
        <w:t xml:space="preserve"> </w:t>
      </w:r>
      <w:r w:rsidRPr="00DF323F">
        <w:rPr>
          <w:rFonts w:cs="Times New Roman"/>
          <w:szCs w:val="24"/>
          <w:lang w:eastAsia="fr-BE"/>
        </w:rPr>
        <w:t>them into EMU negotiations</w:t>
      </w:r>
      <w:r w:rsidR="00BE1C83" w:rsidRPr="00DF323F">
        <w:rPr>
          <w:rFonts w:cs="Times New Roman"/>
          <w:szCs w:val="24"/>
          <w:lang w:eastAsia="fr-BE"/>
        </w:rPr>
        <w:t xml:space="preserve"> (Jabko</w:t>
      </w:r>
      <w:r w:rsidR="00800BA6">
        <w:rPr>
          <w:rFonts w:cs="Times New Roman"/>
          <w:szCs w:val="24"/>
          <w:lang w:eastAsia="fr-BE"/>
        </w:rPr>
        <w:t>,</w:t>
      </w:r>
      <w:r w:rsidR="00BE1C83" w:rsidRPr="00DF323F">
        <w:rPr>
          <w:rFonts w:cs="Times New Roman"/>
          <w:szCs w:val="24"/>
          <w:lang w:eastAsia="fr-BE"/>
        </w:rPr>
        <w:t xml:space="preserve"> 2006)</w:t>
      </w:r>
      <w:r w:rsidRPr="00DF323F">
        <w:rPr>
          <w:rFonts w:cs="Times New Roman"/>
          <w:szCs w:val="24"/>
          <w:lang w:eastAsia="fr-BE"/>
        </w:rPr>
        <w:t>.</w:t>
      </w:r>
    </w:p>
    <w:p w14:paraId="651466A7" w14:textId="2D4DB416" w:rsidR="00DF427A" w:rsidRPr="00DF323F" w:rsidRDefault="00DF427A" w:rsidP="007E0B7F">
      <w:pPr>
        <w:jc w:val="both"/>
        <w:rPr>
          <w:rFonts w:cs="Times New Roman"/>
          <w:szCs w:val="24"/>
          <w:lang w:eastAsia="fr-BE"/>
        </w:rPr>
      </w:pPr>
      <w:r w:rsidRPr="00DF323F">
        <w:rPr>
          <w:rFonts w:cs="Times New Roman"/>
          <w:szCs w:val="24"/>
          <w:lang w:eastAsia="fr-BE"/>
        </w:rPr>
        <w:t>Second, the Delors Commission strategically narrowed down the EMU negotiations on monetary integration. More precisely, the Commission created the “Delors Committee”, which included the governors of the central banks of the twelve EEC states, three expert personalities and Delors himself. This committee was tasked to elaborate a blueprint for the creation of the economic and monetary union. Central bankers formed an “epistemic community” since they had a high level of ideational agreement on central banking and monetary issues stemming from their continuous policy coordination since the 1970s (Verdun</w:t>
      </w:r>
      <w:r w:rsidR="008B6789">
        <w:rPr>
          <w:rFonts w:cs="Times New Roman"/>
          <w:szCs w:val="24"/>
          <w:lang w:eastAsia="fr-BE"/>
        </w:rPr>
        <w:t>,</w:t>
      </w:r>
      <w:r w:rsidRPr="00DF323F">
        <w:rPr>
          <w:rFonts w:cs="Times New Roman"/>
          <w:szCs w:val="24"/>
          <w:lang w:eastAsia="fr-BE"/>
        </w:rPr>
        <w:t xml:space="preserve"> 1999). More precisely, they believed that the European monetary integration process should follow the successful template of the </w:t>
      </w:r>
      <w:r w:rsidRPr="00DF323F">
        <w:rPr>
          <w:rFonts w:cs="Times New Roman"/>
          <w:i/>
          <w:iCs/>
          <w:szCs w:val="24"/>
          <w:lang w:eastAsia="fr-BE"/>
        </w:rPr>
        <w:t>Bundesbank</w:t>
      </w:r>
      <w:r w:rsidRPr="00DF323F">
        <w:rPr>
          <w:rFonts w:cs="Times New Roman"/>
          <w:szCs w:val="24"/>
          <w:lang w:eastAsia="fr-BE"/>
        </w:rPr>
        <w:t>, which combined a high level of independence from political authorities and the prioritisation of price stability over other monetary objectives (James</w:t>
      </w:r>
      <w:r w:rsidR="008B6789">
        <w:rPr>
          <w:rFonts w:cs="Times New Roman"/>
          <w:szCs w:val="24"/>
          <w:lang w:eastAsia="fr-BE"/>
        </w:rPr>
        <w:t>,</w:t>
      </w:r>
      <w:r w:rsidRPr="00DF323F">
        <w:rPr>
          <w:rFonts w:cs="Times New Roman"/>
          <w:szCs w:val="24"/>
          <w:lang w:eastAsia="fr-BE"/>
        </w:rPr>
        <w:t xml:space="preserve"> 2012).</w:t>
      </w:r>
    </w:p>
    <w:p w14:paraId="5AB3086E" w14:textId="0225AEB7" w:rsidR="00DF427A" w:rsidRPr="00DF323F" w:rsidRDefault="00DF427A" w:rsidP="007E0B7F">
      <w:pPr>
        <w:jc w:val="both"/>
        <w:rPr>
          <w:rFonts w:cs="Times New Roman"/>
          <w:szCs w:val="24"/>
          <w:lang w:eastAsia="fr-BE"/>
        </w:rPr>
      </w:pPr>
      <w:r w:rsidRPr="00DF323F">
        <w:rPr>
          <w:rFonts w:cs="Times New Roman"/>
          <w:szCs w:val="24"/>
          <w:lang w:eastAsia="fr-BE"/>
        </w:rPr>
        <w:t xml:space="preserve">The </w:t>
      </w:r>
      <w:r w:rsidR="00922239" w:rsidRPr="00DF323F">
        <w:rPr>
          <w:rFonts w:cs="Times New Roman"/>
          <w:szCs w:val="24"/>
          <w:lang w:eastAsia="fr-BE"/>
        </w:rPr>
        <w:t>en</w:t>
      </w:r>
      <w:r w:rsidR="00922239">
        <w:rPr>
          <w:rFonts w:cs="Times New Roman"/>
          <w:szCs w:val="24"/>
          <w:lang w:eastAsia="fr-BE"/>
        </w:rPr>
        <w:t>listment</w:t>
      </w:r>
      <w:r w:rsidR="00922239" w:rsidRPr="00DF323F">
        <w:rPr>
          <w:rFonts w:cs="Times New Roman"/>
          <w:szCs w:val="24"/>
          <w:lang w:eastAsia="fr-BE"/>
        </w:rPr>
        <w:t xml:space="preserve"> </w:t>
      </w:r>
      <w:r w:rsidRPr="00DF323F">
        <w:rPr>
          <w:rFonts w:cs="Times New Roman"/>
          <w:szCs w:val="24"/>
          <w:lang w:eastAsia="fr-BE"/>
        </w:rPr>
        <w:t>of central bankers was crucial for the success of the EMU negotiations since they played a decisive role to convince their governments to delegate their monetary competences to a supranational central bank. More generally, the narrow monetary focus helped to downplay the fiscal and budgetary dimension of economic integration and restrict the EMU negotiation to a small and intimate set of actors in the “core executive territory” (Dyson &amp; Featherstone</w:t>
      </w:r>
      <w:r w:rsidR="00800BA6">
        <w:rPr>
          <w:rFonts w:cs="Times New Roman"/>
          <w:szCs w:val="24"/>
          <w:lang w:eastAsia="fr-BE"/>
        </w:rPr>
        <w:t>,</w:t>
      </w:r>
      <w:r w:rsidRPr="00DF323F">
        <w:rPr>
          <w:rFonts w:cs="Times New Roman"/>
          <w:szCs w:val="24"/>
          <w:lang w:eastAsia="fr-BE"/>
        </w:rPr>
        <w:t xml:space="preserve"> 1999, p.14). In fact, EMU negotiators were isolated from external pressures and sectoral interests because of the historical “mystique” surrounding monetary policies and the difficulties that interest groups had in calculating the impact of a common monetary policy on their activities</w:t>
      </w:r>
      <w:r w:rsidR="00C96C6A" w:rsidRPr="00DF323F">
        <w:rPr>
          <w:rFonts w:cs="Times New Roman"/>
          <w:szCs w:val="24"/>
          <w:lang w:eastAsia="fr-BE"/>
        </w:rPr>
        <w:t xml:space="preserve"> (Grossman, 2004)</w:t>
      </w:r>
      <w:r w:rsidRPr="00DF323F">
        <w:rPr>
          <w:rFonts w:cs="Times New Roman"/>
          <w:szCs w:val="24"/>
          <w:lang w:eastAsia="fr-BE"/>
        </w:rPr>
        <w:t>.</w:t>
      </w:r>
      <w:r w:rsidR="00E67C9F">
        <w:rPr>
          <w:rFonts w:cs="Times New Roman"/>
          <w:szCs w:val="24"/>
          <w:lang w:eastAsia="fr-BE"/>
        </w:rPr>
        <w:t xml:space="preserve"> Finally, the creation of the euro was eased by the</w:t>
      </w:r>
      <w:r w:rsidR="002E3730">
        <w:rPr>
          <w:rFonts w:cs="Times New Roman"/>
          <w:szCs w:val="24"/>
          <w:lang w:eastAsia="fr-BE"/>
        </w:rPr>
        <w:t xml:space="preserve"> fall of the Berlin wall and the</w:t>
      </w:r>
      <w:r w:rsidR="00E67C9F">
        <w:rPr>
          <w:rFonts w:cs="Times New Roman"/>
          <w:szCs w:val="24"/>
          <w:lang w:eastAsia="fr-BE"/>
        </w:rPr>
        <w:t xml:space="preserve"> collapse of the USSR. In addition of strengthening market ideas, it also gave E</w:t>
      </w:r>
      <w:r w:rsidR="002E3730">
        <w:rPr>
          <w:rFonts w:cs="Times New Roman"/>
          <w:szCs w:val="24"/>
          <w:lang w:eastAsia="fr-BE"/>
        </w:rPr>
        <w:t>EC</w:t>
      </w:r>
      <w:r w:rsidR="00E67C9F">
        <w:rPr>
          <w:rFonts w:cs="Times New Roman"/>
          <w:szCs w:val="24"/>
          <w:lang w:eastAsia="fr-BE"/>
        </w:rPr>
        <w:t xml:space="preserve"> countries some </w:t>
      </w:r>
      <w:r w:rsidR="00A23133">
        <w:rPr>
          <w:rFonts w:cs="Times New Roman"/>
          <w:szCs w:val="24"/>
          <w:lang w:eastAsia="fr-BE"/>
        </w:rPr>
        <w:t>negotiating</w:t>
      </w:r>
      <w:r w:rsidR="00E67C9F">
        <w:rPr>
          <w:rFonts w:cs="Times New Roman"/>
          <w:szCs w:val="24"/>
          <w:lang w:eastAsia="fr-BE"/>
        </w:rPr>
        <w:t xml:space="preserve"> advantage over Germany. In</w:t>
      </w:r>
      <w:r w:rsidR="007E0B7F">
        <w:rPr>
          <w:rFonts w:cs="Times New Roman"/>
          <w:szCs w:val="24"/>
          <w:lang w:eastAsia="fr-BE"/>
        </w:rPr>
        <w:t xml:space="preserve"> fact</w:t>
      </w:r>
      <w:r w:rsidR="00E67C9F">
        <w:rPr>
          <w:rFonts w:cs="Times New Roman"/>
          <w:szCs w:val="24"/>
          <w:lang w:eastAsia="fr-BE"/>
        </w:rPr>
        <w:t>,</w:t>
      </w:r>
      <w:r w:rsidR="00A23133">
        <w:rPr>
          <w:rFonts w:cs="Times New Roman"/>
          <w:szCs w:val="24"/>
          <w:lang w:eastAsia="fr-BE"/>
        </w:rPr>
        <w:t xml:space="preserve"> E</w:t>
      </w:r>
      <w:r w:rsidR="00466589">
        <w:rPr>
          <w:rFonts w:cs="Times New Roman"/>
          <w:szCs w:val="24"/>
          <w:lang w:eastAsia="fr-BE"/>
        </w:rPr>
        <w:t>EC</w:t>
      </w:r>
      <w:r w:rsidR="00A23133">
        <w:rPr>
          <w:rFonts w:cs="Times New Roman"/>
          <w:szCs w:val="24"/>
          <w:lang w:eastAsia="fr-BE"/>
        </w:rPr>
        <w:t xml:space="preserve"> leaders made it clear that the</w:t>
      </w:r>
      <w:r w:rsidR="007E0B7F">
        <w:rPr>
          <w:rFonts w:cs="Times New Roman"/>
          <w:szCs w:val="24"/>
          <w:lang w:eastAsia="fr-BE"/>
        </w:rPr>
        <w:t>y</w:t>
      </w:r>
      <w:r w:rsidR="00A23133">
        <w:rPr>
          <w:rFonts w:cs="Times New Roman"/>
          <w:szCs w:val="24"/>
          <w:lang w:eastAsia="fr-BE"/>
        </w:rPr>
        <w:t xml:space="preserve"> would accept the reunification between West and East Germany only if German leaders gave up the </w:t>
      </w:r>
      <w:r w:rsidR="00A23133" w:rsidRPr="00466589">
        <w:rPr>
          <w:rFonts w:cs="Times New Roman"/>
          <w:i/>
          <w:szCs w:val="24"/>
          <w:lang w:eastAsia="fr-BE"/>
        </w:rPr>
        <w:t>Deutschmark</w:t>
      </w:r>
      <w:r w:rsidR="00A23133" w:rsidRPr="00697DC3">
        <w:rPr>
          <w:rFonts w:cs="Times New Roman"/>
          <w:i/>
          <w:szCs w:val="24"/>
          <w:lang w:eastAsia="fr-BE"/>
        </w:rPr>
        <w:t xml:space="preserve"> </w:t>
      </w:r>
      <w:r w:rsidR="00A23133">
        <w:rPr>
          <w:rFonts w:cs="Times New Roman"/>
          <w:szCs w:val="24"/>
          <w:lang w:eastAsia="fr-BE"/>
        </w:rPr>
        <w:t>and agree on the euro creation</w:t>
      </w:r>
      <w:r w:rsidR="007E0B7F">
        <w:rPr>
          <w:rFonts w:cs="Times New Roman"/>
          <w:szCs w:val="24"/>
          <w:lang w:eastAsia="fr-BE"/>
        </w:rPr>
        <w:t>,</w:t>
      </w:r>
      <w:r w:rsidR="00A23133">
        <w:rPr>
          <w:rFonts w:cs="Times New Roman"/>
          <w:szCs w:val="24"/>
          <w:lang w:eastAsia="fr-BE"/>
        </w:rPr>
        <w:t xml:space="preserve"> in order to compensate for </w:t>
      </w:r>
      <w:r w:rsidR="007E0B7F">
        <w:rPr>
          <w:rFonts w:cs="Times New Roman"/>
          <w:szCs w:val="24"/>
          <w:lang w:eastAsia="fr-BE"/>
        </w:rPr>
        <w:t>Germany</w:t>
      </w:r>
      <w:r w:rsidR="00A23133">
        <w:rPr>
          <w:rFonts w:cs="Times New Roman"/>
          <w:szCs w:val="24"/>
          <w:lang w:eastAsia="fr-BE"/>
        </w:rPr>
        <w:t xml:space="preserve"> increased power</w:t>
      </w:r>
      <w:r w:rsidR="00466589">
        <w:rPr>
          <w:rFonts w:cs="Times New Roman"/>
          <w:szCs w:val="24"/>
          <w:lang w:eastAsia="fr-BE"/>
        </w:rPr>
        <w:t xml:space="preserve"> (Dyson, 1994)</w:t>
      </w:r>
      <w:r w:rsidR="00A23133">
        <w:rPr>
          <w:rFonts w:cs="Times New Roman"/>
          <w:szCs w:val="24"/>
          <w:lang w:eastAsia="fr-BE"/>
        </w:rPr>
        <w:t xml:space="preserve">. </w:t>
      </w:r>
    </w:p>
    <w:p w14:paraId="21575627" w14:textId="7A98DD10" w:rsidR="00DF427A" w:rsidRPr="00DF323F" w:rsidRDefault="00DF427A" w:rsidP="007E0B7F">
      <w:pPr>
        <w:jc w:val="both"/>
        <w:rPr>
          <w:rFonts w:cs="Times New Roman"/>
          <w:szCs w:val="24"/>
          <w:lang w:eastAsia="fr-BE"/>
        </w:rPr>
      </w:pPr>
      <w:r w:rsidRPr="00DF323F">
        <w:rPr>
          <w:rFonts w:cs="Times New Roman"/>
          <w:szCs w:val="24"/>
          <w:lang w:eastAsia="fr-BE"/>
        </w:rPr>
        <w:t>In sum, the Delors Commission managed to build unlikely alliances in favour of the creation of the EMU by strategically manipulating a variety of market ideas according to the pre-existing set of interests and dominant economic paradigms in different European countries. Besides, the Delors Committee enrol</w:t>
      </w:r>
      <w:r w:rsidR="00C96C6A" w:rsidRPr="00DF323F">
        <w:rPr>
          <w:rFonts w:cs="Times New Roman"/>
          <w:szCs w:val="24"/>
          <w:lang w:eastAsia="fr-BE"/>
        </w:rPr>
        <w:t>led</w:t>
      </w:r>
      <w:r w:rsidRPr="00DF323F">
        <w:rPr>
          <w:rFonts w:cs="Times New Roman"/>
          <w:szCs w:val="24"/>
          <w:lang w:eastAsia="fr-BE"/>
        </w:rPr>
        <w:t xml:space="preserve"> central bankers for the creation of a supranational central bank</w:t>
      </w:r>
      <w:r w:rsidR="00C96C6A" w:rsidRPr="00DF323F">
        <w:rPr>
          <w:rFonts w:cs="Times New Roman"/>
          <w:szCs w:val="24"/>
          <w:lang w:eastAsia="fr-BE"/>
        </w:rPr>
        <w:t xml:space="preserve"> on the condition that </w:t>
      </w:r>
      <w:r w:rsidRPr="00DF323F">
        <w:rPr>
          <w:rFonts w:cs="Times New Roman"/>
          <w:szCs w:val="24"/>
          <w:lang w:eastAsia="fr-BE"/>
        </w:rPr>
        <w:t xml:space="preserve">it would follow the template of the </w:t>
      </w:r>
      <w:r w:rsidRPr="00466589">
        <w:rPr>
          <w:rFonts w:cs="Times New Roman"/>
          <w:i/>
          <w:szCs w:val="24"/>
          <w:lang w:eastAsia="fr-BE"/>
        </w:rPr>
        <w:t>Bundesbank</w:t>
      </w:r>
      <w:r w:rsidRPr="00DF323F">
        <w:rPr>
          <w:rFonts w:cs="Times New Roman"/>
          <w:szCs w:val="24"/>
          <w:lang w:eastAsia="fr-BE"/>
        </w:rPr>
        <w:t>. In turn, the narrow focus on monetary integration defused the traditional political resistances against budgetary and fiscal integration, which derailed previous integration projects.</w:t>
      </w:r>
      <w:r w:rsidR="00922239">
        <w:rPr>
          <w:rFonts w:cs="Times New Roman"/>
          <w:szCs w:val="24"/>
          <w:lang w:eastAsia="fr-BE"/>
        </w:rPr>
        <w:t xml:space="preserve"> </w:t>
      </w:r>
      <w:r w:rsidRPr="00DF323F">
        <w:rPr>
          <w:rFonts w:cs="Times New Roman"/>
          <w:szCs w:val="24"/>
          <w:lang w:eastAsia="fr-BE"/>
        </w:rPr>
        <w:t xml:space="preserve">In other words, the creation of EMU is an outcome of the historical battle of ideas (Jabko, 2010). On the one hand, monetary integration preceded a significant degree of economic convergence in line with the “economist” position defended by French policymakers. On the other hand, the institutional architecture of the EMU is strongly influenced by the </w:t>
      </w:r>
      <w:r w:rsidRPr="00DF323F">
        <w:rPr>
          <w:rFonts w:cs="Times New Roman"/>
          <w:i/>
          <w:iCs/>
          <w:szCs w:val="24"/>
          <w:lang w:eastAsia="fr-BE"/>
        </w:rPr>
        <w:t xml:space="preserve">Bundesbank </w:t>
      </w:r>
      <w:r w:rsidRPr="00DF323F">
        <w:rPr>
          <w:rFonts w:cs="Times New Roman"/>
          <w:szCs w:val="24"/>
          <w:lang w:eastAsia="fr-BE"/>
        </w:rPr>
        <w:t>template and the ordo-liberal principl</w:t>
      </w:r>
      <w:r w:rsidR="00922239">
        <w:rPr>
          <w:rFonts w:cs="Times New Roman"/>
          <w:szCs w:val="24"/>
          <w:lang w:eastAsia="fr-BE"/>
        </w:rPr>
        <w:t xml:space="preserve">es. </w:t>
      </w:r>
      <w:r w:rsidRPr="00DF323F">
        <w:rPr>
          <w:rFonts w:cs="Times New Roman"/>
          <w:szCs w:val="24"/>
          <w:lang w:eastAsia="fr-BE"/>
        </w:rPr>
        <w:t>  </w:t>
      </w:r>
    </w:p>
    <w:p w14:paraId="2E90E91D" w14:textId="399BD6C1" w:rsidR="00DF427A" w:rsidRPr="00DF323F" w:rsidRDefault="00DF323F" w:rsidP="007E0B7F">
      <w:pPr>
        <w:pStyle w:val="Sansinterligne"/>
        <w:spacing w:before="120" w:after="120"/>
        <w:ind w:left="709" w:hanging="709"/>
        <w:jc w:val="both"/>
        <w:rPr>
          <w:rFonts w:cs="Times New Roman"/>
          <w:i/>
          <w:szCs w:val="24"/>
          <w:lang w:val="en-GB"/>
        </w:rPr>
      </w:pPr>
      <w:r w:rsidRPr="00DF323F">
        <w:rPr>
          <w:rFonts w:cs="Times New Roman"/>
          <w:i/>
          <w:szCs w:val="24"/>
          <w:lang w:val="en-GB"/>
        </w:rPr>
        <w:t>1.</w:t>
      </w:r>
      <w:r w:rsidR="00DF427A" w:rsidRPr="00DF323F">
        <w:rPr>
          <w:rFonts w:cs="Times New Roman"/>
          <w:i/>
          <w:szCs w:val="24"/>
          <w:lang w:val="en-GB"/>
        </w:rPr>
        <w:t xml:space="preserve">3 </w:t>
      </w:r>
      <w:r w:rsidRPr="00DF323F">
        <w:rPr>
          <w:rFonts w:cs="Times New Roman"/>
          <w:i/>
          <w:szCs w:val="24"/>
          <w:lang w:val="en-GB"/>
        </w:rPr>
        <w:tab/>
      </w:r>
      <w:r w:rsidR="00DF427A" w:rsidRPr="00DF323F">
        <w:rPr>
          <w:rFonts w:cs="Times New Roman"/>
          <w:i/>
          <w:szCs w:val="24"/>
          <w:lang w:val="en-GB"/>
        </w:rPr>
        <w:t>The persistence of asymmetries: fiscal rules and financial integration rather than economic government and social harmoni</w:t>
      </w:r>
      <w:r w:rsidR="008B6789">
        <w:rPr>
          <w:rFonts w:cs="Times New Roman"/>
          <w:i/>
          <w:szCs w:val="24"/>
          <w:lang w:val="en-GB"/>
        </w:rPr>
        <w:t>s</w:t>
      </w:r>
      <w:r w:rsidR="00DF427A" w:rsidRPr="00DF323F">
        <w:rPr>
          <w:rFonts w:cs="Times New Roman"/>
          <w:i/>
          <w:szCs w:val="24"/>
          <w:lang w:val="en-GB"/>
        </w:rPr>
        <w:t>ation</w:t>
      </w:r>
    </w:p>
    <w:p w14:paraId="084BDA4D" w14:textId="1E2EA23D" w:rsidR="00DF427A" w:rsidRPr="00DF323F" w:rsidRDefault="00DF427A" w:rsidP="007E0B7F">
      <w:pPr>
        <w:pStyle w:val="Sansinterligne"/>
        <w:jc w:val="both"/>
        <w:rPr>
          <w:rFonts w:cs="Times New Roman"/>
          <w:szCs w:val="24"/>
          <w:lang w:val="en-GB" w:eastAsia="fr-BE"/>
        </w:rPr>
      </w:pPr>
      <w:r w:rsidRPr="00DF323F">
        <w:rPr>
          <w:rFonts w:cs="Times New Roman"/>
          <w:szCs w:val="24"/>
          <w:lang w:val="en-GB" w:eastAsia="fr-BE"/>
        </w:rPr>
        <w:t>Following the sig</w:t>
      </w:r>
      <w:r w:rsidR="00C96C6A" w:rsidRPr="00DF323F">
        <w:rPr>
          <w:rFonts w:cs="Times New Roman"/>
          <w:szCs w:val="24"/>
          <w:lang w:val="en-GB" w:eastAsia="fr-BE"/>
        </w:rPr>
        <w:t xml:space="preserve">ning </w:t>
      </w:r>
      <w:r w:rsidRPr="00DF323F">
        <w:rPr>
          <w:rFonts w:cs="Times New Roman"/>
          <w:szCs w:val="24"/>
          <w:lang w:val="en-GB" w:eastAsia="fr-BE"/>
        </w:rPr>
        <w:t xml:space="preserve">of the Maastricht Treaty, the focus of the battle of ideas shifted to the kind of economic integration that was required for the smooth functioning of the euro area. In fact, the delegation of monetary competencies to the ECB meant that participating states could not adjust their interest or exchange rates </w:t>
      </w:r>
      <w:r w:rsidR="00A23133" w:rsidRPr="00DF323F">
        <w:rPr>
          <w:rFonts w:cs="Times New Roman"/>
          <w:szCs w:val="24"/>
          <w:lang w:val="en-GB" w:eastAsia="fr-BE"/>
        </w:rPr>
        <w:t xml:space="preserve">anymore </w:t>
      </w:r>
      <w:r w:rsidRPr="00DF323F">
        <w:rPr>
          <w:rFonts w:cs="Times New Roman"/>
          <w:szCs w:val="24"/>
          <w:lang w:val="en-GB" w:eastAsia="fr-BE"/>
        </w:rPr>
        <w:t>to their domestic economic situation. According to the optimal currency area theory, wages’ flexibility, labour mobility or supranational fiscal transfers can compensate for this rigidity (Mundell, 1961). Since the euro</w:t>
      </w:r>
      <w:r w:rsidR="00DB45C0">
        <w:rPr>
          <w:rFonts w:cs="Times New Roman"/>
          <w:szCs w:val="24"/>
          <w:lang w:val="en-GB" w:eastAsia="fr-BE"/>
        </w:rPr>
        <w:t xml:space="preserve"> </w:t>
      </w:r>
      <w:r w:rsidRPr="00DF323F">
        <w:rPr>
          <w:rFonts w:cs="Times New Roman"/>
          <w:szCs w:val="24"/>
          <w:lang w:val="en-GB" w:eastAsia="fr-BE"/>
        </w:rPr>
        <w:t xml:space="preserve">area was faring poorly on these criteria while showing a high level of economic heterogeneity, the majority of </w:t>
      </w:r>
      <w:r w:rsidR="00A23133">
        <w:rPr>
          <w:rFonts w:cs="Times New Roman"/>
          <w:szCs w:val="24"/>
          <w:lang w:val="en-GB" w:eastAsia="fr-BE"/>
        </w:rPr>
        <w:t xml:space="preserve">American </w:t>
      </w:r>
      <w:r w:rsidRPr="00DF323F">
        <w:rPr>
          <w:rFonts w:cs="Times New Roman"/>
          <w:szCs w:val="24"/>
          <w:lang w:val="en-GB" w:eastAsia="fr-BE"/>
        </w:rPr>
        <w:t xml:space="preserve">macroeconomists believed that the single currency was doomed. More precisely, they underlined </w:t>
      </w:r>
      <w:r w:rsidR="00C96C6A" w:rsidRPr="00DF323F">
        <w:rPr>
          <w:rFonts w:cs="Times New Roman"/>
          <w:szCs w:val="24"/>
          <w:lang w:val="en-GB" w:eastAsia="fr-BE"/>
        </w:rPr>
        <w:t xml:space="preserve">that </w:t>
      </w:r>
      <w:r w:rsidRPr="00DF323F">
        <w:rPr>
          <w:rFonts w:cs="Times New Roman"/>
          <w:szCs w:val="24"/>
          <w:lang w:val="en-GB" w:eastAsia="fr-BE"/>
        </w:rPr>
        <w:t xml:space="preserve">the lack of a significant federal budget would prevent countries to regain economic competitiveness if they were hit by a crisis (Jonung </w:t>
      </w:r>
      <w:r w:rsidR="00800BA6">
        <w:rPr>
          <w:rFonts w:cs="Times New Roman"/>
          <w:szCs w:val="24"/>
          <w:lang w:val="en-GB" w:eastAsia="fr-BE"/>
        </w:rPr>
        <w:t>&amp;</w:t>
      </w:r>
      <w:r w:rsidRPr="00DF323F">
        <w:rPr>
          <w:rFonts w:cs="Times New Roman"/>
          <w:szCs w:val="24"/>
          <w:lang w:val="en-GB" w:eastAsia="fr-BE"/>
        </w:rPr>
        <w:t xml:space="preserve"> Drea, 2010). The Delors Commission relied on these arguments </w:t>
      </w:r>
      <w:r w:rsidR="00C96C6A" w:rsidRPr="00DF323F">
        <w:rPr>
          <w:rFonts w:cs="Times New Roman"/>
          <w:szCs w:val="24"/>
          <w:lang w:val="en-GB" w:eastAsia="fr-BE"/>
        </w:rPr>
        <w:t xml:space="preserve">during the EMU negotiations </w:t>
      </w:r>
      <w:r w:rsidRPr="00DF323F">
        <w:rPr>
          <w:rFonts w:cs="Times New Roman"/>
          <w:szCs w:val="24"/>
          <w:lang w:val="en-GB" w:eastAsia="fr-BE"/>
        </w:rPr>
        <w:t>to push forward the creatio</w:t>
      </w:r>
      <w:r w:rsidR="00180715">
        <w:rPr>
          <w:rFonts w:cs="Times New Roman"/>
          <w:szCs w:val="24"/>
          <w:lang w:val="en-GB" w:eastAsia="fr-BE"/>
        </w:rPr>
        <w:t xml:space="preserve">n of a </w:t>
      </w:r>
      <w:r w:rsidR="00180715" w:rsidRPr="00180715">
        <w:rPr>
          <w:rFonts w:cs="Times New Roman"/>
          <w:i/>
          <w:szCs w:val="24"/>
          <w:lang w:val="en-GB" w:eastAsia="fr-BE"/>
        </w:rPr>
        <w:t>gouvernement économique</w:t>
      </w:r>
      <w:r w:rsidRPr="00DF323F">
        <w:rPr>
          <w:rFonts w:cs="Times New Roman"/>
          <w:szCs w:val="24"/>
          <w:lang w:val="en-GB" w:eastAsia="fr-BE"/>
        </w:rPr>
        <w:t>, which would pool budgetary resources and promote some</w:t>
      </w:r>
      <w:r w:rsidR="00C96C6A" w:rsidRPr="00DF323F">
        <w:rPr>
          <w:rFonts w:cs="Times New Roman"/>
          <w:szCs w:val="24"/>
          <w:lang w:val="en-GB" w:eastAsia="fr-BE"/>
        </w:rPr>
        <w:t xml:space="preserve"> degree of social harmoni</w:t>
      </w:r>
      <w:r w:rsidR="008B6789">
        <w:rPr>
          <w:rFonts w:cs="Times New Roman"/>
          <w:szCs w:val="24"/>
          <w:lang w:val="en-GB" w:eastAsia="fr-BE"/>
        </w:rPr>
        <w:t>s</w:t>
      </w:r>
      <w:r w:rsidR="00C96C6A" w:rsidRPr="00DF323F">
        <w:rPr>
          <w:rFonts w:cs="Times New Roman"/>
          <w:szCs w:val="24"/>
          <w:lang w:val="en-GB" w:eastAsia="fr-BE"/>
        </w:rPr>
        <w:t>ation.</w:t>
      </w:r>
      <w:r w:rsidRPr="00DF323F">
        <w:rPr>
          <w:rFonts w:cs="Times New Roman"/>
          <w:szCs w:val="24"/>
          <w:lang w:val="en-GB" w:eastAsia="fr-BE"/>
        </w:rPr>
        <w:t xml:space="preserve"> In 1993, the Commission published a </w:t>
      </w:r>
      <w:r w:rsidR="00800BA6">
        <w:rPr>
          <w:rFonts w:cs="Times New Roman"/>
          <w:szCs w:val="24"/>
          <w:lang w:val="en-GB" w:eastAsia="fr-BE"/>
        </w:rPr>
        <w:t>w</w:t>
      </w:r>
      <w:r w:rsidRPr="00DF323F">
        <w:rPr>
          <w:rFonts w:cs="Times New Roman"/>
          <w:szCs w:val="24"/>
          <w:lang w:val="en-GB" w:eastAsia="fr-BE"/>
        </w:rPr>
        <w:t>hite paper, proposing the coordination of EU unemployment policies and a crisis resolution mechanism financed by joint borrowing (Verdun</w:t>
      </w:r>
      <w:r w:rsidR="00800BA6">
        <w:rPr>
          <w:rFonts w:cs="Times New Roman"/>
          <w:szCs w:val="24"/>
          <w:lang w:val="en-GB" w:eastAsia="fr-BE"/>
        </w:rPr>
        <w:t>,</w:t>
      </w:r>
      <w:r w:rsidRPr="00DF323F">
        <w:rPr>
          <w:rFonts w:cs="Times New Roman"/>
          <w:szCs w:val="24"/>
          <w:lang w:val="en-GB" w:eastAsia="fr-BE"/>
        </w:rPr>
        <w:t xml:space="preserve"> 2003). </w:t>
      </w:r>
    </w:p>
    <w:p w14:paraId="61026A80" w14:textId="3082D160" w:rsidR="00DF427A" w:rsidRPr="00DF323F" w:rsidRDefault="00DF427A" w:rsidP="007E0B7F">
      <w:pPr>
        <w:jc w:val="both"/>
        <w:rPr>
          <w:rFonts w:cs="Times New Roman"/>
          <w:szCs w:val="24"/>
          <w:lang w:eastAsia="fr-BE"/>
        </w:rPr>
      </w:pPr>
      <w:r w:rsidRPr="00DF323F">
        <w:rPr>
          <w:rFonts w:cs="Times New Roman"/>
          <w:szCs w:val="24"/>
          <w:lang w:eastAsia="fr-BE"/>
        </w:rPr>
        <w:t xml:space="preserve">However, these proposals met </w:t>
      </w:r>
      <w:r w:rsidR="00F233B8">
        <w:rPr>
          <w:rFonts w:cs="Times New Roman"/>
          <w:szCs w:val="24"/>
          <w:lang w:eastAsia="fr-BE"/>
        </w:rPr>
        <w:t xml:space="preserve">with </w:t>
      </w:r>
      <w:r w:rsidRPr="00DF323F">
        <w:rPr>
          <w:rFonts w:cs="Times New Roman"/>
          <w:szCs w:val="24"/>
          <w:lang w:eastAsia="fr-BE"/>
        </w:rPr>
        <w:t>strong resistance</w:t>
      </w:r>
      <w:r w:rsidR="00C96C6A" w:rsidRPr="00DF323F">
        <w:rPr>
          <w:rFonts w:cs="Times New Roman"/>
          <w:szCs w:val="24"/>
          <w:lang w:eastAsia="fr-BE"/>
        </w:rPr>
        <w:t>s</w:t>
      </w:r>
      <w:r w:rsidRPr="00DF323F">
        <w:rPr>
          <w:rFonts w:cs="Times New Roman"/>
          <w:szCs w:val="24"/>
          <w:lang w:eastAsia="fr-BE"/>
        </w:rPr>
        <w:t xml:space="preserve"> in the European Council in general, and </w:t>
      </w:r>
      <w:r w:rsidR="00466589">
        <w:rPr>
          <w:rFonts w:cs="Times New Roman"/>
          <w:szCs w:val="24"/>
          <w:lang w:eastAsia="fr-BE"/>
        </w:rPr>
        <w:t xml:space="preserve">from </w:t>
      </w:r>
      <w:r w:rsidRPr="00DF323F">
        <w:rPr>
          <w:rFonts w:cs="Times New Roman"/>
          <w:szCs w:val="24"/>
          <w:lang w:eastAsia="fr-BE"/>
        </w:rPr>
        <w:t xml:space="preserve">Germany, in particular. German leaders </w:t>
      </w:r>
      <w:r w:rsidR="00180715">
        <w:rPr>
          <w:rFonts w:cs="Times New Roman"/>
          <w:szCs w:val="24"/>
          <w:lang w:eastAsia="fr-BE"/>
        </w:rPr>
        <w:t xml:space="preserve">worried that a </w:t>
      </w:r>
      <w:r w:rsidR="00C96C6A" w:rsidRPr="00180715">
        <w:rPr>
          <w:rFonts w:cs="Times New Roman"/>
          <w:i/>
          <w:szCs w:val="24"/>
          <w:lang w:eastAsia="fr-BE"/>
        </w:rPr>
        <w:t>go</w:t>
      </w:r>
      <w:r w:rsidR="00180715" w:rsidRPr="00180715">
        <w:rPr>
          <w:rFonts w:cs="Times New Roman"/>
          <w:i/>
          <w:szCs w:val="24"/>
          <w:lang w:eastAsia="fr-BE"/>
        </w:rPr>
        <w:t>u</w:t>
      </w:r>
      <w:r w:rsidR="00C96C6A" w:rsidRPr="00180715">
        <w:rPr>
          <w:rFonts w:cs="Times New Roman"/>
          <w:i/>
          <w:szCs w:val="24"/>
          <w:lang w:eastAsia="fr-BE"/>
        </w:rPr>
        <w:t>vern</w:t>
      </w:r>
      <w:r w:rsidR="00180715">
        <w:rPr>
          <w:rFonts w:cs="Times New Roman"/>
          <w:i/>
          <w:szCs w:val="24"/>
          <w:lang w:eastAsia="fr-BE"/>
        </w:rPr>
        <w:t>e</w:t>
      </w:r>
      <w:r w:rsidR="00C96C6A" w:rsidRPr="00180715">
        <w:rPr>
          <w:rFonts w:cs="Times New Roman"/>
          <w:i/>
          <w:szCs w:val="24"/>
          <w:lang w:eastAsia="fr-BE"/>
        </w:rPr>
        <w:t>ment éco</w:t>
      </w:r>
      <w:r w:rsidR="00180715" w:rsidRPr="00180715">
        <w:rPr>
          <w:rFonts w:cs="Times New Roman"/>
          <w:i/>
          <w:szCs w:val="24"/>
          <w:lang w:eastAsia="fr-BE"/>
        </w:rPr>
        <w:t>nomique</w:t>
      </w:r>
      <w:r w:rsidRPr="00DF323F">
        <w:rPr>
          <w:rFonts w:cs="Times New Roman"/>
          <w:szCs w:val="24"/>
          <w:lang w:eastAsia="fr-BE"/>
        </w:rPr>
        <w:t xml:space="preserve"> could lead to a “transfer union”, whereby the fiscal resources of core countries would be transferred to the periphery, and create risks of moral hazard (Heipertz &amp; Verdun, 2010). More</w:t>
      </w:r>
      <w:r w:rsidR="00987FC3" w:rsidRPr="00DF323F">
        <w:rPr>
          <w:rFonts w:cs="Times New Roman"/>
          <w:szCs w:val="24"/>
          <w:lang w:eastAsia="fr-BE"/>
        </w:rPr>
        <w:t xml:space="preserve">over, </w:t>
      </w:r>
      <w:r w:rsidRPr="00DF323F">
        <w:rPr>
          <w:rFonts w:cs="Times New Roman"/>
          <w:szCs w:val="24"/>
          <w:lang w:eastAsia="fr-BE"/>
        </w:rPr>
        <w:t xml:space="preserve">they feared that the importation of the German credibility </w:t>
      </w:r>
      <w:r w:rsidR="00F233B8">
        <w:rPr>
          <w:rFonts w:cs="Times New Roman"/>
          <w:szCs w:val="24"/>
          <w:lang w:eastAsia="fr-BE"/>
        </w:rPr>
        <w:t>at the EMU level</w:t>
      </w:r>
      <w:r w:rsidRPr="00DF323F">
        <w:rPr>
          <w:rFonts w:cs="Times New Roman"/>
          <w:szCs w:val="24"/>
          <w:lang w:eastAsia="fr-BE"/>
        </w:rPr>
        <w:t xml:space="preserve"> would lower the </w:t>
      </w:r>
      <w:r w:rsidR="00F233B8">
        <w:rPr>
          <w:rFonts w:cs="Times New Roman"/>
          <w:szCs w:val="24"/>
          <w:lang w:eastAsia="fr-BE"/>
        </w:rPr>
        <w:t>national</w:t>
      </w:r>
      <w:r w:rsidR="00F233B8" w:rsidRPr="00DF323F">
        <w:rPr>
          <w:rFonts w:cs="Times New Roman"/>
          <w:szCs w:val="24"/>
          <w:lang w:eastAsia="fr-BE"/>
        </w:rPr>
        <w:t xml:space="preserve"> </w:t>
      </w:r>
      <w:r w:rsidRPr="00DF323F">
        <w:rPr>
          <w:rFonts w:cs="Times New Roman"/>
          <w:szCs w:val="24"/>
          <w:lang w:eastAsia="fr-BE"/>
        </w:rPr>
        <w:t xml:space="preserve">interest rates </w:t>
      </w:r>
      <w:r w:rsidR="00987FC3" w:rsidRPr="00DF323F">
        <w:rPr>
          <w:rFonts w:cs="Times New Roman"/>
          <w:szCs w:val="24"/>
          <w:lang w:eastAsia="fr-BE"/>
        </w:rPr>
        <w:t xml:space="preserve">and allow fiscal profligacy in the euro area periphery (Schoeller &amp; Karlsson, 2021). Fiscal profligacy is associated with German elites’ historical concerns about inflation, which is </w:t>
      </w:r>
      <w:r w:rsidRPr="00DF323F">
        <w:rPr>
          <w:rFonts w:cs="Times New Roman"/>
          <w:szCs w:val="24"/>
          <w:lang w:eastAsia="fr-BE"/>
        </w:rPr>
        <w:t xml:space="preserve">often wrongly associated with </w:t>
      </w:r>
      <w:r w:rsidR="00987FC3" w:rsidRPr="00DF323F">
        <w:rPr>
          <w:rFonts w:cs="Times New Roman"/>
          <w:szCs w:val="24"/>
          <w:lang w:eastAsia="fr-BE"/>
        </w:rPr>
        <w:t xml:space="preserve">the rise in power of the Nazi regime </w:t>
      </w:r>
      <w:r w:rsidRPr="00DF323F">
        <w:rPr>
          <w:rFonts w:cs="Times New Roman"/>
          <w:szCs w:val="24"/>
          <w:lang w:eastAsia="fr-BE"/>
        </w:rPr>
        <w:t>(Haffert et al</w:t>
      </w:r>
      <w:r w:rsidR="00800BA6">
        <w:rPr>
          <w:rFonts w:cs="Times New Roman"/>
          <w:szCs w:val="24"/>
          <w:lang w:eastAsia="fr-BE"/>
        </w:rPr>
        <w:t>.</w:t>
      </w:r>
      <w:r w:rsidRPr="00DF323F">
        <w:rPr>
          <w:rFonts w:cs="Times New Roman"/>
          <w:szCs w:val="24"/>
          <w:lang w:eastAsia="fr-BE"/>
        </w:rPr>
        <w:t xml:space="preserve">, 2019). </w:t>
      </w:r>
      <w:r w:rsidR="00987FC3" w:rsidRPr="00DF323F">
        <w:rPr>
          <w:rFonts w:cs="Times New Roman"/>
          <w:szCs w:val="24"/>
          <w:lang w:eastAsia="fr-BE"/>
        </w:rPr>
        <w:t>Furthermore</w:t>
      </w:r>
      <w:r w:rsidRPr="00DF323F">
        <w:rPr>
          <w:rFonts w:cs="Times New Roman"/>
          <w:szCs w:val="24"/>
          <w:lang w:eastAsia="fr-BE"/>
        </w:rPr>
        <w:t xml:space="preserve">, in a judgement on the Maastricht Treaty, the </w:t>
      </w:r>
      <w:r w:rsidR="00987FC3" w:rsidRPr="00DF323F">
        <w:rPr>
          <w:rFonts w:cs="Times New Roman"/>
          <w:szCs w:val="24"/>
          <w:lang w:eastAsia="fr-BE"/>
        </w:rPr>
        <w:t xml:space="preserve">German </w:t>
      </w:r>
      <w:r w:rsidRPr="00DF323F">
        <w:rPr>
          <w:rFonts w:cs="Times New Roman"/>
          <w:szCs w:val="24"/>
          <w:lang w:eastAsia="fr-BE"/>
        </w:rPr>
        <w:t xml:space="preserve">Federal Constitutional Court underlined that </w:t>
      </w:r>
      <w:r w:rsidR="00987FC3" w:rsidRPr="00DF323F">
        <w:rPr>
          <w:rFonts w:cs="Times New Roman"/>
          <w:szCs w:val="24"/>
          <w:lang w:eastAsia="fr-BE"/>
        </w:rPr>
        <w:t xml:space="preserve">the </w:t>
      </w:r>
      <w:r w:rsidRPr="00DF323F">
        <w:rPr>
          <w:rFonts w:cs="Times New Roman"/>
          <w:szCs w:val="24"/>
          <w:lang w:eastAsia="fr-BE"/>
        </w:rPr>
        <w:t xml:space="preserve">transfer of macroeconomic competencies at the supranational level creates a democratic risk because a European demos is lacking (Weiler, 1995). This ruling did not threaten the creation of the euro but it set legal limits for further integration, in particular the creation of a supranational fiscal authority, which constrained the room of manoeuvre of </w:t>
      </w:r>
      <w:r w:rsidR="00C54ED2">
        <w:rPr>
          <w:rFonts w:cs="Times New Roman"/>
          <w:szCs w:val="24"/>
          <w:lang w:eastAsia="fr-BE"/>
        </w:rPr>
        <w:t>German policymakers during the e</w:t>
      </w:r>
      <w:r w:rsidRPr="00DF323F">
        <w:rPr>
          <w:rFonts w:cs="Times New Roman"/>
          <w:szCs w:val="24"/>
          <w:lang w:eastAsia="fr-BE"/>
        </w:rPr>
        <w:t>uro</w:t>
      </w:r>
      <w:r w:rsidR="00987FC3" w:rsidRPr="00DF323F">
        <w:rPr>
          <w:rFonts w:cs="Times New Roman"/>
          <w:szCs w:val="24"/>
          <w:lang w:eastAsia="fr-BE"/>
        </w:rPr>
        <w:t xml:space="preserve"> crisis (cf. section 2)</w:t>
      </w:r>
      <w:r w:rsidRPr="00DF323F">
        <w:rPr>
          <w:rFonts w:cs="Times New Roman"/>
          <w:szCs w:val="24"/>
          <w:lang w:eastAsia="fr-BE"/>
        </w:rPr>
        <w:t>. Fin</w:t>
      </w:r>
      <w:r w:rsidR="008534CF" w:rsidRPr="00DF323F">
        <w:rPr>
          <w:rFonts w:cs="Times New Roman"/>
          <w:szCs w:val="24"/>
          <w:lang w:eastAsia="fr-BE"/>
        </w:rPr>
        <w:t>ally, the diversity of welfare s</w:t>
      </w:r>
      <w:r w:rsidRPr="00DF323F">
        <w:rPr>
          <w:rFonts w:cs="Times New Roman"/>
          <w:szCs w:val="24"/>
          <w:lang w:eastAsia="fr-BE"/>
        </w:rPr>
        <w:t>tates in the EMU prevented a significant degree of social policy integration at the supranational level (Scharpf, 1997). </w:t>
      </w:r>
    </w:p>
    <w:p w14:paraId="34BCA8FC" w14:textId="18CA2539" w:rsidR="00DF427A" w:rsidRPr="00DF323F" w:rsidRDefault="00DF427A" w:rsidP="007E0B7F">
      <w:pPr>
        <w:jc w:val="both"/>
        <w:rPr>
          <w:rFonts w:cs="Times New Roman"/>
          <w:szCs w:val="24"/>
          <w:lang w:eastAsia="fr-BE"/>
        </w:rPr>
      </w:pPr>
      <w:r w:rsidRPr="00DF323F">
        <w:rPr>
          <w:rFonts w:cs="Times New Roman"/>
          <w:szCs w:val="24"/>
          <w:lang w:eastAsia="fr-BE"/>
        </w:rPr>
        <w:t xml:space="preserve">This </w:t>
      </w:r>
      <w:r w:rsidR="00987FC3" w:rsidRPr="00DF323F">
        <w:rPr>
          <w:rFonts w:cs="Times New Roman"/>
          <w:szCs w:val="24"/>
          <w:lang w:eastAsia="fr-BE"/>
        </w:rPr>
        <w:t xml:space="preserve">opposition </w:t>
      </w:r>
      <w:r w:rsidRPr="00DF323F">
        <w:rPr>
          <w:rFonts w:cs="Times New Roman"/>
          <w:szCs w:val="24"/>
          <w:lang w:eastAsia="fr-BE"/>
        </w:rPr>
        <w:t>shifted the debate about European economic governance, which moved fr</w:t>
      </w:r>
      <w:r w:rsidR="00180715">
        <w:rPr>
          <w:rFonts w:cs="Times New Roman"/>
          <w:szCs w:val="24"/>
          <w:lang w:eastAsia="fr-BE"/>
        </w:rPr>
        <w:t xml:space="preserve">om the </w:t>
      </w:r>
      <w:r w:rsidR="00180715" w:rsidRPr="00180715">
        <w:rPr>
          <w:rFonts w:cs="Times New Roman"/>
          <w:i/>
          <w:szCs w:val="24"/>
          <w:lang w:eastAsia="fr-BE"/>
        </w:rPr>
        <w:t>gouvernement économique</w:t>
      </w:r>
      <w:r w:rsidRPr="00DF323F">
        <w:rPr>
          <w:rFonts w:cs="Times New Roman"/>
          <w:szCs w:val="24"/>
          <w:lang w:eastAsia="fr-BE"/>
        </w:rPr>
        <w:t xml:space="preserve"> </w:t>
      </w:r>
      <w:r w:rsidR="002D1EA3" w:rsidRPr="00DF323F">
        <w:rPr>
          <w:rFonts w:cs="Times New Roman"/>
          <w:szCs w:val="24"/>
          <w:lang w:eastAsia="fr-BE"/>
        </w:rPr>
        <w:t>proposal</w:t>
      </w:r>
      <w:r w:rsidRPr="00DF323F">
        <w:rPr>
          <w:rFonts w:cs="Times New Roman"/>
          <w:szCs w:val="24"/>
          <w:lang w:eastAsia="fr-BE"/>
        </w:rPr>
        <w:t xml:space="preserve"> to a regime of fiscal rules, enshrined within the Stability Pact in 1997. The </w:t>
      </w:r>
      <w:r w:rsidR="002D1EA3" w:rsidRPr="00DF323F">
        <w:rPr>
          <w:rFonts w:cs="Times New Roman"/>
          <w:szCs w:val="24"/>
          <w:lang w:eastAsia="fr-BE"/>
        </w:rPr>
        <w:t>Pact</w:t>
      </w:r>
      <w:r w:rsidRPr="00DF323F">
        <w:rPr>
          <w:rFonts w:cs="Times New Roman"/>
          <w:szCs w:val="24"/>
          <w:lang w:eastAsia="fr-BE"/>
        </w:rPr>
        <w:t xml:space="preserve"> imposed debt and deficits’ limits for euro</w:t>
      </w:r>
      <w:r w:rsidR="008534CF" w:rsidRPr="00DF323F">
        <w:rPr>
          <w:rFonts w:cs="Times New Roman"/>
          <w:szCs w:val="24"/>
          <w:lang w:eastAsia="fr-BE"/>
        </w:rPr>
        <w:t xml:space="preserve"> area member s</w:t>
      </w:r>
      <w:r w:rsidRPr="00DF323F">
        <w:rPr>
          <w:rFonts w:cs="Times New Roman"/>
          <w:szCs w:val="24"/>
          <w:lang w:eastAsia="fr-BE"/>
        </w:rPr>
        <w:t xml:space="preserve">tates and granted </w:t>
      </w:r>
      <w:r w:rsidR="002D1EA3" w:rsidRPr="00DF323F">
        <w:rPr>
          <w:rFonts w:cs="Times New Roman"/>
          <w:szCs w:val="24"/>
          <w:lang w:eastAsia="fr-BE"/>
        </w:rPr>
        <w:t xml:space="preserve">limited </w:t>
      </w:r>
      <w:r w:rsidRPr="00DF323F">
        <w:rPr>
          <w:rFonts w:cs="Times New Roman"/>
          <w:szCs w:val="24"/>
          <w:lang w:eastAsia="fr-BE"/>
        </w:rPr>
        <w:t>sanction powers to the Europe</w:t>
      </w:r>
      <w:r w:rsidR="00F233B8">
        <w:rPr>
          <w:rFonts w:cs="Times New Roman"/>
          <w:szCs w:val="24"/>
          <w:lang w:eastAsia="fr-BE"/>
        </w:rPr>
        <w:t>an</w:t>
      </w:r>
      <w:r w:rsidRPr="00DF323F">
        <w:rPr>
          <w:rFonts w:cs="Times New Roman"/>
          <w:szCs w:val="24"/>
          <w:lang w:eastAsia="fr-BE"/>
        </w:rPr>
        <w:t xml:space="preserve"> Commission. </w:t>
      </w:r>
      <w:r w:rsidR="002D1EA3" w:rsidRPr="00DF323F">
        <w:rPr>
          <w:rFonts w:cs="Times New Roman"/>
          <w:szCs w:val="24"/>
          <w:lang w:eastAsia="fr-BE"/>
        </w:rPr>
        <w:t>Then</w:t>
      </w:r>
      <w:r w:rsidRPr="00DF323F">
        <w:rPr>
          <w:rFonts w:cs="Times New Roman"/>
          <w:szCs w:val="24"/>
          <w:lang w:eastAsia="fr-BE"/>
        </w:rPr>
        <w:t xml:space="preserve">, the newly elected French Prime Minister </w:t>
      </w:r>
      <w:r w:rsidR="00466589">
        <w:rPr>
          <w:rFonts w:cs="Times New Roman"/>
          <w:szCs w:val="24"/>
          <w:lang w:eastAsia="fr-BE"/>
        </w:rPr>
        <w:t xml:space="preserve">Lionel </w:t>
      </w:r>
      <w:r w:rsidRPr="00DF323F">
        <w:rPr>
          <w:rFonts w:cs="Times New Roman"/>
          <w:szCs w:val="24"/>
          <w:lang w:eastAsia="fr-BE"/>
        </w:rPr>
        <w:t xml:space="preserve">Jospin </w:t>
      </w:r>
      <w:r w:rsidR="002D1EA3" w:rsidRPr="00DF323F">
        <w:rPr>
          <w:rFonts w:cs="Times New Roman"/>
          <w:szCs w:val="24"/>
          <w:lang w:eastAsia="fr-BE"/>
        </w:rPr>
        <w:t>asked to</w:t>
      </w:r>
      <w:r w:rsidRPr="00DF323F">
        <w:rPr>
          <w:rFonts w:cs="Times New Roman"/>
          <w:szCs w:val="24"/>
          <w:lang w:eastAsia="fr-BE"/>
        </w:rPr>
        <w:t xml:space="preserve"> </w:t>
      </w:r>
      <w:r w:rsidR="002D1EA3" w:rsidRPr="00DF323F">
        <w:rPr>
          <w:rFonts w:cs="Times New Roman"/>
          <w:szCs w:val="24"/>
          <w:lang w:eastAsia="fr-BE"/>
        </w:rPr>
        <w:t xml:space="preserve">reopen the negotiations </w:t>
      </w:r>
      <w:r w:rsidRPr="00DF323F">
        <w:rPr>
          <w:rFonts w:cs="Times New Roman"/>
          <w:szCs w:val="24"/>
          <w:lang w:eastAsia="fr-BE"/>
        </w:rPr>
        <w:t>for integrating</w:t>
      </w:r>
      <w:r w:rsidR="00180715">
        <w:rPr>
          <w:rFonts w:cs="Times New Roman"/>
          <w:szCs w:val="24"/>
          <w:lang w:eastAsia="fr-BE"/>
        </w:rPr>
        <w:t xml:space="preserve"> growth-fostering measures and the </w:t>
      </w:r>
      <w:r w:rsidR="00180715" w:rsidRPr="00180715">
        <w:rPr>
          <w:rFonts w:cs="Times New Roman"/>
          <w:i/>
          <w:szCs w:val="24"/>
          <w:lang w:eastAsia="fr-BE"/>
        </w:rPr>
        <w:t>gouvernement économique</w:t>
      </w:r>
      <w:r w:rsidR="002D1EA3" w:rsidRPr="00DF323F">
        <w:rPr>
          <w:rFonts w:cs="Times New Roman"/>
          <w:szCs w:val="24"/>
          <w:lang w:eastAsia="fr-BE"/>
        </w:rPr>
        <w:t xml:space="preserve"> in the agreement</w:t>
      </w:r>
      <w:r w:rsidRPr="00DF323F">
        <w:rPr>
          <w:rFonts w:cs="Times New Roman"/>
          <w:szCs w:val="24"/>
          <w:lang w:eastAsia="fr-BE"/>
        </w:rPr>
        <w:t>. Despite Jospin’s attempts, he only obtained the addition of the word “growth” to the title of the pact, which became known as the Stability and Growth Pact (Blyth</w:t>
      </w:r>
      <w:r w:rsidR="00800BA6">
        <w:rPr>
          <w:rFonts w:cs="Times New Roman"/>
          <w:szCs w:val="24"/>
          <w:lang w:eastAsia="fr-BE"/>
        </w:rPr>
        <w:t>,</w:t>
      </w:r>
      <w:r w:rsidRPr="00DF323F">
        <w:rPr>
          <w:rFonts w:cs="Times New Roman"/>
          <w:szCs w:val="24"/>
          <w:lang w:eastAsia="fr-BE"/>
        </w:rPr>
        <w:t xml:space="preserve"> 2013). More generally, the </w:t>
      </w:r>
      <w:r w:rsidR="002D1EA3" w:rsidRPr="00DF323F">
        <w:rPr>
          <w:rFonts w:cs="Times New Roman"/>
          <w:szCs w:val="24"/>
          <w:lang w:eastAsia="fr-BE"/>
        </w:rPr>
        <w:t>pre-eminence</w:t>
      </w:r>
      <w:r w:rsidRPr="00DF323F">
        <w:rPr>
          <w:rFonts w:cs="Times New Roman"/>
          <w:szCs w:val="24"/>
          <w:lang w:eastAsia="fr-BE"/>
        </w:rPr>
        <w:t xml:space="preserve"> of concerns over fiscal rectitude and budgetary sustainability rather than the lack of counter-cyclical macroeconomic capacities were in line with the policy recommendations of dominant economic circles in Europe </w:t>
      </w:r>
      <w:r w:rsidR="002D1EA3" w:rsidRPr="00DF323F">
        <w:rPr>
          <w:rFonts w:cs="Times New Roman"/>
          <w:szCs w:val="24"/>
          <w:lang w:eastAsia="fr-BE"/>
        </w:rPr>
        <w:t>and</w:t>
      </w:r>
      <w:r w:rsidRPr="00DF323F">
        <w:rPr>
          <w:rFonts w:cs="Times New Roman"/>
          <w:szCs w:val="24"/>
          <w:lang w:eastAsia="fr-BE"/>
        </w:rPr>
        <w:t xml:space="preserve"> North America (Helgad</w:t>
      </w:r>
      <w:r w:rsidR="004E4790" w:rsidRPr="0061218A">
        <w:rPr>
          <w:rFonts w:eastAsia="Times New Roman" w:cs="Times New Roman"/>
          <w:szCs w:val="24"/>
          <w:lang w:val="en-US" w:eastAsia="fr-BE"/>
        </w:rPr>
        <w:t>ó</w:t>
      </w:r>
      <w:r w:rsidRPr="00DF323F">
        <w:rPr>
          <w:rFonts w:cs="Times New Roman"/>
          <w:szCs w:val="24"/>
          <w:lang w:eastAsia="fr-BE"/>
        </w:rPr>
        <w:t xml:space="preserve">ttir, 2016). </w:t>
      </w:r>
      <w:r w:rsidR="00F100B5">
        <w:rPr>
          <w:rFonts w:cs="Times New Roman"/>
          <w:szCs w:val="24"/>
          <w:lang w:eastAsia="fr-BE"/>
        </w:rPr>
        <w:t xml:space="preserve">In the same vein, the compatibility between a uniform set of rules at the European level and the different growths models in the European economy was </w:t>
      </w:r>
      <w:r w:rsidR="00414282">
        <w:rPr>
          <w:rFonts w:cs="Times New Roman"/>
          <w:szCs w:val="24"/>
          <w:lang w:eastAsia="fr-BE"/>
        </w:rPr>
        <w:t xml:space="preserve">overlooked (Johnston </w:t>
      </w:r>
      <w:r w:rsidR="00A150E3">
        <w:rPr>
          <w:rFonts w:cs="Times New Roman"/>
          <w:szCs w:val="24"/>
          <w:lang w:eastAsia="fr-BE"/>
        </w:rPr>
        <w:t>&amp;</w:t>
      </w:r>
      <w:r w:rsidR="00414282">
        <w:rPr>
          <w:rFonts w:cs="Times New Roman"/>
          <w:szCs w:val="24"/>
          <w:lang w:eastAsia="fr-BE"/>
        </w:rPr>
        <w:t xml:space="preserve"> Regan, 2018). In particular, EMU</w:t>
      </w:r>
      <w:r w:rsidR="00466589">
        <w:rPr>
          <w:rFonts w:cs="Times New Roman"/>
          <w:szCs w:val="24"/>
          <w:lang w:eastAsia="fr-BE"/>
        </w:rPr>
        <w:t xml:space="preserve"> fiscal</w:t>
      </w:r>
      <w:r w:rsidR="00414282">
        <w:rPr>
          <w:rFonts w:cs="Times New Roman"/>
          <w:szCs w:val="24"/>
          <w:lang w:eastAsia="fr-BE"/>
        </w:rPr>
        <w:t xml:space="preserve"> rules were more suited for (northern) countries relying on price competiveness and strong exports to generate growth than </w:t>
      </w:r>
      <w:r w:rsidR="00C54ED2">
        <w:rPr>
          <w:rFonts w:cs="Times New Roman"/>
          <w:szCs w:val="24"/>
          <w:lang w:eastAsia="fr-BE"/>
        </w:rPr>
        <w:t>(s</w:t>
      </w:r>
      <w:r w:rsidR="00414282">
        <w:rPr>
          <w:rFonts w:cs="Times New Roman"/>
          <w:szCs w:val="24"/>
          <w:lang w:eastAsia="fr-BE"/>
        </w:rPr>
        <w:t>outhern</w:t>
      </w:r>
      <w:r w:rsidR="00C54ED2">
        <w:rPr>
          <w:rFonts w:cs="Times New Roman"/>
          <w:szCs w:val="24"/>
          <w:lang w:eastAsia="fr-BE"/>
        </w:rPr>
        <w:t>)</w:t>
      </w:r>
      <w:r w:rsidR="00414282">
        <w:rPr>
          <w:rFonts w:cs="Times New Roman"/>
          <w:szCs w:val="24"/>
          <w:lang w:eastAsia="fr-BE"/>
        </w:rPr>
        <w:t xml:space="preserve"> growth models that rely on debt accumulation and domestic consumption. </w:t>
      </w:r>
      <w:r w:rsidRPr="00DF323F">
        <w:rPr>
          <w:rFonts w:cs="Times New Roman"/>
          <w:szCs w:val="24"/>
          <w:lang w:eastAsia="fr-BE"/>
        </w:rPr>
        <w:t>In sum, the battle of ideas in the 1990s led to an asymmetric EMU whereby monetary policy is delegated to an autonomous supranational central bank while economic coordination is limited to an intergovernmenta</w:t>
      </w:r>
      <w:r w:rsidR="002D1EA3" w:rsidRPr="00DF323F">
        <w:rPr>
          <w:rFonts w:cs="Times New Roman"/>
          <w:szCs w:val="24"/>
          <w:lang w:eastAsia="fr-BE"/>
        </w:rPr>
        <w:t>l regime of fiscal discipline.</w:t>
      </w:r>
    </w:p>
    <w:p w14:paraId="44ABA862" w14:textId="79D4A896" w:rsidR="00DF427A" w:rsidRPr="00DF323F" w:rsidRDefault="00DF427A" w:rsidP="007E0B7F">
      <w:pPr>
        <w:jc w:val="both"/>
        <w:rPr>
          <w:rFonts w:cs="Times New Roman"/>
          <w:szCs w:val="24"/>
          <w:lang w:eastAsia="fr-BE"/>
        </w:rPr>
      </w:pPr>
      <w:r w:rsidRPr="00DF323F">
        <w:rPr>
          <w:rFonts w:cs="Times New Roman"/>
          <w:szCs w:val="24"/>
          <w:lang w:eastAsia="fr-BE"/>
        </w:rPr>
        <w:t>Against this background, the European institutions promoted less controversial instruments to break the deadlock on fiscal integration and achieve economic convergence. More precisely, the Commission and the ECB believed that the deepening of financial integration would help to correct imbalances between the core and the periphery of the currency area, and thus foster macroeconomic convergence (Dietsch et al</w:t>
      </w:r>
      <w:r w:rsidR="00800BA6">
        <w:rPr>
          <w:rFonts w:cs="Times New Roman"/>
          <w:szCs w:val="24"/>
          <w:lang w:eastAsia="fr-BE"/>
        </w:rPr>
        <w:t>.</w:t>
      </w:r>
      <w:r w:rsidRPr="00DF323F">
        <w:rPr>
          <w:rFonts w:cs="Times New Roman"/>
          <w:szCs w:val="24"/>
          <w:lang w:eastAsia="fr-BE"/>
        </w:rPr>
        <w:t xml:space="preserve">, 2018). The underlying idea was that capital would flow from the centre to the periphery of the </w:t>
      </w:r>
      <w:r w:rsidR="00C54ED2">
        <w:rPr>
          <w:rFonts w:cs="Times New Roman"/>
          <w:szCs w:val="24"/>
          <w:lang w:eastAsia="fr-BE"/>
        </w:rPr>
        <w:t>euro area</w:t>
      </w:r>
      <w:r w:rsidRPr="00DF323F">
        <w:rPr>
          <w:rFonts w:cs="Times New Roman"/>
          <w:szCs w:val="24"/>
          <w:lang w:eastAsia="fr-BE"/>
        </w:rPr>
        <w:t xml:space="preserve"> and, in turn, boost growth and align bus</w:t>
      </w:r>
      <w:r w:rsidR="008534CF" w:rsidRPr="00DF323F">
        <w:rPr>
          <w:rFonts w:cs="Times New Roman"/>
          <w:szCs w:val="24"/>
          <w:lang w:eastAsia="fr-BE"/>
        </w:rPr>
        <w:t xml:space="preserve">iness cycles between </w:t>
      </w:r>
      <w:r w:rsidR="000246B7">
        <w:rPr>
          <w:rFonts w:cs="Times New Roman"/>
          <w:szCs w:val="24"/>
          <w:lang w:eastAsia="fr-BE"/>
        </w:rPr>
        <w:t>e</w:t>
      </w:r>
      <w:r w:rsidR="008534CF" w:rsidRPr="00DF323F">
        <w:rPr>
          <w:rFonts w:cs="Times New Roman"/>
          <w:szCs w:val="24"/>
          <w:lang w:eastAsia="fr-BE"/>
        </w:rPr>
        <w:t>uro area s</w:t>
      </w:r>
      <w:r w:rsidRPr="00DF323F">
        <w:rPr>
          <w:rFonts w:cs="Times New Roman"/>
          <w:szCs w:val="24"/>
          <w:lang w:eastAsia="fr-BE"/>
        </w:rPr>
        <w:t xml:space="preserve">tates. </w:t>
      </w:r>
      <w:r w:rsidR="002D1EA3" w:rsidRPr="00DF323F">
        <w:rPr>
          <w:rFonts w:cs="Times New Roman"/>
          <w:szCs w:val="24"/>
          <w:lang w:eastAsia="fr-BE"/>
        </w:rPr>
        <w:t>In fact, t</w:t>
      </w:r>
      <w:r w:rsidRPr="00DF323F">
        <w:rPr>
          <w:rFonts w:cs="Times New Roman"/>
          <w:szCs w:val="24"/>
          <w:lang w:eastAsia="fr-BE"/>
        </w:rPr>
        <w:t xml:space="preserve">he lack of alignment of business cycles made it impossible for the ECB to set an appropriate interest rate for the various economic </w:t>
      </w:r>
      <w:r w:rsidR="00F233B8" w:rsidRPr="00DF323F">
        <w:rPr>
          <w:rFonts w:cs="Times New Roman"/>
          <w:szCs w:val="24"/>
          <w:lang w:eastAsia="fr-BE"/>
        </w:rPr>
        <w:t>s</w:t>
      </w:r>
      <w:r w:rsidR="00F233B8">
        <w:rPr>
          <w:rFonts w:cs="Times New Roman"/>
          <w:szCs w:val="24"/>
          <w:lang w:eastAsia="fr-BE"/>
        </w:rPr>
        <w:t xml:space="preserve">ituations </w:t>
      </w:r>
      <w:r w:rsidRPr="00DF323F">
        <w:rPr>
          <w:rFonts w:cs="Times New Roman"/>
          <w:szCs w:val="24"/>
          <w:lang w:eastAsia="fr-BE"/>
        </w:rPr>
        <w:t>of member states: think, for example, about booming Ireland and stagnant Germany in the early 2000s. As with many other areas of European economic integration (Scharpf</w:t>
      </w:r>
      <w:r w:rsidR="00800BA6">
        <w:rPr>
          <w:rFonts w:cs="Times New Roman"/>
          <w:szCs w:val="24"/>
          <w:lang w:eastAsia="fr-BE"/>
        </w:rPr>
        <w:t>,</w:t>
      </w:r>
      <w:r w:rsidRPr="00DF323F">
        <w:rPr>
          <w:rFonts w:cs="Times New Roman"/>
          <w:szCs w:val="24"/>
          <w:lang w:eastAsia="fr-BE"/>
        </w:rPr>
        <w:t xml:space="preserve"> 1997), financial integration meant that different market regulations were liberalised similarly. </w:t>
      </w:r>
      <w:r w:rsidR="002D1EA3" w:rsidRPr="00DF323F">
        <w:rPr>
          <w:rFonts w:cs="Times New Roman"/>
          <w:szCs w:val="24"/>
          <w:lang w:eastAsia="fr-BE"/>
        </w:rPr>
        <w:t>In addition</w:t>
      </w:r>
      <w:r w:rsidRPr="00DF323F">
        <w:rPr>
          <w:rFonts w:cs="Times New Roman"/>
          <w:szCs w:val="24"/>
          <w:lang w:eastAsia="fr-BE"/>
        </w:rPr>
        <w:t>, the cross-border activities of the large universal banks from core euro countries were encouraged (Gabor</w:t>
      </w:r>
      <w:r w:rsidR="005E580A" w:rsidRPr="00DF323F">
        <w:rPr>
          <w:rFonts w:cs="Times New Roman"/>
          <w:szCs w:val="24"/>
          <w:lang w:eastAsia="fr-BE"/>
        </w:rPr>
        <w:t xml:space="preserve"> &amp; Ban</w:t>
      </w:r>
      <w:r w:rsidR="00800BA6">
        <w:rPr>
          <w:rFonts w:cs="Times New Roman"/>
          <w:szCs w:val="24"/>
          <w:lang w:eastAsia="fr-BE"/>
        </w:rPr>
        <w:t>,</w:t>
      </w:r>
      <w:r w:rsidR="005E580A" w:rsidRPr="00DF323F">
        <w:rPr>
          <w:rFonts w:cs="Times New Roman"/>
          <w:szCs w:val="24"/>
          <w:lang w:eastAsia="fr-BE"/>
        </w:rPr>
        <w:t xml:space="preserve"> </w:t>
      </w:r>
      <w:r w:rsidRPr="00DF323F">
        <w:rPr>
          <w:rFonts w:cs="Times New Roman"/>
          <w:szCs w:val="24"/>
          <w:lang w:eastAsia="fr-BE"/>
        </w:rPr>
        <w:t xml:space="preserve">2016). At first sight, this strategy of financial integration was a success: lending from the core to periphery rose by 350% between 1999 and 2009 and the sovereign interest rates of </w:t>
      </w:r>
      <w:r w:rsidR="002D1EA3" w:rsidRPr="00DF323F">
        <w:rPr>
          <w:rFonts w:cs="Times New Roman"/>
          <w:szCs w:val="24"/>
          <w:lang w:eastAsia="fr-BE"/>
        </w:rPr>
        <w:t xml:space="preserve">peripheral </w:t>
      </w:r>
      <w:r w:rsidRPr="00DF323F">
        <w:rPr>
          <w:rFonts w:cs="Times New Roman"/>
          <w:szCs w:val="24"/>
          <w:lang w:eastAsia="fr-BE"/>
        </w:rPr>
        <w:t xml:space="preserve">euro states converged on Germany (Baldwin &amp; Giavazzi, 2015). However, this strategy had two important side effects. On the one hand, capital inflows were not </w:t>
      </w:r>
      <w:r w:rsidR="00F233B8">
        <w:rPr>
          <w:rFonts w:cs="Times New Roman"/>
          <w:szCs w:val="24"/>
          <w:lang w:eastAsia="fr-BE"/>
        </w:rPr>
        <w:t xml:space="preserve">always </w:t>
      </w:r>
      <w:r w:rsidRPr="00DF323F">
        <w:rPr>
          <w:rFonts w:cs="Times New Roman"/>
          <w:szCs w:val="24"/>
          <w:lang w:eastAsia="fr-BE"/>
        </w:rPr>
        <w:t>directed towards productive investments, but, rather, fuelled speculative bubbles in the euro periphery. On the other hand, the risky but lucrative investment strategies of the</w:t>
      </w:r>
      <w:r w:rsidR="00F233B8">
        <w:rPr>
          <w:rFonts w:cs="Times New Roman"/>
          <w:szCs w:val="24"/>
          <w:lang w:eastAsia="fr-BE"/>
        </w:rPr>
        <w:t xml:space="preserve"> core </w:t>
      </w:r>
      <w:r w:rsidRPr="00DF323F">
        <w:rPr>
          <w:rFonts w:cs="Times New Roman"/>
          <w:szCs w:val="24"/>
          <w:lang w:eastAsia="fr-BE"/>
        </w:rPr>
        <w:t>euro area financial institutions in the euro periphery and the US subprime market doubled the size of the balance sheets of the banking system between 1999 and 2008, up to the point</w:t>
      </w:r>
      <w:r w:rsidR="00323C27">
        <w:rPr>
          <w:rFonts w:cs="Times New Roman"/>
          <w:szCs w:val="24"/>
          <w:lang w:eastAsia="fr-BE"/>
        </w:rPr>
        <w:t xml:space="preserve"> </w:t>
      </w:r>
      <w:r w:rsidRPr="00DF323F">
        <w:rPr>
          <w:rFonts w:cs="Times New Roman"/>
          <w:szCs w:val="24"/>
          <w:lang w:eastAsia="fr-BE"/>
        </w:rPr>
        <w:t>that many banks became too-big to fail (</w:t>
      </w:r>
      <w:r w:rsidR="005E580A" w:rsidRPr="00DF323F">
        <w:rPr>
          <w:rFonts w:cs="Times New Roman"/>
          <w:szCs w:val="24"/>
          <w:lang w:eastAsia="fr-BE"/>
        </w:rPr>
        <w:t>Gabor &amp; Ban</w:t>
      </w:r>
      <w:r w:rsidR="00323C27">
        <w:rPr>
          <w:rFonts w:cs="Times New Roman"/>
          <w:szCs w:val="24"/>
          <w:lang w:eastAsia="fr-BE"/>
        </w:rPr>
        <w:t>,</w:t>
      </w:r>
      <w:r w:rsidR="005E580A" w:rsidRPr="00DF323F">
        <w:rPr>
          <w:rFonts w:cs="Times New Roman"/>
          <w:szCs w:val="24"/>
          <w:lang w:eastAsia="fr-BE"/>
        </w:rPr>
        <w:t xml:space="preserve"> 2016).</w:t>
      </w:r>
    </w:p>
    <w:p w14:paraId="08679378" w14:textId="2DCE080E" w:rsidR="00DF427A" w:rsidRPr="00DF323F" w:rsidRDefault="00DF427A" w:rsidP="007E0B7F">
      <w:pPr>
        <w:jc w:val="both"/>
        <w:rPr>
          <w:rFonts w:cs="Times New Roman"/>
          <w:szCs w:val="24"/>
          <w:lang w:eastAsia="fr-BE"/>
        </w:rPr>
      </w:pPr>
      <w:r w:rsidRPr="00DF323F">
        <w:rPr>
          <w:rFonts w:cs="Times New Roman"/>
          <w:szCs w:val="24"/>
          <w:lang w:eastAsia="fr-BE"/>
        </w:rPr>
        <w:t xml:space="preserve">In sum, the battle of ideas between different economic paradigms shaped the long process of European economic integration, from the first stages of the common market to the creation of the single currency. The creation of the euro area showed that a compromise was found between different policy options. On the one hand, the prioritisation of monetary integration was in line with the historical preferences of French negotiators, who were also trying to regain economic sovereignty after the 1983 policy turn. On the other hand, the fact that the ECB was modelled following the </w:t>
      </w:r>
      <w:r w:rsidRPr="00180715">
        <w:rPr>
          <w:rFonts w:cs="Times New Roman"/>
          <w:i/>
          <w:szCs w:val="24"/>
          <w:lang w:eastAsia="fr-BE"/>
        </w:rPr>
        <w:t>Bundesbank</w:t>
      </w:r>
      <w:r w:rsidRPr="00DF323F">
        <w:rPr>
          <w:rFonts w:cs="Times New Roman"/>
          <w:szCs w:val="24"/>
          <w:lang w:eastAsia="fr-BE"/>
        </w:rPr>
        <w:t xml:space="preserve"> template and the implementation of a regime of fiscal rules rather </w:t>
      </w:r>
      <w:r w:rsidR="00180715">
        <w:rPr>
          <w:rFonts w:cs="Times New Roman"/>
          <w:szCs w:val="24"/>
          <w:lang w:eastAsia="fr-BE"/>
        </w:rPr>
        <w:t xml:space="preserve">than a </w:t>
      </w:r>
      <w:r w:rsidR="00180715" w:rsidRPr="00180715">
        <w:rPr>
          <w:rFonts w:cs="Times New Roman"/>
          <w:i/>
          <w:szCs w:val="24"/>
          <w:lang w:eastAsia="fr-BE"/>
        </w:rPr>
        <w:t>gouvernement économique</w:t>
      </w:r>
      <w:r w:rsidRPr="00DF323F">
        <w:rPr>
          <w:rFonts w:cs="Times New Roman"/>
          <w:szCs w:val="24"/>
          <w:lang w:eastAsia="fr-BE"/>
        </w:rPr>
        <w:t xml:space="preserve"> clearly shows the preeminence of the German economic model in Europe since the 1980s. In other words, the battle of ideas resulted in an asymmetrical EMU, which was conducive to the build-up of macroeconomic imbalances that unravelled from 2007 onwards. </w:t>
      </w:r>
    </w:p>
    <w:p w14:paraId="08910A3C" w14:textId="70D57ACF" w:rsidR="00DF427A" w:rsidRPr="00DF323F" w:rsidRDefault="00DF427A" w:rsidP="007E0B7F">
      <w:pPr>
        <w:pStyle w:val="Sansinterligne"/>
        <w:spacing w:before="120" w:after="120"/>
        <w:jc w:val="both"/>
        <w:rPr>
          <w:rFonts w:cs="Times New Roman"/>
          <w:b/>
          <w:szCs w:val="24"/>
          <w:lang w:val="en-GB" w:eastAsia="fr-BE"/>
        </w:rPr>
      </w:pPr>
      <w:r w:rsidRPr="00DF323F">
        <w:rPr>
          <w:rFonts w:cs="Times New Roman"/>
          <w:b/>
          <w:szCs w:val="24"/>
          <w:lang w:val="en-GB" w:eastAsia="fr-BE"/>
        </w:rPr>
        <w:t>2</w:t>
      </w:r>
      <w:r w:rsidR="00DF323F">
        <w:rPr>
          <w:rFonts w:cs="Times New Roman"/>
          <w:b/>
          <w:szCs w:val="24"/>
          <w:lang w:val="en-GB" w:eastAsia="fr-BE"/>
        </w:rPr>
        <w:t>.</w:t>
      </w:r>
      <w:r w:rsidRPr="00DF323F">
        <w:rPr>
          <w:rFonts w:cs="Times New Roman"/>
          <w:b/>
          <w:szCs w:val="24"/>
          <w:lang w:val="en-GB" w:eastAsia="fr-BE"/>
        </w:rPr>
        <w:t xml:space="preserve"> </w:t>
      </w:r>
      <w:r w:rsidR="00DF323F">
        <w:rPr>
          <w:rFonts w:cs="Times New Roman"/>
          <w:b/>
          <w:szCs w:val="24"/>
          <w:lang w:val="en-GB" w:eastAsia="fr-BE"/>
        </w:rPr>
        <w:tab/>
      </w:r>
      <w:r w:rsidRPr="00DF323F">
        <w:rPr>
          <w:rFonts w:cs="Times New Roman"/>
          <w:b/>
          <w:szCs w:val="24"/>
          <w:lang w:val="en-GB" w:eastAsia="fr-BE"/>
        </w:rPr>
        <w:t>The euro crisis and the battle of ideas</w:t>
      </w:r>
    </w:p>
    <w:p w14:paraId="3F4256A5" w14:textId="48D559B9" w:rsidR="00DF427A" w:rsidRPr="00DF323F" w:rsidRDefault="00DF323F" w:rsidP="007E0B7F">
      <w:pPr>
        <w:pStyle w:val="Sansinterligne"/>
        <w:spacing w:after="120"/>
        <w:jc w:val="both"/>
        <w:rPr>
          <w:i/>
          <w:lang w:val="en-GB"/>
        </w:rPr>
      </w:pPr>
      <w:r w:rsidRPr="00DF323F">
        <w:rPr>
          <w:i/>
          <w:lang w:val="en-GB"/>
        </w:rPr>
        <w:t>2.</w:t>
      </w:r>
      <w:r w:rsidR="00DF427A" w:rsidRPr="00DF323F">
        <w:rPr>
          <w:i/>
          <w:lang w:val="en-GB"/>
        </w:rPr>
        <w:t xml:space="preserve">1 </w:t>
      </w:r>
      <w:r w:rsidRPr="00DF323F">
        <w:rPr>
          <w:i/>
          <w:lang w:val="en-GB"/>
        </w:rPr>
        <w:tab/>
      </w:r>
      <w:r w:rsidR="00DF427A" w:rsidRPr="00DF323F">
        <w:rPr>
          <w:i/>
          <w:lang w:val="en-GB"/>
        </w:rPr>
        <w:t>Framing the crisis: the ordo-liberal victory</w:t>
      </w:r>
    </w:p>
    <w:p w14:paraId="6F02D048" w14:textId="147F0BE8" w:rsidR="00DF427A" w:rsidRPr="00DF323F" w:rsidRDefault="00DF427A" w:rsidP="007E0B7F">
      <w:pPr>
        <w:pStyle w:val="Sansinterligne"/>
        <w:jc w:val="both"/>
        <w:rPr>
          <w:rFonts w:cs="Times New Roman"/>
          <w:szCs w:val="24"/>
          <w:lang w:val="en-GB" w:eastAsia="fr-BE"/>
        </w:rPr>
      </w:pPr>
      <w:r w:rsidRPr="00DF323F">
        <w:rPr>
          <w:rFonts w:cs="Times New Roman"/>
          <w:szCs w:val="24"/>
          <w:lang w:val="en-GB" w:eastAsia="fr-BE"/>
        </w:rPr>
        <w:t>The first signs of the Global Financial Crisis (GFC) started to materiali</w:t>
      </w:r>
      <w:r w:rsidR="00687874">
        <w:rPr>
          <w:rFonts w:cs="Times New Roman"/>
          <w:szCs w:val="24"/>
          <w:lang w:val="en-GB" w:eastAsia="fr-BE"/>
        </w:rPr>
        <w:t>s</w:t>
      </w:r>
      <w:r w:rsidRPr="00DF323F">
        <w:rPr>
          <w:rFonts w:cs="Times New Roman"/>
          <w:szCs w:val="24"/>
          <w:lang w:val="en-GB" w:eastAsia="fr-BE"/>
        </w:rPr>
        <w:t xml:space="preserve">e in August 2007, when the ECB injected 95 billion of </w:t>
      </w:r>
      <w:r w:rsidR="00D52471" w:rsidRPr="00DF323F">
        <w:rPr>
          <w:rFonts w:cs="Times New Roman"/>
          <w:szCs w:val="24"/>
          <w:lang w:val="en-GB" w:eastAsia="fr-BE"/>
        </w:rPr>
        <w:t>liquidit</w:t>
      </w:r>
      <w:r w:rsidR="00D52471">
        <w:rPr>
          <w:rFonts w:cs="Times New Roman"/>
          <w:szCs w:val="24"/>
          <w:lang w:val="en-GB" w:eastAsia="fr-BE"/>
        </w:rPr>
        <w:t>y</w:t>
      </w:r>
      <w:r w:rsidR="00D52471" w:rsidRPr="00DF323F">
        <w:rPr>
          <w:rFonts w:cs="Times New Roman"/>
          <w:szCs w:val="24"/>
          <w:lang w:val="en-GB" w:eastAsia="fr-BE"/>
        </w:rPr>
        <w:t xml:space="preserve"> </w:t>
      </w:r>
      <w:r w:rsidR="00D52471">
        <w:rPr>
          <w:rFonts w:cs="Times New Roman"/>
          <w:szCs w:val="24"/>
          <w:lang w:val="en-GB" w:eastAsia="fr-BE"/>
        </w:rPr>
        <w:t>into</w:t>
      </w:r>
      <w:r w:rsidR="00D52471" w:rsidRPr="00DF323F">
        <w:rPr>
          <w:rFonts w:cs="Times New Roman"/>
          <w:szCs w:val="24"/>
          <w:lang w:val="en-GB" w:eastAsia="fr-BE"/>
        </w:rPr>
        <w:t xml:space="preserve"> </w:t>
      </w:r>
      <w:r w:rsidRPr="00DF323F">
        <w:rPr>
          <w:rFonts w:cs="Times New Roman"/>
          <w:szCs w:val="24"/>
          <w:lang w:val="en-GB" w:eastAsia="fr-BE"/>
        </w:rPr>
        <w:t xml:space="preserve">the markets after the closure of three BNP Paribas subsidiaries, which were heavily exposed to the </w:t>
      </w:r>
      <w:r w:rsidR="00DD201B">
        <w:rPr>
          <w:rFonts w:cs="Times New Roman"/>
          <w:szCs w:val="24"/>
          <w:lang w:val="en-GB" w:eastAsia="fr-BE"/>
        </w:rPr>
        <w:t xml:space="preserve">US </w:t>
      </w:r>
      <w:r w:rsidRPr="00DF323F">
        <w:rPr>
          <w:rFonts w:cs="Times New Roman"/>
          <w:szCs w:val="24"/>
          <w:lang w:val="en-GB" w:eastAsia="fr-BE"/>
        </w:rPr>
        <w:t xml:space="preserve">subprime market. This event reflected the nodal role played by the European </w:t>
      </w:r>
      <w:r w:rsidR="000246B7">
        <w:rPr>
          <w:rFonts w:cs="Times New Roman"/>
          <w:szCs w:val="24"/>
          <w:lang w:val="en-GB" w:eastAsia="fr-BE"/>
        </w:rPr>
        <w:t>universal banking model</w:t>
      </w:r>
      <w:r w:rsidRPr="00DF323F">
        <w:rPr>
          <w:rFonts w:cs="Times New Roman"/>
          <w:szCs w:val="24"/>
          <w:lang w:val="en-GB" w:eastAsia="fr-BE"/>
        </w:rPr>
        <w:t>, which came to function as a “global hedge fund” in interconnected financial markets (Tooze</w:t>
      </w:r>
      <w:r w:rsidR="00800BA6">
        <w:rPr>
          <w:rFonts w:cs="Times New Roman"/>
          <w:szCs w:val="24"/>
          <w:lang w:val="en-GB" w:eastAsia="fr-BE"/>
        </w:rPr>
        <w:t>,</w:t>
      </w:r>
      <w:r w:rsidRPr="00DF323F">
        <w:rPr>
          <w:rFonts w:cs="Times New Roman"/>
          <w:szCs w:val="24"/>
          <w:lang w:val="en-GB" w:eastAsia="fr-BE"/>
        </w:rPr>
        <w:t xml:space="preserve"> 2018, p.90). The lucrative business strategies of EU banks during the formation of the speculative bubbles brought them to the edge of the abyss when confidence among financial </w:t>
      </w:r>
      <w:r w:rsidR="000246B7">
        <w:rPr>
          <w:rFonts w:cs="Times New Roman"/>
          <w:szCs w:val="24"/>
          <w:lang w:val="en-GB" w:eastAsia="fr-BE"/>
        </w:rPr>
        <w:t xml:space="preserve">market </w:t>
      </w:r>
      <w:r w:rsidRPr="00DF323F">
        <w:rPr>
          <w:rFonts w:cs="Times New Roman"/>
          <w:szCs w:val="24"/>
          <w:lang w:val="en-GB" w:eastAsia="fr-BE"/>
        </w:rPr>
        <w:t>participants evaporated after Lehman Brothers’ bankruptcy</w:t>
      </w:r>
      <w:r w:rsidR="00D52471">
        <w:rPr>
          <w:rFonts w:cs="Times New Roman"/>
          <w:szCs w:val="24"/>
          <w:lang w:val="en-GB" w:eastAsia="fr-BE"/>
        </w:rPr>
        <w:t xml:space="preserve"> in September 2008</w:t>
      </w:r>
      <w:r w:rsidRPr="00DF323F">
        <w:rPr>
          <w:rFonts w:cs="Times New Roman"/>
          <w:szCs w:val="24"/>
          <w:lang w:val="en-GB" w:eastAsia="fr-BE"/>
        </w:rPr>
        <w:t xml:space="preserve"> (Hardie &amp; Howarth</w:t>
      </w:r>
      <w:r w:rsidR="00800BA6">
        <w:rPr>
          <w:rFonts w:cs="Times New Roman"/>
          <w:szCs w:val="24"/>
          <w:lang w:val="en-GB" w:eastAsia="fr-BE"/>
        </w:rPr>
        <w:t>,</w:t>
      </w:r>
      <w:r w:rsidRPr="00DF323F">
        <w:rPr>
          <w:rFonts w:cs="Times New Roman"/>
          <w:szCs w:val="24"/>
          <w:lang w:val="en-GB" w:eastAsia="fr-BE"/>
        </w:rPr>
        <w:t xml:space="preserve"> 2013). To avoid the meltdown of their fragile, interconnected, oversized and overleveraged “too big to fail” banks, EU governments implemented bailout measures between 2007 and 2009. These bail-outs followed an intergovernmental logic and were not coordinated between EU member states; the efficiency of their </w:t>
      </w:r>
      <w:r w:rsidR="00D52471">
        <w:rPr>
          <w:rFonts w:cs="Times New Roman"/>
          <w:szCs w:val="24"/>
          <w:lang w:val="en-GB" w:eastAsia="fr-BE"/>
        </w:rPr>
        <w:t>responses</w:t>
      </w:r>
      <w:r w:rsidR="00D52471" w:rsidRPr="00DF323F">
        <w:rPr>
          <w:rFonts w:cs="Times New Roman"/>
          <w:szCs w:val="24"/>
          <w:lang w:val="en-GB" w:eastAsia="fr-BE"/>
        </w:rPr>
        <w:t xml:space="preserve"> </w:t>
      </w:r>
      <w:r w:rsidRPr="00DF323F">
        <w:rPr>
          <w:rFonts w:cs="Times New Roman"/>
          <w:szCs w:val="24"/>
          <w:lang w:val="en-GB" w:eastAsia="fr-BE"/>
        </w:rPr>
        <w:t xml:space="preserve">varied significantly. The main reason for the lack of a coordinated supranational </w:t>
      </w:r>
      <w:r w:rsidR="00D52471">
        <w:rPr>
          <w:rFonts w:cs="Times New Roman"/>
          <w:szCs w:val="24"/>
          <w:lang w:val="en-GB" w:eastAsia="fr-BE"/>
        </w:rPr>
        <w:t>response</w:t>
      </w:r>
      <w:r w:rsidR="00D52471" w:rsidRPr="00DF323F">
        <w:rPr>
          <w:rFonts w:cs="Times New Roman"/>
          <w:szCs w:val="24"/>
          <w:lang w:val="en-GB" w:eastAsia="fr-BE"/>
        </w:rPr>
        <w:t xml:space="preserve"> </w:t>
      </w:r>
      <w:r w:rsidRPr="00DF323F">
        <w:rPr>
          <w:rFonts w:cs="Times New Roman"/>
          <w:szCs w:val="24"/>
          <w:lang w:val="en-GB" w:eastAsia="fr-BE"/>
        </w:rPr>
        <w:t>mirrors the battle of ideas underlying the creation of the euro area: German negotiators argued that, in the absence of a common economic government, the fiscal responsibility for the bailouts remained, and should be decided at the national level (Woll</w:t>
      </w:r>
      <w:r w:rsidR="00800BA6">
        <w:rPr>
          <w:rFonts w:cs="Times New Roman"/>
          <w:szCs w:val="24"/>
          <w:lang w:val="en-GB" w:eastAsia="fr-BE"/>
        </w:rPr>
        <w:t>,</w:t>
      </w:r>
      <w:r w:rsidRPr="00DF323F">
        <w:rPr>
          <w:rFonts w:cs="Times New Roman"/>
          <w:szCs w:val="24"/>
          <w:lang w:val="en-GB" w:eastAsia="fr-BE"/>
        </w:rPr>
        <w:t xml:space="preserve"> 2014).  </w:t>
      </w:r>
    </w:p>
    <w:p w14:paraId="59FD39EA" w14:textId="3033B84E" w:rsidR="00DF427A" w:rsidRPr="00DF323F" w:rsidRDefault="00DF427A" w:rsidP="007E0B7F">
      <w:pPr>
        <w:jc w:val="both"/>
        <w:rPr>
          <w:rFonts w:cs="Times New Roman"/>
          <w:szCs w:val="24"/>
          <w:lang w:eastAsia="fr-BE"/>
        </w:rPr>
      </w:pPr>
      <w:r w:rsidRPr="00DF323F">
        <w:rPr>
          <w:rFonts w:cs="Times New Roman"/>
          <w:szCs w:val="24"/>
          <w:lang w:eastAsia="fr-BE"/>
        </w:rPr>
        <w:t>These rescue packages came at a heavy price for EU taxpayers: their impact on public debt between 2008 and 2015 is estimated at 4</w:t>
      </w:r>
      <w:r w:rsidR="00E17C85" w:rsidRPr="00DF323F">
        <w:rPr>
          <w:rFonts w:cs="Times New Roman"/>
          <w:szCs w:val="24"/>
          <w:lang w:eastAsia="fr-BE"/>
        </w:rPr>
        <w:t>.8</w:t>
      </w:r>
      <w:r w:rsidRPr="00DF323F">
        <w:rPr>
          <w:rFonts w:cs="Times New Roman"/>
          <w:szCs w:val="24"/>
          <w:lang w:eastAsia="fr-BE"/>
        </w:rPr>
        <w:t xml:space="preserve">% of the GDP of the European Union (Millaruelo &amp; </w:t>
      </w:r>
      <w:r w:rsidR="00BD352D">
        <w:rPr>
          <w:rFonts w:cs="Times New Roman"/>
          <w:szCs w:val="24"/>
          <w:lang w:eastAsia="fr-BE"/>
        </w:rPr>
        <w:t>Del-</w:t>
      </w:r>
      <w:r w:rsidRPr="00DF323F">
        <w:rPr>
          <w:rFonts w:cs="Times New Roman"/>
          <w:szCs w:val="24"/>
          <w:lang w:eastAsia="fr-BE"/>
        </w:rPr>
        <w:t>Rio, 2017). Moreover, the banking crisis morphed into a full-fledged economic crisis as banks shrank their credit lines to the real economy, which led to business foreclosures, GDP loss and higher unemployment. In reaction, EU states became “Keynesian for a year” by stimulating their economy and supporting countercyclical economic measures, which increased member states’ deficits and debt levels (Blyth</w:t>
      </w:r>
      <w:r w:rsidR="00A150E3">
        <w:rPr>
          <w:rFonts w:cs="Times New Roman"/>
          <w:szCs w:val="24"/>
          <w:lang w:eastAsia="fr-BE"/>
        </w:rPr>
        <w:t>,</w:t>
      </w:r>
      <w:r w:rsidRPr="00DF323F">
        <w:rPr>
          <w:rFonts w:cs="Times New Roman"/>
          <w:szCs w:val="24"/>
          <w:lang w:eastAsia="fr-BE"/>
        </w:rPr>
        <w:t xml:space="preserve"> 2013). </w:t>
      </w:r>
      <w:r w:rsidR="00E17C85" w:rsidRPr="00DF323F">
        <w:rPr>
          <w:rFonts w:cs="Times New Roman"/>
          <w:szCs w:val="24"/>
          <w:lang w:eastAsia="fr-BE"/>
        </w:rPr>
        <w:t>T</w:t>
      </w:r>
      <w:r w:rsidRPr="00DF323F">
        <w:rPr>
          <w:rFonts w:cs="Times New Roman"/>
          <w:szCs w:val="24"/>
          <w:lang w:eastAsia="fr-BE"/>
        </w:rPr>
        <w:t>he extent of this economic support varied according to the economic strength of euro area countries: while the size of the German stimulus was 2% of its GDP, the Italian stimulus was less than 0</w:t>
      </w:r>
      <w:r w:rsidR="00675246">
        <w:rPr>
          <w:rFonts w:cs="Times New Roman"/>
          <w:szCs w:val="24"/>
          <w:lang w:eastAsia="fr-BE"/>
        </w:rPr>
        <w:t>.</w:t>
      </w:r>
      <w:r w:rsidRPr="00DF323F">
        <w:rPr>
          <w:rFonts w:cs="Times New Roman"/>
          <w:szCs w:val="24"/>
          <w:lang w:eastAsia="fr-BE"/>
        </w:rPr>
        <w:t>1% of its GDP (Tooze</w:t>
      </w:r>
      <w:r w:rsidR="00800BA6">
        <w:rPr>
          <w:rFonts w:cs="Times New Roman"/>
          <w:szCs w:val="24"/>
          <w:lang w:eastAsia="fr-BE"/>
        </w:rPr>
        <w:t>,</w:t>
      </w:r>
      <w:r w:rsidRPr="00DF323F">
        <w:rPr>
          <w:rFonts w:cs="Times New Roman"/>
          <w:szCs w:val="24"/>
          <w:lang w:eastAsia="fr-BE"/>
        </w:rPr>
        <w:t xml:space="preserve"> 2018, p.285). In short, the causes of the GFC follow a classic </w:t>
      </w:r>
      <w:r w:rsidR="000246B7">
        <w:rPr>
          <w:rFonts w:cs="Times New Roman"/>
          <w:szCs w:val="24"/>
          <w:lang w:eastAsia="fr-BE"/>
        </w:rPr>
        <w:t>“</w:t>
      </w:r>
      <w:r w:rsidRPr="000246B7">
        <w:rPr>
          <w:rFonts w:cs="Times New Roman"/>
          <w:iCs/>
          <w:szCs w:val="24"/>
          <w:lang w:eastAsia="fr-BE"/>
        </w:rPr>
        <w:t>boom and bust</w:t>
      </w:r>
      <w:r w:rsidR="000246B7">
        <w:rPr>
          <w:rFonts w:cs="Times New Roman"/>
          <w:iCs/>
          <w:szCs w:val="24"/>
          <w:lang w:eastAsia="fr-BE"/>
        </w:rPr>
        <w:t>”</w:t>
      </w:r>
      <w:r w:rsidRPr="00DF323F">
        <w:rPr>
          <w:rFonts w:cs="Times New Roman"/>
          <w:i/>
          <w:iCs/>
          <w:szCs w:val="24"/>
          <w:lang w:eastAsia="fr-BE"/>
        </w:rPr>
        <w:t xml:space="preserve"> </w:t>
      </w:r>
      <w:r w:rsidRPr="00DF323F">
        <w:rPr>
          <w:rFonts w:cs="Times New Roman"/>
          <w:szCs w:val="24"/>
          <w:lang w:eastAsia="fr-BE"/>
        </w:rPr>
        <w:t>pattern: the lucrative but risky business models of financial institutions in general, and the universal European banks in particular, have fuelled the</w:t>
      </w:r>
      <w:r w:rsidR="00DD201B">
        <w:rPr>
          <w:rFonts w:cs="Times New Roman"/>
          <w:szCs w:val="24"/>
          <w:lang w:eastAsia="fr-BE"/>
        </w:rPr>
        <w:t xml:space="preserve"> US</w:t>
      </w:r>
      <w:r w:rsidRPr="00DF323F">
        <w:rPr>
          <w:rFonts w:cs="Times New Roman"/>
          <w:szCs w:val="24"/>
          <w:lang w:eastAsia="fr-BE"/>
        </w:rPr>
        <w:t xml:space="preserve"> subprime speculative bubble. Then, when the financial crash materialised, domestic political authorities had no choice but to bail out their banking system</w:t>
      </w:r>
      <w:r w:rsidR="000246B7">
        <w:rPr>
          <w:rFonts w:cs="Times New Roman"/>
          <w:szCs w:val="24"/>
          <w:lang w:eastAsia="fr-BE"/>
        </w:rPr>
        <w:t>s</w:t>
      </w:r>
      <w:r w:rsidRPr="00DF323F">
        <w:rPr>
          <w:rFonts w:cs="Times New Roman"/>
          <w:szCs w:val="24"/>
          <w:lang w:eastAsia="fr-BE"/>
        </w:rPr>
        <w:t xml:space="preserve">, which </w:t>
      </w:r>
      <w:r w:rsidR="00D52471">
        <w:rPr>
          <w:rFonts w:cs="Times New Roman"/>
          <w:szCs w:val="24"/>
          <w:lang w:eastAsia="fr-BE"/>
        </w:rPr>
        <w:t>had become</w:t>
      </w:r>
      <w:r w:rsidR="00D52471" w:rsidRPr="00DF323F">
        <w:rPr>
          <w:rFonts w:cs="Times New Roman"/>
          <w:szCs w:val="24"/>
          <w:lang w:eastAsia="fr-BE"/>
        </w:rPr>
        <w:t xml:space="preserve"> </w:t>
      </w:r>
      <w:r w:rsidRPr="00DF323F">
        <w:rPr>
          <w:rFonts w:cs="Times New Roman"/>
          <w:szCs w:val="24"/>
          <w:lang w:eastAsia="fr-BE"/>
        </w:rPr>
        <w:t xml:space="preserve">“too big to fail”. In turn, bailout costs and countercyclical measures aggravated deficits and raised the levels of public debt and deficit, which used to be broadly in line with the rules </w:t>
      </w:r>
      <w:r w:rsidR="00E334C5">
        <w:rPr>
          <w:rFonts w:cs="Times New Roman"/>
          <w:szCs w:val="24"/>
          <w:lang w:eastAsia="fr-BE"/>
        </w:rPr>
        <w:t xml:space="preserve">of the </w:t>
      </w:r>
      <w:r w:rsidR="00E334C5">
        <w:rPr>
          <w:rStyle w:val="acopre"/>
        </w:rPr>
        <w:t>Stability and Growth Pact (</w:t>
      </w:r>
      <w:r w:rsidR="00E334C5" w:rsidRPr="00DF323F">
        <w:rPr>
          <w:rFonts w:cs="Times New Roman"/>
          <w:szCs w:val="24"/>
          <w:lang w:eastAsia="fr-BE"/>
        </w:rPr>
        <w:t>SGP</w:t>
      </w:r>
      <w:r w:rsidR="00E334C5">
        <w:rPr>
          <w:rFonts w:cs="Times New Roman"/>
          <w:szCs w:val="24"/>
          <w:lang w:eastAsia="fr-BE"/>
        </w:rPr>
        <w:t xml:space="preserve">) </w:t>
      </w:r>
      <w:r w:rsidRPr="00DF323F">
        <w:rPr>
          <w:rFonts w:cs="Times New Roman"/>
          <w:szCs w:val="24"/>
          <w:lang w:eastAsia="fr-BE"/>
        </w:rPr>
        <w:t>before 2007 (Baldwin &amp; Giavazzi</w:t>
      </w:r>
      <w:r w:rsidR="00800BA6">
        <w:rPr>
          <w:rFonts w:cs="Times New Roman"/>
          <w:szCs w:val="24"/>
          <w:lang w:eastAsia="fr-BE"/>
        </w:rPr>
        <w:t>,</w:t>
      </w:r>
      <w:r w:rsidRPr="00DF323F">
        <w:rPr>
          <w:rFonts w:cs="Times New Roman"/>
          <w:szCs w:val="24"/>
          <w:lang w:eastAsia="fr-BE"/>
        </w:rPr>
        <w:t xml:space="preserve"> 2015).</w:t>
      </w:r>
    </w:p>
    <w:p w14:paraId="62A3A53D" w14:textId="41DA1D9E" w:rsidR="00DF427A" w:rsidRPr="00DF323F" w:rsidRDefault="00DF427A" w:rsidP="007E0B7F">
      <w:pPr>
        <w:jc w:val="both"/>
        <w:rPr>
          <w:rFonts w:cs="Times New Roman"/>
          <w:szCs w:val="24"/>
          <w:lang w:eastAsia="fr-BE"/>
        </w:rPr>
      </w:pPr>
      <w:r w:rsidRPr="00DF323F">
        <w:rPr>
          <w:rFonts w:cs="Times New Roman"/>
          <w:szCs w:val="24"/>
          <w:lang w:eastAsia="fr-BE"/>
        </w:rPr>
        <w:t>Yet, despite these financial roots, the crisis started to be framed as a budgetary and fiscal crisis by core euro area powers from 2010 onwards (Blyth</w:t>
      </w:r>
      <w:r w:rsidR="00E334C5">
        <w:rPr>
          <w:rFonts w:cs="Times New Roman"/>
          <w:szCs w:val="24"/>
          <w:lang w:eastAsia="fr-BE"/>
        </w:rPr>
        <w:t>,</w:t>
      </w:r>
      <w:r w:rsidRPr="00DF323F">
        <w:rPr>
          <w:rFonts w:cs="Times New Roman"/>
          <w:szCs w:val="24"/>
          <w:lang w:eastAsia="fr-BE"/>
        </w:rPr>
        <w:t xml:space="preserve"> 2013). In October 2009, the newly elected Greek government announced that previous administrations masked the extent of its public deficit, which reached 12</w:t>
      </w:r>
      <w:r w:rsidR="00D52471">
        <w:rPr>
          <w:rFonts w:cs="Times New Roman"/>
          <w:szCs w:val="24"/>
          <w:lang w:eastAsia="fr-BE"/>
        </w:rPr>
        <w:t>.</w:t>
      </w:r>
      <w:r w:rsidRPr="00DF323F">
        <w:rPr>
          <w:rFonts w:cs="Times New Roman"/>
          <w:szCs w:val="24"/>
          <w:lang w:eastAsia="fr-BE"/>
        </w:rPr>
        <w:t>7% of its GDP. Soon enough, it became clear that</w:t>
      </w:r>
      <w:r w:rsidR="00C0078A" w:rsidRPr="00DF323F">
        <w:rPr>
          <w:rFonts w:cs="Times New Roman"/>
          <w:szCs w:val="24"/>
          <w:lang w:eastAsia="fr-BE"/>
        </w:rPr>
        <w:t xml:space="preserve">, because of structural problems and the impact of the </w:t>
      </w:r>
      <w:r w:rsidR="00C54ED2">
        <w:rPr>
          <w:rFonts w:cs="Times New Roman"/>
          <w:szCs w:val="24"/>
          <w:lang w:eastAsia="fr-BE"/>
        </w:rPr>
        <w:t>crisis</w:t>
      </w:r>
      <w:r w:rsidR="00C0078A" w:rsidRPr="00DF323F">
        <w:rPr>
          <w:rFonts w:cs="Times New Roman"/>
          <w:szCs w:val="24"/>
          <w:lang w:eastAsia="fr-BE"/>
        </w:rPr>
        <w:t>,</w:t>
      </w:r>
      <w:r w:rsidRPr="00DF323F">
        <w:rPr>
          <w:rFonts w:cs="Times New Roman"/>
          <w:szCs w:val="24"/>
          <w:lang w:eastAsia="fr-BE"/>
        </w:rPr>
        <w:t xml:space="preserve"> Greece would not be able to </w:t>
      </w:r>
      <w:r w:rsidR="00E17C85" w:rsidRPr="00DF323F">
        <w:rPr>
          <w:rFonts w:cs="Times New Roman"/>
          <w:szCs w:val="24"/>
          <w:lang w:eastAsia="fr-BE"/>
        </w:rPr>
        <w:t>repay its debt</w:t>
      </w:r>
      <w:r w:rsidRPr="00DF323F">
        <w:rPr>
          <w:rFonts w:cs="Times New Roman"/>
          <w:szCs w:val="24"/>
          <w:lang w:eastAsia="fr-BE"/>
        </w:rPr>
        <w:t xml:space="preserve"> at sustainable interest rates; in other words, the country was insolvent (Tooze</w:t>
      </w:r>
      <w:r w:rsidR="00E334C5">
        <w:rPr>
          <w:rFonts w:cs="Times New Roman"/>
          <w:szCs w:val="24"/>
          <w:lang w:eastAsia="fr-BE"/>
        </w:rPr>
        <w:t>,</w:t>
      </w:r>
      <w:r w:rsidRPr="00DF323F">
        <w:rPr>
          <w:rFonts w:cs="Times New Roman"/>
          <w:szCs w:val="24"/>
          <w:lang w:eastAsia="fr-BE"/>
        </w:rPr>
        <w:t xml:space="preserve"> 2018</w:t>
      </w:r>
      <w:r w:rsidR="00E60D2E">
        <w:rPr>
          <w:rFonts w:cs="Times New Roman"/>
          <w:szCs w:val="24"/>
          <w:lang w:eastAsia="fr-BE"/>
        </w:rPr>
        <w:t>,</w:t>
      </w:r>
      <w:r w:rsidRPr="00DF323F">
        <w:rPr>
          <w:rFonts w:cs="Times New Roman"/>
          <w:szCs w:val="24"/>
          <w:lang w:eastAsia="fr-BE"/>
        </w:rPr>
        <w:t xml:space="preserve"> p.334). While the standard procedure for insolvent countries consists of finding an agreement with creditors to restructure the outstanding debt (usually against the implementation of structural reforms), this option was quickly barred by French and German representatives as well as the ECB (Fontan &amp; Saurugger, 2019). The main reason for this refusal lies in the balance sheets of French and German banks, which were heavily exposed to the Greek debt following their investments in the euro area periphery in the previous “boom” years</w:t>
      </w:r>
      <w:r w:rsidR="00D52471">
        <w:rPr>
          <w:rFonts w:cs="Times New Roman"/>
          <w:szCs w:val="24"/>
          <w:lang w:eastAsia="fr-BE"/>
        </w:rPr>
        <w:t xml:space="preserve"> (Thompson, 2015)</w:t>
      </w:r>
      <w:r w:rsidRPr="00DF323F">
        <w:rPr>
          <w:rFonts w:cs="Times New Roman"/>
          <w:szCs w:val="24"/>
          <w:lang w:eastAsia="fr-BE"/>
        </w:rPr>
        <w:t>. Since restructuring Greek debt would have involved a new round of banks’ recapitalisation in the core countries of the euro area at a high political cost, this option was quickly side-lined by core euro area powers</w:t>
      </w:r>
      <w:r w:rsidR="00C0078A" w:rsidRPr="00DF323F">
        <w:rPr>
          <w:rFonts w:cs="Times New Roman"/>
          <w:szCs w:val="24"/>
          <w:lang w:eastAsia="fr-BE"/>
        </w:rPr>
        <w:t xml:space="preserve">, even though the amount of Greek </w:t>
      </w:r>
      <w:r w:rsidR="000246B7">
        <w:rPr>
          <w:rFonts w:cs="Times New Roman"/>
          <w:szCs w:val="24"/>
          <w:lang w:eastAsia="fr-BE"/>
        </w:rPr>
        <w:t xml:space="preserve">sovereign </w:t>
      </w:r>
      <w:r w:rsidR="00C0078A" w:rsidRPr="00DF323F">
        <w:rPr>
          <w:rFonts w:cs="Times New Roman"/>
          <w:szCs w:val="24"/>
          <w:lang w:eastAsia="fr-BE"/>
        </w:rPr>
        <w:t>debt was less than 1,5% of the euro area GD</w:t>
      </w:r>
      <w:r w:rsidR="004C635E">
        <w:rPr>
          <w:rFonts w:cs="Times New Roman"/>
          <w:szCs w:val="24"/>
          <w:lang w:eastAsia="fr-BE"/>
        </w:rPr>
        <w:t>P</w:t>
      </w:r>
      <w:r w:rsidRPr="00DF323F">
        <w:rPr>
          <w:rFonts w:cs="Times New Roman"/>
          <w:szCs w:val="24"/>
          <w:lang w:eastAsia="fr-BE"/>
        </w:rPr>
        <w:t xml:space="preserve"> (Roos</w:t>
      </w:r>
      <w:r w:rsidR="00E334C5">
        <w:rPr>
          <w:rFonts w:cs="Times New Roman"/>
          <w:szCs w:val="24"/>
          <w:lang w:eastAsia="fr-BE"/>
        </w:rPr>
        <w:t>,</w:t>
      </w:r>
      <w:r w:rsidRPr="00DF323F">
        <w:rPr>
          <w:rFonts w:cs="Times New Roman"/>
          <w:szCs w:val="24"/>
          <w:lang w:eastAsia="fr-BE"/>
        </w:rPr>
        <w:t xml:space="preserve"> 2019, p.237).</w:t>
      </w:r>
      <w:r w:rsidR="00E17C85" w:rsidRPr="00DF323F">
        <w:rPr>
          <w:rFonts w:cs="Times New Roman"/>
          <w:szCs w:val="24"/>
          <w:lang w:eastAsia="fr-BE"/>
        </w:rPr>
        <w:t xml:space="preserve"> </w:t>
      </w:r>
    </w:p>
    <w:p w14:paraId="3B071031" w14:textId="75AADCD1" w:rsidR="00DF427A" w:rsidRPr="00DF427A" w:rsidRDefault="00E17C85" w:rsidP="007E0B7F">
      <w:pPr>
        <w:jc w:val="both"/>
        <w:rPr>
          <w:lang w:eastAsia="fr-BE"/>
        </w:rPr>
      </w:pPr>
      <w:r>
        <w:rPr>
          <w:lang w:eastAsia="fr-BE"/>
        </w:rPr>
        <w:t>Instead, o</w:t>
      </w:r>
      <w:r w:rsidR="00DF427A" w:rsidRPr="00DF427A">
        <w:rPr>
          <w:lang w:eastAsia="fr-BE"/>
        </w:rPr>
        <w:t xml:space="preserve">n May 3 2010, </w:t>
      </w:r>
      <w:r>
        <w:rPr>
          <w:lang w:eastAsia="fr-BE"/>
        </w:rPr>
        <w:t xml:space="preserve">euro area countries </w:t>
      </w:r>
      <w:r w:rsidR="00DF427A" w:rsidRPr="00DF427A">
        <w:rPr>
          <w:lang w:eastAsia="fr-BE"/>
        </w:rPr>
        <w:t xml:space="preserve">provided €120bn of bilateral financial loans to the Greek government, whose disbursement was conditional to the implementation of stringent austerity measures, written down in a Memorandum of Understanding (MoU). So-called “Troika” expert groups, bringing together IMF, ECB and European Commission agents, were sent to Greece to watch </w:t>
      </w:r>
      <w:r w:rsidR="004C635E">
        <w:rPr>
          <w:lang w:eastAsia="fr-BE"/>
        </w:rPr>
        <w:t xml:space="preserve">over </w:t>
      </w:r>
      <w:r w:rsidR="00DF427A" w:rsidRPr="00DF427A">
        <w:rPr>
          <w:lang w:eastAsia="fr-BE"/>
        </w:rPr>
        <w:t>the implementation of austerity measures.  With this agreement, euro area leaders replicated the template of the “Vienna Initiative”, which was implemented in Central and East</w:t>
      </w:r>
      <w:r w:rsidR="004C635E">
        <w:rPr>
          <w:lang w:eastAsia="fr-BE"/>
        </w:rPr>
        <w:t>ern</w:t>
      </w:r>
      <w:r w:rsidR="00DF427A" w:rsidRPr="00DF427A">
        <w:rPr>
          <w:lang w:eastAsia="fr-BE"/>
        </w:rPr>
        <w:t xml:space="preserve"> Europe in late 2008 and early 2009 (Lütz &amp; Kranke</w:t>
      </w:r>
      <w:r w:rsidR="00E334C5">
        <w:rPr>
          <w:lang w:eastAsia="fr-BE"/>
        </w:rPr>
        <w:t>,</w:t>
      </w:r>
      <w:r w:rsidR="00DF427A" w:rsidRPr="00DF427A">
        <w:rPr>
          <w:lang w:eastAsia="fr-BE"/>
        </w:rPr>
        <w:t xml:space="preserve"> 2014</w:t>
      </w:r>
      <w:r w:rsidR="00E334C5">
        <w:rPr>
          <w:lang w:eastAsia="fr-BE"/>
        </w:rPr>
        <w:t>;</w:t>
      </w:r>
      <w:r w:rsidR="00DF427A" w:rsidRPr="00DF427A">
        <w:rPr>
          <w:lang w:eastAsia="fr-BE"/>
        </w:rPr>
        <w:t xml:space="preserve"> Tooze</w:t>
      </w:r>
      <w:r w:rsidR="00E334C5">
        <w:rPr>
          <w:lang w:eastAsia="fr-BE"/>
        </w:rPr>
        <w:t>,</w:t>
      </w:r>
      <w:r w:rsidR="00DF427A" w:rsidRPr="00DF427A">
        <w:rPr>
          <w:lang w:eastAsia="fr-BE"/>
        </w:rPr>
        <w:t xml:space="preserve"> 2018). Indeed, when Romania, Latvia and Hungary were on the brink of collapse following a sudden reverse capital flight, they asked for financial assistance from the EU and the IMF. In reaction, the EU and the IMF offered credit lines to these countries against the implementation of deep austerity cuts </w:t>
      </w:r>
      <w:r w:rsidR="004C635E">
        <w:rPr>
          <w:lang w:eastAsia="fr-BE"/>
        </w:rPr>
        <w:t>monitored</w:t>
      </w:r>
      <w:r w:rsidR="004C635E" w:rsidRPr="00DF427A">
        <w:rPr>
          <w:lang w:eastAsia="fr-BE"/>
        </w:rPr>
        <w:t xml:space="preserve"> </w:t>
      </w:r>
      <w:r w:rsidR="00DF427A" w:rsidRPr="00DF427A">
        <w:rPr>
          <w:lang w:eastAsia="fr-BE"/>
        </w:rPr>
        <w:t xml:space="preserve">by </w:t>
      </w:r>
      <w:r w:rsidR="00180715">
        <w:rPr>
          <w:lang w:eastAsia="fr-BE"/>
        </w:rPr>
        <w:t>“</w:t>
      </w:r>
      <w:r w:rsidR="00DF427A" w:rsidRPr="00DF427A">
        <w:rPr>
          <w:lang w:eastAsia="fr-BE"/>
        </w:rPr>
        <w:t>Troika</w:t>
      </w:r>
      <w:r w:rsidR="00180715">
        <w:rPr>
          <w:lang w:eastAsia="fr-BE"/>
        </w:rPr>
        <w:t>”</w:t>
      </w:r>
      <w:r w:rsidR="00DF427A" w:rsidRPr="00DF427A">
        <w:rPr>
          <w:lang w:eastAsia="fr-BE"/>
        </w:rPr>
        <w:t xml:space="preserve"> expert groups and the promise not </w:t>
      </w:r>
      <w:r w:rsidRPr="00DF427A">
        <w:rPr>
          <w:lang w:eastAsia="fr-BE"/>
        </w:rPr>
        <w:t xml:space="preserve">to </w:t>
      </w:r>
      <w:r w:rsidR="00DF427A" w:rsidRPr="00DF427A">
        <w:rPr>
          <w:lang w:eastAsia="fr-BE"/>
        </w:rPr>
        <w:t>devalue their currency.</w:t>
      </w:r>
    </w:p>
    <w:p w14:paraId="19050B62" w14:textId="397A2EB4" w:rsidR="00DF427A" w:rsidRPr="00DF427A" w:rsidRDefault="00C0078A" w:rsidP="007E0B7F">
      <w:pPr>
        <w:jc w:val="both"/>
        <w:rPr>
          <w:lang w:eastAsia="fr-BE"/>
        </w:rPr>
      </w:pPr>
      <w:r>
        <w:rPr>
          <w:lang w:eastAsia="fr-BE"/>
        </w:rPr>
        <w:t xml:space="preserve">This policy answer is in line with </w:t>
      </w:r>
      <w:r w:rsidR="00DF427A" w:rsidRPr="00DF427A">
        <w:rPr>
          <w:lang w:eastAsia="fr-BE"/>
        </w:rPr>
        <w:t xml:space="preserve">the dominant framing of the crisis, </w:t>
      </w:r>
      <w:r>
        <w:rPr>
          <w:lang w:eastAsia="fr-BE"/>
        </w:rPr>
        <w:t xml:space="preserve">which underlined that </w:t>
      </w:r>
      <w:r w:rsidR="00DF427A" w:rsidRPr="00DF427A">
        <w:rPr>
          <w:lang w:eastAsia="fr-BE"/>
        </w:rPr>
        <w:t xml:space="preserve">the peripheral countries of the euro area took advantage of the single currency for running high levels of public spending instead of improving the competitiveness of their economies. In turn, the difficulties encountered by peripheral countries to refinance their debt at sustainable rates is only the outcome of the loss of market confidence in the soundness of their economies. </w:t>
      </w:r>
      <w:r w:rsidR="00151DD7">
        <w:rPr>
          <w:lang w:eastAsia="fr-BE"/>
        </w:rPr>
        <w:t>T</w:t>
      </w:r>
      <w:r>
        <w:rPr>
          <w:lang w:eastAsia="fr-BE"/>
        </w:rPr>
        <w:t>he fact that the financial rescue</w:t>
      </w:r>
      <w:r w:rsidR="00F94A18">
        <w:rPr>
          <w:lang w:eastAsia="fr-BE"/>
        </w:rPr>
        <w:t xml:space="preserve"> comes</w:t>
      </w:r>
      <w:r w:rsidR="00151DD7">
        <w:rPr>
          <w:lang w:eastAsia="fr-BE"/>
        </w:rPr>
        <w:t xml:space="preserve"> attached with austerity measures is in line with this framing. </w:t>
      </w:r>
      <w:r w:rsidR="00DF427A" w:rsidRPr="00DF427A">
        <w:rPr>
          <w:lang w:eastAsia="fr-BE"/>
        </w:rPr>
        <w:t>As peripheral countries cannot regain financial markets’ confidence without the financial guarantees of core countries, the latter developed this narrative about the causes of the crisis, and therefore their policy solutions</w:t>
      </w:r>
      <w:r w:rsidR="00690649">
        <w:rPr>
          <w:lang w:eastAsia="fr-BE"/>
        </w:rPr>
        <w:t>,</w:t>
      </w:r>
      <w:r w:rsidR="00E17C85">
        <w:rPr>
          <w:lang w:eastAsia="fr-BE"/>
        </w:rPr>
        <w:t xml:space="preserve"> without</w:t>
      </w:r>
      <w:r w:rsidR="00DF427A" w:rsidRPr="00DF427A">
        <w:rPr>
          <w:lang w:eastAsia="fr-BE"/>
        </w:rPr>
        <w:t xml:space="preserve"> much challenge.</w:t>
      </w:r>
    </w:p>
    <w:p w14:paraId="7192716F" w14:textId="7F6B7F3F" w:rsidR="00DF427A" w:rsidRDefault="00DF427A" w:rsidP="007E0B7F">
      <w:pPr>
        <w:jc w:val="both"/>
        <w:rPr>
          <w:lang w:eastAsia="fr-BE"/>
        </w:rPr>
      </w:pPr>
      <w:r w:rsidRPr="00DF427A">
        <w:rPr>
          <w:lang w:eastAsia="fr-BE"/>
        </w:rPr>
        <w:t>More generally, this framing also helped to promote crisis solutions that were consistent with ordo-liberal ideas (Matthijs &amp; McNamara</w:t>
      </w:r>
      <w:r w:rsidR="00E334C5">
        <w:rPr>
          <w:lang w:eastAsia="fr-BE"/>
        </w:rPr>
        <w:t>,</w:t>
      </w:r>
      <w:r w:rsidRPr="00DF427A">
        <w:rPr>
          <w:lang w:eastAsia="fr-BE"/>
        </w:rPr>
        <w:t xml:space="preserve"> 2015</w:t>
      </w:r>
      <w:r w:rsidR="00151DD7">
        <w:rPr>
          <w:lang w:eastAsia="fr-BE"/>
        </w:rPr>
        <w:t>;</w:t>
      </w:r>
      <w:r w:rsidR="00B23D61">
        <w:rPr>
          <w:lang w:eastAsia="fr-BE"/>
        </w:rPr>
        <w:t xml:space="preserve"> </w:t>
      </w:r>
      <w:r w:rsidR="00B23D61" w:rsidRPr="00DF427A">
        <w:rPr>
          <w:lang w:eastAsia="fr-BE"/>
        </w:rPr>
        <w:t>Matthijs</w:t>
      </w:r>
      <w:r w:rsidR="00E334C5">
        <w:rPr>
          <w:lang w:eastAsia="fr-BE"/>
        </w:rPr>
        <w:t>,</w:t>
      </w:r>
      <w:r w:rsidR="00B23D61">
        <w:rPr>
          <w:lang w:eastAsia="fr-BE"/>
        </w:rPr>
        <w:t xml:space="preserve"> 2016</w:t>
      </w:r>
      <w:r w:rsidRPr="00DF427A">
        <w:rPr>
          <w:lang w:eastAsia="fr-BE"/>
        </w:rPr>
        <w:t xml:space="preserve">). If the crisis was diagnosed as caused by the structural imbalances in the euro area and banks’ risky business models, supranational debt pooling (“eurobonds”) and a re-regulation of the banking system could have been easily promoted as “natural” policy solutions to the crisis. Eurobonds proposals were discussed when the financial pressure on </w:t>
      </w:r>
      <w:r w:rsidR="00AD4D52">
        <w:rPr>
          <w:lang w:eastAsia="fr-BE"/>
        </w:rPr>
        <w:t>euro</w:t>
      </w:r>
      <w:r w:rsidRPr="00DF427A">
        <w:rPr>
          <w:lang w:eastAsia="fr-BE"/>
        </w:rPr>
        <w:t xml:space="preserve"> area peripheral economies started to </w:t>
      </w:r>
      <w:r w:rsidR="00F94A18">
        <w:rPr>
          <w:lang w:eastAsia="fr-BE"/>
        </w:rPr>
        <w:t>deepen</w:t>
      </w:r>
      <w:r w:rsidR="00F94A18" w:rsidRPr="00DF427A">
        <w:rPr>
          <w:lang w:eastAsia="fr-BE"/>
        </w:rPr>
        <w:t xml:space="preserve"> </w:t>
      </w:r>
      <w:r w:rsidRPr="00DF427A">
        <w:rPr>
          <w:lang w:eastAsia="fr-BE"/>
        </w:rPr>
        <w:t xml:space="preserve">in early 2010, but they were quickly dismissed by German elites who worried about moral hazard, in line with their previous rebuttals of joined debt issuance </w:t>
      </w:r>
      <w:r w:rsidR="00151DD7">
        <w:rPr>
          <w:lang w:eastAsia="fr-BE"/>
        </w:rPr>
        <w:t>proposals</w:t>
      </w:r>
      <w:r w:rsidRPr="00DF427A">
        <w:rPr>
          <w:lang w:eastAsia="fr-BE"/>
        </w:rPr>
        <w:t xml:space="preserve">. Conversely, framing the crisis as caused by the fiscal profligacy of euro area peripheral countries gave more weight to the arguments of the ordo-liberal economists who lamented about debt sustainability issues and the breach of the SGP rules during the first years of the crisis. For example, participants to the Eurogroup “last-chance” summits, which took place during multiple weekends between 2010 and 2015, acknowledged that the ECB emphasis on structural reforms and debt sustainability before the crisis increased the recognition of its expertise during the crisis summits (Fontan, 2018). In turn, this increased expert authority allowed central bankers to use the crisis as a window of opportunity as they persuaded elected policymakers to enact the economic reforms (flexibilisation of labour markets, more stringent budgetary rules) they </w:t>
      </w:r>
      <w:r w:rsidR="00F94A18">
        <w:rPr>
          <w:lang w:eastAsia="fr-BE"/>
        </w:rPr>
        <w:t xml:space="preserve">had been </w:t>
      </w:r>
      <w:r w:rsidRPr="00DF427A">
        <w:rPr>
          <w:lang w:eastAsia="fr-BE"/>
        </w:rPr>
        <w:t>asking for a decade.</w:t>
      </w:r>
    </w:p>
    <w:p w14:paraId="1A16B06E" w14:textId="59FD8434" w:rsidR="00DF427A" w:rsidRPr="00DF427A" w:rsidRDefault="00DF427A" w:rsidP="007E0B7F">
      <w:pPr>
        <w:jc w:val="both"/>
        <w:rPr>
          <w:lang w:eastAsia="fr-BE"/>
        </w:rPr>
      </w:pPr>
      <w:r w:rsidRPr="00DF427A">
        <w:rPr>
          <w:lang w:eastAsia="fr-BE"/>
        </w:rPr>
        <w:t xml:space="preserve">In sum, while the crisis was mainly caused by the risky activities of banks, which triggered macroeconomic imbalances in the euro area, core </w:t>
      </w:r>
      <w:r w:rsidR="00B23D61">
        <w:rPr>
          <w:lang w:eastAsia="fr-BE"/>
        </w:rPr>
        <w:t xml:space="preserve">countries </w:t>
      </w:r>
      <w:r w:rsidR="00E17C85">
        <w:rPr>
          <w:lang w:eastAsia="fr-BE"/>
        </w:rPr>
        <w:t xml:space="preserve">(France, Germany) </w:t>
      </w:r>
      <w:r w:rsidR="00B23D61">
        <w:rPr>
          <w:lang w:eastAsia="fr-BE"/>
        </w:rPr>
        <w:t xml:space="preserve">and </w:t>
      </w:r>
      <w:r w:rsidRPr="00DF427A">
        <w:rPr>
          <w:lang w:eastAsia="fr-BE"/>
        </w:rPr>
        <w:t>euro area institutions (the Eurogroup, the E</w:t>
      </w:r>
      <w:r w:rsidR="000246B7">
        <w:rPr>
          <w:lang w:eastAsia="fr-BE"/>
        </w:rPr>
        <w:t xml:space="preserve">uropean </w:t>
      </w:r>
      <w:r w:rsidRPr="00DF427A">
        <w:rPr>
          <w:lang w:eastAsia="fr-BE"/>
        </w:rPr>
        <w:t>C</w:t>
      </w:r>
      <w:r w:rsidR="000246B7">
        <w:rPr>
          <w:lang w:eastAsia="fr-BE"/>
        </w:rPr>
        <w:t>ommis</w:t>
      </w:r>
      <w:r w:rsidR="00180715">
        <w:rPr>
          <w:lang w:eastAsia="fr-BE"/>
        </w:rPr>
        <w:t>s</w:t>
      </w:r>
      <w:r w:rsidR="000246B7">
        <w:rPr>
          <w:lang w:eastAsia="fr-BE"/>
        </w:rPr>
        <w:t>ion</w:t>
      </w:r>
      <w:r w:rsidRPr="00DF427A">
        <w:rPr>
          <w:lang w:eastAsia="fr-BE"/>
        </w:rPr>
        <w:t xml:space="preserve"> and the ECB) managed to frame it as a fiscal</w:t>
      </w:r>
      <w:r w:rsidR="00F94A18">
        <w:rPr>
          <w:lang w:eastAsia="fr-BE"/>
        </w:rPr>
        <w:t xml:space="preserve">, </w:t>
      </w:r>
      <w:r w:rsidRPr="00DF427A">
        <w:rPr>
          <w:lang w:eastAsia="fr-BE"/>
        </w:rPr>
        <w:t xml:space="preserve">budgetary </w:t>
      </w:r>
      <w:r w:rsidR="00F94A18">
        <w:rPr>
          <w:lang w:eastAsia="fr-BE"/>
        </w:rPr>
        <w:t>and competiveness</w:t>
      </w:r>
      <w:r w:rsidR="00F94A18" w:rsidRPr="00DF427A">
        <w:rPr>
          <w:lang w:eastAsia="fr-BE"/>
        </w:rPr>
        <w:t xml:space="preserve"> </w:t>
      </w:r>
      <w:r w:rsidRPr="00DF427A">
        <w:rPr>
          <w:lang w:eastAsia="fr-BE"/>
        </w:rPr>
        <w:t xml:space="preserve">crisis, caused by reckless borrowing in the euro area periphery. This framing provided justifications for the implementation of </w:t>
      </w:r>
      <w:r w:rsidR="00F94A18">
        <w:rPr>
          <w:lang w:eastAsia="fr-BE"/>
        </w:rPr>
        <w:t xml:space="preserve">structural reforms and </w:t>
      </w:r>
      <w:r w:rsidRPr="00DF427A">
        <w:rPr>
          <w:lang w:eastAsia="fr-BE"/>
        </w:rPr>
        <w:t>austerity measures against the provision of financial loans in the periphery. In other words, the initial framing of the crisis exposed a clear victory of the partisans of fiscal rules in their battle of ideas against the proponents of more budgetary integration.</w:t>
      </w:r>
    </w:p>
    <w:p w14:paraId="737B1E3C" w14:textId="521EFCFB" w:rsidR="00DF427A" w:rsidRPr="000F7FAC" w:rsidRDefault="00DF427A" w:rsidP="007E0B7F">
      <w:pPr>
        <w:pStyle w:val="Sansinterligne"/>
        <w:spacing w:before="120" w:after="120"/>
        <w:jc w:val="both"/>
        <w:rPr>
          <w:i/>
          <w:lang w:val="en-GB"/>
        </w:rPr>
      </w:pPr>
      <w:r w:rsidRPr="000F7FAC">
        <w:rPr>
          <w:i/>
          <w:lang w:val="en-GB"/>
        </w:rPr>
        <w:t>2</w:t>
      </w:r>
      <w:r w:rsidR="000F7FAC">
        <w:rPr>
          <w:i/>
          <w:lang w:val="en-GB"/>
        </w:rPr>
        <w:t>.2</w:t>
      </w:r>
      <w:r w:rsidRPr="000F7FAC">
        <w:rPr>
          <w:i/>
          <w:lang w:val="en-GB"/>
        </w:rPr>
        <w:t xml:space="preserve"> </w:t>
      </w:r>
      <w:r w:rsidR="000F7FAC">
        <w:rPr>
          <w:i/>
          <w:lang w:val="en-GB"/>
        </w:rPr>
        <w:tab/>
      </w:r>
      <w:r w:rsidRPr="000F7FAC">
        <w:rPr>
          <w:i/>
          <w:lang w:val="en-GB"/>
        </w:rPr>
        <w:t>Between austerity and stabili</w:t>
      </w:r>
      <w:r w:rsidR="004C7564">
        <w:rPr>
          <w:i/>
          <w:lang w:val="en-GB"/>
        </w:rPr>
        <w:t>s</w:t>
      </w:r>
      <w:r w:rsidRPr="000F7FAC">
        <w:rPr>
          <w:i/>
          <w:lang w:val="en-GB"/>
        </w:rPr>
        <w:t>ation measures</w:t>
      </w:r>
    </w:p>
    <w:p w14:paraId="5543DF6D" w14:textId="189B5D3B" w:rsidR="00DF427A" w:rsidRPr="00DF427A" w:rsidRDefault="00DF427A" w:rsidP="007E0B7F">
      <w:pPr>
        <w:pStyle w:val="Sansinterligne"/>
        <w:jc w:val="both"/>
        <w:rPr>
          <w:lang w:val="en-GB" w:eastAsia="fr-BE"/>
        </w:rPr>
      </w:pPr>
      <w:r w:rsidRPr="00DF427A">
        <w:rPr>
          <w:lang w:val="en-GB" w:eastAsia="fr-BE"/>
        </w:rPr>
        <w:t>Euro</w:t>
      </w:r>
      <w:r w:rsidR="00151DD7">
        <w:rPr>
          <w:lang w:val="en-GB" w:eastAsia="fr-BE"/>
        </w:rPr>
        <w:t xml:space="preserve"> area</w:t>
      </w:r>
      <w:r w:rsidRPr="00DF427A">
        <w:rPr>
          <w:lang w:val="en-GB" w:eastAsia="fr-BE"/>
        </w:rPr>
        <w:t xml:space="preserve"> negotiators quickly reali</w:t>
      </w:r>
      <w:r w:rsidR="00687874">
        <w:rPr>
          <w:lang w:val="en-GB" w:eastAsia="fr-BE"/>
        </w:rPr>
        <w:t>s</w:t>
      </w:r>
      <w:r w:rsidRPr="00DF427A">
        <w:rPr>
          <w:lang w:val="en-GB" w:eastAsia="fr-BE"/>
        </w:rPr>
        <w:t>ed that the mechanisms set up to stabili</w:t>
      </w:r>
      <w:r w:rsidR="004C7564">
        <w:rPr>
          <w:lang w:val="en-GB" w:eastAsia="fr-BE"/>
        </w:rPr>
        <w:t>s</w:t>
      </w:r>
      <w:r w:rsidRPr="00DF427A">
        <w:rPr>
          <w:lang w:val="en-GB" w:eastAsia="fr-BE"/>
        </w:rPr>
        <w:t xml:space="preserve">e Greece were not enough to dispel concerns about the sustainability of the </w:t>
      </w:r>
      <w:r w:rsidR="00180715">
        <w:rPr>
          <w:lang w:val="en-GB" w:eastAsia="fr-BE"/>
        </w:rPr>
        <w:t>euro area</w:t>
      </w:r>
      <w:r w:rsidRPr="00DF427A">
        <w:rPr>
          <w:lang w:val="en-GB" w:eastAsia="fr-BE"/>
        </w:rPr>
        <w:t xml:space="preserve"> institutional design. The raising spreads</w:t>
      </w:r>
      <w:r w:rsidR="00072463">
        <w:rPr>
          <w:rStyle w:val="Appeldenotedefin"/>
          <w:rFonts w:cs="Times New Roman"/>
          <w:szCs w:val="24"/>
          <w:lang w:val="en-GB" w:eastAsia="fr-BE"/>
        </w:rPr>
        <w:endnoteReference w:id="5"/>
      </w:r>
      <w:r w:rsidR="00072463" w:rsidRPr="00DF427A">
        <w:rPr>
          <w:lang w:val="en-GB" w:eastAsia="fr-BE"/>
        </w:rPr>
        <w:t xml:space="preserve"> </w:t>
      </w:r>
      <w:r w:rsidRPr="00DF427A">
        <w:rPr>
          <w:lang w:val="en-GB" w:eastAsia="fr-BE"/>
        </w:rPr>
        <w:t>between the core and peripheral countries made it clear that financial contagion would only stop if there were credible stabili</w:t>
      </w:r>
      <w:r w:rsidR="004C7564">
        <w:rPr>
          <w:lang w:val="en-GB" w:eastAsia="fr-BE"/>
        </w:rPr>
        <w:t>s</w:t>
      </w:r>
      <w:r w:rsidRPr="00DF427A">
        <w:rPr>
          <w:lang w:val="en-GB" w:eastAsia="fr-BE"/>
        </w:rPr>
        <w:t>ing mechanisms in the euro area (</w:t>
      </w:r>
      <w:r w:rsidR="005E580A" w:rsidRPr="00DF427A">
        <w:rPr>
          <w:lang w:val="en-GB" w:eastAsia="fr-BE"/>
        </w:rPr>
        <w:t>Gabor</w:t>
      </w:r>
      <w:r w:rsidR="005E580A">
        <w:rPr>
          <w:lang w:val="en-GB" w:eastAsia="fr-BE"/>
        </w:rPr>
        <w:t xml:space="preserve"> &amp; </w:t>
      </w:r>
      <w:r w:rsidR="005E580A" w:rsidRPr="00DF427A">
        <w:rPr>
          <w:lang w:val="en-GB" w:eastAsia="fr-BE"/>
        </w:rPr>
        <w:t>Ban</w:t>
      </w:r>
      <w:r w:rsidR="00E334C5">
        <w:rPr>
          <w:lang w:val="en-GB" w:eastAsia="fr-BE"/>
        </w:rPr>
        <w:t>,</w:t>
      </w:r>
      <w:r w:rsidR="005E580A">
        <w:rPr>
          <w:lang w:val="en-GB" w:eastAsia="fr-BE"/>
        </w:rPr>
        <w:t xml:space="preserve"> </w:t>
      </w:r>
      <w:r w:rsidR="005E580A" w:rsidRPr="00DF427A">
        <w:rPr>
          <w:lang w:val="en-GB" w:eastAsia="fr-BE"/>
        </w:rPr>
        <w:t>2016</w:t>
      </w:r>
      <w:r w:rsidRPr="00DF427A">
        <w:rPr>
          <w:lang w:val="en-GB" w:eastAsia="fr-BE"/>
        </w:rPr>
        <w:t xml:space="preserve">). Against this background, on May 7, 2010, Jean-Claude Trichet, the ECB </w:t>
      </w:r>
      <w:r w:rsidR="00F94A18">
        <w:rPr>
          <w:lang w:val="en-GB" w:eastAsia="fr-BE"/>
        </w:rPr>
        <w:t>president</w:t>
      </w:r>
      <w:r w:rsidR="00F94A18" w:rsidRPr="00DF427A">
        <w:rPr>
          <w:lang w:val="en-GB" w:eastAsia="fr-BE"/>
        </w:rPr>
        <w:t xml:space="preserve"> </w:t>
      </w:r>
      <w:r w:rsidRPr="00DF427A">
        <w:rPr>
          <w:lang w:val="en-GB" w:eastAsia="fr-BE"/>
        </w:rPr>
        <w:t>at the time, warned the euro area head of states that if they would not find a common rescue solution in the next days, the financial stress on euro area peripheral sovereign debt would trigger another banking collapse in Europe (Gocaj &amp; Meunier</w:t>
      </w:r>
      <w:r w:rsidR="00E334C5">
        <w:rPr>
          <w:lang w:val="en-GB" w:eastAsia="fr-BE"/>
        </w:rPr>
        <w:t>,</w:t>
      </w:r>
      <w:r w:rsidRPr="00DF427A">
        <w:rPr>
          <w:lang w:val="en-GB" w:eastAsia="fr-BE"/>
        </w:rPr>
        <w:t xml:space="preserve"> 2013). This warning pushed euro area negotiators to agree over the following weekend (7-9 May 2010) on a €440bn rescue mechanism (the European Financial Stability Facility</w:t>
      </w:r>
      <w:r w:rsidR="00E334C5">
        <w:rPr>
          <w:lang w:val="en-GB" w:eastAsia="fr-BE"/>
        </w:rPr>
        <w:t>/</w:t>
      </w:r>
      <w:r w:rsidRPr="00DF427A">
        <w:rPr>
          <w:lang w:val="en-GB" w:eastAsia="fr-BE"/>
        </w:rPr>
        <w:t>EFSF), which completed the announcement of the f</w:t>
      </w:r>
      <w:r w:rsidR="00180715">
        <w:rPr>
          <w:lang w:val="en-GB" w:eastAsia="fr-BE"/>
        </w:rPr>
        <w:t>irst ECB asset purchase program</w:t>
      </w:r>
      <w:r w:rsidRPr="00DF427A">
        <w:rPr>
          <w:lang w:val="en-GB" w:eastAsia="fr-BE"/>
        </w:rPr>
        <w:t xml:space="preserve"> (Securities Market Program</w:t>
      </w:r>
      <w:r w:rsidR="00180715">
        <w:rPr>
          <w:lang w:val="en-GB" w:eastAsia="fr-BE"/>
        </w:rPr>
        <w:t>me</w:t>
      </w:r>
      <w:r w:rsidRPr="00DF427A">
        <w:rPr>
          <w:lang w:val="en-GB" w:eastAsia="fr-BE"/>
        </w:rPr>
        <w:t>).</w:t>
      </w:r>
    </w:p>
    <w:p w14:paraId="0ADB3DDC" w14:textId="0C4F2CE4" w:rsidR="002331F9" w:rsidRDefault="00DF427A" w:rsidP="007E0B7F">
      <w:pPr>
        <w:jc w:val="both"/>
        <w:rPr>
          <w:lang w:eastAsia="fr-BE"/>
        </w:rPr>
      </w:pPr>
      <w:r w:rsidRPr="00DF427A">
        <w:rPr>
          <w:lang w:eastAsia="fr-BE"/>
        </w:rPr>
        <w:t xml:space="preserve">However, the provision of the EFSF credit lines and the activation of the ECB purchases was conditional to the implementation of austerity measures, written down in MoUs and </w:t>
      </w:r>
      <w:r w:rsidR="00F94A18" w:rsidRPr="00DF427A">
        <w:rPr>
          <w:lang w:eastAsia="fr-BE"/>
        </w:rPr>
        <w:t>over</w:t>
      </w:r>
      <w:r w:rsidR="00F94A18">
        <w:rPr>
          <w:lang w:eastAsia="fr-BE"/>
        </w:rPr>
        <w:t>seen</w:t>
      </w:r>
      <w:r w:rsidR="00F94A18" w:rsidRPr="00DF427A">
        <w:rPr>
          <w:lang w:eastAsia="fr-BE"/>
        </w:rPr>
        <w:t xml:space="preserve"> </w:t>
      </w:r>
      <w:r w:rsidRPr="00DF427A">
        <w:rPr>
          <w:lang w:eastAsia="fr-BE"/>
        </w:rPr>
        <w:t>by the “Troika” expert groups. This strategy of “constructive ambiguity</w:t>
      </w:r>
      <w:r w:rsidR="00F94A18">
        <w:rPr>
          <w:rStyle w:val="Appeldenotedefin"/>
          <w:lang w:eastAsia="fr-BE"/>
        </w:rPr>
        <w:endnoteReference w:id="6"/>
      </w:r>
      <w:r w:rsidRPr="00DF427A">
        <w:rPr>
          <w:lang w:eastAsia="fr-BE"/>
        </w:rPr>
        <w:t>” shows that euro area leaders found a balance between two logics: strengthening the regime of fiscal austerity in Europe and building up stabilization mechanisms (Crespy &amp; Vanheuverzwijn</w:t>
      </w:r>
      <w:r w:rsidR="00E334C5">
        <w:rPr>
          <w:lang w:eastAsia="fr-BE"/>
        </w:rPr>
        <w:t>,</w:t>
      </w:r>
      <w:r w:rsidRPr="00DF427A">
        <w:rPr>
          <w:lang w:eastAsia="fr-BE"/>
        </w:rPr>
        <w:t xml:space="preserve"> 2019). Financial loans conditioned </w:t>
      </w:r>
      <w:r w:rsidR="00F94A18">
        <w:rPr>
          <w:lang w:eastAsia="fr-BE"/>
        </w:rPr>
        <w:t>on</w:t>
      </w:r>
      <w:r w:rsidR="00F94A18" w:rsidRPr="00DF427A">
        <w:rPr>
          <w:lang w:eastAsia="fr-BE"/>
        </w:rPr>
        <w:t xml:space="preserve"> </w:t>
      </w:r>
      <w:r w:rsidRPr="00DF427A">
        <w:rPr>
          <w:lang w:eastAsia="fr-BE"/>
        </w:rPr>
        <w:t>the implementation of austerity measures written down in MoUs were used in Ireland (2010), Spain (2012), Portugal (2011), Cyprus (2013) and three times in Greece (2010, 2012, 2</w:t>
      </w:r>
      <w:r w:rsidR="00151DD7">
        <w:rPr>
          <w:lang w:eastAsia="fr-BE"/>
        </w:rPr>
        <w:t>015).</w:t>
      </w:r>
    </w:p>
    <w:p w14:paraId="27DF4DB6" w14:textId="1D06B4EC" w:rsidR="00DF427A" w:rsidRPr="00DF427A" w:rsidRDefault="0067178B" w:rsidP="007E0B7F">
      <w:pPr>
        <w:jc w:val="both"/>
        <w:rPr>
          <w:lang w:eastAsia="fr-BE"/>
        </w:rPr>
      </w:pPr>
      <w:r>
        <w:rPr>
          <w:lang w:eastAsia="fr-BE"/>
        </w:rPr>
        <w:t>T</w:t>
      </w:r>
      <w:r w:rsidR="00DE52BD">
        <w:rPr>
          <w:lang w:eastAsia="fr-BE"/>
        </w:rPr>
        <w:t>he implementation of austerity measures in the</w:t>
      </w:r>
      <w:r>
        <w:rPr>
          <w:lang w:eastAsia="fr-BE"/>
        </w:rPr>
        <w:t xml:space="preserve"> bailed-out </w:t>
      </w:r>
      <w:r w:rsidR="00DE52BD">
        <w:rPr>
          <w:lang w:eastAsia="fr-BE"/>
        </w:rPr>
        <w:t xml:space="preserve">countries varied according to different levels of </w:t>
      </w:r>
      <w:r>
        <w:rPr>
          <w:lang w:eastAsia="fr-BE"/>
        </w:rPr>
        <w:t xml:space="preserve">ideational convergence, </w:t>
      </w:r>
      <w:r w:rsidR="00DE52BD">
        <w:rPr>
          <w:lang w:eastAsia="fr-BE"/>
        </w:rPr>
        <w:t>coalition building</w:t>
      </w:r>
      <w:r>
        <w:rPr>
          <w:lang w:eastAsia="fr-BE"/>
        </w:rPr>
        <w:t xml:space="preserve"> and</w:t>
      </w:r>
      <w:r w:rsidR="00DE52BD">
        <w:rPr>
          <w:lang w:eastAsia="fr-BE"/>
        </w:rPr>
        <w:t xml:space="preserve"> administrative capacities (Hardiman et al., 2019). </w:t>
      </w:r>
      <w:r w:rsidR="000839E0">
        <w:rPr>
          <w:lang w:eastAsia="fr-BE"/>
        </w:rPr>
        <w:t xml:space="preserve">In Ireland and Portugal, pro-reform ministers used loan conditionality to pass measures that were not asked by the </w:t>
      </w:r>
      <w:r w:rsidR="00180715">
        <w:rPr>
          <w:lang w:eastAsia="fr-BE"/>
        </w:rPr>
        <w:t>“</w:t>
      </w:r>
      <w:r w:rsidR="000839E0">
        <w:rPr>
          <w:lang w:eastAsia="fr-BE"/>
        </w:rPr>
        <w:t>Troika</w:t>
      </w:r>
      <w:r w:rsidR="00180715">
        <w:rPr>
          <w:lang w:eastAsia="fr-BE"/>
        </w:rPr>
        <w:t>”</w:t>
      </w:r>
      <w:r w:rsidR="000839E0">
        <w:rPr>
          <w:lang w:eastAsia="fr-BE"/>
        </w:rPr>
        <w:t xml:space="preserve"> but that they wanted </w:t>
      </w:r>
      <w:r w:rsidR="00180715">
        <w:rPr>
          <w:lang w:eastAsia="fr-BE"/>
        </w:rPr>
        <w:t xml:space="preserve">to implement </w:t>
      </w:r>
      <w:r w:rsidR="000839E0">
        <w:rPr>
          <w:lang w:eastAsia="fr-BE"/>
        </w:rPr>
        <w:t>for a long time whereas, in Greece, the lack of administrative capacity and the antagonist strategy of the S</w:t>
      </w:r>
      <w:r w:rsidR="00180715">
        <w:rPr>
          <w:lang w:eastAsia="fr-BE"/>
        </w:rPr>
        <w:t>YRIZA</w:t>
      </w:r>
      <w:r w:rsidR="000839E0">
        <w:rPr>
          <w:lang w:eastAsia="fr-BE"/>
        </w:rPr>
        <w:t xml:space="preserve"> government slowed down reforms (Moury et al., 2021). </w:t>
      </w:r>
      <w:r w:rsidR="002331F9">
        <w:rPr>
          <w:lang w:eastAsia="fr-BE"/>
        </w:rPr>
        <w:t xml:space="preserve">The economic performances of the countries that had to implement these rescue plans were also not uniform. Whereas Irish rapid recovery was often used as an example of the success of the </w:t>
      </w:r>
      <w:r w:rsidR="00180715">
        <w:rPr>
          <w:lang w:eastAsia="fr-BE"/>
        </w:rPr>
        <w:t>“</w:t>
      </w:r>
      <w:r w:rsidR="002331F9">
        <w:rPr>
          <w:lang w:eastAsia="fr-BE"/>
        </w:rPr>
        <w:t>Troika</w:t>
      </w:r>
      <w:r w:rsidR="00180715">
        <w:rPr>
          <w:lang w:eastAsia="fr-BE"/>
        </w:rPr>
        <w:t>”</w:t>
      </w:r>
      <w:r w:rsidR="002331F9">
        <w:rPr>
          <w:lang w:eastAsia="fr-BE"/>
        </w:rPr>
        <w:t xml:space="preserve"> strategy, it was mostly caused by exogenous factors such as its already existing export growth model (</w:t>
      </w:r>
      <w:r w:rsidR="002331F9">
        <w:rPr>
          <w:rFonts w:cs="Times New Roman"/>
          <w:bCs/>
          <w:szCs w:val="24"/>
          <w:lang w:eastAsia="fr-BE"/>
        </w:rPr>
        <w:t xml:space="preserve">Brazys </w:t>
      </w:r>
      <w:r w:rsidR="00482933">
        <w:rPr>
          <w:rFonts w:cs="Times New Roman"/>
          <w:bCs/>
          <w:szCs w:val="24"/>
          <w:lang w:eastAsia="fr-BE"/>
        </w:rPr>
        <w:t>&amp;</w:t>
      </w:r>
      <w:r w:rsidR="002331F9">
        <w:rPr>
          <w:rFonts w:cs="Times New Roman"/>
          <w:bCs/>
          <w:szCs w:val="24"/>
          <w:lang w:eastAsia="fr-BE"/>
        </w:rPr>
        <w:t xml:space="preserve"> </w:t>
      </w:r>
      <w:r w:rsidR="002331F9" w:rsidRPr="00570E24">
        <w:rPr>
          <w:rFonts w:cs="Times New Roman"/>
          <w:bCs/>
          <w:szCs w:val="24"/>
          <w:lang w:eastAsia="fr-BE"/>
        </w:rPr>
        <w:t>Regan</w:t>
      </w:r>
      <w:r w:rsidR="00A150E3">
        <w:rPr>
          <w:rFonts w:cs="Times New Roman"/>
          <w:bCs/>
          <w:szCs w:val="24"/>
          <w:lang w:eastAsia="fr-BE"/>
        </w:rPr>
        <w:t>,</w:t>
      </w:r>
      <w:r w:rsidR="002331F9" w:rsidRPr="00570E24">
        <w:rPr>
          <w:rFonts w:cs="Times New Roman"/>
          <w:bCs/>
          <w:szCs w:val="24"/>
          <w:lang w:eastAsia="fr-BE"/>
        </w:rPr>
        <w:t xml:space="preserve"> 2017</w:t>
      </w:r>
      <w:r w:rsidR="002331F9">
        <w:rPr>
          <w:rFonts w:cs="Times New Roman"/>
          <w:bCs/>
          <w:szCs w:val="24"/>
          <w:lang w:eastAsia="fr-BE"/>
        </w:rPr>
        <w:t>).</w:t>
      </w:r>
      <w:r w:rsidR="002331F9">
        <w:rPr>
          <w:lang w:eastAsia="fr-BE"/>
        </w:rPr>
        <w:t xml:space="preserve"> </w:t>
      </w:r>
      <w:r w:rsidR="00151DD7">
        <w:rPr>
          <w:lang w:eastAsia="fr-BE"/>
        </w:rPr>
        <w:t xml:space="preserve">In </w:t>
      </w:r>
      <w:r w:rsidR="004C0322">
        <w:rPr>
          <w:lang w:eastAsia="fr-BE"/>
        </w:rPr>
        <w:t>Greece</w:t>
      </w:r>
      <w:r w:rsidR="00151DD7">
        <w:rPr>
          <w:lang w:eastAsia="fr-BE"/>
        </w:rPr>
        <w:t xml:space="preserve">, loans </w:t>
      </w:r>
      <w:r w:rsidR="00DF427A" w:rsidRPr="00DF427A">
        <w:rPr>
          <w:lang w:eastAsia="fr-BE"/>
        </w:rPr>
        <w:t>were mostly used to reimburse existing loans rather than to moderni</w:t>
      </w:r>
      <w:r w:rsidR="00687874">
        <w:rPr>
          <w:lang w:eastAsia="fr-BE"/>
        </w:rPr>
        <w:t>s</w:t>
      </w:r>
      <w:r w:rsidR="00DF427A" w:rsidRPr="00DF427A">
        <w:rPr>
          <w:lang w:eastAsia="fr-BE"/>
        </w:rPr>
        <w:t xml:space="preserve">e </w:t>
      </w:r>
      <w:r w:rsidR="002331F9">
        <w:rPr>
          <w:lang w:eastAsia="fr-BE"/>
        </w:rPr>
        <w:t xml:space="preserve">its </w:t>
      </w:r>
      <w:r w:rsidR="00DF427A" w:rsidRPr="00DF427A">
        <w:rPr>
          <w:lang w:eastAsia="fr-BE"/>
        </w:rPr>
        <w:t xml:space="preserve">ailing </w:t>
      </w:r>
      <w:r w:rsidR="002331F9" w:rsidRPr="00DF427A">
        <w:rPr>
          <w:lang w:eastAsia="fr-BE"/>
        </w:rPr>
        <w:t>econom</w:t>
      </w:r>
      <w:r w:rsidR="002331F9">
        <w:rPr>
          <w:lang w:eastAsia="fr-BE"/>
        </w:rPr>
        <w:t>ic system</w:t>
      </w:r>
      <w:r w:rsidR="00DF427A" w:rsidRPr="00DF427A">
        <w:rPr>
          <w:lang w:eastAsia="fr-BE"/>
        </w:rPr>
        <w:t xml:space="preserve">: only 5% of the two first bailouts funds were directed towards its national budget </w:t>
      </w:r>
      <w:r>
        <w:rPr>
          <w:lang w:eastAsia="fr-BE"/>
        </w:rPr>
        <w:t xml:space="preserve">and Greek growth remained lacklustre </w:t>
      </w:r>
      <w:r w:rsidR="00DF427A" w:rsidRPr="00DF427A">
        <w:rPr>
          <w:lang w:eastAsia="fr-BE"/>
        </w:rPr>
        <w:t>(Ro</w:t>
      </w:r>
      <w:r w:rsidR="00E8620B">
        <w:rPr>
          <w:lang w:eastAsia="fr-BE"/>
        </w:rPr>
        <w:t>o</w:t>
      </w:r>
      <w:r w:rsidR="00DF427A" w:rsidRPr="00DF427A">
        <w:rPr>
          <w:lang w:eastAsia="fr-BE"/>
        </w:rPr>
        <w:t>s</w:t>
      </w:r>
      <w:r w:rsidR="00E334C5">
        <w:rPr>
          <w:lang w:eastAsia="fr-BE"/>
        </w:rPr>
        <w:t>,</w:t>
      </w:r>
      <w:r w:rsidR="00DF427A" w:rsidRPr="00DF427A">
        <w:rPr>
          <w:lang w:eastAsia="fr-BE"/>
        </w:rPr>
        <w:t xml:space="preserve"> 2019). In other words, the main aim of the emergency measures taken to “rescue” the euro area periphery was to stabilise the banking systems of core powers rather than helping these struggling countries to regain competitiveness.</w:t>
      </w:r>
    </w:p>
    <w:p w14:paraId="3CB51549" w14:textId="676E45EB" w:rsidR="00DF427A" w:rsidRPr="00DF427A" w:rsidRDefault="00DF427A" w:rsidP="007E0B7F">
      <w:pPr>
        <w:jc w:val="both"/>
        <w:rPr>
          <w:lang w:eastAsia="fr-BE"/>
        </w:rPr>
      </w:pPr>
      <w:r w:rsidRPr="00DF427A">
        <w:rPr>
          <w:lang w:eastAsia="fr-BE"/>
        </w:rPr>
        <w:t>These emergency measures were institutionali</w:t>
      </w:r>
      <w:r w:rsidR="00687874">
        <w:rPr>
          <w:lang w:eastAsia="fr-BE"/>
        </w:rPr>
        <w:t>s</w:t>
      </w:r>
      <w:r w:rsidRPr="00DF427A">
        <w:rPr>
          <w:lang w:eastAsia="fr-BE"/>
        </w:rPr>
        <w:t>ed, with larger and permanent structures built along these initial lines (Braun</w:t>
      </w:r>
      <w:r w:rsidR="004C7564">
        <w:rPr>
          <w:lang w:eastAsia="fr-BE"/>
        </w:rPr>
        <w:t>,</w:t>
      </w:r>
      <w:r w:rsidRPr="00DF427A">
        <w:rPr>
          <w:lang w:eastAsia="fr-BE"/>
        </w:rPr>
        <w:t xml:space="preserve"> 2015): the EFSF was substituted by the European Stability Mechanism (ESM) in 2013 while the ECB</w:t>
      </w:r>
      <w:r w:rsidR="00F94A18">
        <w:rPr>
          <w:lang w:eastAsia="fr-BE"/>
        </w:rPr>
        <w:t xml:space="preserve"> under </w:t>
      </w:r>
      <w:r w:rsidR="00180715">
        <w:rPr>
          <w:lang w:eastAsia="fr-BE"/>
        </w:rPr>
        <w:t xml:space="preserve">Mario </w:t>
      </w:r>
      <w:r w:rsidR="00F94A18">
        <w:rPr>
          <w:lang w:eastAsia="fr-BE"/>
        </w:rPr>
        <w:t>Draghi</w:t>
      </w:r>
      <w:r w:rsidRPr="00DF427A">
        <w:rPr>
          <w:lang w:eastAsia="fr-BE"/>
        </w:rPr>
        <w:t xml:space="preserve"> claimed that it </w:t>
      </w:r>
      <w:r w:rsidR="00F94A18" w:rsidRPr="00DF427A">
        <w:rPr>
          <w:lang w:eastAsia="fr-BE"/>
        </w:rPr>
        <w:t>w</w:t>
      </w:r>
      <w:r w:rsidR="00F94A18">
        <w:rPr>
          <w:lang w:eastAsia="fr-BE"/>
        </w:rPr>
        <w:t xml:space="preserve">ould </w:t>
      </w:r>
      <w:r w:rsidRPr="00DF427A">
        <w:rPr>
          <w:lang w:eastAsia="fr-BE"/>
        </w:rPr>
        <w:t>do “whatever it takes” to stabili</w:t>
      </w:r>
      <w:r w:rsidR="00687874">
        <w:rPr>
          <w:lang w:eastAsia="fr-BE"/>
        </w:rPr>
        <w:t>s</w:t>
      </w:r>
      <w:r w:rsidRPr="00DF427A">
        <w:rPr>
          <w:lang w:eastAsia="fr-BE"/>
        </w:rPr>
        <w:t xml:space="preserve">e the </w:t>
      </w:r>
      <w:r w:rsidR="00AD4D52">
        <w:rPr>
          <w:lang w:eastAsia="fr-BE"/>
        </w:rPr>
        <w:t>euro</w:t>
      </w:r>
      <w:r w:rsidRPr="00DF427A">
        <w:rPr>
          <w:lang w:eastAsia="fr-BE"/>
        </w:rPr>
        <w:t xml:space="preserve"> in 2012 and activated large scale asset purchases in 2015 (Quantitative Easing). More generally, the double logic of austerity measures and stabili</w:t>
      </w:r>
      <w:r w:rsidR="004C7564">
        <w:rPr>
          <w:lang w:eastAsia="fr-BE"/>
        </w:rPr>
        <w:t>s</w:t>
      </w:r>
      <w:r w:rsidRPr="00DF427A">
        <w:rPr>
          <w:lang w:eastAsia="fr-BE"/>
        </w:rPr>
        <w:t>ation mechanisms shaped the reforms of the euro area between 2010 and 2015. On the one hand, fiscal surveillance was strengthened with the implementation of the European Semester and the Treaty on Stabilization Coordination and Governance (TSCG) in 2010 and 2012, respectively. On the other hand, stabili</w:t>
      </w:r>
      <w:r w:rsidR="004C7564">
        <w:rPr>
          <w:lang w:eastAsia="fr-BE"/>
        </w:rPr>
        <w:t>s</w:t>
      </w:r>
      <w:r w:rsidRPr="00DF427A">
        <w:rPr>
          <w:lang w:eastAsia="fr-BE"/>
        </w:rPr>
        <w:t>ation mechanisms were improved with the creation of the Banking Union in 2014 and the establishment of the European Fund for Strategic Investments in 2015. These two strands of re</w:t>
      </w:r>
      <w:r w:rsidR="00151DD7">
        <w:rPr>
          <w:lang w:eastAsia="fr-BE"/>
        </w:rPr>
        <w:t>forms were deeply intertwined during</w:t>
      </w:r>
      <w:r w:rsidRPr="00DF427A">
        <w:rPr>
          <w:lang w:eastAsia="fr-BE"/>
        </w:rPr>
        <w:t xml:space="preserve"> </w:t>
      </w:r>
      <w:r w:rsidR="00151DD7">
        <w:rPr>
          <w:lang w:eastAsia="fr-BE"/>
        </w:rPr>
        <w:t>the</w:t>
      </w:r>
      <w:r w:rsidR="00180715">
        <w:rPr>
          <w:lang w:eastAsia="fr-BE"/>
        </w:rPr>
        <w:t xml:space="preserve"> negotiations</w:t>
      </w:r>
      <w:r w:rsidRPr="00DF427A">
        <w:rPr>
          <w:lang w:eastAsia="fr-BE"/>
        </w:rPr>
        <w:t>. For example, France accepted the TSCG because it was part of a Franco-German compromise whereby Germany accepted the creation of the Banking Union (Fontan &amp; Saurugger</w:t>
      </w:r>
      <w:r w:rsidR="00E334C5">
        <w:rPr>
          <w:lang w:eastAsia="fr-BE"/>
        </w:rPr>
        <w:t>,</w:t>
      </w:r>
      <w:r w:rsidRPr="00DF427A">
        <w:rPr>
          <w:lang w:eastAsia="fr-BE"/>
        </w:rPr>
        <w:t xml:space="preserve"> 2019). </w:t>
      </w:r>
      <w:r w:rsidR="00151DD7">
        <w:rPr>
          <w:lang w:eastAsia="fr-BE"/>
        </w:rPr>
        <w:t xml:space="preserve">Germany dictated the pace of reforms </w:t>
      </w:r>
      <w:r w:rsidRPr="00DF427A">
        <w:rPr>
          <w:lang w:eastAsia="fr-BE"/>
        </w:rPr>
        <w:t>as it reluctantly agreed on stabili</w:t>
      </w:r>
      <w:r w:rsidR="004C7564">
        <w:rPr>
          <w:lang w:eastAsia="fr-BE"/>
        </w:rPr>
        <w:t>s</w:t>
      </w:r>
      <w:r w:rsidRPr="00DF427A">
        <w:rPr>
          <w:lang w:eastAsia="fr-BE"/>
        </w:rPr>
        <w:t>ation mechanisms and made it clear that they should be tied with stricter fiscal rules (Howarth &amp; Schild, 2021).</w:t>
      </w:r>
    </w:p>
    <w:p w14:paraId="09FE6704" w14:textId="2EF289EF" w:rsidR="00DF427A" w:rsidRDefault="00DF427A" w:rsidP="007E0B7F">
      <w:pPr>
        <w:jc w:val="both"/>
        <w:rPr>
          <w:lang w:eastAsia="fr-BE"/>
        </w:rPr>
      </w:pPr>
      <w:r w:rsidRPr="00DF427A">
        <w:rPr>
          <w:lang w:eastAsia="fr-BE"/>
        </w:rPr>
        <w:t>This combination reflects well the sets of incentives and constraints of core and peripheral countries. On the one hand, core countries needed to stabili</w:t>
      </w:r>
      <w:r w:rsidR="00687874">
        <w:rPr>
          <w:lang w:eastAsia="fr-BE"/>
        </w:rPr>
        <w:t>s</w:t>
      </w:r>
      <w:r w:rsidRPr="00DF427A">
        <w:rPr>
          <w:lang w:eastAsia="fr-BE"/>
        </w:rPr>
        <w:t>e the euro area peripheral sovereign debt to avoid a collapse of their banking system and, ultimately of the single currency itself. However, core euro states negotiators were constrained by domestic factors: their electoral constituenc</w:t>
      </w:r>
      <w:r w:rsidR="00180715">
        <w:rPr>
          <w:lang w:eastAsia="fr-BE"/>
        </w:rPr>
        <w:t xml:space="preserve">ies </w:t>
      </w:r>
      <w:r w:rsidRPr="00DF427A">
        <w:rPr>
          <w:lang w:eastAsia="fr-BE"/>
        </w:rPr>
        <w:t xml:space="preserve">refused debt mutualisation and fiscal transfers. This refusal was driven by </w:t>
      </w:r>
      <w:r w:rsidR="008534CF" w:rsidRPr="00DF427A">
        <w:rPr>
          <w:lang w:eastAsia="fr-BE"/>
        </w:rPr>
        <w:t>long</w:t>
      </w:r>
      <w:r w:rsidR="00F94A18">
        <w:rPr>
          <w:lang w:eastAsia="fr-BE"/>
        </w:rPr>
        <w:t>-standing</w:t>
      </w:r>
      <w:r w:rsidRPr="00DF427A">
        <w:rPr>
          <w:lang w:eastAsia="fr-BE"/>
        </w:rPr>
        <w:t xml:space="preserve"> positions against a “transfer union” and by the framing of the euro area crisis, which highlighted the so-called fiscal profligacy of peripheral states. On the other hand, peripheral countries tried to avoid the implementation of austerity measures because of their </w:t>
      </w:r>
      <w:r w:rsidR="0067178B">
        <w:rPr>
          <w:lang w:eastAsia="fr-BE"/>
        </w:rPr>
        <w:t xml:space="preserve">large </w:t>
      </w:r>
      <w:r w:rsidRPr="00DF427A">
        <w:rPr>
          <w:lang w:eastAsia="fr-BE"/>
        </w:rPr>
        <w:t>social, economic and political costs (Stuckler &amp; Basu, 2013). Yet, they did not have much room for manoeuvre as the euro area credit lines and the ECB interventions quickly became their only way to refinance themselves at sustainable interest rates</w:t>
      </w:r>
      <w:r w:rsidR="004136C6">
        <w:rPr>
          <w:lang w:eastAsia="fr-BE"/>
        </w:rPr>
        <w:t xml:space="preserve">. </w:t>
      </w:r>
      <w:r w:rsidR="004136C6" w:rsidRPr="004136C6">
        <w:t>From this perspective, the combination of austerity and stabili</w:t>
      </w:r>
      <w:r w:rsidR="004C7564">
        <w:t>s</w:t>
      </w:r>
      <w:r w:rsidR="004136C6" w:rsidRPr="004136C6">
        <w:t>ation mechanisms made political sense, albeit it was self-defeating from an economic point of view because austerity measures prevented a fast and strong economic recovery in peripheral countries</w:t>
      </w:r>
      <w:r w:rsidRPr="00DF427A">
        <w:rPr>
          <w:lang w:eastAsia="fr-BE"/>
        </w:rPr>
        <w:t xml:space="preserve"> (Schelk</w:t>
      </w:r>
      <w:r w:rsidR="00E8620B">
        <w:rPr>
          <w:lang w:eastAsia="fr-BE"/>
        </w:rPr>
        <w:t>l</w:t>
      </w:r>
      <w:r w:rsidRPr="00DF427A">
        <w:rPr>
          <w:lang w:eastAsia="fr-BE"/>
        </w:rPr>
        <w:t>e</w:t>
      </w:r>
      <w:r w:rsidR="00E334C5">
        <w:rPr>
          <w:lang w:eastAsia="fr-BE"/>
        </w:rPr>
        <w:t>,</w:t>
      </w:r>
      <w:r w:rsidRPr="00DF427A">
        <w:rPr>
          <w:lang w:eastAsia="fr-BE"/>
        </w:rPr>
        <w:t xml:space="preserve"> 2013</w:t>
      </w:r>
      <w:r w:rsidR="00E334C5">
        <w:rPr>
          <w:lang w:eastAsia="fr-BE"/>
        </w:rPr>
        <w:t>;</w:t>
      </w:r>
      <w:r w:rsidRPr="00DF427A">
        <w:rPr>
          <w:lang w:eastAsia="fr-BE"/>
        </w:rPr>
        <w:t xml:space="preserve"> Ma</w:t>
      </w:r>
      <w:r w:rsidR="0078259F">
        <w:rPr>
          <w:lang w:eastAsia="fr-BE"/>
        </w:rPr>
        <w:t>t</w:t>
      </w:r>
      <w:r w:rsidRPr="00DF427A">
        <w:rPr>
          <w:lang w:eastAsia="fr-BE"/>
        </w:rPr>
        <w:t>thijs &amp; Blyth, 2018).</w:t>
      </w:r>
    </w:p>
    <w:p w14:paraId="7FC2C197" w14:textId="29A24F25" w:rsidR="00F21A60" w:rsidRPr="00F21A60" w:rsidRDefault="000F7FAC" w:rsidP="007E0B7F">
      <w:pPr>
        <w:pStyle w:val="Sansinterligne"/>
        <w:spacing w:before="120" w:after="120"/>
        <w:jc w:val="both"/>
        <w:rPr>
          <w:rFonts w:cs="Times New Roman"/>
          <w:szCs w:val="24"/>
          <w:u w:val="single"/>
          <w:lang w:val="en-GB" w:eastAsia="fr-BE"/>
        </w:rPr>
      </w:pPr>
      <w:r>
        <w:rPr>
          <w:rFonts w:cs="Times New Roman"/>
          <w:szCs w:val="24"/>
          <w:u w:val="single"/>
          <w:lang w:val="en-GB" w:eastAsia="fr-BE"/>
        </w:rPr>
        <w:t>2.</w:t>
      </w:r>
      <w:r w:rsidR="00F21A60" w:rsidRPr="00F21A60">
        <w:rPr>
          <w:rFonts w:cs="Times New Roman"/>
          <w:szCs w:val="24"/>
          <w:u w:val="single"/>
          <w:lang w:val="en-GB" w:eastAsia="fr-BE"/>
        </w:rPr>
        <w:t xml:space="preserve">3 </w:t>
      </w:r>
      <w:r>
        <w:rPr>
          <w:rFonts w:cs="Times New Roman"/>
          <w:szCs w:val="24"/>
          <w:u w:val="single"/>
          <w:lang w:val="en-GB" w:eastAsia="fr-BE"/>
        </w:rPr>
        <w:tab/>
      </w:r>
      <w:r w:rsidR="00F21A60" w:rsidRPr="00F21A60">
        <w:rPr>
          <w:rFonts w:cs="Times New Roman"/>
          <w:szCs w:val="24"/>
          <w:u w:val="single"/>
          <w:lang w:val="en-GB" w:eastAsia="fr-BE"/>
        </w:rPr>
        <w:t xml:space="preserve">The political impact of the </w:t>
      </w:r>
      <w:r w:rsidR="00F94A18">
        <w:rPr>
          <w:rFonts w:cs="Times New Roman"/>
          <w:szCs w:val="24"/>
          <w:u w:val="single"/>
          <w:lang w:val="en-GB" w:eastAsia="fr-BE"/>
        </w:rPr>
        <w:t>response</w:t>
      </w:r>
      <w:r w:rsidR="00F94A18" w:rsidRPr="00F21A60">
        <w:rPr>
          <w:rFonts w:cs="Times New Roman"/>
          <w:szCs w:val="24"/>
          <w:u w:val="single"/>
          <w:lang w:val="en-GB" w:eastAsia="fr-BE"/>
        </w:rPr>
        <w:t xml:space="preserve"> </w:t>
      </w:r>
      <w:r w:rsidR="00F21A60" w:rsidRPr="00F21A60">
        <w:rPr>
          <w:rFonts w:cs="Times New Roman"/>
          <w:szCs w:val="24"/>
          <w:u w:val="single"/>
          <w:lang w:val="en-GB" w:eastAsia="fr-BE"/>
        </w:rPr>
        <w:t xml:space="preserve">to the euro area crisis </w:t>
      </w:r>
    </w:p>
    <w:p w14:paraId="6D89C673" w14:textId="4D2BAB2C" w:rsidR="00DF427A" w:rsidRPr="00DF427A" w:rsidRDefault="00F21A60" w:rsidP="007E0B7F">
      <w:pPr>
        <w:pStyle w:val="Sansinterligne"/>
        <w:jc w:val="both"/>
        <w:rPr>
          <w:rFonts w:cs="Times New Roman"/>
          <w:szCs w:val="24"/>
          <w:lang w:val="en-GB" w:eastAsia="fr-BE"/>
        </w:rPr>
      </w:pPr>
      <w:r>
        <w:rPr>
          <w:rFonts w:cs="Times New Roman"/>
          <w:szCs w:val="24"/>
          <w:lang w:val="en-GB" w:eastAsia="fr-BE"/>
        </w:rPr>
        <w:t>T</w:t>
      </w:r>
      <w:r w:rsidR="00DF427A" w:rsidRPr="00DF427A">
        <w:rPr>
          <w:rFonts w:cs="Times New Roman"/>
          <w:szCs w:val="24"/>
          <w:lang w:val="en-GB" w:eastAsia="fr-BE"/>
        </w:rPr>
        <w:t xml:space="preserve">he initial framing and the political </w:t>
      </w:r>
      <w:r w:rsidR="00F94A18">
        <w:rPr>
          <w:rFonts w:cs="Times New Roman"/>
          <w:szCs w:val="24"/>
          <w:lang w:val="en-GB" w:eastAsia="fr-BE"/>
        </w:rPr>
        <w:t>response</w:t>
      </w:r>
      <w:r w:rsidR="00F94A18" w:rsidRPr="00DF427A">
        <w:rPr>
          <w:rFonts w:cs="Times New Roman"/>
          <w:szCs w:val="24"/>
          <w:lang w:val="en-GB" w:eastAsia="fr-BE"/>
        </w:rPr>
        <w:t xml:space="preserve"> </w:t>
      </w:r>
      <w:r w:rsidR="00DF427A" w:rsidRPr="00DF427A">
        <w:rPr>
          <w:rFonts w:cs="Times New Roman"/>
          <w:szCs w:val="24"/>
          <w:lang w:val="en-GB" w:eastAsia="fr-BE"/>
        </w:rPr>
        <w:t xml:space="preserve">to the crisis led to a </w:t>
      </w:r>
      <w:r w:rsidR="00A55C99">
        <w:rPr>
          <w:rFonts w:cs="Times New Roman"/>
          <w:szCs w:val="24"/>
          <w:lang w:val="en-GB" w:eastAsia="fr-BE"/>
        </w:rPr>
        <w:t>“</w:t>
      </w:r>
      <w:r w:rsidR="00DF427A" w:rsidRPr="00DF427A">
        <w:rPr>
          <w:rFonts w:cs="Times New Roman"/>
          <w:szCs w:val="24"/>
          <w:lang w:val="en-GB" w:eastAsia="fr-BE"/>
        </w:rPr>
        <w:t>culturalisation</w:t>
      </w:r>
      <w:r w:rsidR="00F94A18">
        <w:rPr>
          <w:rFonts w:cs="Times New Roman"/>
          <w:szCs w:val="24"/>
          <w:lang w:val="en-GB" w:eastAsia="fr-BE"/>
        </w:rPr>
        <w:t>”</w:t>
      </w:r>
      <w:r w:rsidR="00DF427A" w:rsidRPr="00DF427A">
        <w:rPr>
          <w:rFonts w:cs="Times New Roman"/>
          <w:szCs w:val="24"/>
          <w:lang w:val="en-GB" w:eastAsia="fr-BE"/>
        </w:rPr>
        <w:t xml:space="preserve"> of the economic situation of the peripheral states, which obscured the complex financial mechanisms that caused the financial imbalances to the profit of a moral understanding of the crisis (Dyson</w:t>
      </w:r>
      <w:r w:rsidR="00A150E3">
        <w:rPr>
          <w:rFonts w:cs="Times New Roman"/>
          <w:szCs w:val="24"/>
          <w:lang w:val="en-GB" w:eastAsia="fr-BE"/>
        </w:rPr>
        <w:t>,</w:t>
      </w:r>
      <w:r w:rsidR="00DF427A" w:rsidRPr="00DF427A">
        <w:rPr>
          <w:rFonts w:cs="Times New Roman"/>
          <w:szCs w:val="24"/>
          <w:lang w:val="en-GB" w:eastAsia="fr-BE"/>
        </w:rPr>
        <w:t xml:space="preserve"> 2014). This </w:t>
      </w:r>
      <w:r w:rsidR="00F94A18">
        <w:rPr>
          <w:rFonts w:cs="Times New Roman"/>
          <w:szCs w:val="24"/>
          <w:lang w:val="en-GB" w:eastAsia="fr-BE"/>
        </w:rPr>
        <w:t>“</w:t>
      </w:r>
      <w:r w:rsidR="00DF427A" w:rsidRPr="00DF427A">
        <w:rPr>
          <w:rFonts w:cs="Times New Roman"/>
          <w:szCs w:val="24"/>
          <w:lang w:val="en-GB" w:eastAsia="fr-BE"/>
        </w:rPr>
        <w:t>culturalisation</w:t>
      </w:r>
      <w:r w:rsidR="00F94A18">
        <w:rPr>
          <w:rFonts w:cs="Times New Roman"/>
          <w:szCs w:val="24"/>
          <w:lang w:val="en-GB" w:eastAsia="fr-BE"/>
        </w:rPr>
        <w:t>”</w:t>
      </w:r>
      <w:r w:rsidR="00DF427A" w:rsidRPr="00DF427A">
        <w:rPr>
          <w:rFonts w:cs="Times New Roman"/>
          <w:szCs w:val="24"/>
          <w:lang w:val="en-GB" w:eastAsia="fr-BE"/>
        </w:rPr>
        <w:t xml:space="preserve"> is driven by scapegoating discourses, which pin the responsibility of the crisis on the “moral” behaviour of citizens living in the euro area periphery (Mylonas, 2012). These discourses were performed by political elites in both core and peripheral countries. On the one hand, elites in creditor countries promoted financial loans as an “act of solidarity” while justifying austerity as a necessary mean to restore economic competitiveness in the euro area periphery after years of fiscal profligacy (Closa &amp; Maat</w:t>
      </w:r>
      <w:r w:rsidR="00EE08E2">
        <w:rPr>
          <w:rFonts w:cs="Times New Roman"/>
          <w:szCs w:val="24"/>
          <w:lang w:val="en-GB" w:eastAsia="fr-BE"/>
        </w:rPr>
        <w:t>s</w:t>
      </w:r>
      <w:r w:rsidR="00DF427A" w:rsidRPr="00DF427A">
        <w:rPr>
          <w:rFonts w:cs="Times New Roman"/>
          <w:szCs w:val="24"/>
          <w:lang w:val="en-GB" w:eastAsia="fr-BE"/>
        </w:rPr>
        <w:t>ch</w:t>
      </w:r>
      <w:r w:rsidR="00E334C5">
        <w:rPr>
          <w:rFonts w:cs="Times New Roman"/>
          <w:szCs w:val="24"/>
          <w:lang w:val="en-GB" w:eastAsia="fr-BE"/>
        </w:rPr>
        <w:t>,</w:t>
      </w:r>
      <w:r w:rsidR="00DF427A" w:rsidRPr="00DF427A">
        <w:rPr>
          <w:rFonts w:cs="Times New Roman"/>
          <w:szCs w:val="24"/>
          <w:lang w:val="en-GB" w:eastAsia="fr-BE"/>
        </w:rPr>
        <w:t xml:space="preserve"> 2014</w:t>
      </w:r>
      <w:r w:rsidR="00E334C5">
        <w:rPr>
          <w:rFonts w:cs="Times New Roman"/>
          <w:szCs w:val="24"/>
          <w:lang w:val="en-GB" w:eastAsia="fr-BE"/>
        </w:rPr>
        <w:t>;</w:t>
      </w:r>
      <w:r w:rsidR="00DF427A" w:rsidRPr="00DF427A">
        <w:rPr>
          <w:rFonts w:cs="Times New Roman"/>
          <w:szCs w:val="24"/>
          <w:lang w:val="en-GB" w:eastAsia="fr-BE"/>
        </w:rPr>
        <w:t xml:space="preserve"> Wallascheck</w:t>
      </w:r>
      <w:r w:rsidR="00E334C5">
        <w:rPr>
          <w:rFonts w:cs="Times New Roman"/>
          <w:szCs w:val="24"/>
          <w:lang w:val="en-GB" w:eastAsia="fr-BE"/>
        </w:rPr>
        <w:t>,</w:t>
      </w:r>
      <w:r w:rsidR="00DF427A" w:rsidRPr="00DF427A">
        <w:rPr>
          <w:rFonts w:cs="Times New Roman"/>
          <w:szCs w:val="24"/>
          <w:lang w:val="en-GB" w:eastAsia="fr-BE"/>
        </w:rPr>
        <w:t xml:space="preserve"> 2020). For example, Jeroen Dijsselbloem, president of the Eurogroup, claimed that the “countries of the North have shown solidarity with the countries affected by the crisis </w:t>
      </w:r>
      <w:r w:rsidR="005246C9">
        <w:rPr>
          <w:rFonts w:cs="Times New Roman"/>
          <w:szCs w:val="24"/>
          <w:lang w:val="en-GB" w:eastAsia="fr-BE"/>
        </w:rPr>
        <w:t>[</w:t>
      </w:r>
      <w:r w:rsidR="00DF427A" w:rsidRPr="00DF427A">
        <w:rPr>
          <w:rFonts w:cs="Times New Roman"/>
          <w:szCs w:val="24"/>
          <w:lang w:val="en-GB" w:eastAsia="fr-BE"/>
        </w:rPr>
        <w:t>…</w:t>
      </w:r>
      <w:r w:rsidR="005246C9">
        <w:rPr>
          <w:rFonts w:cs="Times New Roman"/>
          <w:szCs w:val="24"/>
          <w:lang w:val="en-GB" w:eastAsia="fr-BE"/>
        </w:rPr>
        <w:t>],</w:t>
      </w:r>
      <w:r w:rsidR="00DF427A" w:rsidRPr="00DF427A">
        <w:rPr>
          <w:rFonts w:cs="Times New Roman"/>
          <w:szCs w:val="24"/>
          <w:lang w:val="en-GB" w:eastAsia="fr-BE"/>
        </w:rPr>
        <w:t xml:space="preserve"> but you also have obligations. You cannot spend all the money on drinks and women and then ask for help</w:t>
      </w:r>
      <w:r w:rsidR="00072463" w:rsidRPr="00DF427A">
        <w:rPr>
          <w:rFonts w:cs="Times New Roman"/>
          <w:szCs w:val="24"/>
          <w:lang w:val="en-GB" w:eastAsia="fr-BE"/>
        </w:rPr>
        <w:t>.</w:t>
      </w:r>
      <w:r w:rsidR="00DF427A" w:rsidRPr="00DF427A">
        <w:rPr>
          <w:rFonts w:cs="Times New Roman"/>
          <w:szCs w:val="24"/>
          <w:lang w:val="en-GB" w:eastAsia="fr-BE"/>
        </w:rPr>
        <w:t>”</w:t>
      </w:r>
      <w:r w:rsidR="00E334C5" w:rsidRPr="00E334C5">
        <w:rPr>
          <w:rStyle w:val="Appeldenotedefin"/>
          <w:rFonts w:cs="Times New Roman"/>
          <w:szCs w:val="24"/>
          <w:lang w:val="en-GB" w:eastAsia="fr-BE"/>
        </w:rPr>
        <w:t xml:space="preserve"> </w:t>
      </w:r>
      <w:r w:rsidR="00E334C5">
        <w:rPr>
          <w:rStyle w:val="Appeldenotedefin"/>
          <w:rFonts w:cs="Times New Roman"/>
          <w:szCs w:val="24"/>
          <w:lang w:val="en-GB" w:eastAsia="fr-BE"/>
        </w:rPr>
        <w:endnoteReference w:id="7"/>
      </w:r>
      <w:r w:rsidR="00DF427A" w:rsidRPr="00DF427A">
        <w:rPr>
          <w:rFonts w:cs="Times New Roman"/>
          <w:szCs w:val="24"/>
          <w:lang w:val="en-GB" w:eastAsia="fr-BE"/>
        </w:rPr>
        <w:t xml:space="preserve"> On the other hand, domestic elites in </w:t>
      </w:r>
      <w:r>
        <w:rPr>
          <w:rFonts w:cs="Times New Roman"/>
          <w:szCs w:val="24"/>
          <w:lang w:val="en-GB" w:eastAsia="fr-BE"/>
        </w:rPr>
        <w:t>peripheral</w:t>
      </w:r>
      <w:r w:rsidR="00DF427A" w:rsidRPr="00DF427A">
        <w:rPr>
          <w:rFonts w:cs="Times New Roman"/>
          <w:szCs w:val="24"/>
          <w:lang w:val="en-GB" w:eastAsia="fr-BE"/>
        </w:rPr>
        <w:t xml:space="preserve"> countries were caught between a rock and a hard </w:t>
      </w:r>
      <w:r w:rsidR="000C42FE">
        <w:rPr>
          <w:rFonts w:cs="Times New Roman"/>
          <w:szCs w:val="24"/>
          <w:lang w:val="en-GB" w:eastAsia="fr-BE"/>
        </w:rPr>
        <w:t>place</w:t>
      </w:r>
      <w:r w:rsidR="008534CF">
        <w:rPr>
          <w:rFonts w:cs="Times New Roman"/>
          <w:szCs w:val="24"/>
          <w:lang w:val="en-GB" w:eastAsia="fr-BE"/>
        </w:rPr>
        <w:t>,</w:t>
      </w:r>
      <w:r w:rsidR="00DF427A" w:rsidRPr="00DF427A">
        <w:rPr>
          <w:rFonts w:cs="Times New Roman"/>
          <w:szCs w:val="24"/>
          <w:lang w:val="en-GB" w:eastAsia="fr-BE"/>
        </w:rPr>
        <w:t xml:space="preserve"> as they needed to legitimi</w:t>
      </w:r>
      <w:r w:rsidR="004C7564">
        <w:rPr>
          <w:rFonts w:cs="Times New Roman"/>
          <w:szCs w:val="24"/>
          <w:lang w:val="en-GB" w:eastAsia="fr-BE"/>
        </w:rPr>
        <w:t>s</w:t>
      </w:r>
      <w:r w:rsidR="00DF427A" w:rsidRPr="00DF427A">
        <w:rPr>
          <w:rFonts w:cs="Times New Roman"/>
          <w:szCs w:val="24"/>
          <w:lang w:val="en-GB" w:eastAsia="fr-BE"/>
        </w:rPr>
        <w:t>e unpopular austerity decisions that symboli</w:t>
      </w:r>
      <w:r w:rsidR="004C7564">
        <w:rPr>
          <w:rFonts w:cs="Times New Roman"/>
          <w:szCs w:val="24"/>
          <w:lang w:val="en-GB" w:eastAsia="fr-BE"/>
        </w:rPr>
        <w:t>s</w:t>
      </w:r>
      <w:r w:rsidR="00DF427A" w:rsidRPr="00DF427A">
        <w:rPr>
          <w:rFonts w:cs="Times New Roman"/>
          <w:szCs w:val="24"/>
          <w:lang w:val="en-GB" w:eastAsia="fr-BE"/>
        </w:rPr>
        <w:t xml:space="preserve">ed a loss of sovereignty. </w:t>
      </w:r>
      <w:r>
        <w:rPr>
          <w:rFonts w:cs="Times New Roman"/>
          <w:szCs w:val="24"/>
          <w:lang w:val="en-GB" w:eastAsia="fr-BE"/>
        </w:rPr>
        <w:t>To do so</w:t>
      </w:r>
      <w:r w:rsidR="00DF427A" w:rsidRPr="00DF427A">
        <w:rPr>
          <w:rFonts w:cs="Times New Roman"/>
          <w:szCs w:val="24"/>
          <w:lang w:val="en-GB" w:eastAsia="fr-BE"/>
        </w:rPr>
        <w:t>, they depolitici</w:t>
      </w:r>
      <w:r w:rsidR="004C7564">
        <w:rPr>
          <w:rFonts w:cs="Times New Roman"/>
          <w:szCs w:val="24"/>
          <w:lang w:val="en-GB" w:eastAsia="fr-BE"/>
        </w:rPr>
        <w:t>s</w:t>
      </w:r>
      <w:r w:rsidR="00DF427A" w:rsidRPr="00DF427A">
        <w:rPr>
          <w:rFonts w:cs="Times New Roman"/>
          <w:szCs w:val="24"/>
          <w:lang w:val="en-GB" w:eastAsia="fr-BE"/>
        </w:rPr>
        <w:t>ed the crisis resolution process as they framed austerity as a “remedy” to heal their “sick” economies (Bor</w:t>
      </w:r>
      <w:r w:rsidR="00EE08E2">
        <w:rPr>
          <w:rFonts w:cs="Times New Roman"/>
          <w:szCs w:val="24"/>
          <w:lang w:val="en-GB" w:eastAsia="fr-BE"/>
        </w:rPr>
        <w:t>r</w:t>
      </w:r>
      <w:r w:rsidR="00DF427A" w:rsidRPr="00DF427A">
        <w:rPr>
          <w:rFonts w:cs="Times New Roman"/>
          <w:szCs w:val="24"/>
          <w:lang w:val="en-GB" w:eastAsia="fr-BE"/>
        </w:rPr>
        <w:t>iello</w:t>
      </w:r>
      <w:r w:rsidR="004C7564">
        <w:rPr>
          <w:rFonts w:cs="Times New Roman"/>
          <w:szCs w:val="24"/>
          <w:lang w:val="en-GB" w:eastAsia="fr-BE"/>
        </w:rPr>
        <w:t>,</w:t>
      </w:r>
      <w:r w:rsidR="00DF427A" w:rsidRPr="00DF427A">
        <w:rPr>
          <w:rFonts w:cs="Times New Roman"/>
          <w:szCs w:val="24"/>
          <w:lang w:val="en-GB" w:eastAsia="fr-BE"/>
        </w:rPr>
        <w:t xml:space="preserve"> 2017). In turn, the </w:t>
      </w:r>
      <w:r w:rsidR="00F94A18">
        <w:rPr>
          <w:rFonts w:cs="Times New Roman"/>
          <w:szCs w:val="24"/>
          <w:lang w:val="en-GB" w:eastAsia="fr-BE"/>
        </w:rPr>
        <w:t>“</w:t>
      </w:r>
      <w:r w:rsidR="00DF427A" w:rsidRPr="00DF427A">
        <w:rPr>
          <w:rFonts w:cs="Times New Roman"/>
          <w:szCs w:val="24"/>
          <w:lang w:val="en-GB" w:eastAsia="fr-BE"/>
        </w:rPr>
        <w:t>culturalisation</w:t>
      </w:r>
      <w:r w:rsidR="00F94A18">
        <w:rPr>
          <w:rFonts w:cs="Times New Roman"/>
          <w:szCs w:val="24"/>
          <w:lang w:val="en-GB" w:eastAsia="fr-BE"/>
        </w:rPr>
        <w:t>”</w:t>
      </w:r>
      <w:r w:rsidR="00DF427A" w:rsidRPr="00DF427A">
        <w:rPr>
          <w:rFonts w:cs="Times New Roman"/>
          <w:szCs w:val="24"/>
          <w:lang w:val="en-GB" w:eastAsia="fr-BE"/>
        </w:rPr>
        <w:t xml:space="preserve"> of the crisis constrained the room of manoeuvre of negotiators during the crisis resolution process as domestic constituencies became increasingly polari</w:t>
      </w:r>
      <w:r w:rsidR="004C7564">
        <w:rPr>
          <w:rFonts w:cs="Times New Roman"/>
          <w:szCs w:val="24"/>
          <w:lang w:val="en-GB" w:eastAsia="fr-BE"/>
        </w:rPr>
        <w:t>s</w:t>
      </w:r>
      <w:r w:rsidR="00DF427A" w:rsidRPr="00DF427A">
        <w:rPr>
          <w:rFonts w:cs="Times New Roman"/>
          <w:szCs w:val="24"/>
          <w:lang w:val="en-GB" w:eastAsia="fr-BE"/>
        </w:rPr>
        <w:t>ed against each other and increasingly refused austerity measures or stabili</w:t>
      </w:r>
      <w:r w:rsidR="004C7564">
        <w:rPr>
          <w:rFonts w:cs="Times New Roman"/>
          <w:szCs w:val="24"/>
          <w:lang w:val="en-GB" w:eastAsia="fr-BE"/>
        </w:rPr>
        <w:t>s</w:t>
      </w:r>
      <w:r w:rsidR="00DF427A" w:rsidRPr="00DF427A">
        <w:rPr>
          <w:rFonts w:cs="Times New Roman"/>
          <w:szCs w:val="24"/>
          <w:lang w:val="en-GB" w:eastAsia="fr-BE"/>
        </w:rPr>
        <w:t>ation mechanisms (Crespy &amp; Schmidt</w:t>
      </w:r>
      <w:r w:rsidR="005246C9">
        <w:rPr>
          <w:rFonts w:cs="Times New Roman"/>
          <w:szCs w:val="24"/>
          <w:lang w:val="en-GB" w:eastAsia="fr-BE"/>
        </w:rPr>
        <w:t>,</w:t>
      </w:r>
      <w:r w:rsidR="00DF427A" w:rsidRPr="00DF427A">
        <w:rPr>
          <w:rFonts w:cs="Times New Roman"/>
          <w:szCs w:val="24"/>
          <w:lang w:val="en-GB" w:eastAsia="fr-BE"/>
        </w:rPr>
        <w:t xml:space="preserve"> 2014).</w:t>
      </w:r>
    </w:p>
    <w:p w14:paraId="598F08B6" w14:textId="0880CB6D" w:rsidR="00DF427A" w:rsidRPr="00DF427A" w:rsidRDefault="00F21A60" w:rsidP="007E0B7F">
      <w:pPr>
        <w:jc w:val="both"/>
        <w:rPr>
          <w:lang w:eastAsia="fr-BE"/>
        </w:rPr>
      </w:pPr>
      <w:r>
        <w:rPr>
          <w:lang w:eastAsia="fr-BE"/>
        </w:rPr>
        <w:t>Moreover, t</w:t>
      </w:r>
      <w:r w:rsidR="00DF427A" w:rsidRPr="00DF427A">
        <w:rPr>
          <w:lang w:eastAsia="fr-BE"/>
        </w:rPr>
        <w:t xml:space="preserve">he institutionalisation of the euro area </w:t>
      </w:r>
      <w:r w:rsidR="00BD3D77">
        <w:rPr>
          <w:lang w:eastAsia="fr-BE"/>
        </w:rPr>
        <w:t>response</w:t>
      </w:r>
      <w:r w:rsidR="00BD3D77" w:rsidRPr="00DF427A">
        <w:rPr>
          <w:lang w:eastAsia="fr-BE"/>
        </w:rPr>
        <w:t xml:space="preserve"> </w:t>
      </w:r>
      <w:r w:rsidR="00DF427A" w:rsidRPr="00DF427A">
        <w:rPr>
          <w:lang w:eastAsia="fr-BE"/>
        </w:rPr>
        <w:t>to the crisis led to political resistanc</w:t>
      </w:r>
      <w:r w:rsidR="00BD3D77">
        <w:rPr>
          <w:lang w:eastAsia="fr-BE"/>
        </w:rPr>
        <w:t>e</w:t>
      </w:r>
      <w:r w:rsidR="00DF427A" w:rsidRPr="00DF427A">
        <w:rPr>
          <w:lang w:eastAsia="fr-BE"/>
        </w:rPr>
        <w:t xml:space="preserve"> in euro area states as citizens felt that their demands and interests have not been respected. In the periphery, citizens were protesting against the</w:t>
      </w:r>
      <w:r w:rsidR="005B5F26">
        <w:rPr>
          <w:lang w:eastAsia="fr-BE"/>
        </w:rPr>
        <w:t xml:space="preserve"> framing of the crisis and the </w:t>
      </w:r>
      <w:r w:rsidR="00DF427A" w:rsidRPr="00DF427A">
        <w:rPr>
          <w:lang w:eastAsia="fr-BE"/>
        </w:rPr>
        <w:t>imposition of austerity measures, which caused democratic and societal damages, in addition to a loss of national sovereignty (</w:t>
      </w:r>
      <w:r w:rsidR="00035B3A">
        <w:rPr>
          <w:lang w:eastAsia="fr-BE"/>
        </w:rPr>
        <w:t>d</w:t>
      </w:r>
      <w:r w:rsidR="00DF427A" w:rsidRPr="00DF427A">
        <w:rPr>
          <w:lang w:eastAsia="fr-BE"/>
        </w:rPr>
        <w:t>ella Porta</w:t>
      </w:r>
      <w:r w:rsidR="00B42F0A">
        <w:rPr>
          <w:lang w:eastAsia="fr-BE"/>
        </w:rPr>
        <w:t xml:space="preserve"> </w:t>
      </w:r>
      <w:r w:rsidR="00A150E3">
        <w:rPr>
          <w:lang w:eastAsia="fr-BE"/>
        </w:rPr>
        <w:t>&amp;</w:t>
      </w:r>
      <w:r w:rsidR="00B42F0A">
        <w:rPr>
          <w:lang w:eastAsia="fr-BE"/>
        </w:rPr>
        <w:t xml:space="preserve"> Parks, 2016</w:t>
      </w:r>
      <w:r w:rsidR="00DF427A" w:rsidRPr="00DF427A">
        <w:rPr>
          <w:lang w:eastAsia="fr-BE"/>
        </w:rPr>
        <w:t xml:space="preserve">). Besides, plaintiffs in Italy, Spain and Portugal challenged the austerity measures in front of their constitutional courts, albeit with </w:t>
      </w:r>
      <w:r w:rsidR="003269E9">
        <w:rPr>
          <w:lang w:eastAsia="fr-BE"/>
        </w:rPr>
        <w:t>mixed</w:t>
      </w:r>
      <w:r w:rsidR="003269E9" w:rsidRPr="00DF427A">
        <w:rPr>
          <w:lang w:eastAsia="fr-BE"/>
        </w:rPr>
        <w:t xml:space="preserve"> </w:t>
      </w:r>
      <w:r w:rsidR="00DF427A" w:rsidRPr="00DF427A">
        <w:rPr>
          <w:lang w:eastAsia="fr-BE"/>
        </w:rPr>
        <w:t>success</w:t>
      </w:r>
      <w:r w:rsidR="00E06441">
        <w:rPr>
          <w:lang w:eastAsia="fr-BE"/>
        </w:rPr>
        <w:t>: the Portuguese c</w:t>
      </w:r>
      <w:r w:rsidR="00B23D90">
        <w:rPr>
          <w:lang w:eastAsia="fr-BE"/>
        </w:rPr>
        <w:t xml:space="preserve">ourt was the only one to </w:t>
      </w:r>
      <w:r w:rsidR="004C0322">
        <w:rPr>
          <w:lang w:eastAsia="fr-BE"/>
        </w:rPr>
        <w:t>found illegal many</w:t>
      </w:r>
      <w:r w:rsidR="00B23D90">
        <w:rPr>
          <w:lang w:eastAsia="fr-BE"/>
        </w:rPr>
        <w:t xml:space="preserve"> of the austerity measures written down in the MoUs</w:t>
      </w:r>
      <w:r w:rsidR="00DF427A" w:rsidRPr="00DF427A">
        <w:rPr>
          <w:lang w:eastAsia="fr-BE"/>
        </w:rPr>
        <w:t xml:space="preserve"> (Sa</w:t>
      </w:r>
      <w:r>
        <w:rPr>
          <w:lang w:eastAsia="fr-BE"/>
        </w:rPr>
        <w:t>urugger &amp; Fontan, 2019).</w:t>
      </w:r>
      <w:r w:rsidR="003269E9">
        <w:rPr>
          <w:lang w:eastAsia="fr-BE"/>
        </w:rPr>
        <w:t xml:space="preserve"> </w:t>
      </w:r>
      <w:r>
        <w:rPr>
          <w:lang w:eastAsia="fr-BE"/>
        </w:rPr>
        <w:t xml:space="preserve">In </w:t>
      </w:r>
      <w:r w:rsidR="00DF427A" w:rsidRPr="00DF427A">
        <w:rPr>
          <w:lang w:eastAsia="fr-BE"/>
        </w:rPr>
        <w:t xml:space="preserve">core countries, such as Germany and </w:t>
      </w:r>
      <w:r w:rsidR="00BD3D77">
        <w:rPr>
          <w:lang w:eastAsia="fr-BE"/>
        </w:rPr>
        <w:t xml:space="preserve">the </w:t>
      </w:r>
      <w:r w:rsidR="00DF427A" w:rsidRPr="00DF427A">
        <w:rPr>
          <w:lang w:eastAsia="fr-BE"/>
        </w:rPr>
        <w:t xml:space="preserve">Netherlands, citizens worried about the risks of moral hazard and inflation </w:t>
      </w:r>
      <w:r>
        <w:rPr>
          <w:lang w:eastAsia="fr-BE"/>
        </w:rPr>
        <w:t>linked with</w:t>
      </w:r>
      <w:r w:rsidR="00DF427A" w:rsidRPr="00DF427A">
        <w:rPr>
          <w:lang w:eastAsia="fr-BE"/>
        </w:rPr>
        <w:t xml:space="preserve"> the stabilisation mechanisms and the ECB asset purchase programmes. These concerns stem directly from the historical construction of German preferences about the EMU (cf. section 1). In fact, a group of German ordo-liberal activists challenged every ECB asset purchase program and stabilisation mechanisms in front of the Federal Constitutional </w:t>
      </w:r>
      <w:r w:rsidR="005246C9">
        <w:rPr>
          <w:lang w:eastAsia="fr-BE"/>
        </w:rPr>
        <w:t>C</w:t>
      </w:r>
      <w:r w:rsidR="005246C9" w:rsidRPr="00DF427A">
        <w:rPr>
          <w:lang w:eastAsia="fr-BE"/>
        </w:rPr>
        <w:t xml:space="preserve">ourt </w:t>
      </w:r>
      <w:r w:rsidR="00DF427A" w:rsidRPr="00DF427A">
        <w:rPr>
          <w:lang w:eastAsia="fr-BE"/>
        </w:rPr>
        <w:t>(de Cabanes &amp; Fontan</w:t>
      </w:r>
      <w:r w:rsidR="005246C9">
        <w:rPr>
          <w:lang w:eastAsia="fr-BE"/>
        </w:rPr>
        <w:t>,</w:t>
      </w:r>
      <w:r w:rsidR="00DF427A" w:rsidRPr="00DF427A">
        <w:rPr>
          <w:lang w:eastAsia="fr-BE"/>
        </w:rPr>
        <w:t xml:space="preserve"> 2019). Their legal challenges were in line with previous </w:t>
      </w:r>
      <w:r w:rsidR="00BD3D77">
        <w:rPr>
          <w:lang w:eastAsia="fr-BE"/>
        </w:rPr>
        <w:t>opposition to</w:t>
      </w:r>
      <w:r w:rsidR="00DF427A" w:rsidRPr="00DF427A">
        <w:rPr>
          <w:lang w:eastAsia="fr-BE"/>
        </w:rPr>
        <w:t xml:space="preserve"> the creation of the EMU and strongly informed by ordo-liberal principles.</w:t>
      </w:r>
    </w:p>
    <w:p w14:paraId="5F4E0D59" w14:textId="4A4ED7AE" w:rsidR="00DF427A" w:rsidRPr="00DF427A" w:rsidRDefault="00DF427A" w:rsidP="007E0B7F">
      <w:pPr>
        <w:jc w:val="both"/>
        <w:rPr>
          <w:lang w:eastAsia="fr-BE"/>
        </w:rPr>
      </w:pPr>
      <w:r w:rsidRPr="00DF427A">
        <w:rPr>
          <w:lang w:eastAsia="fr-BE"/>
        </w:rPr>
        <w:t>Finally, the measures taken to answer the euro area crisis had strong political consequences in both core and peripheral states. Indeed, the politics of conditionality attached to the financial loans have undermined incumbent governments to the benefit of protest parties (Hopkin</w:t>
      </w:r>
      <w:r w:rsidR="005246C9">
        <w:rPr>
          <w:lang w:eastAsia="fr-BE"/>
        </w:rPr>
        <w:t>,</w:t>
      </w:r>
      <w:r w:rsidRPr="00DF427A">
        <w:rPr>
          <w:lang w:eastAsia="fr-BE"/>
        </w:rPr>
        <w:t xml:space="preserve"> 2020). For example, euro area leaders and the ECB forced Silvio Berlusconi, the former Italian Prime Minister, to resign in October 2011 because he did not implement well enough the conditionality measures attached to the ECB purchases of its sovereign debt, and he was quickly </w:t>
      </w:r>
      <w:r w:rsidR="00BD3D77">
        <w:rPr>
          <w:lang w:eastAsia="fr-BE"/>
        </w:rPr>
        <w:t>succeeded</w:t>
      </w:r>
      <w:r w:rsidR="00BD3D77" w:rsidRPr="00DF427A">
        <w:rPr>
          <w:lang w:eastAsia="fr-BE"/>
        </w:rPr>
        <w:t xml:space="preserve"> </w:t>
      </w:r>
      <w:r w:rsidRPr="00DF427A">
        <w:rPr>
          <w:lang w:eastAsia="fr-BE"/>
        </w:rPr>
        <w:t>by Mario Monti, a former E</w:t>
      </w:r>
      <w:r w:rsidR="000246B7">
        <w:rPr>
          <w:lang w:eastAsia="fr-BE"/>
        </w:rPr>
        <w:t>uropean c</w:t>
      </w:r>
      <w:r w:rsidRPr="00DF427A">
        <w:rPr>
          <w:lang w:eastAsia="fr-BE"/>
        </w:rPr>
        <w:t>ommissioner (Fontan</w:t>
      </w:r>
      <w:r w:rsidR="005246C9">
        <w:rPr>
          <w:lang w:eastAsia="fr-BE"/>
        </w:rPr>
        <w:t>,</w:t>
      </w:r>
      <w:r w:rsidRPr="00DF427A">
        <w:rPr>
          <w:lang w:eastAsia="fr-BE"/>
        </w:rPr>
        <w:t xml:space="preserve"> 2018). This event shook up the Italian political system and influenced the outcome of the 2013 elections, which paved the way for the electoral rise of the M5S and the </w:t>
      </w:r>
      <w:r w:rsidRPr="00DF5AC2">
        <w:rPr>
          <w:i/>
          <w:lang w:eastAsia="fr-BE"/>
        </w:rPr>
        <w:t>Lega</w:t>
      </w:r>
      <w:r w:rsidRPr="00DF427A">
        <w:rPr>
          <w:lang w:eastAsia="fr-BE"/>
        </w:rPr>
        <w:t xml:space="preserve"> (Chiaramonte</w:t>
      </w:r>
      <w:r w:rsidR="005246C9">
        <w:rPr>
          <w:lang w:eastAsia="fr-BE"/>
        </w:rPr>
        <w:t>,</w:t>
      </w:r>
      <w:r w:rsidRPr="00DF427A">
        <w:rPr>
          <w:lang w:eastAsia="fr-BE"/>
        </w:rPr>
        <w:t xml:space="preserve"> 2014). Conversely, in core euro area countries, governments were challenged by protester parties, which complained about the implementation of stabili</w:t>
      </w:r>
      <w:r w:rsidR="004170EB">
        <w:rPr>
          <w:lang w:eastAsia="fr-BE"/>
        </w:rPr>
        <w:t>s</w:t>
      </w:r>
      <w:r w:rsidRPr="00DF427A">
        <w:rPr>
          <w:lang w:eastAsia="fr-BE"/>
        </w:rPr>
        <w:t xml:space="preserve">ation mechanisms. For example, the far right party, </w:t>
      </w:r>
      <w:r w:rsidRPr="000246B7">
        <w:rPr>
          <w:i/>
          <w:lang w:eastAsia="fr-BE"/>
        </w:rPr>
        <w:t>Alternative für Deutschland</w:t>
      </w:r>
      <w:r w:rsidRPr="00DF427A">
        <w:rPr>
          <w:lang w:eastAsia="fr-BE"/>
        </w:rPr>
        <w:t xml:space="preserve">, was created in the aftermath of the creation of the ESM and the </w:t>
      </w:r>
      <w:r w:rsidR="00BD3D77">
        <w:rPr>
          <w:lang w:eastAsia="fr-BE"/>
        </w:rPr>
        <w:t xml:space="preserve">ECB’s </w:t>
      </w:r>
      <w:r w:rsidRPr="00DF427A">
        <w:rPr>
          <w:lang w:eastAsia="fr-BE"/>
        </w:rPr>
        <w:t>asset purchase programmes (Grimm</w:t>
      </w:r>
      <w:r w:rsidR="005246C9">
        <w:rPr>
          <w:lang w:eastAsia="fr-BE"/>
        </w:rPr>
        <w:t>,</w:t>
      </w:r>
      <w:r w:rsidRPr="00DF427A">
        <w:rPr>
          <w:lang w:eastAsia="fr-BE"/>
        </w:rPr>
        <w:t xml:space="preserve"> 2015).</w:t>
      </w:r>
    </w:p>
    <w:p w14:paraId="50630A5D" w14:textId="14E9F190" w:rsidR="00DF427A" w:rsidRPr="00DF427A" w:rsidRDefault="00DF427A" w:rsidP="007E0B7F">
      <w:pPr>
        <w:jc w:val="both"/>
        <w:rPr>
          <w:lang w:eastAsia="fr-BE"/>
        </w:rPr>
      </w:pPr>
      <w:r w:rsidRPr="00DF427A">
        <w:rPr>
          <w:lang w:eastAsia="fr-BE"/>
        </w:rPr>
        <w:t xml:space="preserve">In sum, the initial framing of the euro area crisis obfuscated the financial roots of the macro-economic imbalances and put the spotlight on the fiscal and budgetary troubles of peripheral countries, which were caused </w:t>
      </w:r>
      <w:r w:rsidR="00607BCF" w:rsidRPr="00DF427A">
        <w:rPr>
          <w:lang w:eastAsia="fr-BE"/>
        </w:rPr>
        <w:t xml:space="preserve">mainly </w:t>
      </w:r>
      <w:r w:rsidRPr="00DF427A">
        <w:rPr>
          <w:lang w:eastAsia="fr-BE"/>
        </w:rPr>
        <w:t xml:space="preserve">by the </w:t>
      </w:r>
      <w:r w:rsidR="00607BCF" w:rsidRPr="00DF427A">
        <w:rPr>
          <w:lang w:eastAsia="fr-BE"/>
        </w:rPr>
        <w:t>bailout</w:t>
      </w:r>
      <w:r w:rsidR="000246B7">
        <w:rPr>
          <w:lang w:eastAsia="fr-BE"/>
        </w:rPr>
        <w:t>s</w:t>
      </w:r>
      <w:r w:rsidRPr="00DF427A">
        <w:rPr>
          <w:lang w:eastAsia="fr-BE"/>
        </w:rPr>
        <w:t xml:space="preserve"> of their banking system in 2008-2009. This framing was key to legitimi</w:t>
      </w:r>
      <w:r w:rsidR="004170EB">
        <w:rPr>
          <w:lang w:eastAsia="fr-BE"/>
        </w:rPr>
        <w:t>s</w:t>
      </w:r>
      <w:r w:rsidRPr="00DF427A">
        <w:rPr>
          <w:lang w:eastAsia="fr-BE"/>
        </w:rPr>
        <w:t>e the political answer to the crisis, which consisted in a simultaneous strengthening of stabili</w:t>
      </w:r>
      <w:r w:rsidR="004170EB">
        <w:rPr>
          <w:lang w:eastAsia="fr-BE"/>
        </w:rPr>
        <w:t>s</w:t>
      </w:r>
      <w:r w:rsidRPr="00DF427A">
        <w:rPr>
          <w:lang w:eastAsia="fr-BE"/>
        </w:rPr>
        <w:t>ation mechanisms and fiscal discipline, rather than building up j</w:t>
      </w:r>
      <w:r w:rsidR="000246B7">
        <w:rPr>
          <w:lang w:eastAsia="fr-BE"/>
        </w:rPr>
        <w:t>oint-</w:t>
      </w:r>
      <w:r w:rsidRPr="00DF427A">
        <w:rPr>
          <w:lang w:eastAsia="fr-BE"/>
        </w:rPr>
        <w:t xml:space="preserve">debt mechanisms. Both the framing and the solutions adopted to solve the crisis reflect an asymmetrical power balance in the battle of ideas that took place between </w:t>
      </w:r>
      <w:r w:rsidR="00AD4D52">
        <w:rPr>
          <w:lang w:eastAsia="fr-BE"/>
        </w:rPr>
        <w:t>euro</w:t>
      </w:r>
      <w:r w:rsidRPr="00DF427A">
        <w:rPr>
          <w:lang w:eastAsia="fr-BE"/>
        </w:rPr>
        <w:t xml:space="preserve"> area countries. Indeed, core countries managed to rule out policy options that were </w:t>
      </w:r>
      <w:r w:rsidR="00DA7610">
        <w:rPr>
          <w:lang w:eastAsia="fr-BE"/>
        </w:rPr>
        <w:t>not in line with</w:t>
      </w:r>
      <w:r w:rsidRPr="00DF427A">
        <w:rPr>
          <w:lang w:eastAsia="fr-BE"/>
        </w:rPr>
        <w:t xml:space="preserve"> their interests (debt </w:t>
      </w:r>
      <w:r w:rsidR="00BD3D77" w:rsidRPr="00DF427A">
        <w:rPr>
          <w:lang w:eastAsia="fr-BE"/>
        </w:rPr>
        <w:t>restructur</w:t>
      </w:r>
      <w:r w:rsidR="00BD3D77">
        <w:rPr>
          <w:lang w:eastAsia="fr-BE"/>
        </w:rPr>
        <w:t>ing</w:t>
      </w:r>
      <w:r w:rsidRPr="00DF427A">
        <w:rPr>
          <w:lang w:eastAsia="fr-BE"/>
        </w:rPr>
        <w:t>, Eurobonds, fiscal transfers) and forced austerity measures in the periphery. However, the transnational activities of the European banking system and the strength of market</w:t>
      </w:r>
      <w:r w:rsidR="000246B7">
        <w:rPr>
          <w:lang w:eastAsia="fr-BE"/>
        </w:rPr>
        <w:t xml:space="preserve"> p</w:t>
      </w:r>
      <w:r w:rsidRPr="00DF427A">
        <w:rPr>
          <w:lang w:eastAsia="fr-BE"/>
        </w:rPr>
        <w:t>ressures also forced core countries to agree on the creation of new stabili</w:t>
      </w:r>
      <w:r w:rsidR="004170EB">
        <w:rPr>
          <w:lang w:eastAsia="fr-BE"/>
        </w:rPr>
        <w:t>s</w:t>
      </w:r>
      <w:r w:rsidRPr="00DF427A">
        <w:rPr>
          <w:lang w:eastAsia="fr-BE"/>
        </w:rPr>
        <w:t xml:space="preserve">ation mechanisms that were necessary for the survival of the euro area. In other words, the battle of ideas during the </w:t>
      </w:r>
      <w:r w:rsidR="00AD4D52">
        <w:rPr>
          <w:lang w:eastAsia="fr-BE"/>
        </w:rPr>
        <w:t>euro</w:t>
      </w:r>
      <w:r w:rsidRPr="00DF427A">
        <w:rPr>
          <w:lang w:eastAsia="fr-BE"/>
        </w:rPr>
        <w:t xml:space="preserve"> area crisis did not lead to a radical overhaul of the initia</w:t>
      </w:r>
      <w:r w:rsidR="008224A2">
        <w:rPr>
          <w:lang w:eastAsia="fr-BE"/>
        </w:rPr>
        <w:t>l economic paradigm (</w:t>
      </w:r>
      <w:r w:rsidR="008224A2" w:rsidRPr="00DF427A">
        <w:rPr>
          <w:lang w:eastAsia="fr-BE"/>
        </w:rPr>
        <w:t>Schmidt</w:t>
      </w:r>
      <w:r w:rsidR="008224A2">
        <w:rPr>
          <w:lang w:eastAsia="fr-BE"/>
        </w:rPr>
        <w:t xml:space="preserve"> &amp; Thatcher</w:t>
      </w:r>
      <w:r w:rsidR="005246C9">
        <w:rPr>
          <w:lang w:eastAsia="fr-BE"/>
        </w:rPr>
        <w:t>,</w:t>
      </w:r>
      <w:r w:rsidR="000E6E25">
        <w:rPr>
          <w:lang w:eastAsia="fr-BE"/>
        </w:rPr>
        <w:t xml:space="preserve"> </w:t>
      </w:r>
      <w:r w:rsidRPr="00DF427A">
        <w:rPr>
          <w:lang w:eastAsia="fr-BE"/>
        </w:rPr>
        <w:t>2013). Rather, pre-existing tropes (moral hazard, fears of fiscal profligacy) were activated to legitimi</w:t>
      </w:r>
      <w:r w:rsidR="004170EB">
        <w:rPr>
          <w:lang w:eastAsia="fr-BE"/>
        </w:rPr>
        <w:t>s</w:t>
      </w:r>
      <w:r w:rsidRPr="00DF427A">
        <w:rPr>
          <w:lang w:eastAsia="fr-BE"/>
        </w:rPr>
        <w:t>e the strengthening of fiscal rules while strong conditionality was attached to the activation of stabili</w:t>
      </w:r>
      <w:r w:rsidR="004170EB">
        <w:rPr>
          <w:lang w:eastAsia="fr-BE"/>
        </w:rPr>
        <w:t>s</w:t>
      </w:r>
      <w:r w:rsidRPr="00DF427A">
        <w:rPr>
          <w:lang w:eastAsia="fr-BE"/>
        </w:rPr>
        <w:t>ation mechanisms.</w:t>
      </w:r>
    </w:p>
    <w:p w14:paraId="0291755E" w14:textId="77777777" w:rsidR="00DF427A" w:rsidRPr="00DF427A" w:rsidRDefault="000F7FAC" w:rsidP="007E0B7F">
      <w:pPr>
        <w:pStyle w:val="Sansinterligne"/>
        <w:spacing w:before="120" w:after="120"/>
        <w:jc w:val="both"/>
        <w:rPr>
          <w:rFonts w:cs="Times New Roman"/>
          <w:b/>
          <w:bCs/>
          <w:szCs w:val="24"/>
          <w:u w:val="single"/>
          <w:lang w:val="en-GB" w:eastAsia="fr-BE"/>
        </w:rPr>
      </w:pPr>
      <w:r>
        <w:rPr>
          <w:rFonts w:cs="Times New Roman"/>
          <w:b/>
          <w:szCs w:val="24"/>
          <w:u w:val="single"/>
          <w:lang w:val="en-GB" w:eastAsia="fr-BE"/>
        </w:rPr>
        <w:t>3.</w:t>
      </w:r>
      <w:r>
        <w:rPr>
          <w:rFonts w:cs="Times New Roman"/>
          <w:b/>
          <w:szCs w:val="24"/>
          <w:u w:val="single"/>
          <w:lang w:val="en-GB" w:eastAsia="fr-BE"/>
        </w:rPr>
        <w:tab/>
      </w:r>
      <w:r w:rsidR="00DF427A" w:rsidRPr="00DF427A">
        <w:rPr>
          <w:rFonts w:cs="Times New Roman"/>
          <w:b/>
          <w:szCs w:val="24"/>
          <w:u w:val="single"/>
          <w:lang w:val="en-GB" w:eastAsia="fr-BE"/>
        </w:rPr>
        <w:t>Conclusion. The RFF: the EU Hamiltonian moment?</w:t>
      </w:r>
    </w:p>
    <w:p w14:paraId="215059FD" w14:textId="6DE4CF77" w:rsidR="00DF427A" w:rsidRPr="00DF427A" w:rsidRDefault="00DF427A" w:rsidP="007E0B7F">
      <w:pPr>
        <w:pStyle w:val="Sansinterligne"/>
        <w:jc w:val="both"/>
        <w:rPr>
          <w:rFonts w:cs="Times New Roman"/>
          <w:szCs w:val="24"/>
          <w:lang w:val="en-GB" w:eastAsia="fr-BE"/>
        </w:rPr>
      </w:pPr>
      <w:r w:rsidRPr="00DF427A">
        <w:rPr>
          <w:rFonts w:cs="Times New Roman"/>
          <w:szCs w:val="24"/>
          <w:lang w:val="en-GB" w:eastAsia="fr-BE"/>
        </w:rPr>
        <w:t>When the Covid-19 pandemic struck the European continent in March 2020, after months of complacency by Western elites, national economies went into lockdown and regular economic activity was heavily disrupted as both supply and demand shocks were looming. Tensions started to appear between euro area countries because of their unequal economic capacities: in the early stages of the crisis, Germany was able to commit a bigger portion of its GDP in fiscal measures and guarantees than</w:t>
      </w:r>
      <w:r w:rsidR="008534CF" w:rsidRPr="00DF427A">
        <w:rPr>
          <w:rFonts w:cs="Times New Roman"/>
          <w:szCs w:val="24"/>
          <w:lang w:val="en-GB" w:eastAsia="fr-BE"/>
        </w:rPr>
        <w:t> Italy</w:t>
      </w:r>
      <w:r w:rsidRPr="00DF427A">
        <w:rPr>
          <w:rFonts w:cs="Times New Roman"/>
          <w:szCs w:val="24"/>
          <w:lang w:val="en-GB" w:eastAsia="fr-BE"/>
        </w:rPr>
        <w:t xml:space="preserve"> and Spain. European leaders (EU institutions &amp; national governments) feared that this differentiation could increase risks of a breakup of the euro area and political backlash in peripheral countries and started to discuss again the possibility of joined debt emissions to finance the relief measures. These discussions led to a Franco-German proposal on May 18, 2020, </w:t>
      </w:r>
      <w:r w:rsidR="00607BCF">
        <w:rPr>
          <w:rFonts w:cs="Times New Roman"/>
          <w:szCs w:val="24"/>
          <w:lang w:val="en-GB" w:eastAsia="fr-BE"/>
        </w:rPr>
        <w:t xml:space="preserve">in which </w:t>
      </w:r>
      <w:r w:rsidRPr="00DF427A">
        <w:rPr>
          <w:rFonts w:cs="Times New Roman"/>
          <w:szCs w:val="24"/>
          <w:lang w:val="en-GB" w:eastAsia="fr-BE"/>
        </w:rPr>
        <w:t xml:space="preserve">the European Commission </w:t>
      </w:r>
      <w:r w:rsidR="00607BCF">
        <w:rPr>
          <w:rFonts w:cs="Times New Roman"/>
          <w:szCs w:val="24"/>
          <w:lang w:val="en-GB" w:eastAsia="fr-BE"/>
        </w:rPr>
        <w:t xml:space="preserve">would raise </w:t>
      </w:r>
      <w:r w:rsidR="00425C9F" w:rsidRPr="00697DC3">
        <w:rPr>
          <w:lang w:val="en-US" w:eastAsia="fr-BE"/>
        </w:rPr>
        <w:t>€</w:t>
      </w:r>
      <w:r w:rsidRPr="00DF427A">
        <w:rPr>
          <w:rFonts w:cs="Times New Roman"/>
          <w:szCs w:val="24"/>
          <w:lang w:val="en-GB" w:eastAsia="fr-BE"/>
        </w:rPr>
        <w:t>500bn on the markets, in the names of EU countries, and reallocate the funds to the most affected countries</w:t>
      </w:r>
      <w:r w:rsidR="00072463">
        <w:rPr>
          <w:rStyle w:val="Appeldenotedefin"/>
          <w:rFonts w:cs="Times New Roman"/>
          <w:szCs w:val="24"/>
          <w:lang w:val="en-GB" w:eastAsia="fr-BE"/>
        </w:rPr>
        <w:endnoteReference w:id="8"/>
      </w:r>
      <w:r w:rsidR="00072463" w:rsidRPr="00DF427A">
        <w:rPr>
          <w:rFonts w:cs="Times New Roman"/>
          <w:szCs w:val="24"/>
          <w:lang w:val="en-GB" w:eastAsia="fr-BE"/>
        </w:rPr>
        <w:t>.</w:t>
      </w:r>
    </w:p>
    <w:p w14:paraId="2298F34A" w14:textId="7DF8043C" w:rsidR="00DF427A" w:rsidRPr="00DF427A" w:rsidRDefault="00DF427A" w:rsidP="007E0B7F">
      <w:pPr>
        <w:jc w:val="both"/>
        <w:rPr>
          <w:lang w:eastAsia="fr-BE"/>
        </w:rPr>
      </w:pPr>
      <w:r w:rsidRPr="00DF427A">
        <w:rPr>
          <w:lang w:eastAsia="fr-BE"/>
        </w:rPr>
        <w:t xml:space="preserve">Initial reactions </w:t>
      </w:r>
      <w:r w:rsidR="00BD3D77">
        <w:rPr>
          <w:lang w:eastAsia="fr-BE"/>
        </w:rPr>
        <w:t>to</w:t>
      </w:r>
      <w:r w:rsidR="00BD3D77" w:rsidRPr="00DF427A">
        <w:rPr>
          <w:lang w:eastAsia="fr-BE"/>
        </w:rPr>
        <w:t xml:space="preserve"> </w:t>
      </w:r>
      <w:r w:rsidRPr="00DF427A">
        <w:rPr>
          <w:lang w:eastAsia="fr-BE"/>
        </w:rPr>
        <w:t xml:space="preserve">this proposal mirrored the fault lines of the euro crisis resolution: Dutch leaders warned about risks of moral hazard and performed </w:t>
      </w:r>
      <w:r w:rsidR="000246B7">
        <w:rPr>
          <w:lang w:eastAsia="fr-BE"/>
        </w:rPr>
        <w:t>“</w:t>
      </w:r>
      <w:r w:rsidRPr="00DF427A">
        <w:rPr>
          <w:lang w:eastAsia="fr-BE"/>
        </w:rPr>
        <w:t>culturalisation</w:t>
      </w:r>
      <w:r w:rsidR="000246B7">
        <w:rPr>
          <w:lang w:eastAsia="fr-BE"/>
        </w:rPr>
        <w:t>”</w:t>
      </w:r>
      <w:r w:rsidRPr="00DF427A">
        <w:rPr>
          <w:lang w:eastAsia="fr-BE"/>
        </w:rPr>
        <w:t xml:space="preserve"> discourses against Italian “mismanagement” and an alliance of four self-proclaimed “frugal” countries (Austria, Denmark, Netherlands and Sweden) blocked the Franco-German proposal. However, a set of concessions made to these countries during the MFF negotiations cleared the path for the Recovery and Resilience Facility (RFF), which will raise €312bn of joint-debt on the markets. Initial projections reveal that grant distribution under the RFF will favour the countries with a limited economic capacity to answer to the crisis. In other words, the EU states crossed their Rubicon as they overcame decades of disagreement on joint-debt instruments, which assume a redistributive dimension between EU countries.</w:t>
      </w:r>
    </w:p>
    <w:p w14:paraId="60BA2716" w14:textId="3810FCA8" w:rsidR="006351F0" w:rsidRDefault="00DF427A" w:rsidP="007E0B7F">
      <w:pPr>
        <w:jc w:val="both"/>
        <w:rPr>
          <w:lang w:eastAsia="fr-BE"/>
        </w:rPr>
      </w:pPr>
      <w:r w:rsidRPr="00DF427A">
        <w:rPr>
          <w:lang w:eastAsia="fr-BE"/>
        </w:rPr>
        <w:t>What explains this change and what is its extent? While further empirical research is needed to answer these questions precisely, we propose here</w:t>
      </w:r>
      <w:r w:rsidR="006351F0">
        <w:rPr>
          <w:lang w:eastAsia="fr-BE"/>
        </w:rPr>
        <w:t xml:space="preserve"> three lines of</w:t>
      </w:r>
      <w:r w:rsidRPr="00DF427A">
        <w:rPr>
          <w:lang w:eastAsia="fr-BE"/>
        </w:rPr>
        <w:t xml:space="preserve"> preliminary observations. First, the “enabling” element of the RFF is, without </w:t>
      </w:r>
      <w:r w:rsidR="00BD3D77">
        <w:rPr>
          <w:lang w:eastAsia="fr-BE"/>
        </w:rPr>
        <w:t xml:space="preserve">a </w:t>
      </w:r>
      <w:r w:rsidRPr="00DF427A">
        <w:rPr>
          <w:lang w:eastAsia="fr-BE"/>
        </w:rPr>
        <w:t>doubt, the reversal of German policy preferences (Schramm &amp; Crespy</w:t>
      </w:r>
      <w:r w:rsidR="005246C9">
        <w:rPr>
          <w:lang w:eastAsia="fr-BE"/>
        </w:rPr>
        <w:t>,</w:t>
      </w:r>
      <w:r w:rsidRPr="00DF427A">
        <w:rPr>
          <w:lang w:eastAsia="fr-BE"/>
        </w:rPr>
        <w:t xml:space="preserve"> 2021). Multiple elements can explain this policy turn: since the 2020 crisis was caused by the exogenous outbreak of a global pandemic, t</w:t>
      </w:r>
      <w:r w:rsidR="000246B7">
        <w:rPr>
          <w:lang w:eastAsia="fr-BE"/>
        </w:rPr>
        <w:t>he “moral hazard”</w:t>
      </w:r>
      <w:r w:rsidRPr="00DF427A">
        <w:rPr>
          <w:lang w:eastAsia="fr-BE"/>
        </w:rPr>
        <w:t xml:space="preserve"> and “fiscal profligacy” tropes could not be easily mobilised to justify the lack of a common EU </w:t>
      </w:r>
      <w:r w:rsidR="00F100B5">
        <w:rPr>
          <w:lang w:eastAsia="fr-BE"/>
        </w:rPr>
        <w:t>response</w:t>
      </w:r>
      <w:r w:rsidRPr="00DF427A">
        <w:rPr>
          <w:lang w:eastAsia="fr-BE"/>
        </w:rPr>
        <w:t>. Moreover, learning effects may have occurred as German leaders realised that the strong conditionality and austerity measures created a political backlash and put hostile leaders in po</w:t>
      </w:r>
      <w:r w:rsidR="006351F0">
        <w:rPr>
          <w:lang w:eastAsia="fr-BE"/>
        </w:rPr>
        <w:t xml:space="preserve">wer. Furthermore, the change of </w:t>
      </w:r>
      <w:r w:rsidRPr="00DF427A">
        <w:rPr>
          <w:lang w:eastAsia="fr-BE"/>
        </w:rPr>
        <w:t xml:space="preserve">finance minister might have been conducive to this change </w:t>
      </w:r>
      <w:r w:rsidR="006351F0">
        <w:rPr>
          <w:lang w:eastAsia="fr-BE"/>
        </w:rPr>
        <w:t xml:space="preserve">since the social democrat Olaf Scholz </w:t>
      </w:r>
      <w:r w:rsidR="00BD3D77">
        <w:rPr>
          <w:lang w:eastAsia="fr-BE"/>
        </w:rPr>
        <w:t>su</w:t>
      </w:r>
      <w:r w:rsidR="00425C9F">
        <w:rPr>
          <w:lang w:eastAsia="fr-BE"/>
        </w:rPr>
        <w:t>c</w:t>
      </w:r>
      <w:r w:rsidR="00BD3D77">
        <w:rPr>
          <w:lang w:eastAsia="fr-BE"/>
        </w:rPr>
        <w:t xml:space="preserve">ceeded </w:t>
      </w:r>
      <w:r w:rsidR="006351F0">
        <w:rPr>
          <w:lang w:eastAsia="fr-BE"/>
        </w:rPr>
        <w:t xml:space="preserve">the conservative Wolfgang Schäuble </w:t>
      </w:r>
      <w:r w:rsidRPr="00DF427A">
        <w:rPr>
          <w:lang w:eastAsia="fr-BE"/>
        </w:rPr>
        <w:t>(Karremans</w:t>
      </w:r>
      <w:r w:rsidR="005246C9">
        <w:rPr>
          <w:lang w:eastAsia="fr-BE"/>
        </w:rPr>
        <w:t>,</w:t>
      </w:r>
      <w:r w:rsidRPr="00DF427A">
        <w:rPr>
          <w:lang w:eastAsia="fr-BE"/>
        </w:rPr>
        <w:t xml:space="preserve"> 2020). Second, the ECB faced new policy challenges because of the macroeconomic consequences of the austerity regime that was imposed during the euro crisis. In particular, inflation in the euro area remained under the ECB target despite the large amounts of liquidity injected by the ECB in financial markets (</w:t>
      </w:r>
      <w:r w:rsidR="0061218A">
        <w:rPr>
          <w:rFonts w:eastAsia="Times New Roman"/>
          <w:lang w:val="en-US" w:eastAsia="fr-BE"/>
        </w:rPr>
        <w:t xml:space="preserve">Van Doorslaer &amp; </w:t>
      </w:r>
      <w:r w:rsidR="0061218A" w:rsidRPr="00887CD9">
        <w:rPr>
          <w:rFonts w:eastAsia="Times New Roman"/>
          <w:lang w:val="en-US" w:eastAsia="fr-BE"/>
        </w:rPr>
        <w:t>Vermeiren</w:t>
      </w:r>
      <w:r w:rsidR="005246C9">
        <w:rPr>
          <w:rFonts w:eastAsia="Times New Roman"/>
          <w:lang w:val="en-US" w:eastAsia="fr-BE"/>
        </w:rPr>
        <w:t>,</w:t>
      </w:r>
      <w:r w:rsidR="0061218A" w:rsidRPr="00DF427A">
        <w:rPr>
          <w:lang w:eastAsia="fr-BE"/>
        </w:rPr>
        <w:t xml:space="preserve"> </w:t>
      </w:r>
      <w:r w:rsidRPr="00DF427A">
        <w:rPr>
          <w:lang w:eastAsia="fr-BE"/>
        </w:rPr>
        <w:t xml:space="preserve">2020). This pushed the ECB, which was one </w:t>
      </w:r>
      <w:r w:rsidR="00BD3D77">
        <w:rPr>
          <w:lang w:eastAsia="fr-BE"/>
        </w:rPr>
        <w:t xml:space="preserve">of </w:t>
      </w:r>
      <w:r w:rsidRPr="00DF427A">
        <w:rPr>
          <w:lang w:eastAsia="fr-BE"/>
        </w:rPr>
        <w:t xml:space="preserve">the main proponents of stringent fiscal rules during the euro area crisis, to reverse its policy stance and encourage expansionary </w:t>
      </w:r>
      <w:r w:rsidR="008534CF">
        <w:rPr>
          <w:lang w:eastAsia="fr-BE"/>
        </w:rPr>
        <w:t>fiscal policies for all member s</w:t>
      </w:r>
      <w:r w:rsidRPr="00DF427A">
        <w:rPr>
          <w:lang w:eastAsia="fr-BE"/>
        </w:rPr>
        <w:t>tates</w:t>
      </w:r>
      <w:r w:rsidR="00072463">
        <w:rPr>
          <w:rStyle w:val="Appeldenotedefin"/>
          <w:rFonts w:cs="Times New Roman"/>
          <w:szCs w:val="24"/>
          <w:lang w:eastAsia="fr-BE"/>
        </w:rPr>
        <w:endnoteReference w:id="9"/>
      </w:r>
      <w:r w:rsidR="00072463" w:rsidRPr="00DF427A">
        <w:rPr>
          <w:lang w:eastAsia="fr-BE"/>
        </w:rPr>
        <w:t>.</w:t>
      </w:r>
      <w:r w:rsidRPr="00DF427A">
        <w:rPr>
          <w:lang w:eastAsia="fr-BE"/>
        </w:rPr>
        <w:t xml:space="preserve"> Third, </w:t>
      </w:r>
      <w:r w:rsidR="006351F0">
        <w:rPr>
          <w:lang w:eastAsia="fr-BE"/>
        </w:rPr>
        <w:t xml:space="preserve">it is </w:t>
      </w:r>
      <w:r w:rsidR="00DA7610">
        <w:rPr>
          <w:lang w:eastAsia="fr-BE"/>
        </w:rPr>
        <w:t xml:space="preserve">too </w:t>
      </w:r>
      <w:r w:rsidR="006351F0">
        <w:rPr>
          <w:lang w:eastAsia="fr-BE"/>
        </w:rPr>
        <w:t xml:space="preserve">early to assess </w:t>
      </w:r>
      <w:r w:rsidRPr="00DF427A">
        <w:rPr>
          <w:lang w:eastAsia="fr-BE"/>
        </w:rPr>
        <w:t>the extent of change</w:t>
      </w:r>
      <w:r w:rsidR="006351F0">
        <w:rPr>
          <w:lang w:eastAsia="fr-BE"/>
        </w:rPr>
        <w:t>. T</w:t>
      </w:r>
      <w:r w:rsidRPr="00DF427A">
        <w:rPr>
          <w:lang w:eastAsia="fr-BE"/>
        </w:rPr>
        <w:t xml:space="preserve">he RFF </w:t>
      </w:r>
      <w:r w:rsidR="006351F0">
        <w:rPr>
          <w:lang w:eastAsia="fr-BE"/>
        </w:rPr>
        <w:t>is supposed to be</w:t>
      </w:r>
      <w:r w:rsidRPr="00DF427A">
        <w:rPr>
          <w:lang w:eastAsia="fr-BE"/>
        </w:rPr>
        <w:t xml:space="preserve"> temporary and it has a modest size in light of the gravity of the crisis and </w:t>
      </w:r>
      <w:r w:rsidR="006351F0">
        <w:rPr>
          <w:lang w:eastAsia="fr-BE"/>
        </w:rPr>
        <w:t xml:space="preserve">in comparison </w:t>
      </w:r>
      <w:r w:rsidRPr="00DF427A">
        <w:rPr>
          <w:lang w:eastAsia="fr-BE"/>
        </w:rPr>
        <w:t xml:space="preserve">with federal budgets in other currency areas. Moreover, it remains unclear which conditionality will be attached to the RFF as grant distribution </w:t>
      </w:r>
      <w:r w:rsidR="000246B7">
        <w:rPr>
          <w:lang w:eastAsia="fr-BE"/>
        </w:rPr>
        <w:t>should</w:t>
      </w:r>
      <w:r w:rsidRPr="00DF427A">
        <w:rPr>
          <w:lang w:eastAsia="fr-BE"/>
        </w:rPr>
        <w:t xml:space="preserve"> be tied to the recommendations of the Commission during the European Semester process. </w:t>
      </w:r>
    </w:p>
    <w:p w14:paraId="607A6296" w14:textId="7EB998A3" w:rsidR="00473FAD" w:rsidRPr="00027912" w:rsidRDefault="00027912" w:rsidP="007E0B7F">
      <w:pPr>
        <w:pStyle w:val="Sansinterligne"/>
        <w:spacing w:before="120" w:after="120"/>
        <w:jc w:val="both"/>
        <w:rPr>
          <w:rFonts w:eastAsia="Times New Roman" w:cs="Times New Roman"/>
          <w:szCs w:val="24"/>
          <w:lang w:val="en-GB" w:eastAsia="fr-BE"/>
        </w:rPr>
      </w:pPr>
      <w:r w:rsidRPr="00697DC3">
        <w:rPr>
          <w:rFonts w:cs="Times New Roman"/>
          <w:b/>
          <w:szCs w:val="24"/>
          <w:lang w:val="en-US"/>
        </w:rPr>
        <w:t>References</w:t>
      </w:r>
    </w:p>
    <w:p w14:paraId="7D29A8E1" w14:textId="77777777" w:rsidR="007D78DC" w:rsidRPr="000246B7" w:rsidRDefault="007D78DC" w:rsidP="007D78DC">
      <w:pPr>
        <w:ind w:hanging="480"/>
        <w:rPr>
          <w:lang w:val="en-US"/>
        </w:rPr>
      </w:pPr>
      <w:r>
        <w:t xml:space="preserve">Baldwin, R., &amp; Giavazzi, F. (2015). </w:t>
      </w:r>
      <w:r>
        <w:rPr>
          <w:i/>
          <w:iCs/>
        </w:rPr>
        <w:t>The Eurozone crisis. A consensus view of the causes and a few possible remedies</w:t>
      </w:r>
      <w:r>
        <w:t xml:space="preserve">. Centre for Economic Policy Research. </w:t>
      </w:r>
      <w:hyperlink r:id="rId8" w:history="1">
        <w:r>
          <w:rPr>
            <w:rStyle w:val="Lienhypertexte"/>
          </w:rPr>
          <w:t>http://www.voxeu.org/content/eurozone-crisis-consensus-view-causes-and-few-possible-solutions</w:t>
        </w:r>
      </w:hyperlink>
    </w:p>
    <w:p w14:paraId="4240B11B" w14:textId="77777777" w:rsidR="007D78DC" w:rsidRDefault="007D78DC" w:rsidP="007D78DC">
      <w:pPr>
        <w:ind w:hanging="480"/>
      </w:pPr>
      <w:r>
        <w:t xml:space="preserve">Blyth, M. (2013). </w:t>
      </w:r>
      <w:r>
        <w:rPr>
          <w:i/>
          <w:iCs/>
        </w:rPr>
        <w:t>Austerity: The history of a dangerous idea</w:t>
      </w:r>
      <w:r>
        <w:t>. Oxford University Press.</w:t>
      </w:r>
    </w:p>
    <w:p w14:paraId="46D72BE7" w14:textId="493056EF" w:rsidR="007D78DC" w:rsidRDefault="007D78DC" w:rsidP="007D78DC">
      <w:pPr>
        <w:ind w:hanging="480"/>
      </w:pPr>
      <w:r>
        <w:t xml:space="preserve">Bonefeld, W. (2012). Freedom and the Strong State: On German Ordoliberalism. </w:t>
      </w:r>
      <w:r>
        <w:rPr>
          <w:i/>
          <w:iCs/>
        </w:rPr>
        <w:t>New Political Economy</w:t>
      </w:r>
      <w:r>
        <w:t xml:space="preserve">, </w:t>
      </w:r>
      <w:r>
        <w:rPr>
          <w:i/>
          <w:iCs/>
        </w:rPr>
        <w:t>17</w:t>
      </w:r>
      <w:r>
        <w:t xml:space="preserve">(5), 633–656. </w:t>
      </w:r>
    </w:p>
    <w:p w14:paraId="47BC279E" w14:textId="6FF25070" w:rsidR="007D78DC" w:rsidRDefault="007D78DC" w:rsidP="007D78DC">
      <w:pPr>
        <w:ind w:hanging="480"/>
      </w:pPr>
      <w:r>
        <w:t xml:space="preserve">Borriello, A. (2017). ‘There is no alternative’: How Italian and Spanish leaders’ discourse obscured the political nature of austerity. </w:t>
      </w:r>
      <w:r>
        <w:rPr>
          <w:i/>
          <w:iCs/>
        </w:rPr>
        <w:t>Discourse &amp; Society</w:t>
      </w:r>
      <w:r>
        <w:t xml:space="preserve">, </w:t>
      </w:r>
      <w:r>
        <w:rPr>
          <w:i/>
          <w:iCs/>
        </w:rPr>
        <w:t>28</w:t>
      </w:r>
      <w:r>
        <w:t xml:space="preserve">(3), 241–261. </w:t>
      </w:r>
    </w:p>
    <w:p w14:paraId="1848A50E" w14:textId="5713F49A" w:rsidR="007D78DC" w:rsidRDefault="007D78DC" w:rsidP="007D78DC">
      <w:pPr>
        <w:ind w:hanging="480"/>
      </w:pPr>
      <w:r>
        <w:t xml:space="preserve">Braun, B. (2015). Governing the future: The European Central Bank’s expectation management during the Great Moderation. </w:t>
      </w:r>
      <w:r>
        <w:rPr>
          <w:i/>
          <w:iCs/>
        </w:rPr>
        <w:t>Economy and Society</w:t>
      </w:r>
      <w:r>
        <w:t xml:space="preserve">, </w:t>
      </w:r>
      <w:r>
        <w:rPr>
          <w:i/>
          <w:iCs/>
        </w:rPr>
        <w:t>44</w:t>
      </w:r>
      <w:r>
        <w:t xml:space="preserve">(3), 367–391. </w:t>
      </w:r>
    </w:p>
    <w:p w14:paraId="35F0B698" w14:textId="77777777" w:rsidR="007D78DC" w:rsidRPr="00697DC3" w:rsidRDefault="007D78DC" w:rsidP="007D78DC">
      <w:pPr>
        <w:ind w:hanging="480"/>
        <w:rPr>
          <w:lang w:val="en-US"/>
        </w:rPr>
      </w:pPr>
      <w:r>
        <w:t xml:space="preserve">Brazys, S., &amp; Regan, A. (2017). The politics of capitalist diversity in Europe: Explaining Ireland’s divergent recovery from the euro crisis. </w:t>
      </w:r>
      <w:r w:rsidRPr="00697DC3">
        <w:rPr>
          <w:i/>
          <w:iCs/>
          <w:lang w:val="en-US"/>
        </w:rPr>
        <w:t>Perspectives on Politics</w:t>
      </w:r>
      <w:r w:rsidRPr="00697DC3">
        <w:rPr>
          <w:lang w:val="en-US"/>
        </w:rPr>
        <w:t xml:space="preserve">, </w:t>
      </w:r>
      <w:r w:rsidRPr="00697DC3">
        <w:rPr>
          <w:i/>
          <w:iCs/>
          <w:lang w:val="en-US"/>
        </w:rPr>
        <w:t>15</w:t>
      </w:r>
      <w:r w:rsidRPr="00697DC3">
        <w:rPr>
          <w:lang w:val="en-US"/>
        </w:rPr>
        <w:t>(2), 411–427.</w:t>
      </w:r>
    </w:p>
    <w:p w14:paraId="5B424D05" w14:textId="4DBE9618" w:rsidR="00DF5AC2" w:rsidRDefault="00DF5AC2" w:rsidP="00DF5AC2">
      <w:pPr>
        <w:ind w:hanging="480"/>
        <w:rPr>
          <w:lang w:val="en-US"/>
        </w:rPr>
      </w:pPr>
      <w:r>
        <w:t xml:space="preserve">Canihac, H. (2021). Programming the Common Market : The Making and Failure of a ‘Dirigiste’ Europe, 1957–1967. </w:t>
      </w:r>
      <w:r>
        <w:rPr>
          <w:i/>
          <w:iCs/>
        </w:rPr>
        <w:t>Contemporary European History</w:t>
      </w:r>
      <w:r>
        <w:t xml:space="preserve">, </w:t>
      </w:r>
      <w:r>
        <w:rPr>
          <w:i/>
          <w:iCs/>
        </w:rPr>
        <w:t>30</w:t>
      </w:r>
      <w:r>
        <w:t>(3), 383</w:t>
      </w:r>
      <w:r>
        <w:noBreakHyphen/>
        <w:t xml:space="preserve">397. </w:t>
      </w:r>
    </w:p>
    <w:p w14:paraId="1AA83B1B" w14:textId="2524478C" w:rsidR="007D78DC" w:rsidRDefault="007D78DC" w:rsidP="007D78DC">
      <w:pPr>
        <w:ind w:hanging="480"/>
      </w:pPr>
      <w:r w:rsidRPr="00697DC3">
        <w:rPr>
          <w:lang w:val="en-US"/>
        </w:rPr>
        <w:t xml:space="preserve">Chiaramonte, A. (2014). </w:t>
      </w:r>
      <w:r>
        <w:t xml:space="preserve">The Elections of 2013: A Tsunami with No Winners. </w:t>
      </w:r>
      <w:r>
        <w:rPr>
          <w:i/>
          <w:iCs/>
        </w:rPr>
        <w:t>Italian Politics</w:t>
      </w:r>
      <w:r>
        <w:t xml:space="preserve">, </w:t>
      </w:r>
      <w:r>
        <w:rPr>
          <w:i/>
          <w:iCs/>
        </w:rPr>
        <w:t>29</w:t>
      </w:r>
      <w:r>
        <w:t>(1), 45–63.</w:t>
      </w:r>
      <w:r w:rsidR="00DF5AC2">
        <w:t xml:space="preserve"> </w:t>
      </w:r>
    </w:p>
    <w:p w14:paraId="42F04C8E" w14:textId="77777777" w:rsidR="007D78DC" w:rsidRDefault="007D78DC" w:rsidP="007D78DC">
      <w:pPr>
        <w:ind w:hanging="480"/>
      </w:pPr>
      <w:r>
        <w:t xml:space="preserve">Closa, C., &amp; Maatsch, A. (2014). In a spirit of solidarity? Justifying the European Financial Stability Facility (EFSF) in national parliamentary debates. </w:t>
      </w:r>
      <w:r>
        <w:rPr>
          <w:i/>
          <w:iCs/>
        </w:rPr>
        <w:t>JCMS: Journal of Common Market Studies</w:t>
      </w:r>
      <w:r>
        <w:t xml:space="preserve">, </w:t>
      </w:r>
      <w:r>
        <w:rPr>
          <w:i/>
          <w:iCs/>
        </w:rPr>
        <w:t>52</w:t>
      </w:r>
      <w:r>
        <w:t>(4), 826–842.</w:t>
      </w:r>
    </w:p>
    <w:p w14:paraId="17B5C3F2" w14:textId="77777777" w:rsidR="007D78DC" w:rsidRDefault="007D78DC" w:rsidP="007D78DC">
      <w:pPr>
        <w:ind w:hanging="480"/>
      </w:pPr>
      <w:r>
        <w:t xml:space="preserve">Crespy, A., &amp; Schmidt, V. (2014). The clash of titans: France, Germany and the discursive double game of EMU reform. </w:t>
      </w:r>
      <w:r>
        <w:rPr>
          <w:i/>
          <w:iCs/>
        </w:rPr>
        <w:t>Journal of European Public Policy</w:t>
      </w:r>
      <w:r>
        <w:t xml:space="preserve">, </w:t>
      </w:r>
      <w:r>
        <w:rPr>
          <w:i/>
          <w:iCs/>
        </w:rPr>
        <w:t>21</w:t>
      </w:r>
      <w:r>
        <w:t>(8), 1085–1101.</w:t>
      </w:r>
    </w:p>
    <w:p w14:paraId="332AE505" w14:textId="77777777" w:rsidR="007D78DC" w:rsidRPr="000246B7" w:rsidRDefault="007D78DC" w:rsidP="007D78DC">
      <w:pPr>
        <w:ind w:hanging="480"/>
        <w:rPr>
          <w:lang w:val="fr-BE"/>
        </w:rPr>
      </w:pPr>
      <w:r>
        <w:t xml:space="preserve">Crespy, A., &amp; Vanheuverzwijn, P. (2019). What “Brussels” means by structural reforms: Empty signifier or constructive ambiguity? </w:t>
      </w:r>
      <w:r w:rsidRPr="000246B7">
        <w:rPr>
          <w:i/>
          <w:iCs/>
          <w:lang w:val="fr-BE"/>
        </w:rPr>
        <w:t>Comparative European Politics</w:t>
      </w:r>
      <w:r w:rsidRPr="000246B7">
        <w:rPr>
          <w:lang w:val="fr-BE"/>
        </w:rPr>
        <w:t xml:space="preserve">, </w:t>
      </w:r>
      <w:r w:rsidRPr="000246B7">
        <w:rPr>
          <w:i/>
          <w:iCs/>
          <w:lang w:val="fr-BE"/>
        </w:rPr>
        <w:t>17</w:t>
      </w:r>
      <w:r w:rsidRPr="000246B7">
        <w:rPr>
          <w:lang w:val="fr-BE"/>
        </w:rPr>
        <w:t>(1), 92–111.</w:t>
      </w:r>
    </w:p>
    <w:p w14:paraId="0FA0BCF2" w14:textId="77777777" w:rsidR="007D78DC" w:rsidRPr="000246B7" w:rsidRDefault="007D78DC" w:rsidP="007D78DC">
      <w:pPr>
        <w:ind w:hanging="480"/>
        <w:rPr>
          <w:lang w:val="fr-BE"/>
        </w:rPr>
      </w:pPr>
      <w:r w:rsidRPr="000246B7">
        <w:rPr>
          <w:lang w:val="fr-BE"/>
        </w:rPr>
        <w:t xml:space="preserve">de Cabanes, A., &amp; Fontan, C. (2019). La Cour de Justice face à Gauweiler: La mise en récit de l’indépendance de la BCE. In </w:t>
      </w:r>
      <w:r w:rsidRPr="000246B7">
        <w:rPr>
          <w:i/>
          <w:iCs/>
          <w:lang w:val="fr-BE"/>
        </w:rPr>
        <w:t>Les récits judiciaires de l’Europe</w:t>
      </w:r>
      <w:r w:rsidRPr="000246B7">
        <w:rPr>
          <w:lang w:val="fr-BE"/>
        </w:rPr>
        <w:t xml:space="preserve"> (pp. 169–191). Bruylant. </w:t>
      </w:r>
      <w:hyperlink r:id="rId9" w:history="1">
        <w:r w:rsidRPr="000246B7">
          <w:rPr>
            <w:rStyle w:val="Lienhypertexte"/>
            <w:lang w:val="fr-BE"/>
          </w:rPr>
          <w:t>https://dial.uclouvain.be/pr/boreal/object/boreal:222654</w:t>
        </w:r>
      </w:hyperlink>
    </w:p>
    <w:p w14:paraId="247D585F" w14:textId="77777777" w:rsidR="007D78DC" w:rsidRDefault="007D78DC" w:rsidP="007D78DC">
      <w:pPr>
        <w:ind w:hanging="480"/>
      </w:pPr>
      <w:r w:rsidRPr="000246B7">
        <w:rPr>
          <w:lang w:val="fr-BE"/>
        </w:rPr>
        <w:t xml:space="preserve">de Waele, J.-M., Escalona, F., &amp; Vieira, M. (Eds.). </w:t>
      </w:r>
      <w:r>
        <w:t xml:space="preserve">(2013). </w:t>
      </w:r>
      <w:r>
        <w:rPr>
          <w:i/>
          <w:iCs/>
        </w:rPr>
        <w:t>The Palgrave Handbook of Social Democracy in the European Union</w:t>
      </w:r>
      <w:r>
        <w:t>. Palgrave Macmillan.</w:t>
      </w:r>
    </w:p>
    <w:p w14:paraId="77B400C9" w14:textId="77777777" w:rsidR="007D78DC" w:rsidRPr="00697DC3" w:rsidRDefault="007D78DC" w:rsidP="007D78DC">
      <w:pPr>
        <w:ind w:hanging="480"/>
      </w:pPr>
      <w:r>
        <w:t xml:space="preserve">della Porta, D., &amp; Parks, L. (2016). Social movements, the European crisis, and EU political opportunities. </w:t>
      </w:r>
      <w:r>
        <w:rPr>
          <w:i/>
          <w:iCs/>
        </w:rPr>
        <w:t>Comparative European Politics</w:t>
      </w:r>
      <w:r>
        <w:t xml:space="preserve">, 1–18. </w:t>
      </w:r>
      <w:hyperlink r:id="rId10" w:history="1">
        <w:r w:rsidRPr="00697DC3">
          <w:rPr>
            <w:rStyle w:val="Lienhypertexte"/>
          </w:rPr>
          <w:t>https://doi.org/10.1057/s41295-016-0074-6</w:t>
        </w:r>
      </w:hyperlink>
    </w:p>
    <w:p w14:paraId="4F8F1BC6" w14:textId="77777777" w:rsidR="007D78DC" w:rsidRDefault="007D78DC" w:rsidP="007D78DC">
      <w:pPr>
        <w:ind w:hanging="480"/>
      </w:pPr>
      <w:r w:rsidRPr="000246B7">
        <w:rPr>
          <w:lang w:val="fr-BE"/>
        </w:rPr>
        <w:t xml:space="preserve">Dietsch, P., Claveau, F., &amp; Fontan, C. (2018). </w:t>
      </w:r>
      <w:r>
        <w:rPr>
          <w:i/>
          <w:iCs/>
        </w:rPr>
        <w:t>Do central banks serve the people?</w:t>
      </w:r>
      <w:r>
        <w:t xml:space="preserve"> Polity Press.</w:t>
      </w:r>
    </w:p>
    <w:p w14:paraId="40296567" w14:textId="77777777" w:rsidR="007D78DC" w:rsidRDefault="007D78DC" w:rsidP="007D78DC">
      <w:pPr>
        <w:ind w:hanging="480"/>
      </w:pPr>
      <w:r>
        <w:t xml:space="preserve">Diez, T. (2001). Europe as a discursive battleground. </w:t>
      </w:r>
      <w:r>
        <w:rPr>
          <w:i/>
          <w:iCs/>
        </w:rPr>
        <w:t>Cooperation and Conflict</w:t>
      </w:r>
      <w:r>
        <w:t xml:space="preserve">, </w:t>
      </w:r>
      <w:r>
        <w:rPr>
          <w:i/>
          <w:iCs/>
        </w:rPr>
        <w:t>36</w:t>
      </w:r>
      <w:r>
        <w:t>(1), 5–38.</w:t>
      </w:r>
    </w:p>
    <w:p w14:paraId="0F23FE88" w14:textId="04BAE3E1" w:rsidR="007D78DC" w:rsidRDefault="007D78DC" w:rsidP="007D78DC">
      <w:pPr>
        <w:ind w:hanging="480"/>
      </w:pPr>
      <w:r>
        <w:t xml:space="preserve">Dyson, K., &amp; Featherstone, K. (1996). Italy and EMU as a ‘Vincolo Esterno’: Empowering the Technocrats, Transforming the State. </w:t>
      </w:r>
      <w:r>
        <w:rPr>
          <w:i/>
          <w:iCs/>
        </w:rPr>
        <w:t>South European Society and Politics</w:t>
      </w:r>
      <w:r>
        <w:t xml:space="preserve">, </w:t>
      </w:r>
      <w:r>
        <w:rPr>
          <w:i/>
          <w:iCs/>
        </w:rPr>
        <w:t>1</w:t>
      </w:r>
      <w:r>
        <w:t xml:space="preserve">(2), 272–299. </w:t>
      </w:r>
    </w:p>
    <w:p w14:paraId="4D4ECAA1" w14:textId="429349B4" w:rsidR="000246B7" w:rsidRPr="000246B7" w:rsidRDefault="000246B7" w:rsidP="000246B7">
      <w:pPr>
        <w:ind w:hanging="480"/>
        <w:rPr>
          <w:rFonts w:eastAsia="Times New Roman" w:cs="Times New Roman"/>
          <w:szCs w:val="24"/>
          <w:lang w:val="en-US"/>
        </w:rPr>
      </w:pPr>
      <w:r w:rsidRPr="000246B7">
        <w:rPr>
          <w:rFonts w:eastAsia="Times New Roman" w:cs="Times New Roman"/>
          <w:szCs w:val="24"/>
          <w:lang w:val="en-US"/>
        </w:rPr>
        <w:t xml:space="preserve">Dyson, K. (1994). </w:t>
      </w:r>
      <w:r w:rsidRPr="000246B7">
        <w:rPr>
          <w:rFonts w:eastAsia="Times New Roman" w:cs="Times New Roman"/>
          <w:i/>
          <w:iCs/>
          <w:szCs w:val="24"/>
          <w:lang w:val="en-US"/>
        </w:rPr>
        <w:t>Elusive Union : The Process of Economic and Monetary Union in Europe</w:t>
      </w:r>
      <w:r>
        <w:rPr>
          <w:rFonts w:eastAsia="Times New Roman" w:cs="Times New Roman"/>
          <w:szCs w:val="24"/>
          <w:lang w:val="en-US"/>
        </w:rPr>
        <w:t>. Longman.</w:t>
      </w:r>
    </w:p>
    <w:p w14:paraId="72E86046" w14:textId="77777777" w:rsidR="007D78DC" w:rsidRDefault="007D78DC" w:rsidP="007D78DC">
      <w:pPr>
        <w:ind w:hanging="480"/>
      </w:pPr>
      <w:r>
        <w:t xml:space="preserve">Dyson, K. H. F. (2014). </w:t>
      </w:r>
      <w:r>
        <w:rPr>
          <w:i/>
          <w:iCs/>
        </w:rPr>
        <w:t>States, debt, and power: ‘saints’ and ‘sinners’ in European history and integration</w:t>
      </w:r>
      <w:r>
        <w:t xml:space="preserve"> (First edition). Oxford University Press.</w:t>
      </w:r>
    </w:p>
    <w:p w14:paraId="57C25876" w14:textId="77777777" w:rsidR="007D78DC" w:rsidRDefault="007D78DC" w:rsidP="007D78DC">
      <w:pPr>
        <w:ind w:hanging="480"/>
      </w:pPr>
      <w:r>
        <w:t xml:space="preserve">Dyson, K. H. F., &amp; Featherstone, K. (1999). </w:t>
      </w:r>
      <w:r>
        <w:rPr>
          <w:i/>
          <w:iCs/>
        </w:rPr>
        <w:t>The road to Maastricht: Negotiating Economic and Monetary Union</w:t>
      </w:r>
      <w:r>
        <w:t>. Oxford University Press.</w:t>
      </w:r>
    </w:p>
    <w:p w14:paraId="55C88A99" w14:textId="7EC7A05C" w:rsidR="007D78DC" w:rsidRDefault="007D78DC" w:rsidP="007D78DC">
      <w:pPr>
        <w:ind w:hanging="480"/>
      </w:pPr>
      <w:r>
        <w:t xml:space="preserve">Fontan, C. (2018). Frankfurt’s double standard: The politics of the European Central Bank during the Eurozone crisis. </w:t>
      </w:r>
      <w:r>
        <w:rPr>
          <w:i/>
          <w:iCs/>
        </w:rPr>
        <w:t>Cambridge Review of International Affairs</w:t>
      </w:r>
      <w:r>
        <w:t xml:space="preserve">, 1–21. </w:t>
      </w:r>
    </w:p>
    <w:p w14:paraId="0979E05C" w14:textId="4B2B6039" w:rsidR="007D78DC" w:rsidRDefault="007D78DC" w:rsidP="007D78DC">
      <w:pPr>
        <w:ind w:hanging="480"/>
      </w:pPr>
      <w:r>
        <w:t xml:space="preserve">Fontan, C., &amp; Saurugger, S. (2019). Between a Rock and a Hard Place: Preference Formation in France During the Eurozone Crisis. </w:t>
      </w:r>
      <w:r>
        <w:rPr>
          <w:i/>
          <w:iCs/>
        </w:rPr>
        <w:t>Political Studies Review</w:t>
      </w:r>
      <w:r>
        <w:t xml:space="preserve">, 147892991986860. </w:t>
      </w:r>
    </w:p>
    <w:p w14:paraId="23A0D58F" w14:textId="4AE7D9BB" w:rsidR="007D78DC" w:rsidRDefault="007D78DC" w:rsidP="007D78DC">
      <w:pPr>
        <w:ind w:hanging="480"/>
      </w:pPr>
      <w:r>
        <w:t xml:space="preserve">Gabor, D., &amp; Ban, C. (2016). Banking on Bonds: The New Links Between States and Markets: Banking on bonds. </w:t>
      </w:r>
      <w:r>
        <w:rPr>
          <w:i/>
          <w:iCs/>
        </w:rPr>
        <w:t>JCMS: Journal of Common Market Studies</w:t>
      </w:r>
      <w:r>
        <w:t xml:space="preserve">, </w:t>
      </w:r>
      <w:r>
        <w:rPr>
          <w:i/>
          <w:iCs/>
        </w:rPr>
        <w:t>54</w:t>
      </w:r>
      <w:r>
        <w:t xml:space="preserve">(3), 617–635. </w:t>
      </w:r>
    </w:p>
    <w:p w14:paraId="6C2D81E6" w14:textId="77777777" w:rsidR="007D78DC" w:rsidRDefault="007D78DC" w:rsidP="007D78DC">
      <w:pPr>
        <w:ind w:hanging="480"/>
      </w:pPr>
      <w:r>
        <w:t xml:space="preserve">Gocaj, L., &amp; Meunier, S. (2013). Time will tell: The EFSF, the ESM, and the euro crisis. </w:t>
      </w:r>
      <w:r>
        <w:rPr>
          <w:i/>
          <w:iCs/>
        </w:rPr>
        <w:t>Journal of European Integration</w:t>
      </w:r>
      <w:r>
        <w:t xml:space="preserve">, </w:t>
      </w:r>
      <w:r>
        <w:rPr>
          <w:i/>
          <w:iCs/>
        </w:rPr>
        <w:t>35</w:t>
      </w:r>
      <w:r>
        <w:t>(3), 239–253.</w:t>
      </w:r>
    </w:p>
    <w:p w14:paraId="28DD422D" w14:textId="6E33AB1F" w:rsidR="007D78DC" w:rsidRDefault="007D78DC" w:rsidP="007D78DC">
      <w:pPr>
        <w:ind w:hanging="480"/>
      </w:pPr>
      <w:r>
        <w:t xml:space="preserve">Grimm, R. (2015). The rise of the German Eurosceptic party Alternative für Deutschland, between ordoliberal critique and popular anxiety. </w:t>
      </w:r>
      <w:r>
        <w:rPr>
          <w:i/>
          <w:iCs/>
        </w:rPr>
        <w:t>International Political Science Review</w:t>
      </w:r>
      <w:r>
        <w:t xml:space="preserve">, </w:t>
      </w:r>
      <w:r>
        <w:rPr>
          <w:i/>
          <w:iCs/>
        </w:rPr>
        <w:t>36</w:t>
      </w:r>
      <w:r>
        <w:t>(3), 264–278.</w:t>
      </w:r>
      <w:r w:rsidR="000246B7">
        <w:t xml:space="preserve"> </w:t>
      </w:r>
    </w:p>
    <w:p w14:paraId="4B40884C" w14:textId="39B65C73" w:rsidR="007D78DC" w:rsidRDefault="007D78DC" w:rsidP="007D78DC">
      <w:pPr>
        <w:ind w:hanging="480"/>
      </w:pPr>
      <w:r>
        <w:t xml:space="preserve">Grossman, E. (2004). Bringing politics back in: Rethinking the role of economic interest groups in European integration. </w:t>
      </w:r>
      <w:r>
        <w:rPr>
          <w:i/>
          <w:iCs/>
        </w:rPr>
        <w:t>Journal of European Public Policy</w:t>
      </w:r>
      <w:r>
        <w:t xml:space="preserve">, </w:t>
      </w:r>
      <w:r>
        <w:rPr>
          <w:i/>
          <w:iCs/>
        </w:rPr>
        <w:t>11</w:t>
      </w:r>
      <w:r>
        <w:t xml:space="preserve">(4), 637–654. </w:t>
      </w:r>
    </w:p>
    <w:p w14:paraId="05B99E2F" w14:textId="25BCF9A8" w:rsidR="007D78DC" w:rsidRDefault="007D78DC" w:rsidP="007D78DC">
      <w:pPr>
        <w:ind w:hanging="480"/>
      </w:pPr>
      <w:r>
        <w:t xml:space="preserve">Haffert, L., Redeker, N., &amp; Rommel, T. (2019). Misremembering Weimar: Hyperinflation, the Great Depression, and German Collective Economic Memory. </w:t>
      </w:r>
      <w:r>
        <w:rPr>
          <w:i/>
          <w:iCs/>
        </w:rPr>
        <w:t>Economics &amp; Politics</w:t>
      </w:r>
      <w:r>
        <w:t xml:space="preserve">. </w:t>
      </w:r>
    </w:p>
    <w:p w14:paraId="3CF62AFF" w14:textId="165E9DC3" w:rsidR="007D78DC" w:rsidRDefault="007D78DC" w:rsidP="007D78DC">
      <w:pPr>
        <w:ind w:hanging="480"/>
      </w:pPr>
      <w:r>
        <w:t xml:space="preserve">Hardie, I., &amp; Howarth, D. (2013). </w:t>
      </w:r>
      <w:r>
        <w:rPr>
          <w:i/>
          <w:iCs/>
        </w:rPr>
        <w:t>Market-Based Banking and the International Financial Crisis</w:t>
      </w:r>
      <w:r w:rsidR="000246B7">
        <w:t xml:space="preserve">. </w:t>
      </w:r>
      <w:r>
        <w:t>Oxford</w:t>
      </w:r>
      <w:r w:rsidR="000246B7">
        <w:t xml:space="preserve"> University Press</w:t>
      </w:r>
      <w:r>
        <w:t>.</w:t>
      </w:r>
    </w:p>
    <w:p w14:paraId="4ADC3BC6" w14:textId="77777777" w:rsidR="007D78DC" w:rsidRDefault="007D78DC" w:rsidP="007D78DC">
      <w:pPr>
        <w:ind w:hanging="480"/>
      </w:pPr>
      <w:r>
        <w:t xml:space="preserve">Hardiman, N., Spanou, C., Araújo, J. F., &amp; MacCarthaigh, M. (2019). Tangling with the Troika:‘domestic ownership’as political and administrative engagement in Greece, Ireland, and Portugal. </w:t>
      </w:r>
      <w:r>
        <w:rPr>
          <w:i/>
          <w:iCs/>
        </w:rPr>
        <w:t>Public Management Review</w:t>
      </w:r>
      <w:r>
        <w:t xml:space="preserve">, </w:t>
      </w:r>
      <w:r>
        <w:rPr>
          <w:i/>
          <w:iCs/>
        </w:rPr>
        <w:t>21</w:t>
      </w:r>
      <w:r>
        <w:t>(9), 1265–1286.</w:t>
      </w:r>
    </w:p>
    <w:p w14:paraId="7DEDEB2D" w14:textId="2945BC7E" w:rsidR="007D78DC" w:rsidRDefault="007D78DC" w:rsidP="007D78DC">
      <w:pPr>
        <w:ind w:hanging="480"/>
      </w:pPr>
      <w:r>
        <w:t xml:space="preserve">Heipertz, M., &amp; Verdun, A. (2010). </w:t>
      </w:r>
      <w:r>
        <w:rPr>
          <w:i/>
          <w:iCs/>
        </w:rPr>
        <w:t>Ruling Europe: The Politics of the Stability and Growth Pact</w:t>
      </w:r>
      <w:r>
        <w:t xml:space="preserve">. Cambridge University Press. </w:t>
      </w:r>
    </w:p>
    <w:p w14:paraId="2B640BCB" w14:textId="77777777" w:rsidR="007D78DC" w:rsidRDefault="007D78DC" w:rsidP="007D78DC">
      <w:pPr>
        <w:ind w:hanging="480"/>
      </w:pPr>
      <w:r>
        <w:t xml:space="preserve">Helgadóttir, O. (2016). The Bocconi boys go to Brussels: Italian economic ideas, professional networks and European austerity. </w:t>
      </w:r>
      <w:r>
        <w:rPr>
          <w:i/>
          <w:iCs/>
        </w:rPr>
        <w:t>Journal of European Public Policy</w:t>
      </w:r>
      <w:r>
        <w:t xml:space="preserve">, </w:t>
      </w:r>
      <w:r>
        <w:rPr>
          <w:i/>
          <w:iCs/>
        </w:rPr>
        <w:t>23</w:t>
      </w:r>
      <w:r>
        <w:t>(3), 392–409.</w:t>
      </w:r>
    </w:p>
    <w:p w14:paraId="38253AB2" w14:textId="77777777" w:rsidR="007D78DC" w:rsidRDefault="007D78DC" w:rsidP="007D78DC">
      <w:pPr>
        <w:ind w:hanging="480"/>
      </w:pPr>
      <w:r>
        <w:t xml:space="preserve">Helleiner, E. (1994). </w:t>
      </w:r>
      <w:r>
        <w:rPr>
          <w:i/>
          <w:iCs/>
        </w:rPr>
        <w:t>States and the Reemergence of Global Finance: From Bretton Woods to the 1990s</w:t>
      </w:r>
      <w:r>
        <w:t>. Cornell University Press.</w:t>
      </w:r>
    </w:p>
    <w:p w14:paraId="0749913D" w14:textId="77777777" w:rsidR="007D78DC" w:rsidRDefault="007D78DC" w:rsidP="007D78DC">
      <w:pPr>
        <w:ind w:hanging="480"/>
      </w:pPr>
      <w:r>
        <w:t xml:space="preserve">Hopkin, J. (2020). </w:t>
      </w:r>
      <w:r>
        <w:rPr>
          <w:i/>
          <w:iCs/>
        </w:rPr>
        <w:t>Anti-system politics: The crisis of market liberalism in rich democracies</w:t>
      </w:r>
      <w:r>
        <w:t>. Oxford University Press.</w:t>
      </w:r>
    </w:p>
    <w:p w14:paraId="2C558B15" w14:textId="21275DC0" w:rsidR="007D78DC" w:rsidRDefault="007D78DC" w:rsidP="007D78DC">
      <w:pPr>
        <w:ind w:hanging="480"/>
      </w:pPr>
      <w:r>
        <w:t xml:space="preserve">Howarth, D. J., &amp; Loedel, P. H. (2005). </w:t>
      </w:r>
      <w:r>
        <w:rPr>
          <w:i/>
          <w:iCs/>
        </w:rPr>
        <w:t>The European Central Bank: The new European leviathan?</w:t>
      </w:r>
      <w:r>
        <w:t xml:space="preserve"> Palgrave Macmillan.</w:t>
      </w:r>
      <w:r w:rsidR="00BA221F">
        <w:t xml:space="preserve"> </w:t>
      </w:r>
    </w:p>
    <w:p w14:paraId="68C567C3" w14:textId="51FEB02A" w:rsidR="007D78DC" w:rsidRDefault="007D78DC" w:rsidP="007D78DC">
      <w:pPr>
        <w:ind w:hanging="480"/>
      </w:pPr>
      <w:r>
        <w:t xml:space="preserve">Howarth, D., &amp; Schild, J. (2021). Nein to ‘Transfer Union’: The German brake on the construction of a European Union fiscal capacity. </w:t>
      </w:r>
      <w:r>
        <w:rPr>
          <w:i/>
          <w:iCs/>
        </w:rPr>
        <w:t>Journal of European Integration</w:t>
      </w:r>
      <w:r>
        <w:t xml:space="preserve">, </w:t>
      </w:r>
      <w:r>
        <w:rPr>
          <w:i/>
          <w:iCs/>
        </w:rPr>
        <w:t>43</w:t>
      </w:r>
      <w:r>
        <w:t xml:space="preserve">(2), 207–224. </w:t>
      </w:r>
    </w:p>
    <w:p w14:paraId="782A9A73" w14:textId="3EACA638" w:rsidR="007D78DC" w:rsidRDefault="007D78DC" w:rsidP="007D78DC">
      <w:pPr>
        <w:ind w:hanging="480"/>
      </w:pPr>
      <w:r>
        <w:t xml:space="preserve">Jabko, N. (2006). </w:t>
      </w:r>
      <w:r>
        <w:rPr>
          <w:i/>
          <w:iCs/>
        </w:rPr>
        <w:t>Playing the Market: A Political Strategy for Uniting Europe, 1985–2005</w:t>
      </w:r>
      <w:r>
        <w:t xml:space="preserve"> (1st ed.). Cornell University Press.</w:t>
      </w:r>
      <w:r w:rsidR="00BA221F">
        <w:t xml:space="preserve"> </w:t>
      </w:r>
    </w:p>
    <w:p w14:paraId="15741C39" w14:textId="5247E500" w:rsidR="007D78DC" w:rsidRDefault="007D78DC" w:rsidP="007D78DC">
      <w:pPr>
        <w:ind w:hanging="480"/>
      </w:pPr>
      <w:r>
        <w:t xml:space="preserve">Jabko, N. (2010). The hidden face of the euro. </w:t>
      </w:r>
      <w:r>
        <w:rPr>
          <w:i/>
          <w:iCs/>
        </w:rPr>
        <w:t>Journal of European Public Policy</w:t>
      </w:r>
      <w:r>
        <w:t xml:space="preserve">, </w:t>
      </w:r>
      <w:r>
        <w:rPr>
          <w:i/>
          <w:iCs/>
        </w:rPr>
        <w:t>17</w:t>
      </w:r>
      <w:r>
        <w:t xml:space="preserve">(3), 318–334. </w:t>
      </w:r>
    </w:p>
    <w:p w14:paraId="226B86A8" w14:textId="77777777" w:rsidR="007D78DC" w:rsidRDefault="007D78DC" w:rsidP="007D78DC">
      <w:pPr>
        <w:ind w:hanging="480"/>
      </w:pPr>
      <w:r>
        <w:t xml:space="preserve">James, H. (2012). </w:t>
      </w:r>
      <w:r>
        <w:rPr>
          <w:i/>
          <w:iCs/>
        </w:rPr>
        <w:t>Making the European monetary union</w:t>
      </w:r>
      <w:r>
        <w:t>. Harvard University Press.</w:t>
      </w:r>
    </w:p>
    <w:p w14:paraId="1219AD9B" w14:textId="1805D587" w:rsidR="007D78DC" w:rsidRDefault="007D78DC" w:rsidP="007D78DC">
      <w:pPr>
        <w:ind w:hanging="480"/>
      </w:pPr>
      <w:r>
        <w:t xml:space="preserve">Johnston, A., &amp; Regan, A. (2018). Introduction: Is the European Union Capable of Integrating Diverse Models of Capitalism? </w:t>
      </w:r>
      <w:r>
        <w:rPr>
          <w:i/>
          <w:iCs/>
        </w:rPr>
        <w:t>New Political Economy</w:t>
      </w:r>
      <w:r>
        <w:t xml:space="preserve">, </w:t>
      </w:r>
      <w:r>
        <w:rPr>
          <w:i/>
          <w:iCs/>
        </w:rPr>
        <w:t>23</w:t>
      </w:r>
      <w:r>
        <w:t xml:space="preserve">(2), 145–159. </w:t>
      </w:r>
    </w:p>
    <w:p w14:paraId="7E25CD3A" w14:textId="66E9430A" w:rsidR="007D78DC" w:rsidRDefault="007D78DC" w:rsidP="007D78DC">
      <w:pPr>
        <w:ind w:hanging="480"/>
      </w:pPr>
      <w:r>
        <w:t xml:space="preserve">Jonung, L., &amp; Drea, E. (2010). It Can’t Happen, It’s a Bad Idea, It Won’t Last: U.S. Economists on the EMU and the Euro, 1989-2002. </w:t>
      </w:r>
      <w:r>
        <w:rPr>
          <w:i/>
          <w:iCs/>
        </w:rPr>
        <w:t>Econ Journal Watch</w:t>
      </w:r>
      <w:r>
        <w:t xml:space="preserve">, </w:t>
      </w:r>
      <w:r>
        <w:rPr>
          <w:i/>
          <w:iCs/>
        </w:rPr>
        <w:t>7</w:t>
      </w:r>
      <w:r>
        <w:t xml:space="preserve">(1). </w:t>
      </w:r>
    </w:p>
    <w:p w14:paraId="0B3F1393" w14:textId="65547EA7" w:rsidR="007D78DC" w:rsidRPr="00697DC3" w:rsidRDefault="007D78DC" w:rsidP="007D78DC">
      <w:pPr>
        <w:ind w:hanging="480"/>
        <w:rPr>
          <w:lang w:val="fr-BE"/>
        </w:rPr>
      </w:pPr>
      <w:r>
        <w:t xml:space="preserve">Karremans, J. (2020). Political alternatives under European economic governance: Evidence from German budget speeches (2009–2019). </w:t>
      </w:r>
      <w:r w:rsidRPr="00697DC3">
        <w:rPr>
          <w:i/>
          <w:iCs/>
          <w:lang w:val="fr-BE"/>
        </w:rPr>
        <w:t>Journal of European Public Policy</w:t>
      </w:r>
      <w:r w:rsidRPr="00697DC3">
        <w:rPr>
          <w:lang w:val="fr-BE"/>
        </w:rPr>
        <w:t xml:space="preserve">, </w:t>
      </w:r>
      <w:r w:rsidRPr="00697DC3">
        <w:rPr>
          <w:i/>
          <w:iCs/>
          <w:lang w:val="fr-BE"/>
        </w:rPr>
        <w:t>28</w:t>
      </w:r>
      <w:r w:rsidRPr="00697DC3">
        <w:rPr>
          <w:lang w:val="fr-BE"/>
        </w:rPr>
        <w:t xml:space="preserve">(4), 510–531. </w:t>
      </w:r>
    </w:p>
    <w:p w14:paraId="0DDE984A" w14:textId="77777777" w:rsidR="007D78DC" w:rsidRDefault="007D78DC" w:rsidP="007D78DC">
      <w:pPr>
        <w:ind w:hanging="480"/>
      </w:pPr>
      <w:r w:rsidRPr="00697DC3">
        <w:rPr>
          <w:lang w:val="fr-BE"/>
        </w:rPr>
        <w:t xml:space="preserve">Lemoine, B. (2016). </w:t>
      </w:r>
      <w:r w:rsidRPr="000246B7">
        <w:rPr>
          <w:i/>
          <w:iCs/>
          <w:lang w:val="fr-BE"/>
        </w:rPr>
        <w:t>L’ordre de la dette: Les infortunes de l’État et la prospérité du marché</w:t>
      </w:r>
      <w:r w:rsidRPr="000246B7">
        <w:rPr>
          <w:lang w:val="fr-BE"/>
        </w:rPr>
        <w:t xml:space="preserve">. </w:t>
      </w:r>
      <w:r>
        <w:t>La Découverte.</w:t>
      </w:r>
    </w:p>
    <w:p w14:paraId="2F8516F7" w14:textId="1A6AE2BB" w:rsidR="007D78DC" w:rsidRDefault="007D78DC" w:rsidP="007D78DC">
      <w:pPr>
        <w:ind w:hanging="480"/>
      </w:pPr>
      <w:r>
        <w:t xml:space="preserve">Lütz, S., &amp; Kranke, M. (2014). The European rescue of the Washington Consensus? EU and IMF lending to Central and Eastern European countries. </w:t>
      </w:r>
      <w:r>
        <w:rPr>
          <w:i/>
          <w:iCs/>
        </w:rPr>
        <w:t>Review of International Political Economy</w:t>
      </w:r>
      <w:r>
        <w:t xml:space="preserve">, </w:t>
      </w:r>
      <w:r>
        <w:rPr>
          <w:i/>
          <w:iCs/>
        </w:rPr>
        <w:t>21</w:t>
      </w:r>
      <w:r>
        <w:t xml:space="preserve">(2), 310–338. </w:t>
      </w:r>
    </w:p>
    <w:p w14:paraId="1FCED188" w14:textId="4B81CFF9" w:rsidR="007D78DC" w:rsidRDefault="007D78DC" w:rsidP="007D78DC">
      <w:pPr>
        <w:ind w:hanging="480"/>
      </w:pPr>
      <w:r>
        <w:t xml:space="preserve">Maes, I. (2004). On the Origins of the Franco-German EMU Controversies. </w:t>
      </w:r>
      <w:r>
        <w:rPr>
          <w:i/>
          <w:iCs/>
        </w:rPr>
        <w:t>European Journal of Law and Economics</w:t>
      </w:r>
      <w:r>
        <w:t xml:space="preserve">, </w:t>
      </w:r>
      <w:r>
        <w:rPr>
          <w:i/>
          <w:iCs/>
        </w:rPr>
        <w:t>17</w:t>
      </w:r>
      <w:r>
        <w:t>(1), 21–39.</w:t>
      </w:r>
      <w:r w:rsidR="00BA221F">
        <w:t xml:space="preserve"> </w:t>
      </w:r>
    </w:p>
    <w:p w14:paraId="5C49130A" w14:textId="77777777" w:rsidR="007D78DC" w:rsidRDefault="007D78DC" w:rsidP="007D78DC">
      <w:pPr>
        <w:ind w:hanging="480"/>
      </w:pPr>
      <w:r>
        <w:t xml:space="preserve">Marsh, D. (1992). </w:t>
      </w:r>
      <w:r>
        <w:rPr>
          <w:i/>
          <w:iCs/>
        </w:rPr>
        <w:t>The Bundesbank: The Bank That Rules Europe</w:t>
      </w:r>
      <w:r>
        <w:t>. Heineman.</w:t>
      </w:r>
    </w:p>
    <w:p w14:paraId="7A6C4F28" w14:textId="127E6E1C" w:rsidR="007D78DC" w:rsidRDefault="007D78DC" w:rsidP="007D78DC">
      <w:pPr>
        <w:ind w:hanging="480"/>
      </w:pPr>
      <w:r>
        <w:t xml:space="preserve">Matthijs, M. (2016). Powerful rules governing the euro: The perverse logic of German ideas. </w:t>
      </w:r>
      <w:r>
        <w:rPr>
          <w:i/>
          <w:iCs/>
        </w:rPr>
        <w:t>Journal of European Public Policy</w:t>
      </w:r>
      <w:r>
        <w:t xml:space="preserve">, </w:t>
      </w:r>
      <w:r>
        <w:rPr>
          <w:i/>
          <w:iCs/>
        </w:rPr>
        <w:t>23</w:t>
      </w:r>
      <w:r>
        <w:t xml:space="preserve">(3), 375–391. </w:t>
      </w:r>
    </w:p>
    <w:p w14:paraId="28259A48" w14:textId="77777777" w:rsidR="007D78DC" w:rsidRDefault="007D78DC" w:rsidP="007D78DC">
      <w:pPr>
        <w:ind w:hanging="480"/>
      </w:pPr>
      <w:r>
        <w:t xml:space="preserve">Matthijs, M., &amp; Blyth, M. (2018). When Is It Rational to Learn the Wrong Lessons? Technocratic Authority, Social Learning, and Euro Fragility. </w:t>
      </w:r>
      <w:r>
        <w:rPr>
          <w:i/>
          <w:iCs/>
        </w:rPr>
        <w:t>Perspectives on Politics</w:t>
      </w:r>
      <w:r>
        <w:t xml:space="preserve">, </w:t>
      </w:r>
      <w:r>
        <w:rPr>
          <w:i/>
          <w:iCs/>
        </w:rPr>
        <w:t>16</w:t>
      </w:r>
      <w:r>
        <w:t xml:space="preserve">(1), 110–126. </w:t>
      </w:r>
      <w:hyperlink r:id="rId11" w:history="1">
        <w:r>
          <w:rPr>
            <w:rStyle w:val="Lienhypertexte"/>
          </w:rPr>
          <w:t>https://doi.org/10.1017/S1537592717002171</w:t>
        </w:r>
      </w:hyperlink>
    </w:p>
    <w:p w14:paraId="459C9399" w14:textId="14035C77" w:rsidR="007D78DC" w:rsidRDefault="007D78DC" w:rsidP="007D78DC">
      <w:pPr>
        <w:ind w:hanging="480"/>
      </w:pPr>
      <w:r>
        <w:t xml:space="preserve">Matthijs, M., &amp; McNamara, K. (2015). The Euro Crisis’ Theory Effect: Northern Saints, Southern Sinners, and the Demise of the Eurobond. </w:t>
      </w:r>
      <w:r>
        <w:rPr>
          <w:i/>
          <w:iCs/>
        </w:rPr>
        <w:t>Journal of European Integration</w:t>
      </w:r>
      <w:r>
        <w:t xml:space="preserve">, </w:t>
      </w:r>
      <w:r>
        <w:rPr>
          <w:i/>
          <w:iCs/>
        </w:rPr>
        <w:t>37</w:t>
      </w:r>
      <w:r>
        <w:t xml:space="preserve">(2), 229–245. </w:t>
      </w:r>
    </w:p>
    <w:p w14:paraId="22D72D73" w14:textId="77777777" w:rsidR="007D78DC" w:rsidRDefault="007D78DC" w:rsidP="007D78DC">
      <w:pPr>
        <w:ind w:hanging="480"/>
      </w:pPr>
      <w:r>
        <w:t xml:space="preserve">McNamara, K. R. (1998). </w:t>
      </w:r>
      <w:r>
        <w:rPr>
          <w:i/>
          <w:iCs/>
        </w:rPr>
        <w:t>The currency of ideas: Monetary politics in the European Union</w:t>
      </w:r>
      <w:r>
        <w:t>. Cornell University Press.</w:t>
      </w:r>
    </w:p>
    <w:p w14:paraId="33F75897" w14:textId="77777777" w:rsidR="007D78DC" w:rsidRDefault="007D78DC" w:rsidP="007D78DC">
      <w:pPr>
        <w:ind w:hanging="480"/>
      </w:pPr>
      <w:r>
        <w:t xml:space="preserve">Millaruelo, A., &amp; Del-Rio, A. (2017). The cost of interventions in the financial sector since 2008 in the EU countries. </w:t>
      </w:r>
      <w:r>
        <w:rPr>
          <w:i/>
          <w:iCs/>
        </w:rPr>
        <w:t>Banco de Espana Article</w:t>
      </w:r>
      <w:r>
        <w:t xml:space="preserve">, </w:t>
      </w:r>
      <w:r>
        <w:rPr>
          <w:i/>
          <w:iCs/>
        </w:rPr>
        <w:t>9</w:t>
      </w:r>
      <w:r>
        <w:t>, 17.</w:t>
      </w:r>
    </w:p>
    <w:p w14:paraId="330E5B18" w14:textId="77777777" w:rsidR="007D78DC" w:rsidRDefault="007D78DC" w:rsidP="007D78DC">
      <w:pPr>
        <w:ind w:hanging="480"/>
      </w:pPr>
      <w:r>
        <w:t xml:space="preserve">Mourlon-Druol, E. (2012). </w:t>
      </w:r>
      <w:r>
        <w:rPr>
          <w:i/>
          <w:iCs/>
        </w:rPr>
        <w:t>A Europe made of money: The emergence of the European Monetary System</w:t>
      </w:r>
      <w:r>
        <w:t>. Cornell University Press.</w:t>
      </w:r>
    </w:p>
    <w:p w14:paraId="48C97113" w14:textId="77777777" w:rsidR="007D78DC" w:rsidRDefault="007D78DC" w:rsidP="007D78DC">
      <w:pPr>
        <w:ind w:hanging="480"/>
      </w:pPr>
      <w:r>
        <w:t xml:space="preserve">Moury, C., Ladi, S. L. in P. M. S., Ladi, S., Cardoso, D., &amp; Gago, A. (2021). </w:t>
      </w:r>
      <w:r>
        <w:rPr>
          <w:i/>
          <w:iCs/>
        </w:rPr>
        <w:t>Capitalising on Constraint: Bailout Politics in Eurozone Countries</w:t>
      </w:r>
      <w:r>
        <w:t>. Manchester University Press.</w:t>
      </w:r>
    </w:p>
    <w:p w14:paraId="7303B912" w14:textId="77777777" w:rsidR="007D78DC" w:rsidRDefault="007D78DC" w:rsidP="007D78DC">
      <w:pPr>
        <w:ind w:hanging="480"/>
      </w:pPr>
      <w:r>
        <w:t xml:space="preserve">Mundell, R. A. (1961). A Theory of Optimum Currency Areas. </w:t>
      </w:r>
      <w:r>
        <w:rPr>
          <w:i/>
          <w:iCs/>
        </w:rPr>
        <w:t>The American Economic Review</w:t>
      </w:r>
      <w:r>
        <w:t xml:space="preserve">, </w:t>
      </w:r>
      <w:r>
        <w:rPr>
          <w:i/>
          <w:iCs/>
        </w:rPr>
        <w:t>51</w:t>
      </w:r>
      <w:r>
        <w:t>(4), 657–665.</w:t>
      </w:r>
    </w:p>
    <w:p w14:paraId="70DFD934" w14:textId="77777777" w:rsidR="007D78DC" w:rsidRDefault="007D78DC" w:rsidP="007D78DC">
      <w:pPr>
        <w:ind w:hanging="480"/>
      </w:pPr>
      <w:r>
        <w:t xml:space="preserve">Mylonas, Y. (2012). Media and the Economic Crisis of the EU: The ‘Culturalization’ of a Systemic Crisis and Bild-Zeitung’s Framing of Greece. </w:t>
      </w:r>
      <w:r>
        <w:rPr>
          <w:i/>
          <w:iCs/>
        </w:rPr>
        <w:t>TripleC: Communication, Capitalism &amp; Critique. Open Access Journal for a Global Sustainable Information Society</w:t>
      </w:r>
      <w:r>
        <w:t xml:space="preserve">, </w:t>
      </w:r>
      <w:r>
        <w:rPr>
          <w:i/>
          <w:iCs/>
        </w:rPr>
        <w:t>10</w:t>
      </w:r>
      <w:r>
        <w:t>(2), 646–671.</w:t>
      </w:r>
    </w:p>
    <w:p w14:paraId="569C8EDC" w14:textId="77777777" w:rsidR="007D78DC" w:rsidRDefault="007D78DC" w:rsidP="007D78DC">
      <w:pPr>
        <w:ind w:hanging="480"/>
      </w:pPr>
      <w:r>
        <w:t xml:space="preserve">Parsons, C. (2002). Showing ideas as causes: The origins of the European Union. </w:t>
      </w:r>
      <w:r>
        <w:rPr>
          <w:i/>
          <w:iCs/>
        </w:rPr>
        <w:t>International Organization</w:t>
      </w:r>
      <w:r>
        <w:t xml:space="preserve">, </w:t>
      </w:r>
      <w:r>
        <w:rPr>
          <w:i/>
          <w:iCs/>
        </w:rPr>
        <w:t>56</w:t>
      </w:r>
      <w:r>
        <w:t>(01), 47–84.</w:t>
      </w:r>
    </w:p>
    <w:p w14:paraId="4F216836" w14:textId="77777777" w:rsidR="007D78DC" w:rsidRDefault="007D78DC" w:rsidP="007D78DC">
      <w:pPr>
        <w:ind w:hanging="480"/>
      </w:pPr>
      <w:r>
        <w:t xml:space="preserve">Roos, J. (2019). </w:t>
      </w:r>
      <w:r>
        <w:rPr>
          <w:i/>
          <w:iCs/>
        </w:rPr>
        <w:t>Why Not Default? The Political Economy of Sovereign Debt</w:t>
      </w:r>
      <w:r>
        <w:t>. Princeton University Press.</w:t>
      </w:r>
    </w:p>
    <w:p w14:paraId="4FA7B4BC" w14:textId="69A0D035" w:rsidR="007D78DC" w:rsidRDefault="007D78DC" w:rsidP="007D78DC">
      <w:pPr>
        <w:ind w:hanging="480"/>
      </w:pPr>
      <w:r>
        <w:t xml:space="preserve">Saurugger, S., &amp; Fontan, C. (2019). The judicialisation of EMU politics: Resistance to the EU’s new economic governance mechanisms at the domestic level. </w:t>
      </w:r>
      <w:r>
        <w:rPr>
          <w:i/>
          <w:iCs/>
        </w:rPr>
        <w:t>European Journal of Political Research</w:t>
      </w:r>
      <w:r>
        <w:t xml:space="preserve">. </w:t>
      </w:r>
    </w:p>
    <w:p w14:paraId="6FCD7752" w14:textId="5CFF3AB1" w:rsidR="007D78DC" w:rsidRDefault="007D78DC" w:rsidP="007D78DC">
      <w:pPr>
        <w:ind w:hanging="480"/>
      </w:pPr>
      <w:r>
        <w:t xml:space="preserve">Scharpf, F. W. (1997). Economic integration, democracy and the welfare state. </w:t>
      </w:r>
      <w:r>
        <w:rPr>
          <w:i/>
          <w:iCs/>
        </w:rPr>
        <w:t>Journal of European Public Policy</w:t>
      </w:r>
      <w:r>
        <w:t xml:space="preserve">, </w:t>
      </w:r>
      <w:r>
        <w:rPr>
          <w:i/>
          <w:iCs/>
        </w:rPr>
        <w:t>4</w:t>
      </w:r>
      <w:r>
        <w:t>(1), 18–36.</w:t>
      </w:r>
      <w:r w:rsidR="00BA221F">
        <w:t xml:space="preserve"> </w:t>
      </w:r>
    </w:p>
    <w:p w14:paraId="38677BA0" w14:textId="31CC1347" w:rsidR="007D78DC" w:rsidRDefault="007D78DC" w:rsidP="007D78DC">
      <w:pPr>
        <w:ind w:hanging="480"/>
      </w:pPr>
      <w:r>
        <w:t xml:space="preserve">Schelkle, W. (2013). Fiscal Integration by Default. In P. Genschel &amp; M. Jachtenfuchs (Eds.), </w:t>
      </w:r>
      <w:r>
        <w:rPr>
          <w:i/>
          <w:iCs/>
        </w:rPr>
        <w:t>Beyond the Regulatory Polity?</w:t>
      </w:r>
      <w:r>
        <w:t xml:space="preserve"> (pp. 105–123). Oxford University Press. </w:t>
      </w:r>
    </w:p>
    <w:p w14:paraId="74FE8642" w14:textId="7F8732EA" w:rsidR="007D78DC" w:rsidRDefault="007D78DC" w:rsidP="007D78DC">
      <w:pPr>
        <w:ind w:hanging="480"/>
      </w:pPr>
      <w:r>
        <w:t xml:space="preserve">Schmidt, V. A., &amp; Thatcher, M. (Eds.). (2013). </w:t>
      </w:r>
      <w:r>
        <w:rPr>
          <w:i/>
          <w:iCs/>
        </w:rPr>
        <w:t>Resilient Liberalism in Europe’s Political Economy</w:t>
      </w:r>
      <w:r>
        <w:t xml:space="preserve">. Cambridge University Press. </w:t>
      </w:r>
    </w:p>
    <w:p w14:paraId="637189B6" w14:textId="45F02AC9" w:rsidR="007D78DC" w:rsidRDefault="007D78DC" w:rsidP="007D78DC">
      <w:pPr>
        <w:ind w:hanging="480"/>
      </w:pPr>
      <w:r>
        <w:t xml:space="preserve">Schoeller, M. G., &amp; Karlsson, O. (2021). Championing the ‘German model’? Germany’s consistent preferences on the integration of fiscal constraints. </w:t>
      </w:r>
      <w:r>
        <w:rPr>
          <w:i/>
          <w:iCs/>
        </w:rPr>
        <w:t>Journal of European Integration</w:t>
      </w:r>
      <w:r>
        <w:t xml:space="preserve">, </w:t>
      </w:r>
      <w:r>
        <w:rPr>
          <w:i/>
          <w:iCs/>
        </w:rPr>
        <w:t>43</w:t>
      </w:r>
      <w:r>
        <w:t>(2), 191–206.</w:t>
      </w:r>
      <w:r w:rsidR="00BA221F">
        <w:t xml:space="preserve"> </w:t>
      </w:r>
    </w:p>
    <w:p w14:paraId="15BCEF26" w14:textId="77777777" w:rsidR="007D78DC" w:rsidRDefault="007D78DC" w:rsidP="007D78DC">
      <w:pPr>
        <w:ind w:hanging="480"/>
      </w:pPr>
      <w:r>
        <w:t xml:space="preserve">Schramm, L., &amp; Crespy, A. (2021). </w:t>
      </w:r>
      <w:r>
        <w:rPr>
          <w:i/>
          <w:iCs/>
        </w:rPr>
        <w:t>What explains Germany’s conversion to common European Union debt?</w:t>
      </w:r>
      <w:r>
        <w:t xml:space="preserve"> The Loop - ECPR Political Blog. </w:t>
      </w:r>
      <w:hyperlink r:id="rId12" w:history="1">
        <w:r>
          <w:rPr>
            <w:rStyle w:val="Lienhypertexte"/>
          </w:rPr>
          <w:t>https://theloop.ecpr.eu/what-explains-germanys-conversion-to-common-european-union-debt/</w:t>
        </w:r>
      </w:hyperlink>
    </w:p>
    <w:p w14:paraId="0C2F4B17" w14:textId="77777777" w:rsidR="007D78DC" w:rsidRDefault="007D78DC" w:rsidP="007D78DC">
      <w:pPr>
        <w:ind w:hanging="480"/>
      </w:pPr>
      <w:r>
        <w:t xml:space="preserve">Stuckler, D., &amp; Basu, S. (2013). </w:t>
      </w:r>
      <w:r>
        <w:rPr>
          <w:i/>
          <w:iCs/>
        </w:rPr>
        <w:t>The Body Economic: Why Austerity Kills. Recessions, budget battles, and the politics of life and death</w:t>
      </w:r>
      <w:r>
        <w:t>. Basic Books.</w:t>
      </w:r>
    </w:p>
    <w:p w14:paraId="0D60735F" w14:textId="77777777" w:rsidR="007D78DC" w:rsidRDefault="007D78DC" w:rsidP="007D78DC">
      <w:pPr>
        <w:ind w:hanging="480"/>
      </w:pPr>
      <w:r>
        <w:t xml:space="preserve">Thompson, H. (2015). Germany and the Euro-zone crisis: The European reformation of the German banking crisis and the future of the Euro. </w:t>
      </w:r>
      <w:r>
        <w:rPr>
          <w:i/>
          <w:iCs/>
        </w:rPr>
        <w:t>New Political Economy</w:t>
      </w:r>
      <w:r>
        <w:t xml:space="preserve">, </w:t>
      </w:r>
      <w:r>
        <w:rPr>
          <w:i/>
          <w:iCs/>
        </w:rPr>
        <w:t>20</w:t>
      </w:r>
      <w:r>
        <w:t>(6), 851–870.</w:t>
      </w:r>
    </w:p>
    <w:p w14:paraId="4836B7F6" w14:textId="77777777" w:rsidR="007D78DC" w:rsidRDefault="007D78DC" w:rsidP="007D78DC">
      <w:pPr>
        <w:ind w:hanging="480"/>
      </w:pPr>
      <w:r>
        <w:t xml:space="preserve">Tooze, J. A. (2018). </w:t>
      </w:r>
      <w:r>
        <w:rPr>
          <w:i/>
          <w:iCs/>
        </w:rPr>
        <w:t>Crashed: How a decade of financial crises changed the world</w:t>
      </w:r>
      <w:r>
        <w:t>. Viking.</w:t>
      </w:r>
    </w:p>
    <w:p w14:paraId="763C37E6" w14:textId="2DA9D9A2" w:rsidR="007D78DC" w:rsidRDefault="007D78DC" w:rsidP="007D78DC">
      <w:pPr>
        <w:ind w:hanging="480"/>
      </w:pPr>
      <w:r>
        <w:t xml:space="preserve">Van Doorslaer, H., &amp; Vermeiren, M. (2020). Pushing on a String: Monetary Policy, Growth Models and the Persistence of Low Inflation in Advanced Capitalism. </w:t>
      </w:r>
      <w:r>
        <w:rPr>
          <w:i/>
          <w:iCs/>
        </w:rPr>
        <w:t>New Political Economy</w:t>
      </w:r>
      <w:r>
        <w:t xml:space="preserve">, 1–20. </w:t>
      </w:r>
    </w:p>
    <w:p w14:paraId="7F396318" w14:textId="4CD4F29A" w:rsidR="007D78DC" w:rsidRPr="00697DC3" w:rsidRDefault="007D78DC" w:rsidP="007D78DC">
      <w:pPr>
        <w:ind w:hanging="480"/>
        <w:rPr>
          <w:lang w:val="fr-BE"/>
        </w:rPr>
      </w:pPr>
      <w:r>
        <w:t xml:space="preserve">Verdun, A. (1999). The role of the Delors Committee in the creation of EMU: An epistemic community? </w:t>
      </w:r>
      <w:r w:rsidRPr="00697DC3">
        <w:rPr>
          <w:i/>
          <w:iCs/>
          <w:lang w:val="fr-BE"/>
        </w:rPr>
        <w:t>Journal of European Public Policy</w:t>
      </w:r>
      <w:r w:rsidRPr="00697DC3">
        <w:rPr>
          <w:lang w:val="fr-BE"/>
        </w:rPr>
        <w:t xml:space="preserve">, </w:t>
      </w:r>
      <w:r w:rsidRPr="00697DC3">
        <w:rPr>
          <w:i/>
          <w:iCs/>
          <w:lang w:val="fr-BE"/>
        </w:rPr>
        <w:t>6</w:t>
      </w:r>
      <w:r w:rsidRPr="00697DC3">
        <w:rPr>
          <w:lang w:val="fr-BE"/>
        </w:rPr>
        <w:t xml:space="preserve">(2), 308–328. </w:t>
      </w:r>
    </w:p>
    <w:p w14:paraId="579B8954" w14:textId="3D144CEE" w:rsidR="007D78DC" w:rsidRDefault="007D78DC" w:rsidP="007D78DC">
      <w:pPr>
        <w:ind w:hanging="480"/>
      </w:pPr>
      <w:r w:rsidRPr="00697DC3">
        <w:rPr>
          <w:lang w:val="fr-BE"/>
        </w:rPr>
        <w:t xml:space="preserve">Verdun, A. (2003). </w:t>
      </w:r>
      <w:r w:rsidRPr="000246B7">
        <w:rPr>
          <w:lang w:val="fr-BE"/>
        </w:rPr>
        <w:t xml:space="preserve">La nécessité d’un « gouvernement économique » dans une UEM asymétrique.: Les préoccupations françaises sont-elles justifiées ? </w:t>
      </w:r>
      <w:r>
        <w:rPr>
          <w:i/>
          <w:iCs/>
        </w:rPr>
        <w:t>Politique européenne</w:t>
      </w:r>
      <w:r>
        <w:t xml:space="preserve">, </w:t>
      </w:r>
      <w:r>
        <w:rPr>
          <w:i/>
          <w:iCs/>
        </w:rPr>
        <w:t>10</w:t>
      </w:r>
      <w:r>
        <w:t xml:space="preserve">(2), 11. </w:t>
      </w:r>
    </w:p>
    <w:p w14:paraId="04F02DDE" w14:textId="77777777" w:rsidR="007D78DC" w:rsidRDefault="007D78DC" w:rsidP="007D78DC">
      <w:pPr>
        <w:ind w:hanging="480"/>
      </w:pPr>
      <w:r>
        <w:t xml:space="preserve">Wallaschek, S. (2020). Framing solidarity in the Euro crisis: A comparison of the German and Irish media discourse. </w:t>
      </w:r>
      <w:r>
        <w:rPr>
          <w:i/>
          <w:iCs/>
        </w:rPr>
        <w:t>New Political Economy</w:t>
      </w:r>
      <w:r>
        <w:t xml:space="preserve">, </w:t>
      </w:r>
      <w:r>
        <w:rPr>
          <w:i/>
          <w:iCs/>
        </w:rPr>
        <w:t>25</w:t>
      </w:r>
      <w:r>
        <w:t>(2), 231–247.</w:t>
      </w:r>
    </w:p>
    <w:p w14:paraId="0D1C42AB" w14:textId="73232704" w:rsidR="007D78DC" w:rsidRDefault="007D78DC" w:rsidP="007D78DC">
      <w:pPr>
        <w:ind w:hanging="480"/>
      </w:pPr>
      <w:r>
        <w:t xml:space="preserve">Warlouzet, L. (2019). The EEC/EU as an Evolving Compromise between French Dirigism and German Ordoliberalism (1957–1995). </w:t>
      </w:r>
      <w:r>
        <w:rPr>
          <w:i/>
          <w:iCs/>
        </w:rPr>
        <w:t>JCMS: Journal of Common Market Studies</w:t>
      </w:r>
      <w:r>
        <w:t xml:space="preserve">, </w:t>
      </w:r>
      <w:r>
        <w:rPr>
          <w:i/>
          <w:iCs/>
        </w:rPr>
        <w:t>57</w:t>
      </w:r>
      <w:r>
        <w:t xml:space="preserve">(1), 77–93. </w:t>
      </w:r>
    </w:p>
    <w:p w14:paraId="10364343" w14:textId="2BF1EE25" w:rsidR="007D78DC" w:rsidRDefault="007D78DC" w:rsidP="007D78DC">
      <w:pPr>
        <w:ind w:hanging="480"/>
      </w:pPr>
      <w:r>
        <w:t xml:space="preserve">Weiler, J. H. H. (1995). Does Europe Need a Constitution? Demos, Telos and the German Maastricht Decision. </w:t>
      </w:r>
      <w:r>
        <w:rPr>
          <w:i/>
          <w:iCs/>
        </w:rPr>
        <w:t>European Law Journal</w:t>
      </w:r>
      <w:r>
        <w:t xml:space="preserve">, </w:t>
      </w:r>
      <w:r>
        <w:rPr>
          <w:i/>
          <w:iCs/>
        </w:rPr>
        <w:t>1</w:t>
      </w:r>
      <w:r>
        <w:t xml:space="preserve">(3), 219–258. </w:t>
      </w:r>
    </w:p>
    <w:p w14:paraId="0CBF0A1B" w14:textId="77777777" w:rsidR="007D78DC" w:rsidRDefault="007D78DC" w:rsidP="007D78DC">
      <w:pPr>
        <w:ind w:hanging="480"/>
      </w:pPr>
      <w:r>
        <w:t xml:space="preserve">Woll, C. (2014). </w:t>
      </w:r>
      <w:r>
        <w:rPr>
          <w:i/>
          <w:iCs/>
        </w:rPr>
        <w:t>The power of inaction: Bank bailouts in comparison</w:t>
      </w:r>
      <w:r>
        <w:t>. Cornell University Press.</w:t>
      </w:r>
    </w:p>
    <w:p w14:paraId="6D149C34" w14:textId="17F35A18" w:rsidR="007D78DC" w:rsidRDefault="007D78DC" w:rsidP="007D78DC">
      <w:pPr>
        <w:spacing w:after="160" w:line="259" w:lineRule="auto"/>
        <w:ind w:firstLine="0"/>
        <w:rPr>
          <w:rFonts w:eastAsia="Times New Roman" w:cs="Times New Roman"/>
          <w:szCs w:val="24"/>
        </w:rPr>
      </w:pPr>
      <w:r>
        <w:rPr>
          <w:rFonts w:eastAsia="Times New Roman" w:cs="Times New Roman"/>
          <w:szCs w:val="24"/>
        </w:rPr>
        <w:t xml:space="preserve"> </w:t>
      </w:r>
      <w:r>
        <w:rPr>
          <w:rFonts w:eastAsia="Times New Roman" w:cs="Times New Roman"/>
          <w:szCs w:val="24"/>
        </w:rPr>
        <w:br w:type="page"/>
      </w:r>
    </w:p>
    <w:p w14:paraId="6DFB9167" w14:textId="77777777" w:rsidR="00473FAD" w:rsidRPr="00072463" w:rsidRDefault="00072463" w:rsidP="007E0B7F">
      <w:pPr>
        <w:pStyle w:val="Sansinterligne"/>
        <w:spacing w:before="120" w:after="120"/>
        <w:ind w:left="284" w:hanging="284"/>
        <w:jc w:val="both"/>
        <w:rPr>
          <w:rFonts w:cs="Times New Roman"/>
          <w:b/>
          <w:szCs w:val="24"/>
          <w:lang w:val="en-US"/>
        </w:rPr>
      </w:pPr>
      <w:r>
        <w:rPr>
          <w:rFonts w:cs="Times New Roman"/>
          <w:b/>
          <w:szCs w:val="24"/>
          <w:lang w:val="en-US"/>
        </w:rPr>
        <w:br w:type="column"/>
      </w:r>
      <w:r w:rsidRPr="00072463">
        <w:rPr>
          <w:rFonts w:cs="Times New Roman"/>
          <w:b/>
          <w:szCs w:val="24"/>
          <w:lang w:val="en-US"/>
        </w:rPr>
        <w:t>Notes</w:t>
      </w:r>
      <w:bookmarkStart w:id="0" w:name="_GoBack"/>
      <w:bookmarkEnd w:id="0"/>
    </w:p>
    <w:sectPr w:rsidR="00473FAD" w:rsidRPr="00072463" w:rsidSect="00DF427A">
      <w:headerReference w:type="default" r:id="rId13"/>
      <w:footerReference w:type="default" r:id="rId14"/>
      <w:endnotePr>
        <w:numFmt w:val="decimal"/>
      </w:endnotePr>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353810" w16cex:dateUtc="2021-04-29T11:50:00Z"/>
  <w16cex:commentExtensible w16cex:durableId="243538E2" w16cex:dateUtc="2021-04-29T11:53:00Z"/>
  <w16cex:commentExtensible w16cex:durableId="241EFA15" w16cex:dateUtc="2021-04-12T14:55:00Z"/>
  <w16cex:commentExtensible w16cex:durableId="241EF224" w16cex:dateUtc="2021-04-12T14:21:00Z"/>
  <w16cex:commentExtensible w16cex:durableId="243539AB" w16cex:dateUtc="2021-04-29T11:56:00Z"/>
  <w16cex:commentExtensible w16cex:durableId="241EFBA3" w16cex:dateUtc="2021-04-12T15: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0CEEBBB" w16cid:durableId="24353810"/>
  <w16cid:commentId w16cid:paraId="1F407678" w16cid:durableId="241832F9"/>
  <w16cid:commentId w16cid:paraId="68A34D7F" w16cid:durableId="243538E2"/>
  <w16cid:commentId w16cid:paraId="2D121DCF" w16cid:durableId="241EFA15"/>
  <w16cid:commentId w16cid:paraId="0D4CC93D" w16cid:durableId="241EF224"/>
  <w16cid:commentId w16cid:paraId="2CCC6B30" w16cid:durableId="243539AB"/>
  <w16cid:commentId w16cid:paraId="7317AE99" w16cid:durableId="241EFBA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B3567" w14:textId="77777777" w:rsidR="000F6E69" w:rsidRDefault="000F6E69" w:rsidP="00DF427A">
      <w:pPr>
        <w:spacing w:line="240" w:lineRule="auto"/>
      </w:pPr>
      <w:r>
        <w:separator/>
      </w:r>
    </w:p>
  </w:endnote>
  <w:endnote w:type="continuationSeparator" w:id="0">
    <w:p w14:paraId="53F0F8C1" w14:textId="77777777" w:rsidR="000F6E69" w:rsidRDefault="000F6E69" w:rsidP="00DF427A">
      <w:pPr>
        <w:spacing w:line="240" w:lineRule="auto"/>
      </w:pPr>
      <w:r>
        <w:continuationSeparator/>
      </w:r>
    </w:p>
  </w:endnote>
  <w:endnote w:id="1">
    <w:p w14:paraId="0376D913" w14:textId="77777777" w:rsidR="00C0798B" w:rsidRPr="00072463" w:rsidRDefault="00C0798B" w:rsidP="00072463">
      <w:pPr>
        <w:pStyle w:val="Notedefin"/>
        <w:ind w:left="284" w:hanging="284"/>
        <w:rPr>
          <w:sz w:val="24"/>
          <w:szCs w:val="24"/>
          <w:lang w:val="en-US"/>
        </w:rPr>
      </w:pPr>
      <w:r w:rsidRPr="00072463">
        <w:rPr>
          <w:rStyle w:val="Appeldenotedefin"/>
          <w:sz w:val="24"/>
          <w:szCs w:val="24"/>
          <w:vertAlign w:val="baseline"/>
        </w:rPr>
        <w:endnoteRef/>
      </w:r>
      <w:r w:rsidRPr="00072463">
        <w:rPr>
          <w:sz w:val="24"/>
          <w:szCs w:val="24"/>
          <w:lang w:val="en-US"/>
        </w:rPr>
        <w:t xml:space="preserve"> </w:t>
      </w:r>
      <w:r>
        <w:rPr>
          <w:sz w:val="24"/>
          <w:szCs w:val="24"/>
          <w:lang w:val="en-US"/>
        </w:rPr>
        <w:tab/>
      </w:r>
      <w:r w:rsidRPr="00072463">
        <w:rPr>
          <w:rFonts w:cs="Times New Roman"/>
          <w:color w:val="000000"/>
          <w:sz w:val="24"/>
          <w:szCs w:val="24"/>
          <w:lang w:val="en-US"/>
        </w:rPr>
        <w:t>The “economic miracle” refers to the fast economic expansion of West Germany after World War Two.</w:t>
      </w:r>
    </w:p>
  </w:endnote>
  <w:endnote w:id="2">
    <w:p w14:paraId="01725BEA" w14:textId="78839903" w:rsidR="00C0798B" w:rsidRDefault="00C0798B" w:rsidP="00072463">
      <w:pPr>
        <w:pStyle w:val="Notedefin"/>
        <w:ind w:left="284" w:hanging="284"/>
        <w:rPr>
          <w:rFonts w:cs="Times New Roman"/>
          <w:sz w:val="24"/>
          <w:szCs w:val="24"/>
          <w:lang w:val="en-US"/>
        </w:rPr>
      </w:pPr>
      <w:r w:rsidRPr="00072463">
        <w:rPr>
          <w:rStyle w:val="Appeldenotedefin"/>
          <w:sz w:val="24"/>
          <w:szCs w:val="24"/>
          <w:vertAlign w:val="baseline"/>
        </w:rPr>
        <w:endnoteRef/>
      </w:r>
      <w:r w:rsidRPr="00072463">
        <w:rPr>
          <w:sz w:val="24"/>
          <w:szCs w:val="24"/>
          <w:lang w:val="en-US"/>
        </w:rPr>
        <w:t xml:space="preserve"> </w:t>
      </w:r>
      <w:r>
        <w:rPr>
          <w:sz w:val="24"/>
          <w:szCs w:val="24"/>
          <w:lang w:val="en-US"/>
        </w:rPr>
        <w:tab/>
      </w:r>
      <w:r w:rsidRPr="00072463">
        <w:rPr>
          <w:rFonts w:cs="Times New Roman"/>
          <w:sz w:val="24"/>
          <w:szCs w:val="24"/>
          <w:lang w:val="en-US"/>
        </w:rPr>
        <w:t xml:space="preserve">The </w:t>
      </w:r>
      <w:r>
        <w:rPr>
          <w:rFonts w:cs="Times New Roman"/>
          <w:sz w:val="24"/>
          <w:szCs w:val="24"/>
          <w:lang w:val="en-US"/>
        </w:rPr>
        <w:t>“</w:t>
      </w:r>
      <w:r w:rsidRPr="00072463">
        <w:rPr>
          <w:rFonts w:cs="Times New Roman"/>
          <w:sz w:val="24"/>
          <w:szCs w:val="24"/>
          <w:lang w:val="en-US"/>
        </w:rPr>
        <w:t>dirigiste</w:t>
      </w:r>
      <w:r>
        <w:rPr>
          <w:rFonts w:cs="Times New Roman"/>
          <w:sz w:val="24"/>
          <w:szCs w:val="24"/>
          <w:lang w:val="en-US"/>
        </w:rPr>
        <w:t>”</w:t>
      </w:r>
      <w:r w:rsidRPr="00072463">
        <w:rPr>
          <w:rFonts w:cs="Times New Roman"/>
          <w:sz w:val="24"/>
          <w:szCs w:val="24"/>
          <w:lang w:val="en-US"/>
        </w:rPr>
        <w:t xml:space="preserve"> approach was central to the functioning of the Common Agricultural Policy (CAP) whereas ordo-liberals had a prominent role in competition policy.</w:t>
      </w:r>
    </w:p>
    <w:p w14:paraId="7E758ECE" w14:textId="7E9EE54F" w:rsidR="00C0798B" w:rsidRPr="00072463" w:rsidRDefault="00C0798B" w:rsidP="00072463">
      <w:pPr>
        <w:pStyle w:val="Notedefin"/>
        <w:ind w:left="284" w:hanging="284"/>
        <w:rPr>
          <w:sz w:val="24"/>
          <w:szCs w:val="24"/>
          <w:lang w:val="en-US"/>
        </w:rPr>
      </w:pPr>
      <w:r>
        <w:rPr>
          <w:sz w:val="24"/>
          <w:szCs w:val="24"/>
          <w:lang w:val="en-US"/>
        </w:rPr>
        <w:t>3</w:t>
      </w:r>
      <w:r w:rsidRPr="00072463">
        <w:rPr>
          <w:sz w:val="24"/>
          <w:szCs w:val="24"/>
          <w:lang w:val="en-US"/>
        </w:rPr>
        <w:t xml:space="preserve"> </w:t>
      </w:r>
      <w:r>
        <w:rPr>
          <w:sz w:val="24"/>
          <w:szCs w:val="24"/>
          <w:lang w:val="en-US"/>
        </w:rPr>
        <w:tab/>
      </w:r>
    </w:p>
  </w:endnote>
  <w:endnote w:id="3">
    <w:p w14:paraId="62064E5A" w14:textId="1CA5C8F0" w:rsidR="00C0798B" w:rsidRPr="000246B7" w:rsidRDefault="00C0798B" w:rsidP="000246B7">
      <w:pPr>
        <w:pStyle w:val="Notedefin"/>
        <w:ind w:firstLine="0"/>
        <w:rPr>
          <w:sz w:val="24"/>
          <w:szCs w:val="24"/>
        </w:rPr>
      </w:pPr>
      <w:r w:rsidRPr="000246B7">
        <w:rPr>
          <w:sz w:val="24"/>
          <w:szCs w:val="24"/>
        </w:rPr>
        <w:t xml:space="preserve">The empty chair crisis occurred when French president Charles de Gaulle asked French representatives to leave the meetings of the Council of ministers in 1965.  </w:t>
      </w:r>
    </w:p>
  </w:endnote>
  <w:endnote w:id="4">
    <w:p w14:paraId="1B3CC15A" w14:textId="5ED50D90" w:rsidR="00C0798B" w:rsidRPr="00072463" w:rsidRDefault="00C0798B" w:rsidP="00072463">
      <w:pPr>
        <w:pStyle w:val="Notedefin"/>
        <w:ind w:left="284" w:hanging="284"/>
        <w:rPr>
          <w:sz w:val="24"/>
          <w:szCs w:val="24"/>
          <w:lang w:val="en-US"/>
        </w:rPr>
      </w:pPr>
      <w:r w:rsidRPr="00072463">
        <w:rPr>
          <w:rStyle w:val="Appeldenotedefin"/>
          <w:sz w:val="24"/>
          <w:szCs w:val="24"/>
          <w:vertAlign w:val="baseline"/>
        </w:rPr>
        <w:endnoteRef/>
      </w:r>
      <w:r w:rsidRPr="00072463">
        <w:rPr>
          <w:sz w:val="24"/>
          <w:szCs w:val="24"/>
          <w:lang w:val="en-US"/>
        </w:rPr>
        <w:t xml:space="preserve"> </w:t>
      </w:r>
      <w:r>
        <w:rPr>
          <w:sz w:val="24"/>
          <w:szCs w:val="24"/>
          <w:lang w:val="en-US"/>
        </w:rPr>
        <w:tab/>
      </w:r>
      <w:r w:rsidRPr="00072463">
        <w:rPr>
          <w:rFonts w:cs="Times New Roman"/>
          <w:color w:val="000000"/>
          <w:sz w:val="24"/>
          <w:szCs w:val="24"/>
          <w:lang w:val="en-US"/>
        </w:rPr>
        <w:t xml:space="preserve">Mundell’s </w:t>
      </w:r>
      <w:r>
        <w:rPr>
          <w:rFonts w:cs="Times New Roman"/>
          <w:color w:val="000000"/>
          <w:sz w:val="24"/>
          <w:szCs w:val="24"/>
          <w:lang w:val="en-US"/>
        </w:rPr>
        <w:t xml:space="preserve">(1961) </w:t>
      </w:r>
      <w:r w:rsidRPr="00072463">
        <w:rPr>
          <w:rFonts w:cs="Times New Roman"/>
          <w:color w:val="000000"/>
          <w:sz w:val="24"/>
          <w:szCs w:val="24"/>
          <w:lang w:val="en-US"/>
        </w:rPr>
        <w:t>“impossible trinity” theori</w:t>
      </w:r>
      <w:r>
        <w:rPr>
          <w:rFonts w:cs="Times New Roman"/>
          <w:color w:val="000000"/>
          <w:sz w:val="24"/>
          <w:szCs w:val="24"/>
          <w:lang w:val="en-US"/>
        </w:rPr>
        <w:t>s</w:t>
      </w:r>
      <w:r w:rsidRPr="00072463">
        <w:rPr>
          <w:rFonts w:cs="Times New Roman"/>
          <w:color w:val="000000"/>
          <w:sz w:val="24"/>
          <w:szCs w:val="24"/>
          <w:lang w:val="en-US"/>
        </w:rPr>
        <w:t>es this dilemma: a country cannot combine at the same time fixed or stable exchange rates with a sovereign monetary policy and free capital movement.</w:t>
      </w:r>
    </w:p>
  </w:endnote>
  <w:endnote w:id="5">
    <w:p w14:paraId="04D26D05" w14:textId="75726EE6" w:rsidR="00C0798B" w:rsidRDefault="00C0798B" w:rsidP="00072463">
      <w:pPr>
        <w:pStyle w:val="Notedefin"/>
        <w:ind w:left="284" w:hanging="284"/>
        <w:rPr>
          <w:rFonts w:cs="Times New Roman"/>
          <w:color w:val="000000"/>
          <w:sz w:val="24"/>
          <w:szCs w:val="24"/>
          <w:lang w:val="en-US"/>
        </w:rPr>
      </w:pPr>
      <w:r w:rsidRPr="00072463">
        <w:rPr>
          <w:rStyle w:val="Appeldenotedefin"/>
          <w:sz w:val="24"/>
          <w:szCs w:val="24"/>
          <w:vertAlign w:val="baseline"/>
        </w:rPr>
        <w:endnoteRef/>
      </w:r>
      <w:r w:rsidRPr="00072463">
        <w:rPr>
          <w:sz w:val="24"/>
          <w:szCs w:val="24"/>
          <w:lang w:val="en-US"/>
        </w:rPr>
        <w:t xml:space="preserve"> </w:t>
      </w:r>
      <w:r>
        <w:rPr>
          <w:sz w:val="24"/>
          <w:szCs w:val="24"/>
          <w:lang w:val="en-US"/>
        </w:rPr>
        <w:tab/>
      </w:r>
      <w:r w:rsidRPr="00072463">
        <w:rPr>
          <w:rFonts w:cs="Times New Roman"/>
          <w:color w:val="000000"/>
          <w:sz w:val="24"/>
          <w:szCs w:val="24"/>
          <w:lang w:val="en-US"/>
        </w:rPr>
        <w:t>Here, spreads refer to the difference of interest rates between the German sovereign bonds and peripheral states’ sovereign bonds. The widening of the spread is an indicator of the increasing lack of confidence of market operators about the ability of peripheral countries to reimburse their debt.</w:t>
      </w:r>
    </w:p>
    <w:p w14:paraId="42155CAC" w14:textId="5844F29E" w:rsidR="00C0798B" w:rsidRPr="00072463" w:rsidRDefault="00C0798B" w:rsidP="00857AFA">
      <w:pPr>
        <w:pStyle w:val="Notedefin"/>
        <w:ind w:left="284" w:hanging="284"/>
        <w:rPr>
          <w:sz w:val="24"/>
          <w:szCs w:val="24"/>
          <w:lang w:val="en-US"/>
        </w:rPr>
      </w:pPr>
      <w:r>
        <w:rPr>
          <w:sz w:val="24"/>
          <w:szCs w:val="24"/>
          <w:lang w:val="en-US"/>
        </w:rPr>
        <w:t>6</w:t>
      </w:r>
      <w:r w:rsidRPr="00072463">
        <w:rPr>
          <w:sz w:val="24"/>
          <w:szCs w:val="24"/>
          <w:lang w:val="en-US"/>
        </w:rPr>
        <w:t xml:space="preserve"> </w:t>
      </w:r>
      <w:r>
        <w:rPr>
          <w:sz w:val="24"/>
          <w:szCs w:val="24"/>
          <w:lang w:val="en-US"/>
        </w:rPr>
        <w:tab/>
      </w:r>
    </w:p>
  </w:endnote>
  <w:endnote w:id="6">
    <w:p w14:paraId="71B73495" w14:textId="13542463" w:rsidR="00C0798B" w:rsidRPr="00697DC3" w:rsidRDefault="00C0798B" w:rsidP="00857AFA">
      <w:pPr>
        <w:pStyle w:val="Notedefin"/>
        <w:ind w:firstLine="0"/>
        <w:rPr>
          <w:sz w:val="24"/>
          <w:szCs w:val="24"/>
          <w:lang w:val="en-US"/>
        </w:rPr>
      </w:pPr>
      <w:r w:rsidRPr="00697DC3">
        <w:rPr>
          <w:sz w:val="24"/>
          <w:szCs w:val="24"/>
          <w:lang w:val="en-US"/>
        </w:rPr>
        <w:t>This strategy aims at curbing risks of moral hazard</w:t>
      </w:r>
      <w:r w:rsidRPr="00857AFA">
        <w:rPr>
          <w:sz w:val="24"/>
          <w:szCs w:val="24"/>
          <w:lang w:val="en-US"/>
        </w:rPr>
        <w:t xml:space="preserve"> by attaching strong conditionality to the disbursement of loans </w:t>
      </w:r>
    </w:p>
  </w:endnote>
  <w:endnote w:id="7">
    <w:p w14:paraId="17AD1732" w14:textId="77777777" w:rsidR="00C0798B" w:rsidRPr="00072463" w:rsidRDefault="00C0798B" w:rsidP="00E334C5">
      <w:pPr>
        <w:pStyle w:val="Notedefin"/>
        <w:ind w:left="284" w:hanging="284"/>
        <w:rPr>
          <w:sz w:val="24"/>
          <w:szCs w:val="24"/>
          <w:lang w:val="en-US"/>
        </w:rPr>
      </w:pPr>
      <w:r w:rsidRPr="00072463">
        <w:rPr>
          <w:rStyle w:val="Appeldenotedefin"/>
          <w:sz w:val="24"/>
          <w:szCs w:val="24"/>
          <w:vertAlign w:val="baseline"/>
        </w:rPr>
        <w:endnoteRef/>
      </w:r>
      <w:r w:rsidRPr="00072463">
        <w:rPr>
          <w:sz w:val="24"/>
          <w:szCs w:val="24"/>
          <w:lang w:val="en-US"/>
        </w:rPr>
        <w:t xml:space="preserve"> </w:t>
      </w:r>
      <w:r>
        <w:rPr>
          <w:sz w:val="24"/>
          <w:szCs w:val="24"/>
          <w:lang w:val="en-US"/>
        </w:rPr>
        <w:tab/>
      </w:r>
      <w:r w:rsidRPr="00072463">
        <w:rPr>
          <w:rFonts w:cs="Times New Roman"/>
          <w:sz w:val="24"/>
          <w:szCs w:val="24"/>
          <w:lang w:val="en-US"/>
        </w:rPr>
        <w:t>Amaro, Silvia. “Dijsselbloem under fire after saying southern Europe wasted money on ‘drinks and women’”. CNBC, March 22, 2017. Accessed on April 6, 2021. https://www.cnbc.com/2017/03/22/dijsselbloem-under-fire-after-saying-southern-europe-wasted-money-on-drinks-and-women.html</w:t>
      </w:r>
    </w:p>
  </w:endnote>
  <w:endnote w:id="8">
    <w:p w14:paraId="665FA819" w14:textId="77777777" w:rsidR="00C0798B" w:rsidRPr="00072463" w:rsidRDefault="00C0798B" w:rsidP="00072463">
      <w:pPr>
        <w:pStyle w:val="Notedefin"/>
        <w:ind w:left="284" w:hanging="284"/>
        <w:rPr>
          <w:sz w:val="24"/>
          <w:szCs w:val="24"/>
          <w:lang w:val="en-US"/>
        </w:rPr>
      </w:pPr>
      <w:r w:rsidRPr="00072463">
        <w:rPr>
          <w:rStyle w:val="Appeldenotedefin"/>
          <w:sz w:val="24"/>
          <w:szCs w:val="24"/>
          <w:vertAlign w:val="baseline"/>
        </w:rPr>
        <w:endnoteRef/>
      </w:r>
      <w:r w:rsidRPr="00072463">
        <w:rPr>
          <w:sz w:val="24"/>
          <w:szCs w:val="24"/>
          <w:lang w:val="en-US"/>
        </w:rPr>
        <w:t xml:space="preserve"> </w:t>
      </w:r>
      <w:r>
        <w:rPr>
          <w:sz w:val="24"/>
          <w:szCs w:val="24"/>
          <w:lang w:val="en-US"/>
        </w:rPr>
        <w:tab/>
      </w:r>
      <w:r w:rsidRPr="00072463">
        <w:rPr>
          <w:rFonts w:cs="Times New Roman"/>
          <w:sz w:val="24"/>
          <w:szCs w:val="24"/>
          <w:lang w:val="en-US"/>
        </w:rPr>
        <w:t xml:space="preserve">Fleming Sam, Mallet Victor and Chazan Guy, “Germany and France unite in call for €500bn Europe recovery fund”? </w:t>
      </w:r>
      <w:r w:rsidRPr="00072463">
        <w:rPr>
          <w:rFonts w:cs="Times New Roman"/>
          <w:i/>
          <w:sz w:val="24"/>
          <w:szCs w:val="24"/>
          <w:lang w:val="en-US"/>
        </w:rPr>
        <w:t>Financial Times</w:t>
      </w:r>
      <w:r w:rsidRPr="00072463">
        <w:rPr>
          <w:rFonts w:cs="Times New Roman"/>
          <w:sz w:val="24"/>
          <w:szCs w:val="24"/>
          <w:lang w:val="en-US"/>
        </w:rPr>
        <w:t>, May 18, 2020. Accessed on April 6, 2021, https://www.ft.com/content/c23ebc5e-cbf3-4ad8-85aa-032b574d0562</w:t>
      </w:r>
    </w:p>
  </w:endnote>
  <w:endnote w:id="9">
    <w:p w14:paraId="7EC0C1D9" w14:textId="77777777" w:rsidR="00C0798B" w:rsidRPr="00072463" w:rsidRDefault="00C0798B" w:rsidP="00072463">
      <w:pPr>
        <w:pStyle w:val="Notedefin"/>
        <w:ind w:left="284" w:hanging="284"/>
        <w:rPr>
          <w:sz w:val="24"/>
          <w:szCs w:val="24"/>
          <w:lang w:val="en-US"/>
        </w:rPr>
      </w:pPr>
      <w:r w:rsidRPr="00072463">
        <w:rPr>
          <w:rStyle w:val="Appeldenotedefin"/>
          <w:sz w:val="24"/>
          <w:szCs w:val="24"/>
          <w:vertAlign w:val="baseline"/>
        </w:rPr>
        <w:endnoteRef/>
      </w:r>
      <w:r w:rsidRPr="00072463">
        <w:rPr>
          <w:sz w:val="24"/>
          <w:szCs w:val="24"/>
          <w:lang w:val="en-US"/>
        </w:rPr>
        <w:t xml:space="preserve"> </w:t>
      </w:r>
      <w:r>
        <w:rPr>
          <w:sz w:val="24"/>
          <w:szCs w:val="24"/>
          <w:lang w:val="en-US"/>
        </w:rPr>
        <w:tab/>
      </w:r>
      <w:r w:rsidRPr="00072463">
        <w:rPr>
          <w:sz w:val="24"/>
          <w:szCs w:val="24"/>
          <w:lang w:val="en-US"/>
        </w:rPr>
        <w:t xml:space="preserve">Schnabel, Isabel. </w:t>
      </w:r>
      <w:r>
        <w:rPr>
          <w:sz w:val="24"/>
          <w:szCs w:val="24"/>
          <w:lang w:val="en-US"/>
        </w:rPr>
        <w:t>“</w:t>
      </w:r>
      <w:r w:rsidRPr="00072463">
        <w:rPr>
          <w:sz w:val="24"/>
          <w:szCs w:val="24"/>
          <w:lang w:val="en-US"/>
        </w:rPr>
        <w:t> Unconventional fiscal and monetary policy at the zero lower bound </w:t>
      </w:r>
      <w:r>
        <w:rPr>
          <w:sz w:val="24"/>
          <w:szCs w:val="24"/>
          <w:lang w:val="en-US"/>
        </w:rPr>
        <w:t>“</w:t>
      </w:r>
      <w:r w:rsidRPr="00072463">
        <w:rPr>
          <w:sz w:val="24"/>
          <w:szCs w:val="24"/>
          <w:lang w:val="en-US"/>
        </w:rPr>
        <w:t>, Keynote speech at the European Fiscal Board 3d annual conference. Accessed on April, 6, 2021. https://www.ecb.europa.eu/press/key/date/2021/html/ecb.sp210226~ff6ad267d4.en.html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rPr>
      <w:id w:val="-1984533084"/>
      <w:docPartObj>
        <w:docPartGallery w:val="Page Numbers (Bottom of Page)"/>
        <w:docPartUnique/>
      </w:docPartObj>
    </w:sdtPr>
    <w:sdtEndPr/>
    <w:sdtContent>
      <w:p w14:paraId="5FCC240F" w14:textId="6EFC24CE" w:rsidR="00C0798B" w:rsidRPr="00DF427A" w:rsidRDefault="00C0798B" w:rsidP="00DF427A">
        <w:pPr>
          <w:pStyle w:val="Pieddepage"/>
          <w:jc w:val="right"/>
          <w:rPr>
            <w:rFonts w:cs="Times New Roman"/>
          </w:rPr>
        </w:pPr>
        <w:r w:rsidRPr="00DF427A">
          <w:rPr>
            <w:rFonts w:cs="Times New Roman"/>
          </w:rPr>
          <w:fldChar w:fldCharType="begin"/>
        </w:r>
        <w:r w:rsidRPr="00DF427A">
          <w:rPr>
            <w:rFonts w:cs="Times New Roman"/>
          </w:rPr>
          <w:instrText>PAGE   \* MERGEFORMAT</w:instrText>
        </w:r>
        <w:r w:rsidRPr="00DF427A">
          <w:rPr>
            <w:rFonts w:cs="Times New Roman"/>
          </w:rPr>
          <w:fldChar w:fldCharType="separate"/>
        </w:r>
        <w:r w:rsidR="00697DC3" w:rsidRPr="00697DC3">
          <w:rPr>
            <w:rFonts w:cs="Times New Roman"/>
            <w:noProof/>
            <w:lang w:val="fr-FR"/>
          </w:rPr>
          <w:t>22</w:t>
        </w:r>
        <w:r w:rsidRPr="00DF427A">
          <w:rPr>
            <w:rFonts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27254" w14:textId="77777777" w:rsidR="000F6E69" w:rsidRDefault="000F6E69" w:rsidP="00DF427A">
      <w:pPr>
        <w:spacing w:line="240" w:lineRule="auto"/>
      </w:pPr>
      <w:r>
        <w:separator/>
      </w:r>
    </w:p>
  </w:footnote>
  <w:footnote w:type="continuationSeparator" w:id="0">
    <w:p w14:paraId="7E99DCD4" w14:textId="77777777" w:rsidR="000F6E69" w:rsidRDefault="000F6E69" w:rsidP="00DF42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9CFB5" w14:textId="77777777" w:rsidR="00C0798B" w:rsidRDefault="00C0798B">
    <w:pPr>
      <w:pStyle w:val="En-tte"/>
    </w:pPr>
  </w:p>
  <w:p w14:paraId="427246BE" w14:textId="77777777" w:rsidR="00C0798B" w:rsidRDefault="00C079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621DD4"/>
    <w:multiLevelType w:val="hybridMultilevel"/>
    <w:tmpl w:val="C98ED6C8"/>
    <w:lvl w:ilvl="0" w:tplc="707007B4">
      <w:numFmt w:val="bullet"/>
      <w:lvlText w:val="-"/>
      <w:lvlJc w:val="left"/>
      <w:pPr>
        <w:ind w:left="644" w:hanging="360"/>
      </w:pPr>
      <w:rPr>
        <w:rFonts w:ascii="Times New Roman" w:eastAsiaTheme="minorHAnsi" w:hAnsi="Times New Roman" w:cs="Times New Roman"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 w15:restartNumberingAfterBreak="0">
    <w:nsid w:val="63FB4F59"/>
    <w:multiLevelType w:val="hybridMultilevel"/>
    <w:tmpl w:val="4EB28812"/>
    <w:lvl w:ilvl="0" w:tplc="9A624026">
      <w:start w:val="2"/>
      <w:numFmt w:val="bullet"/>
      <w:lvlText w:val=""/>
      <w:lvlJc w:val="left"/>
      <w:pPr>
        <w:ind w:left="644" w:hanging="360"/>
      </w:pPr>
      <w:rPr>
        <w:rFonts w:ascii="Wingdings" w:eastAsiaTheme="minorHAnsi" w:hAnsi="Wingdings" w:cstheme="minorBidi"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535"/>
    <w:rsid w:val="0001586B"/>
    <w:rsid w:val="000246B7"/>
    <w:rsid w:val="00027912"/>
    <w:rsid w:val="000325E5"/>
    <w:rsid w:val="00035B3A"/>
    <w:rsid w:val="00072463"/>
    <w:rsid w:val="00074416"/>
    <w:rsid w:val="000839E0"/>
    <w:rsid w:val="0009771D"/>
    <w:rsid w:val="000A0F01"/>
    <w:rsid w:val="000B3EA8"/>
    <w:rsid w:val="000B7771"/>
    <w:rsid w:val="000C42FE"/>
    <w:rsid w:val="000E6E25"/>
    <w:rsid w:val="000E7579"/>
    <w:rsid w:val="000F6E69"/>
    <w:rsid w:val="000F7FAC"/>
    <w:rsid w:val="00151DD7"/>
    <w:rsid w:val="00180715"/>
    <w:rsid w:val="001A33F4"/>
    <w:rsid w:val="001A3CAB"/>
    <w:rsid w:val="001A5D6A"/>
    <w:rsid w:val="002160D7"/>
    <w:rsid w:val="002331F9"/>
    <w:rsid w:val="002464D8"/>
    <w:rsid w:val="002625AF"/>
    <w:rsid w:val="002968C7"/>
    <w:rsid w:val="002D1EA3"/>
    <w:rsid w:val="002D34F8"/>
    <w:rsid w:val="002E3730"/>
    <w:rsid w:val="002E503D"/>
    <w:rsid w:val="00323C27"/>
    <w:rsid w:val="00323DB3"/>
    <w:rsid w:val="003269E9"/>
    <w:rsid w:val="0034489C"/>
    <w:rsid w:val="00350AC8"/>
    <w:rsid w:val="0037205E"/>
    <w:rsid w:val="00381D1C"/>
    <w:rsid w:val="003908C7"/>
    <w:rsid w:val="004136C6"/>
    <w:rsid w:val="00414282"/>
    <w:rsid w:val="004170EB"/>
    <w:rsid w:val="00425C9F"/>
    <w:rsid w:val="00466589"/>
    <w:rsid w:val="00473FAD"/>
    <w:rsid w:val="00482933"/>
    <w:rsid w:val="004866F4"/>
    <w:rsid w:val="00495297"/>
    <w:rsid w:val="004C0322"/>
    <w:rsid w:val="004C635E"/>
    <w:rsid w:val="004C7564"/>
    <w:rsid w:val="004D6AD9"/>
    <w:rsid w:val="004E4790"/>
    <w:rsid w:val="00516780"/>
    <w:rsid w:val="00516D6E"/>
    <w:rsid w:val="005246C9"/>
    <w:rsid w:val="005316A2"/>
    <w:rsid w:val="005360E1"/>
    <w:rsid w:val="005536AA"/>
    <w:rsid w:val="00562FB2"/>
    <w:rsid w:val="00573A8F"/>
    <w:rsid w:val="005B34FE"/>
    <w:rsid w:val="005B5249"/>
    <w:rsid w:val="005B5F26"/>
    <w:rsid w:val="005D5B29"/>
    <w:rsid w:val="005E580A"/>
    <w:rsid w:val="0060115B"/>
    <w:rsid w:val="00607BCF"/>
    <w:rsid w:val="0061218A"/>
    <w:rsid w:val="006351F0"/>
    <w:rsid w:val="0063584B"/>
    <w:rsid w:val="00647681"/>
    <w:rsid w:val="0067178B"/>
    <w:rsid w:val="00675246"/>
    <w:rsid w:val="00681D09"/>
    <w:rsid w:val="00687874"/>
    <w:rsid w:val="00690649"/>
    <w:rsid w:val="00697DC3"/>
    <w:rsid w:val="006C2151"/>
    <w:rsid w:val="006C476A"/>
    <w:rsid w:val="007635EF"/>
    <w:rsid w:val="00763CA1"/>
    <w:rsid w:val="0078259F"/>
    <w:rsid w:val="007B57D1"/>
    <w:rsid w:val="007B6099"/>
    <w:rsid w:val="007C562D"/>
    <w:rsid w:val="007C7731"/>
    <w:rsid w:val="007D78DC"/>
    <w:rsid w:val="007E0B7F"/>
    <w:rsid w:val="00800BA6"/>
    <w:rsid w:val="008224A2"/>
    <w:rsid w:val="00842C5B"/>
    <w:rsid w:val="008435A6"/>
    <w:rsid w:val="008534CF"/>
    <w:rsid w:val="00857AFA"/>
    <w:rsid w:val="00857AFE"/>
    <w:rsid w:val="00893A3D"/>
    <w:rsid w:val="008B6789"/>
    <w:rsid w:val="008C7EED"/>
    <w:rsid w:val="008E2E05"/>
    <w:rsid w:val="00922239"/>
    <w:rsid w:val="00923C0B"/>
    <w:rsid w:val="00947118"/>
    <w:rsid w:val="009733AD"/>
    <w:rsid w:val="00987FC3"/>
    <w:rsid w:val="009F4FEF"/>
    <w:rsid w:val="00A075D5"/>
    <w:rsid w:val="00A150E3"/>
    <w:rsid w:val="00A23133"/>
    <w:rsid w:val="00A540BC"/>
    <w:rsid w:val="00A55C99"/>
    <w:rsid w:val="00A87FA8"/>
    <w:rsid w:val="00A95226"/>
    <w:rsid w:val="00AA6E84"/>
    <w:rsid w:val="00AD4D52"/>
    <w:rsid w:val="00AE052D"/>
    <w:rsid w:val="00B23D61"/>
    <w:rsid w:val="00B23D90"/>
    <w:rsid w:val="00B42F0A"/>
    <w:rsid w:val="00BA221F"/>
    <w:rsid w:val="00BD352D"/>
    <w:rsid w:val="00BD3D77"/>
    <w:rsid w:val="00BE00E1"/>
    <w:rsid w:val="00BE1C83"/>
    <w:rsid w:val="00BF58AA"/>
    <w:rsid w:val="00C0078A"/>
    <w:rsid w:val="00C0798B"/>
    <w:rsid w:val="00C12937"/>
    <w:rsid w:val="00C54ED2"/>
    <w:rsid w:val="00C61B3D"/>
    <w:rsid w:val="00C8564D"/>
    <w:rsid w:val="00C96C6A"/>
    <w:rsid w:val="00CB362C"/>
    <w:rsid w:val="00CB571B"/>
    <w:rsid w:val="00CD3CAF"/>
    <w:rsid w:val="00CE5D8F"/>
    <w:rsid w:val="00D310C0"/>
    <w:rsid w:val="00D52471"/>
    <w:rsid w:val="00D72535"/>
    <w:rsid w:val="00D76026"/>
    <w:rsid w:val="00DA58EA"/>
    <w:rsid w:val="00DA7610"/>
    <w:rsid w:val="00DB45C0"/>
    <w:rsid w:val="00DB60D0"/>
    <w:rsid w:val="00DC76A7"/>
    <w:rsid w:val="00DD201B"/>
    <w:rsid w:val="00DD3623"/>
    <w:rsid w:val="00DE52BD"/>
    <w:rsid w:val="00DF323F"/>
    <w:rsid w:val="00DF427A"/>
    <w:rsid w:val="00DF5AC2"/>
    <w:rsid w:val="00DF7DF9"/>
    <w:rsid w:val="00E06441"/>
    <w:rsid w:val="00E10479"/>
    <w:rsid w:val="00E12C0E"/>
    <w:rsid w:val="00E17C85"/>
    <w:rsid w:val="00E32B11"/>
    <w:rsid w:val="00E334C5"/>
    <w:rsid w:val="00E60D2E"/>
    <w:rsid w:val="00E67C9F"/>
    <w:rsid w:val="00E8620B"/>
    <w:rsid w:val="00EC0FC6"/>
    <w:rsid w:val="00EC47C3"/>
    <w:rsid w:val="00EE08E2"/>
    <w:rsid w:val="00EE23A1"/>
    <w:rsid w:val="00F100B5"/>
    <w:rsid w:val="00F17452"/>
    <w:rsid w:val="00F21A60"/>
    <w:rsid w:val="00F233B8"/>
    <w:rsid w:val="00F25E74"/>
    <w:rsid w:val="00F42D9D"/>
    <w:rsid w:val="00F440A0"/>
    <w:rsid w:val="00F55881"/>
    <w:rsid w:val="00F81E67"/>
    <w:rsid w:val="00F94A18"/>
    <w:rsid w:val="00FB5A4C"/>
    <w:rsid w:val="00FB5E6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DF620"/>
  <w15:chartTrackingRefBased/>
  <w15:docId w15:val="{DF602BBE-481C-4266-8433-831DF0D9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FAC"/>
    <w:pPr>
      <w:spacing w:after="0" w:line="480" w:lineRule="auto"/>
      <w:ind w:firstLine="284"/>
    </w:pPr>
    <w:rPr>
      <w:rFonts w:ascii="Times New Roman" w:hAnsi="Times New Roman"/>
      <w:sz w:val="24"/>
      <w:lang w:val="en-GB"/>
    </w:rPr>
  </w:style>
  <w:style w:type="paragraph" w:styleId="Titre1">
    <w:name w:val="heading 1"/>
    <w:basedOn w:val="Normal"/>
    <w:next w:val="Normal"/>
    <w:link w:val="Titre1Car"/>
    <w:uiPriority w:val="9"/>
    <w:qFormat/>
    <w:rsid w:val="00607B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DF427A"/>
    <w:pPr>
      <w:spacing w:before="100" w:beforeAutospacing="1" w:after="100" w:afterAutospacing="1" w:line="240" w:lineRule="auto"/>
      <w:outlineLvl w:val="1"/>
    </w:pPr>
    <w:rPr>
      <w:rFonts w:eastAsia="Times New Roman" w:cs="Times New Roman"/>
      <w:b/>
      <w:bCs/>
      <w:sz w:val="36"/>
      <w:szCs w:val="36"/>
      <w:lang w:eastAsia="fr-BE"/>
    </w:rPr>
  </w:style>
  <w:style w:type="paragraph" w:styleId="Titre3">
    <w:name w:val="heading 3"/>
    <w:basedOn w:val="Normal"/>
    <w:link w:val="Titre3Car"/>
    <w:uiPriority w:val="9"/>
    <w:qFormat/>
    <w:rsid w:val="00DF427A"/>
    <w:pPr>
      <w:spacing w:before="100" w:beforeAutospacing="1" w:after="100" w:afterAutospacing="1" w:line="240" w:lineRule="auto"/>
      <w:outlineLvl w:val="2"/>
    </w:pPr>
    <w:rPr>
      <w:rFonts w:eastAsia="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F427A"/>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Titre3"/>
    <w:uiPriority w:val="9"/>
    <w:rsid w:val="00DF427A"/>
    <w:rPr>
      <w:rFonts w:ascii="Times New Roman" w:eastAsia="Times New Roman" w:hAnsi="Times New Roman" w:cs="Times New Roman"/>
      <w:b/>
      <w:bCs/>
      <w:sz w:val="27"/>
      <w:szCs w:val="27"/>
      <w:lang w:eastAsia="fr-BE"/>
    </w:rPr>
  </w:style>
  <w:style w:type="paragraph" w:styleId="NormalWeb">
    <w:name w:val="Normal (Web)"/>
    <w:basedOn w:val="Normal"/>
    <w:uiPriority w:val="99"/>
    <w:semiHidden/>
    <w:unhideWhenUsed/>
    <w:rsid w:val="00DF427A"/>
    <w:pPr>
      <w:spacing w:before="100" w:beforeAutospacing="1" w:after="100" w:afterAutospacing="1" w:line="240" w:lineRule="auto"/>
    </w:pPr>
    <w:rPr>
      <w:rFonts w:eastAsia="Times New Roman" w:cs="Times New Roman"/>
      <w:szCs w:val="24"/>
      <w:lang w:eastAsia="fr-BE"/>
    </w:rPr>
  </w:style>
  <w:style w:type="paragraph" w:styleId="Sansinterligne">
    <w:name w:val="No Spacing"/>
    <w:uiPriority w:val="1"/>
    <w:qFormat/>
    <w:rsid w:val="000F7FAC"/>
    <w:pPr>
      <w:spacing w:after="0" w:line="480" w:lineRule="auto"/>
    </w:pPr>
    <w:rPr>
      <w:rFonts w:ascii="Times New Roman" w:hAnsi="Times New Roman"/>
      <w:sz w:val="24"/>
    </w:rPr>
  </w:style>
  <w:style w:type="paragraph" w:styleId="En-tte">
    <w:name w:val="header"/>
    <w:basedOn w:val="Normal"/>
    <w:link w:val="En-tteCar"/>
    <w:uiPriority w:val="99"/>
    <w:unhideWhenUsed/>
    <w:rsid w:val="00DF427A"/>
    <w:pPr>
      <w:tabs>
        <w:tab w:val="center" w:pos="4536"/>
        <w:tab w:val="right" w:pos="9072"/>
      </w:tabs>
      <w:spacing w:line="240" w:lineRule="auto"/>
    </w:pPr>
  </w:style>
  <w:style w:type="character" w:customStyle="1" w:styleId="En-tteCar">
    <w:name w:val="En-tête Car"/>
    <w:basedOn w:val="Policepardfaut"/>
    <w:link w:val="En-tte"/>
    <w:uiPriority w:val="99"/>
    <w:rsid w:val="00DF427A"/>
  </w:style>
  <w:style w:type="paragraph" w:styleId="Pieddepage">
    <w:name w:val="footer"/>
    <w:basedOn w:val="Normal"/>
    <w:link w:val="PieddepageCar"/>
    <w:uiPriority w:val="99"/>
    <w:unhideWhenUsed/>
    <w:rsid w:val="00DF427A"/>
    <w:pPr>
      <w:tabs>
        <w:tab w:val="center" w:pos="4536"/>
        <w:tab w:val="right" w:pos="9072"/>
      </w:tabs>
      <w:spacing w:line="240" w:lineRule="auto"/>
    </w:pPr>
  </w:style>
  <w:style w:type="character" w:customStyle="1" w:styleId="PieddepageCar">
    <w:name w:val="Pied de page Car"/>
    <w:basedOn w:val="Policepardfaut"/>
    <w:link w:val="Pieddepage"/>
    <w:uiPriority w:val="99"/>
    <w:rsid w:val="00DF427A"/>
  </w:style>
  <w:style w:type="character" w:styleId="Lienhypertexte">
    <w:name w:val="Hyperlink"/>
    <w:basedOn w:val="Policepardfaut"/>
    <w:uiPriority w:val="99"/>
    <w:unhideWhenUsed/>
    <w:rsid w:val="0061218A"/>
    <w:rPr>
      <w:color w:val="0000FF"/>
      <w:u w:val="single"/>
    </w:rPr>
  </w:style>
  <w:style w:type="paragraph" w:styleId="Notedebasdepage">
    <w:name w:val="footnote text"/>
    <w:basedOn w:val="Normal"/>
    <w:link w:val="NotedebasdepageCar"/>
    <w:uiPriority w:val="99"/>
    <w:semiHidden/>
    <w:unhideWhenUsed/>
    <w:rsid w:val="00607BCF"/>
    <w:pPr>
      <w:spacing w:line="240" w:lineRule="auto"/>
    </w:pPr>
    <w:rPr>
      <w:sz w:val="20"/>
      <w:szCs w:val="20"/>
    </w:rPr>
  </w:style>
  <w:style w:type="character" w:customStyle="1" w:styleId="NotedebasdepageCar">
    <w:name w:val="Note de bas de page Car"/>
    <w:basedOn w:val="Policepardfaut"/>
    <w:link w:val="Notedebasdepage"/>
    <w:uiPriority w:val="99"/>
    <w:semiHidden/>
    <w:rsid w:val="00607BCF"/>
    <w:rPr>
      <w:sz w:val="20"/>
      <w:szCs w:val="20"/>
    </w:rPr>
  </w:style>
  <w:style w:type="character" w:styleId="Appelnotedebasdep">
    <w:name w:val="footnote reference"/>
    <w:basedOn w:val="Policepardfaut"/>
    <w:uiPriority w:val="99"/>
    <w:semiHidden/>
    <w:unhideWhenUsed/>
    <w:rsid w:val="00607BCF"/>
    <w:rPr>
      <w:vertAlign w:val="superscript"/>
    </w:rPr>
  </w:style>
  <w:style w:type="character" w:customStyle="1" w:styleId="Titre1Car">
    <w:name w:val="Titre 1 Car"/>
    <w:basedOn w:val="Policepardfaut"/>
    <w:link w:val="Titre1"/>
    <w:uiPriority w:val="9"/>
    <w:rsid w:val="00607BCF"/>
    <w:rPr>
      <w:rFonts w:asciiTheme="majorHAnsi" w:eastAsiaTheme="majorEastAsia" w:hAnsiTheme="majorHAnsi" w:cstheme="majorBidi"/>
      <w:color w:val="2E74B5" w:themeColor="accent1" w:themeShade="BF"/>
      <w:sz w:val="32"/>
      <w:szCs w:val="32"/>
    </w:rPr>
  </w:style>
  <w:style w:type="paragraph" w:styleId="Textedebulles">
    <w:name w:val="Balloon Text"/>
    <w:basedOn w:val="Normal"/>
    <w:link w:val="TextedebullesCar"/>
    <w:uiPriority w:val="99"/>
    <w:semiHidden/>
    <w:unhideWhenUsed/>
    <w:rsid w:val="00A9522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95226"/>
    <w:rPr>
      <w:rFonts w:ascii="Segoe UI" w:hAnsi="Segoe UI" w:cs="Segoe UI"/>
      <w:sz w:val="18"/>
      <w:szCs w:val="18"/>
    </w:rPr>
  </w:style>
  <w:style w:type="paragraph" w:styleId="Notedefin">
    <w:name w:val="endnote text"/>
    <w:basedOn w:val="Normal"/>
    <w:link w:val="NotedefinCar"/>
    <w:uiPriority w:val="99"/>
    <w:semiHidden/>
    <w:unhideWhenUsed/>
    <w:rsid w:val="00072463"/>
    <w:pPr>
      <w:spacing w:line="240" w:lineRule="auto"/>
    </w:pPr>
    <w:rPr>
      <w:sz w:val="20"/>
      <w:szCs w:val="20"/>
    </w:rPr>
  </w:style>
  <w:style w:type="character" w:customStyle="1" w:styleId="NotedefinCar">
    <w:name w:val="Note de fin Car"/>
    <w:basedOn w:val="Policepardfaut"/>
    <w:link w:val="Notedefin"/>
    <w:uiPriority w:val="99"/>
    <w:semiHidden/>
    <w:rsid w:val="00072463"/>
    <w:rPr>
      <w:rFonts w:ascii="Times New Roman" w:hAnsi="Times New Roman"/>
      <w:sz w:val="20"/>
      <w:szCs w:val="20"/>
      <w:lang w:val="en-GB"/>
    </w:rPr>
  </w:style>
  <w:style w:type="character" w:styleId="Appeldenotedefin">
    <w:name w:val="endnote reference"/>
    <w:basedOn w:val="Policepardfaut"/>
    <w:uiPriority w:val="99"/>
    <w:semiHidden/>
    <w:unhideWhenUsed/>
    <w:rsid w:val="00072463"/>
    <w:rPr>
      <w:vertAlign w:val="superscript"/>
    </w:rPr>
  </w:style>
  <w:style w:type="character" w:customStyle="1" w:styleId="acopre">
    <w:name w:val="acopre"/>
    <w:basedOn w:val="Policepardfaut"/>
    <w:rsid w:val="00E334C5"/>
  </w:style>
  <w:style w:type="character" w:styleId="Marquedecommentaire">
    <w:name w:val="annotation reference"/>
    <w:basedOn w:val="Policepardfaut"/>
    <w:uiPriority w:val="99"/>
    <w:semiHidden/>
    <w:unhideWhenUsed/>
    <w:rsid w:val="00E334C5"/>
    <w:rPr>
      <w:sz w:val="16"/>
      <w:szCs w:val="16"/>
    </w:rPr>
  </w:style>
  <w:style w:type="paragraph" w:styleId="Commentaire">
    <w:name w:val="annotation text"/>
    <w:basedOn w:val="Normal"/>
    <w:link w:val="CommentaireCar"/>
    <w:uiPriority w:val="99"/>
    <w:unhideWhenUsed/>
    <w:rsid w:val="00E334C5"/>
    <w:pPr>
      <w:spacing w:line="240" w:lineRule="auto"/>
    </w:pPr>
    <w:rPr>
      <w:sz w:val="20"/>
      <w:szCs w:val="20"/>
    </w:rPr>
  </w:style>
  <w:style w:type="character" w:customStyle="1" w:styleId="CommentaireCar">
    <w:name w:val="Commentaire Car"/>
    <w:basedOn w:val="Policepardfaut"/>
    <w:link w:val="Commentaire"/>
    <w:uiPriority w:val="99"/>
    <w:rsid w:val="00E334C5"/>
    <w:rPr>
      <w:rFonts w:ascii="Times New Roman" w:hAnsi="Times New Roman"/>
      <w:sz w:val="20"/>
      <w:szCs w:val="20"/>
      <w:lang w:val="en-GB"/>
    </w:rPr>
  </w:style>
  <w:style w:type="paragraph" w:styleId="Objetducommentaire">
    <w:name w:val="annotation subject"/>
    <w:basedOn w:val="Commentaire"/>
    <w:next w:val="Commentaire"/>
    <w:link w:val="ObjetducommentaireCar"/>
    <w:uiPriority w:val="99"/>
    <w:semiHidden/>
    <w:unhideWhenUsed/>
    <w:rsid w:val="00E334C5"/>
    <w:rPr>
      <w:b/>
      <w:bCs/>
    </w:rPr>
  </w:style>
  <w:style w:type="character" w:customStyle="1" w:styleId="ObjetducommentaireCar">
    <w:name w:val="Objet du commentaire Car"/>
    <w:basedOn w:val="CommentaireCar"/>
    <w:link w:val="Objetducommentaire"/>
    <w:uiPriority w:val="99"/>
    <w:semiHidden/>
    <w:rsid w:val="00E334C5"/>
    <w:rPr>
      <w:rFonts w:ascii="Times New Roman" w:hAnsi="Times New Roman"/>
      <w:b/>
      <w:bCs/>
      <w:sz w:val="20"/>
      <w:szCs w:val="20"/>
      <w:lang w:val="en-GB"/>
    </w:rPr>
  </w:style>
  <w:style w:type="character" w:styleId="Lienhypertextesuivivisit">
    <w:name w:val="FollowedHyperlink"/>
    <w:basedOn w:val="Policepardfaut"/>
    <w:uiPriority w:val="99"/>
    <w:semiHidden/>
    <w:unhideWhenUsed/>
    <w:rsid w:val="00DF5A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26971">
      <w:bodyDiv w:val="1"/>
      <w:marLeft w:val="0"/>
      <w:marRight w:val="0"/>
      <w:marTop w:val="0"/>
      <w:marBottom w:val="0"/>
      <w:divBdr>
        <w:top w:val="none" w:sz="0" w:space="0" w:color="auto"/>
        <w:left w:val="none" w:sz="0" w:space="0" w:color="auto"/>
        <w:bottom w:val="none" w:sz="0" w:space="0" w:color="auto"/>
        <w:right w:val="none" w:sz="0" w:space="0" w:color="auto"/>
      </w:divBdr>
      <w:divsChild>
        <w:div w:id="863903139">
          <w:marLeft w:val="480"/>
          <w:marRight w:val="0"/>
          <w:marTop w:val="0"/>
          <w:marBottom w:val="0"/>
          <w:divBdr>
            <w:top w:val="none" w:sz="0" w:space="0" w:color="auto"/>
            <w:left w:val="none" w:sz="0" w:space="0" w:color="auto"/>
            <w:bottom w:val="none" w:sz="0" w:space="0" w:color="auto"/>
            <w:right w:val="none" w:sz="0" w:space="0" w:color="auto"/>
          </w:divBdr>
          <w:divsChild>
            <w:div w:id="154023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67169">
      <w:bodyDiv w:val="1"/>
      <w:marLeft w:val="0"/>
      <w:marRight w:val="0"/>
      <w:marTop w:val="0"/>
      <w:marBottom w:val="0"/>
      <w:divBdr>
        <w:top w:val="none" w:sz="0" w:space="0" w:color="auto"/>
        <w:left w:val="none" w:sz="0" w:space="0" w:color="auto"/>
        <w:bottom w:val="none" w:sz="0" w:space="0" w:color="auto"/>
        <w:right w:val="none" w:sz="0" w:space="0" w:color="auto"/>
      </w:divBdr>
    </w:div>
    <w:div w:id="465318483">
      <w:bodyDiv w:val="1"/>
      <w:marLeft w:val="0"/>
      <w:marRight w:val="0"/>
      <w:marTop w:val="0"/>
      <w:marBottom w:val="0"/>
      <w:divBdr>
        <w:top w:val="none" w:sz="0" w:space="0" w:color="auto"/>
        <w:left w:val="none" w:sz="0" w:space="0" w:color="auto"/>
        <w:bottom w:val="none" w:sz="0" w:space="0" w:color="auto"/>
        <w:right w:val="none" w:sz="0" w:space="0" w:color="auto"/>
      </w:divBdr>
    </w:div>
    <w:div w:id="477764259">
      <w:bodyDiv w:val="1"/>
      <w:marLeft w:val="0"/>
      <w:marRight w:val="0"/>
      <w:marTop w:val="0"/>
      <w:marBottom w:val="0"/>
      <w:divBdr>
        <w:top w:val="none" w:sz="0" w:space="0" w:color="auto"/>
        <w:left w:val="none" w:sz="0" w:space="0" w:color="auto"/>
        <w:bottom w:val="none" w:sz="0" w:space="0" w:color="auto"/>
        <w:right w:val="none" w:sz="0" w:space="0" w:color="auto"/>
      </w:divBdr>
      <w:divsChild>
        <w:div w:id="1306663235">
          <w:marLeft w:val="480"/>
          <w:marRight w:val="0"/>
          <w:marTop w:val="0"/>
          <w:marBottom w:val="0"/>
          <w:divBdr>
            <w:top w:val="none" w:sz="0" w:space="0" w:color="auto"/>
            <w:left w:val="none" w:sz="0" w:space="0" w:color="auto"/>
            <w:bottom w:val="none" w:sz="0" w:space="0" w:color="auto"/>
            <w:right w:val="none" w:sz="0" w:space="0" w:color="auto"/>
          </w:divBdr>
          <w:divsChild>
            <w:div w:id="137746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886911">
      <w:bodyDiv w:val="1"/>
      <w:marLeft w:val="0"/>
      <w:marRight w:val="0"/>
      <w:marTop w:val="0"/>
      <w:marBottom w:val="0"/>
      <w:divBdr>
        <w:top w:val="none" w:sz="0" w:space="0" w:color="auto"/>
        <w:left w:val="none" w:sz="0" w:space="0" w:color="auto"/>
        <w:bottom w:val="none" w:sz="0" w:space="0" w:color="auto"/>
        <w:right w:val="none" w:sz="0" w:space="0" w:color="auto"/>
      </w:divBdr>
      <w:divsChild>
        <w:div w:id="750352877">
          <w:marLeft w:val="480"/>
          <w:marRight w:val="0"/>
          <w:marTop w:val="0"/>
          <w:marBottom w:val="0"/>
          <w:divBdr>
            <w:top w:val="none" w:sz="0" w:space="0" w:color="auto"/>
            <w:left w:val="none" w:sz="0" w:space="0" w:color="auto"/>
            <w:bottom w:val="none" w:sz="0" w:space="0" w:color="auto"/>
            <w:right w:val="none" w:sz="0" w:space="0" w:color="auto"/>
          </w:divBdr>
          <w:divsChild>
            <w:div w:id="685785294">
              <w:marLeft w:val="0"/>
              <w:marRight w:val="0"/>
              <w:marTop w:val="0"/>
              <w:marBottom w:val="0"/>
              <w:divBdr>
                <w:top w:val="none" w:sz="0" w:space="0" w:color="auto"/>
                <w:left w:val="none" w:sz="0" w:space="0" w:color="auto"/>
                <w:bottom w:val="none" w:sz="0" w:space="0" w:color="auto"/>
                <w:right w:val="none" w:sz="0" w:space="0" w:color="auto"/>
              </w:divBdr>
            </w:div>
            <w:div w:id="899368539">
              <w:marLeft w:val="0"/>
              <w:marRight w:val="0"/>
              <w:marTop w:val="0"/>
              <w:marBottom w:val="0"/>
              <w:divBdr>
                <w:top w:val="none" w:sz="0" w:space="0" w:color="auto"/>
                <w:left w:val="none" w:sz="0" w:space="0" w:color="auto"/>
                <w:bottom w:val="none" w:sz="0" w:space="0" w:color="auto"/>
                <w:right w:val="none" w:sz="0" w:space="0" w:color="auto"/>
              </w:divBdr>
            </w:div>
            <w:div w:id="993794852">
              <w:marLeft w:val="0"/>
              <w:marRight w:val="0"/>
              <w:marTop w:val="0"/>
              <w:marBottom w:val="0"/>
              <w:divBdr>
                <w:top w:val="none" w:sz="0" w:space="0" w:color="auto"/>
                <w:left w:val="none" w:sz="0" w:space="0" w:color="auto"/>
                <w:bottom w:val="none" w:sz="0" w:space="0" w:color="auto"/>
                <w:right w:val="none" w:sz="0" w:space="0" w:color="auto"/>
              </w:divBdr>
            </w:div>
            <w:div w:id="11286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10862">
      <w:bodyDiv w:val="1"/>
      <w:marLeft w:val="0"/>
      <w:marRight w:val="0"/>
      <w:marTop w:val="0"/>
      <w:marBottom w:val="0"/>
      <w:divBdr>
        <w:top w:val="none" w:sz="0" w:space="0" w:color="auto"/>
        <w:left w:val="none" w:sz="0" w:space="0" w:color="auto"/>
        <w:bottom w:val="none" w:sz="0" w:space="0" w:color="auto"/>
        <w:right w:val="none" w:sz="0" w:space="0" w:color="auto"/>
      </w:divBdr>
    </w:div>
    <w:div w:id="600573558">
      <w:bodyDiv w:val="1"/>
      <w:marLeft w:val="0"/>
      <w:marRight w:val="0"/>
      <w:marTop w:val="0"/>
      <w:marBottom w:val="0"/>
      <w:divBdr>
        <w:top w:val="none" w:sz="0" w:space="0" w:color="auto"/>
        <w:left w:val="none" w:sz="0" w:space="0" w:color="auto"/>
        <w:bottom w:val="none" w:sz="0" w:space="0" w:color="auto"/>
        <w:right w:val="none" w:sz="0" w:space="0" w:color="auto"/>
      </w:divBdr>
    </w:div>
    <w:div w:id="631718264">
      <w:bodyDiv w:val="1"/>
      <w:marLeft w:val="0"/>
      <w:marRight w:val="0"/>
      <w:marTop w:val="0"/>
      <w:marBottom w:val="0"/>
      <w:divBdr>
        <w:top w:val="none" w:sz="0" w:space="0" w:color="auto"/>
        <w:left w:val="none" w:sz="0" w:space="0" w:color="auto"/>
        <w:bottom w:val="none" w:sz="0" w:space="0" w:color="auto"/>
        <w:right w:val="none" w:sz="0" w:space="0" w:color="auto"/>
      </w:divBdr>
      <w:divsChild>
        <w:div w:id="1970014329">
          <w:marLeft w:val="480"/>
          <w:marRight w:val="0"/>
          <w:marTop w:val="0"/>
          <w:marBottom w:val="0"/>
          <w:divBdr>
            <w:top w:val="none" w:sz="0" w:space="0" w:color="auto"/>
            <w:left w:val="none" w:sz="0" w:space="0" w:color="auto"/>
            <w:bottom w:val="none" w:sz="0" w:space="0" w:color="auto"/>
            <w:right w:val="none" w:sz="0" w:space="0" w:color="auto"/>
          </w:divBdr>
          <w:divsChild>
            <w:div w:id="413553579">
              <w:marLeft w:val="0"/>
              <w:marRight w:val="0"/>
              <w:marTop w:val="0"/>
              <w:marBottom w:val="240"/>
              <w:divBdr>
                <w:top w:val="none" w:sz="0" w:space="0" w:color="auto"/>
                <w:left w:val="none" w:sz="0" w:space="0" w:color="auto"/>
                <w:bottom w:val="none" w:sz="0" w:space="0" w:color="auto"/>
                <w:right w:val="none" w:sz="0" w:space="0" w:color="auto"/>
              </w:divBdr>
            </w:div>
            <w:div w:id="1492795953">
              <w:marLeft w:val="0"/>
              <w:marRight w:val="0"/>
              <w:marTop w:val="0"/>
              <w:marBottom w:val="240"/>
              <w:divBdr>
                <w:top w:val="none" w:sz="0" w:space="0" w:color="auto"/>
                <w:left w:val="none" w:sz="0" w:space="0" w:color="auto"/>
                <w:bottom w:val="none" w:sz="0" w:space="0" w:color="auto"/>
                <w:right w:val="none" w:sz="0" w:space="0" w:color="auto"/>
              </w:divBdr>
            </w:div>
            <w:div w:id="1872456213">
              <w:marLeft w:val="0"/>
              <w:marRight w:val="0"/>
              <w:marTop w:val="0"/>
              <w:marBottom w:val="240"/>
              <w:divBdr>
                <w:top w:val="none" w:sz="0" w:space="0" w:color="auto"/>
                <w:left w:val="none" w:sz="0" w:space="0" w:color="auto"/>
                <w:bottom w:val="none" w:sz="0" w:space="0" w:color="auto"/>
                <w:right w:val="none" w:sz="0" w:space="0" w:color="auto"/>
              </w:divBdr>
            </w:div>
            <w:div w:id="1491406617">
              <w:marLeft w:val="0"/>
              <w:marRight w:val="0"/>
              <w:marTop w:val="0"/>
              <w:marBottom w:val="240"/>
              <w:divBdr>
                <w:top w:val="none" w:sz="0" w:space="0" w:color="auto"/>
                <w:left w:val="none" w:sz="0" w:space="0" w:color="auto"/>
                <w:bottom w:val="none" w:sz="0" w:space="0" w:color="auto"/>
                <w:right w:val="none" w:sz="0" w:space="0" w:color="auto"/>
              </w:divBdr>
            </w:div>
            <w:div w:id="939721876">
              <w:marLeft w:val="0"/>
              <w:marRight w:val="0"/>
              <w:marTop w:val="0"/>
              <w:marBottom w:val="240"/>
              <w:divBdr>
                <w:top w:val="none" w:sz="0" w:space="0" w:color="auto"/>
                <w:left w:val="none" w:sz="0" w:space="0" w:color="auto"/>
                <w:bottom w:val="none" w:sz="0" w:space="0" w:color="auto"/>
                <w:right w:val="none" w:sz="0" w:space="0" w:color="auto"/>
              </w:divBdr>
            </w:div>
            <w:div w:id="988242609">
              <w:marLeft w:val="0"/>
              <w:marRight w:val="0"/>
              <w:marTop w:val="0"/>
              <w:marBottom w:val="240"/>
              <w:divBdr>
                <w:top w:val="none" w:sz="0" w:space="0" w:color="auto"/>
                <w:left w:val="none" w:sz="0" w:space="0" w:color="auto"/>
                <w:bottom w:val="none" w:sz="0" w:space="0" w:color="auto"/>
                <w:right w:val="none" w:sz="0" w:space="0" w:color="auto"/>
              </w:divBdr>
            </w:div>
            <w:div w:id="1178035439">
              <w:marLeft w:val="0"/>
              <w:marRight w:val="0"/>
              <w:marTop w:val="0"/>
              <w:marBottom w:val="240"/>
              <w:divBdr>
                <w:top w:val="none" w:sz="0" w:space="0" w:color="auto"/>
                <w:left w:val="none" w:sz="0" w:space="0" w:color="auto"/>
                <w:bottom w:val="none" w:sz="0" w:space="0" w:color="auto"/>
                <w:right w:val="none" w:sz="0" w:space="0" w:color="auto"/>
              </w:divBdr>
            </w:div>
            <w:div w:id="1087389258">
              <w:marLeft w:val="0"/>
              <w:marRight w:val="0"/>
              <w:marTop w:val="0"/>
              <w:marBottom w:val="240"/>
              <w:divBdr>
                <w:top w:val="none" w:sz="0" w:space="0" w:color="auto"/>
                <w:left w:val="none" w:sz="0" w:space="0" w:color="auto"/>
                <w:bottom w:val="none" w:sz="0" w:space="0" w:color="auto"/>
                <w:right w:val="none" w:sz="0" w:space="0" w:color="auto"/>
              </w:divBdr>
            </w:div>
            <w:div w:id="1175850545">
              <w:marLeft w:val="0"/>
              <w:marRight w:val="0"/>
              <w:marTop w:val="0"/>
              <w:marBottom w:val="240"/>
              <w:divBdr>
                <w:top w:val="none" w:sz="0" w:space="0" w:color="auto"/>
                <w:left w:val="none" w:sz="0" w:space="0" w:color="auto"/>
                <w:bottom w:val="none" w:sz="0" w:space="0" w:color="auto"/>
                <w:right w:val="none" w:sz="0" w:space="0" w:color="auto"/>
              </w:divBdr>
            </w:div>
            <w:div w:id="155414643">
              <w:marLeft w:val="0"/>
              <w:marRight w:val="0"/>
              <w:marTop w:val="0"/>
              <w:marBottom w:val="240"/>
              <w:divBdr>
                <w:top w:val="none" w:sz="0" w:space="0" w:color="auto"/>
                <w:left w:val="none" w:sz="0" w:space="0" w:color="auto"/>
                <w:bottom w:val="none" w:sz="0" w:space="0" w:color="auto"/>
                <w:right w:val="none" w:sz="0" w:space="0" w:color="auto"/>
              </w:divBdr>
            </w:div>
            <w:div w:id="185801316">
              <w:marLeft w:val="0"/>
              <w:marRight w:val="0"/>
              <w:marTop w:val="0"/>
              <w:marBottom w:val="240"/>
              <w:divBdr>
                <w:top w:val="none" w:sz="0" w:space="0" w:color="auto"/>
                <w:left w:val="none" w:sz="0" w:space="0" w:color="auto"/>
                <w:bottom w:val="none" w:sz="0" w:space="0" w:color="auto"/>
                <w:right w:val="none" w:sz="0" w:space="0" w:color="auto"/>
              </w:divBdr>
            </w:div>
            <w:div w:id="1939212894">
              <w:marLeft w:val="0"/>
              <w:marRight w:val="0"/>
              <w:marTop w:val="0"/>
              <w:marBottom w:val="240"/>
              <w:divBdr>
                <w:top w:val="none" w:sz="0" w:space="0" w:color="auto"/>
                <w:left w:val="none" w:sz="0" w:space="0" w:color="auto"/>
                <w:bottom w:val="none" w:sz="0" w:space="0" w:color="auto"/>
                <w:right w:val="none" w:sz="0" w:space="0" w:color="auto"/>
              </w:divBdr>
            </w:div>
            <w:div w:id="1237519893">
              <w:marLeft w:val="0"/>
              <w:marRight w:val="0"/>
              <w:marTop w:val="0"/>
              <w:marBottom w:val="240"/>
              <w:divBdr>
                <w:top w:val="none" w:sz="0" w:space="0" w:color="auto"/>
                <w:left w:val="none" w:sz="0" w:space="0" w:color="auto"/>
                <w:bottom w:val="none" w:sz="0" w:space="0" w:color="auto"/>
                <w:right w:val="none" w:sz="0" w:space="0" w:color="auto"/>
              </w:divBdr>
            </w:div>
            <w:div w:id="1276868116">
              <w:marLeft w:val="0"/>
              <w:marRight w:val="0"/>
              <w:marTop w:val="0"/>
              <w:marBottom w:val="240"/>
              <w:divBdr>
                <w:top w:val="none" w:sz="0" w:space="0" w:color="auto"/>
                <w:left w:val="none" w:sz="0" w:space="0" w:color="auto"/>
                <w:bottom w:val="none" w:sz="0" w:space="0" w:color="auto"/>
                <w:right w:val="none" w:sz="0" w:space="0" w:color="auto"/>
              </w:divBdr>
            </w:div>
            <w:div w:id="403799616">
              <w:marLeft w:val="0"/>
              <w:marRight w:val="0"/>
              <w:marTop w:val="0"/>
              <w:marBottom w:val="240"/>
              <w:divBdr>
                <w:top w:val="none" w:sz="0" w:space="0" w:color="auto"/>
                <w:left w:val="none" w:sz="0" w:space="0" w:color="auto"/>
                <w:bottom w:val="none" w:sz="0" w:space="0" w:color="auto"/>
                <w:right w:val="none" w:sz="0" w:space="0" w:color="auto"/>
              </w:divBdr>
            </w:div>
            <w:div w:id="81535375">
              <w:marLeft w:val="0"/>
              <w:marRight w:val="0"/>
              <w:marTop w:val="0"/>
              <w:marBottom w:val="240"/>
              <w:divBdr>
                <w:top w:val="none" w:sz="0" w:space="0" w:color="auto"/>
                <w:left w:val="none" w:sz="0" w:space="0" w:color="auto"/>
                <w:bottom w:val="none" w:sz="0" w:space="0" w:color="auto"/>
                <w:right w:val="none" w:sz="0" w:space="0" w:color="auto"/>
              </w:divBdr>
            </w:div>
            <w:div w:id="1905334461">
              <w:marLeft w:val="0"/>
              <w:marRight w:val="0"/>
              <w:marTop w:val="0"/>
              <w:marBottom w:val="240"/>
              <w:divBdr>
                <w:top w:val="none" w:sz="0" w:space="0" w:color="auto"/>
                <w:left w:val="none" w:sz="0" w:space="0" w:color="auto"/>
                <w:bottom w:val="none" w:sz="0" w:space="0" w:color="auto"/>
                <w:right w:val="none" w:sz="0" w:space="0" w:color="auto"/>
              </w:divBdr>
            </w:div>
            <w:div w:id="304049437">
              <w:marLeft w:val="0"/>
              <w:marRight w:val="0"/>
              <w:marTop w:val="0"/>
              <w:marBottom w:val="240"/>
              <w:divBdr>
                <w:top w:val="none" w:sz="0" w:space="0" w:color="auto"/>
                <w:left w:val="none" w:sz="0" w:space="0" w:color="auto"/>
                <w:bottom w:val="none" w:sz="0" w:space="0" w:color="auto"/>
                <w:right w:val="none" w:sz="0" w:space="0" w:color="auto"/>
              </w:divBdr>
            </w:div>
            <w:div w:id="316493657">
              <w:marLeft w:val="0"/>
              <w:marRight w:val="0"/>
              <w:marTop w:val="0"/>
              <w:marBottom w:val="240"/>
              <w:divBdr>
                <w:top w:val="none" w:sz="0" w:space="0" w:color="auto"/>
                <w:left w:val="none" w:sz="0" w:space="0" w:color="auto"/>
                <w:bottom w:val="none" w:sz="0" w:space="0" w:color="auto"/>
                <w:right w:val="none" w:sz="0" w:space="0" w:color="auto"/>
              </w:divBdr>
            </w:div>
            <w:div w:id="866678031">
              <w:marLeft w:val="0"/>
              <w:marRight w:val="0"/>
              <w:marTop w:val="0"/>
              <w:marBottom w:val="240"/>
              <w:divBdr>
                <w:top w:val="none" w:sz="0" w:space="0" w:color="auto"/>
                <w:left w:val="none" w:sz="0" w:space="0" w:color="auto"/>
                <w:bottom w:val="none" w:sz="0" w:space="0" w:color="auto"/>
                <w:right w:val="none" w:sz="0" w:space="0" w:color="auto"/>
              </w:divBdr>
            </w:div>
            <w:div w:id="1784493514">
              <w:marLeft w:val="0"/>
              <w:marRight w:val="0"/>
              <w:marTop w:val="0"/>
              <w:marBottom w:val="240"/>
              <w:divBdr>
                <w:top w:val="none" w:sz="0" w:space="0" w:color="auto"/>
                <w:left w:val="none" w:sz="0" w:space="0" w:color="auto"/>
                <w:bottom w:val="none" w:sz="0" w:space="0" w:color="auto"/>
                <w:right w:val="none" w:sz="0" w:space="0" w:color="auto"/>
              </w:divBdr>
            </w:div>
            <w:div w:id="710959492">
              <w:marLeft w:val="0"/>
              <w:marRight w:val="0"/>
              <w:marTop w:val="0"/>
              <w:marBottom w:val="240"/>
              <w:divBdr>
                <w:top w:val="none" w:sz="0" w:space="0" w:color="auto"/>
                <w:left w:val="none" w:sz="0" w:space="0" w:color="auto"/>
                <w:bottom w:val="none" w:sz="0" w:space="0" w:color="auto"/>
                <w:right w:val="none" w:sz="0" w:space="0" w:color="auto"/>
              </w:divBdr>
            </w:div>
            <w:div w:id="487596861">
              <w:marLeft w:val="0"/>
              <w:marRight w:val="0"/>
              <w:marTop w:val="0"/>
              <w:marBottom w:val="240"/>
              <w:divBdr>
                <w:top w:val="none" w:sz="0" w:space="0" w:color="auto"/>
                <w:left w:val="none" w:sz="0" w:space="0" w:color="auto"/>
                <w:bottom w:val="none" w:sz="0" w:space="0" w:color="auto"/>
                <w:right w:val="none" w:sz="0" w:space="0" w:color="auto"/>
              </w:divBdr>
            </w:div>
            <w:div w:id="1674793535">
              <w:marLeft w:val="0"/>
              <w:marRight w:val="0"/>
              <w:marTop w:val="0"/>
              <w:marBottom w:val="240"/>
              <w:divBdr>
                <w:top w:val="none" w:sz="0" w:space="0" w:color="auto"/>
                <w:left w:val="none" w:sz="0" w:space="0" w:color="auto"/>
                <w:bottom w:val="none" w:sz="0" w:space="0" w:color="auto"/>
                <w:right w:val="none" w:sz="0" w:space="0" w:color="auto"/>
              </w:divBdr>
            </w:div>
            <w:div w:id="1756240052">
              <w:marLeft w:val="0"/>
              <w:marRight w:val="0"/>
              <w:marTop w:val="0"/>
              <w:marBottom w:val="240"/>
              <w:divBdr>
                <w:top w:val="none" w:sz="0" w:space="0" w:color="auto"/>
                <w:left w:val="none" w:sz="0" w:space="0" w:color="auto"/>
                <w:bottom w:val="none" w:sz="0" w:space="0" w:color="auto"/>
                <w:right w:val="none" w:sz="0" w:space="0" w:color="auto"/>
              </w:divBdr>
            </w:div>
            <w:div w:id="1033268179">
              <w:marLeft w:val="0"/>
              <w:marRight w:val="0"/>
              <w:marTop w:val="0"/>
              <w:marBottom w:val="240"/>
              <w:divBdr>
                <w:top w:val="none" w:sz="0" w:space="0" w:color="auto"/>
                <w:left w:val="none" w:sz="0" w:space="0" w:color="auto"/>
                <w:bottom w:val="none" w:sz="0" w:space="0" w:color="auto"/>
                <w:right w:val="none" w:sz="0" w:space="0" w:color="auto"/>
              </w:divBdr>
            </w:div>
            <w:div w:id="517962086">
              <w:marLeft w:val="0"/>
              <w:marRight w:val="0"/>
              <w:marTop w:val="0"/>
              <w:marBottom w:val="240"/>
              <w:divBdr>
                <w:top w:val="none" w:sz="0" w:space="0" w:color="auto"/>
                <w:left w:val="none" w:sz="0" w:space="0" w:color="auto"/>
                <w:bottom w:val="none" w:sz="0" w:space="0" w:color="auto"/>
                <w:right w:val="none" w:sz="0" w:space="0" w:color="auto"/>
              </w:divBdr>
            </w:div>
            <w:div w:id="1521434605">
              <w:marLeft w:val="0"/>
              <w:marRight w:val="0"/>
              <w:marTop w:val="0"/>
              <w:marBottom w:val="240"/>
              <w:divBdr>
                <w:top w:val="none" w:sz="0" w:space="0" w:color="auto"/>
                <w:left w:val="none" w:sz="0" w:space="0" w:color="auto"/>
                <w:bottom w:val="none" w:sz="0" w:space="0" w:color="auto"/>
                <w:right w:val="none" w:sz="0" w:space="0" w:color="auto"/>
              </w:divBdr>
            </w:div>
            <w:div w:id="2092309615">
              <w:marLeft w:val="0"/>
              <w:marRight w:val="0"/>
              <w:marTop w:val="0"/>
              <w:marBottom w:val="240"/>
              <w:divBdr>
                <w:top w:val="none" w:sz="0" w:space="0" w:color="auto"/>
                <w:left w:val="none" w:sz="0" w:space="0" w:color="auto"/>
                <w:bottom w:val="none" w:sz="0" w:space="0" w:color="auto"/>
                <w:right w:val="none" w:sz="0" w:space="0" w:color="auto"/>
              </w:divBdr>
            </w:div>
            <w:div w:id="1572737177">
              <w:marLeft w:val="0"/>
              <w:marRight w:val="0"/>
              <w:marTop w:val="0"/>
              <w:marBottom w:val="240"/>
              <w:divBdr>
                <w:top w:val="none" w:sz="0" w:space="0" w:color="auto"/>
                <w:left w:val="none" w:sz="0" w:space="0" w:color="auto"/>
                <w:bottom w:val="none" w:sz="0" w:space="0" w:color="auto"/>
                <w:right w:val="none" w:sz="0" w:space="0" w:color="auto"/>
              </w:divBdr>
            </w:div>
            <w:div w:id="1203059302">
              <w:marLeft w:val="0"/>
              <w:marRight w:val="0"/>
              <w:marTop w:val="0"/>
              <w:marBottom w:val="240"/>
              <w:divBdr>
                <w:top w:val="none" w:sz="0" w:space="0" w:color="auto"/>
                <w:left w:val="none" w:sz="0" w:space="0" w:color="auto"/>
                <w:bottom w:val="none" w:sz="0" w:space="0" w:color="auto"/>
                <w:right w:val="none" w:sz="0" w:space="0" w:color="auto"/>
              </w:divBdr>
            </w:div>
            <w:div w:id="1971323575">
              <w:marLeft w:val="0"/>
              <w:marRight w:val="0"/>
              <w:marTop w:val="0"/>
              <w:marBottom w:val="240"/>
              <w:divBdr>
                <w:top w:val="none" w:sz="0" w:space="0" w:color="auto"/>
                <w:left w:val="none" w:sz="0" w:space="0" w:color="auto"/>
                <w:bottom w:val="none" w:sz="0" w:space="0" w:color="auto"/>
                <w:right w:val="none" w:sz="0" w:space="0" w:color="auto"/>
              </w:divBdr>
            </w:div>
            <w:div w:id="690955992">
              <w:marLeft w:val="0"/>
              <w:marRight w:val="0"/>
              <w:marTop w:val="0"/>
              <w:marBottom w:val="240"/>
              <w:divBdr>
                <w:top w:val="none" w:sz="0" w:space="0" w:color="auto"/>
                <w:left w:val="none" w:sz="0" w:space="0" w:color="auto"/>
                <w:bottom w:val="none" w:sz="0" w:space="0" w:color="auto"/>
                <w:right w:val="none" w:sz="0" w:space="0" w:color="auto"/>
              </w:divBdr>
            </w:div>
            <w:div w:id="1196386764">
              <w:marLeft w:val="0"/>
              <w:marRight w:val="0"/>
              <w:marTop w:val="0"/>
              <w:marBottom w:val="240"/>
              <w:divBdr>
                <w:top w:val="none" w:sz="0" w:space="0" w:color="auto"/>
                <w:left w:val="none" w:sz="0" w:space="0" w:color="auto"/>
                <w:bottom w:val="none" w:sz="0" w:space="0" w:color="auto"/>
                <w:right w:val="none" w:sz="0" w:space="0" w:color="auto"/>
              </w:divBdr>
            </w:div>
            <w:div w:id="1806270165">
              <w:marLeft w:val="0"/>
              <w:marRight w:val="0"/>
              <w:marTop w:val="0"/>
              <w:marBottom w:val="240"/>
              <w:divBdr>
                <w:top w:val="none" w:sz="0" w:space="0" w:color="auto"/>
                <w:left w:val="none" w:sz="0" w:space="0" w:color="auto"/>
                <w:bottom w:val="none" w:sz="0" w:space="0" w:color="auto"/>
                <w:right w:val="none" w:sz="0" w:space="0" w:color="auto"/>
              </w:divBdr>
            </w:div>
            <w:div w:id="1744600561">
              <w:marLeft w:val="0"/>
              <w:marRight w:val="0"/>
              <w:marTop w:val="0"/>
              <w:marBottom w:val="240"/>
              <w:divBdr>
                <w:top w:val="none" w:sz="0" w:space="0" w:color="auto"/>
                <w:left w:val="none" w:sz="0" w:space="0" w:color="auto"/>
                <w:bottom w:val="none" w:sz="0" w:space="0" w:color="auto"/>
                <w:right w:val="none" w:sz="0" w:space="0" w:color="auto"/>
              </w:divBdr>
            </w:div>
            <w:div w:id="780757463">
              <w:marLeft w:val="0"/>
              <w:marRight w:val="0"/>
              <w:marTop w:val="0"/>
              <w:marBottom w:val="240"/>
              <w:divBdr>
                <w:top w:val="none" w:sz="0" w:space="0" w:color="auto"/>
                <w:left w:val="none" w:sz="0" w:space="0" w:color="auto"/>
                <w:bottom w:val="none" w:sz="0" w:space="0" w:color="auto"/>
                <w:right w:val="none" w:sz="0" w:space="0" w:color="auto"/>
              </w:divBdr>
            </w:div>
            <w:div w:id="159077715">
              <w:marLeft w:val="0"/>
              <w:marRight w:val="0"/>
              <w:marTop w:val="0"/>
              <w:marBottom w:val="240"/>
              <w:divBdr>
                <w:top w:val="none" w:sz="0" w:space="0" w:color="auto"/>
                <w:left w:val="none" w:sz="0" w:space="0" w:color="auto"/>
                <w:bottom w:val="none" w:sz="0" w:space="0" w:color="auto"/>
                <w:right w:val="none" w:sz="0" w:space="0" w:color="auto"/>
              </w:divBdr>
            </w:div>
            <w:div w:id="87510977">
              <w:marLeft w:val="0"/>
              <w:marRight w:val="0"/>
              <w:marTop w:val="0"/>
              <w:marBottom w:val="240"/>
              <w:divBdr>
                <w:top w:val="none" w:sz="0" w:space="0" w:color="auto"/>
                <w:left w:val="none" w:sz="0" w:space="0" w:color="auto"/>
                <w:bottom w:val="none" w:sz="0" w:space="0" w:color="auto"/>
                <w:right w:val="none" w:sz="0" w:space="0" w:color="auto"/>
              </w:divBdr>
            </w:div>
            <w:div w:id="1131945441">
              <w:marLeft w:val="0"/>
              <w:marRight w:val="0"/>
              <w:marTop w:val="0"/>
              <w:marBottom w:val="240"/>
              <w:divBdr>
                <w:top w:val="none" w:sz="0" w:space="0" w:color="auto"/>
                <w:left w:val="none" w:sz="0" w:space="0" w:color="auto"/>
                <w:bottom w:val="none" w:sz="0" w:space="0" w:color="auto"/>
                <w:right w:val="none" w:sz="0" w:space="0" w:color="auto"/>
              </w:divBdr>
            </w:div>
            <w:div w:id="1377047223">
              <w:marLeft w:val="0"/>
              <w:marRight w:val="0"/>
              <w:marTop w:val="0"/>
              <w:marBottom w:val="240"/>
              <w:divBdr>
                <w:top w:val="none" w:sz="0" w:space="0" w:color="auto"/>
                <w:left w:val="none" w:sz="0" w:space="0" w:color="auto"/>
                <w:bottom w:val="none" w:sz="0" w:space="0" w:color="auto"/>
                <w:right w:val="none" w:sz="0" w:space="0" w:color="auto"/>
              </w:divBdr>
            </w:div>
            <w:div w:id="116990407">
              <w:marLeft w:val="0"/>
              <w:marRight w:val="0"/>
              <w:marTop w:val="0"/>
              <w:marBottom w:val="240"/>
              <w:divBdr>
                <w:top w:val="none" w:sz="0" w:space="0" w:color="auto"/>
                <w:left w:val="none" w:sz="0" w:space="0" w:color="auto"/>
                <w:bottom w:val="none" w:sz="0" w:space="0" w:color="auto"/>
                <w:right w:val="none" w:sz="0" w:space="0" w:color="auto"/>
              </w:divBdr>
            </w:div>
            <w:div w:id="1611087129">
              <w:marLeft w:val="0"/>
              <w:marRight w:val="0"/>
              <w:marTop w:val="0"/>
              <w:marBottom w:val="240"/>
              <w:divBdr>
                <w:top w:val="none" w:sz="0" w:space="0" w:color="auto"/>
                <w:left w:val="none" w:sz="0" w:space="0" w:color="auto"/>
                <w:bottom w:val="none" w:sz="0" w:space="0" w:color="auto"/>
                <w:right w:val="none" w:sz="0" w:space="0" w:color="auto"/>
              </w:divBdr>
            </w:div>
            <w:div w:id="332032556">
              <w:marLeft w:val="0"/>
              <w:marRight w:val="0"/>
              <w:marTop w:val="0"/>
              <w:marBottom w:val="240"/>
              <w:divBdr>
                <w:top w:val="none" w:sz="0" w:space="0" w:color="auto"/>
                <w:left w:val="none" w:sz="0" w:space="0" w:color="auto"/>
                <w:bottom w:val="none" w:sz="0" w:space="0" w:color="auto"/>
                <w:right w:val="none" w:sz="0" w:space="0" w:color="auto"/>
              </w:divBdr>
            </w:div>
            <w:div w:id="909657351">
              <w:marLeft w:val="0"/>
              <w:marRight w:val="0"/>
              <w:marTop w:val="0"/>
              <w:marBottom w:val="240"/>
              <w:divBdr>
                <w:top w:val="none" w:sz="0" w:space="0" w:color="auto"/>
                <w:left w:val="none" w:sz="0" w:space="0" w:color="auto"/>
                <w:bottom w:val="none" w:sz="0" w:space="0" w:color="auto"/>
                <w:right w:val="none" w:sz="0" w:space="0" w:color="auto"/>
              </w:divBdr>
            </w:div>
            <w:div w:id="1096287638">
              <w:marLeft w:val="0"/>
              <w:marRight w:val="0"/>
              <w:marTop w:val="0"/>
              <w:marBottom w:val="240"/>
              <w:divBdr>
                <w:top w:val="none" w:sz="0" w:space="0" w:color="auto"/>
                <w:left w:val="none" w:sz="0" w:space="0" w:color="auto"/>
                <w:bottom w:val="none" w:sz="0" w:space="0" w:color="auto"/>
                <w:right w:val="none" w:sz="0" w:space="0" w:color="auto"/>
              </w:divBdr>
            </w:div>
            <w:div w:id="1191456360">
              <w:marLeft w:val="0"/>
              <w:marRight w:val="0"/>
              <w:marTop w:val="0"/>
              <w:marBottom w:val="240"/>
              <w:divBdr>
                <w:top w:val="none" w:sz="0" w:space="0" w:color="auto"/>
                <w:left w:val="none" w:sz="0" w:space="0" w:color="auto"/>
                <w:bottom w:val="none" w:sz="0" w:space="0" w:color="auto"/>
                <w:right w:val="none" w:sz="0" w:space="0" w:color="auto"/>
              </w:divBdr>
            </w:div>
            <w:div w:id="1651782981">
              <w:marLeft w:val="0"/>
              <w:marRight w:val="0"/>
              <w:marTop w:val="0"/>
              <w:marBottom w:val="240"/>
              <w:divBdr>
                <w:top w:val="none" w:sz="0" w:space="0" w:color="auto"/>
                <w:left w:val="none" w:sz="0" w:space="0" w:color="auto"/>
                <w:bottom w:val="none" w:sz="0" w:space="0" w:color="auto"/>
                <w:right w:val="none" w:sz="0" w:space="0" w:color="auto"/>
              </w:divBdr>
            </w:div>
            <w:div w:id="680857854">
              <w:marLeft w:val="0"/>
              <w:marRight w:val="0"/>
              <w:marTop w:val="0"/>
              <w:marBottom w:val="240"/>
              <w:divBdr>
                <w:top w:val="none" w:sz="0" w:space="0" w:color="auto"/>
                <w:left w:val="none" w:sz="0" w:space="0" w:color="auto"/>
                <w:bottom w:val="none" w:sz="0" w:space="0" w:color="auto"/>
                <w:right w:val="none" w:sz="0" w:space="0" w:color="auto"/>
              </w:divBdr>
            </w:div>
            <w:div w:id="1963413423">
              <w:marLeft w:val="0"/>
              <w:marRight w:val="0"/>
              <w:marTop w:val="0"/>
              <w:marBottom w:val="240"/>
              <w:divBdr>
                <w:top w:val="none" w:sz="0" w:space="0" w:color="auto"/>
                <w:left w:val="none" w:sz="0" w:space="0" w:color="auto"/>
                <w:bottom w:val="none" w:sz="0" w:space="0" w:color="auto"/>
                <w:right w:val="none" w:sz="0" w:space="0" w:color="auto"/>
              </w:divBdr>
            </w:div>
            <w:div w:id="310445799">
              <w:marLeft w:val="0"/>
              <w:marRight w:val="0"/>
              <w:marTop w:val="0"/>
              <w:marBottom w:val="240"/>
              <w:divBdr>
                <w:top w:val="none" w:sz="0" w:space="0" w:color="auto"/>
                <w:left w:val="none" w:sz="0" w:space="0" w:color="auto"/>
                <w:bottom w:val="none" w:sz="0" w:space="0" w:color="auto"/>
                <w:right w:val="none" w:sz="0" w:space="0" w:color="auto"/>
              </w:divBdr>
            </w:div>
            <w:div w:id="1651250314">
              <w:marLeft w:val="0"/>
              <w:marRight w:val="0"/>
              <w:marTop w:val="0"/>
              <w:marBottom w:val="240"/>
              <w:divBdr>
                <w:top w:val="none" w:sz="0" w:space="0" w:color="auto"/>
                <w:left w:val="none" w:sz="0" w:space="0" w:color="auto"/>
                <w:bottom w:val="none" w:sz="0" w:space="0" w:color="auto"/>
                <w:right w:val="none" w:sz="0" w:space="0" w:color="auto"/>
              </w:divBdr>
            </w:div>
            <w:div w:id="221449321">
              <w:marLeft w:val="0"/>
              <w:marRight w:val="0"/>
              <w:marTop w:val="0"/>
              <w:marBottom w:val="240"/>
              <w:divBdr>
                <w:top w:val="none" w:sz="0" w:space="0" w:color="auto"/>
                <w:left w:val="none" w:sz="0" w:space="0" w:color="auto"/>
                <w:bottom w:val="none" w:sz="0" w:space="0" w:color="auto"/>
                <w:right w:val="none" w:sz="0" w:space="0" w:color="auto"/>
              </w:divBdr>
            </w:div>
            <w:div w:id="901788871">
              <w:marLeft w:val="0"/>
              <w:marRight w:val="0"/>
              <w:marTop w:val="0"/>
              <w:marBottom w:val="240"/>
              <w:divBdr>
                <w:top w:val="none" w:sz="0" w:space="0" w:color="auto"/>
                <w:left w:val="none" w:sz="0" w:space="0" w:color="auto"/>
                <w:bottom w:val="none" w:sz="0" w:space="0" w:color="auto"/>
                <w:right w:val="none" w:sz="0" w:space="0" w:color="auto"/>
              </w:divBdr>
            </w:div>
            <w:div w:id="1337733378">
              <w:marLeft w:val="0"/>
              <w:marRight w:val="0"/>
              <w:marTop w:val="0"/>
              <w:marBottom w:val="240"/>
              <w:divBdr>
                <w:top w:val="none" w:sz="0" w:space="0" w:color="auto"/>
                <w:left w:val="none" w:sz="0" w:space="0" w:color="auto"/>
                <w:bottom w:val="none" w:sz="0" w:space="0" w:color="auto"/>
                <w:right w:val="none" w:sz="0" w:space="0" w:color="auto"/>
              </w:divBdr>
            </w:div>
            <w:div w:id="894242988">
              <w:marLeft w:val="0"/>
              <w:marRight w:val="0"/>
              <w:marTop w:val="0"/>
              <w:marBottom w:val="240"/>
              <w:divBdr>
                <w:top w:val="none" w:sz="0" w:space="0" w:color="auto"/>
                <w:left w:val="none" w:sz="0" w:space="0" w:color="auto"/>
                <w:bottom w:val="none" w:sz="0" w:space="0" w:color="auto"/>
                <w:right w:val="none" w:sz="0" w:space="0" w:color="auto"/>
              </w:divBdr>
            </w:div>
            <w:div w:id="773592435">
              <w:marLeft w:val="0"/>
              <w:marRight w:val="0"/>
              <w:marTop w:val="0"/>
              <w:marBottom w:val="240"/>
              <w:divBdr>
                <w:top w:val="none" w:sz="0" w:space="0" w:color="auto"/>
                <w:left w:val="none" w:sz="0" w:space="0" w:color="auto"/>
                <w:bottom w:val="none" w:sz="0" w:space="0" w:color="auto"/>
                <w:right w:val="none" w:sz="0" w:space="0" w:color="auto"/>
              </w:divBdr>
            </w:div>
            <w:div w:id="1843471123">
              <w:marLeft w:val="0"/>
              <w:marRight w:val="0"/>
              <w:marTop w:val="0"/>
              <w:marBottom w:val="240"/>
              <w:divBdr>
                <w:top w:val="none" w:sz="0" w:space="0" w:color="auto"/>
                <w:left w:val="none" w:sz="0" w:space="0" w:color="auto"/>
                <w:bottom w:val="none" w:sz="0" w:space="0" w:color="auto"/>
                <w:right w:val="none" w:sz="0" w:space="0" w:color="auto"/>
              </w:divBdr>
            </w:div>
            <w:div w:id="872229741">
              <w:marLeft w:val="0"/>
              <w:marRight w:val="0"/>
              <w:marTop w:val="0"/>
              <w:marBottom w:val="240"/>
              <w:divBdr>
                <w:top w:val="none" w:sz="0" w:space="0" w:color="auto"/>
                <w:left w:val="none" w:sz="0" w:space="0" w:color="auto"/>
                <w:bottom w:val="none" w:sz="0" w:space="0" w:color="auto"/>
                <w:right w:val="none" w:sz="0" w:space="0" w:color="auto"/>
              </w:divBdr>
            </w:div>
            <w:div w:id="2068918528">
              <w:marLeft w:val="0"/>
              <w:marRight w:val="0"/>
              <w:marTop w:val="0"/>
              <w:marBottom w:val="240"/>
              <w:divBdr>
                <w:top w:val="none" w:sz="0" w:space="0" w:color="auto"/>
                <w:left w:val="none" w:sz="0" w:space="0" w:color="auto"/>
                <w:bottom w:val="none" w:sz="0" w:space="0" w:color="auto"/>
                <w:right w:val="none" w:sz="0" w:space="0" w:color="auto"/>
              </w:divBdr>
            </w:div>
            <w:div w:id="1507868076">
              <w:marLeft w:val="0"/>
              <w:marRight w:val="0"/>
              <w:marTop w:val="0"/>
              <w:marBottom w:val="240"/>
              <w:divBdr>
                <w:top w:val="none" w:sz="0" w:space="0" w:color="auto"/>
                <w:left w:val="none" w:sz="0" w:space="0" w:color="auto"/>
                <w:bottom w:val="none" w:sz="0" w:space="0" w:color="auto"/>
                <w:right w:val="none" w:sz="0" w:space="0" w:color="auto"/>
              </w:divBdr>
            </w:div>
            <w:div w:id="2027780088">
              <w:marLeft w:val="0"/>
              <w:marRight w:val="0"/>
              <w:marTop w:val="0"/>
              <w:marBottom w:val="240"/>
              <w:divBdr>
                <w:top w:val="none" w:sz="0" w:space="0" w:color="auto"/>
                <w:left w:val="none" w:sz="0" w:space="0" w:color="auto"/>
                <w:bottom w:val="none" w:sz="0" w:space="0" w:color="auto"/>
                <w:right w:val="none" w:sz="0" w:space="0" w:color="auto"/>
              </w:divBdr>
            </w:div>
            <w:div w:id="2013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9966">
      <w:bodyDiv w:val="1"/>
      <w:marLeft w:val="0"/>
      <w:marRight w:val="0"/>
      <w:marTop w:val="0"/>
      <w:marBottom w:val="0"/>
      <w:divBdr>
        <w:top w:val="none" w:sz="0" w:space="0" w:color="auto"/>
        <w:left w:val="none" w:sz="0" w:space="0" w:color="auto"/>
        <w:bottom w:val="none" w:sz="0" w:space="0" w:color="auto"/>
        <w:right w:val="none" w:sz="0" w:space="0" w:color="auto"/>
      </w:divBdr>
      <w:divsChild>
        <w:div w:id="1800227313">
          <w:marLeft w:val="480"/>
          <w:marRight w:val="0"/>
          <w:marTop w:val="0"/>
          <w:marBottom w:val="0"/>
          <w:divBdr>
            <w:top w:val="none" w:sz="0" w:space="0" w:color="auto"/>
            <w:left w:val="none" w:sz="0" w:space="0" w:color="auto"/>
            <w:bottom w:val="none" w:sz="0" w:space="0" w:color="auto"/>
            <w:right w:val="none" w:sz="0" w:space="0" w:color="auto"/>
          </w:divBdr>
          <w:divsChild>
            <w:div w:id="140498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52643">
      <w:bodyDiv w:val="1"/>
      <w:marLeft w:val="0"/>
      <w:marRight w:val="0"/>
      <w:marTop w:val="0"/>
      <w:marBottom w:val="0"/>
      <w:divBdr>
        <w:top w:val="none" w:sz="0" w:space="0" w:color="auto"/>
        <w:left w:val="none" w:sz="0" w:space="0" w:color="auto"/>
        <w:bottom w:val="none" w:sz="0" w:space="0" w:color="auto"/>
        <w:right w:val="none" w:sz="0" w:space="0" w:color="auto"/>
      </w:divBdr>
      <w:divsChild>
        <w:div w:id="1112624856">
          <w:marLeft w:val="480"/>
          <w:marRight w:val="0"/>
          <w:marTop w:val="0"/>
          <w:marBottom w:val="0"/>
          <w:divBdr>
            <w:top w:val="none" w:sz="0" w:space="0" w:color="auto"/>
            <w:left w:val="none" w:sz="0" w:space="0" w:color="auto"/>
            <w:bottom w:val="none" w:sz="0" w:space="0" w:color="auto"/>
            <w:right w:val="none" w:sz="0" w:space="0" w:color="auto"/>
          </w:divBdr>
          <w:divsChild>
            <w:div w:id="1883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8784">
      <w:bodyDiv w:val="1"/>
      <w:marLeft w:val="0"/>
      <w:marRight w:val="0"/>
      <w:marTop w:val="0"/>
      <w:marBottom w:val="0"/>
      <w:divBdr>
        <w:top w:val="none" w:sz="0" w:space="0" w:color="auto"/>
        <w:left w:val="none" w:sz="0" w:space="0" w:color="auto"/>
        <w:bottom w:val="none" w:sz="0" w:space="0" w:color="auto"/>
        <w:right w:val="none" w:sz="0" w:space="0" w:color="auto"/>
      </w:divBdr>
      <w:divsChild>
        <w:div w:id="962418880">
          <w:marLeft w:val="480"/>
          <w:marRight w:val="0"/>
          <w:marTop w:val="0"/>
          <w:marBottom w:val="0"/>
          <w:divBdr>
            <w:top w:val="none" w:sz="0" w:space="0" w:color="auto"/>
            <w:left w:val="none" w:sz="0" w:space="0" w:color="auto"/>
            <w:bottom w:val="none" w:sz="0" w:space="0" w:color="auto"/>
            <w:right w:val="none" w:sz="0" w:space="0" w:color="auto"/>
          </w:divBdr>
          <w:divsChild>
            <w:div w:id="1687318703">
              <w:marLeft w:val="0"/>
              <w:marRight w:val="0"/>
              <w:marTop w:val="0"/>
              <w:marBottom w:val="0"/>
              <w:divBdr>
                <w:top w:val="none" w:sz="0" w:space="0" w:color="auto"/>
                <w:left w:val="none" w:sz="0" w:space="0" w:color="auto"/>
                <w:bottom w:val="none" w:sz="0" w:space="0" w:color="auto"/>
                <w:right w:val="none" w:sz="0" w:space="0" w:color="auto"/>
              </w:divBdr>
            </w:div>
            <w:div w:id="382797411">
              <w:marLeft w:val="0"/>
              <w:marRight w:val="0"/>
              <w:marTop w:val="0"/>
              <w:marBottom w:val="0"/>
              <w:divBdr>
                <w:top w:val="none" w:sz="0" w:space="0" w:color="auto"/>
                <w:left w:val="none" w:sz="0" w:space="0" w:color="auto"/>
                <w:bottom w:val="none" w:sz="0" w:space="0" w:color="auto"/>
                <w:right w:val="none" w:sz="0" w:space="0" w:color="auto"/>
              </w:divBdr>
            </w:div>
            <w:div w:id="2133480836">
              <w:marLeft w:val="0"/>
              <w:marRight w:val="0"/>
              <w:marTop w:val="0"/>
              <w:marBottom w:val="0"/>
              <w:divBdr>
                <w:top w:val="none" w:sz="0" w:space="0" w:color="auto"/>
                <w:left w:val="none" w:sz="0" w:space="0" w:color="auto"/>
                <w:bottom w:val="none" w:sz="0" w:space="0" w:color="auto"/>
                <w:right w:val="none" w:sz="0" w:space="0" w:color="auto"/>
              </w:divBdr>
            </w:div>
            <w:div w:id="1028264812">
              <w:marLeft w:val="0"/>
              <w:marRight w:val="0"/>
              <w:marTop w:val="0"/>
              <w:marBottom w:val="0"/>
              <w:divBdr>
                <w:top w:val="none" w:sz="0" w:space="0" w:color="auto"/>
                <w:left w:val="none" w:sz="0" w:space="0" w:color="auto"/>
                <w:bottom w:val="none" w:sz="0" w:space="0" w:color="auto"/>
                <w:right w:val="none" w:sz="0" w:space="0" w:color="auto"/>
              </w:divBdr>
            </w:div>
            <w:div w:id="541986120">
              <w:marLeft w:val="0"/>
              <w:marRight w:val="0"/>
              <w:marTop w:val="0"/>
              <w:marBottom w:val="0"/>
              <w:divBdr>
                <w:top w:val="none" w:sz="0" w:space="0" w:color="auto"/>
                <w:left w:val="none" w:sz="0" w:space="0" w:color="auto"/>
                <w:bottom w:val="none" w:sz="0" w:space="0" w:color="auto"/>
                <w:right w:val="none" w:sz="0" w:space="0" w:color="auto"/>
              </w:divBdr>
            </w:div>
            <w:div w:id="17433774">
              <w:marLeft w:val="0"/>
              <w:marRight w:val="0"/>
              <w:marTop w:val="0"/>
              <w:marBottom w:val="0"/>
              <w:divBdr>
                <w:top w:val="none" w:sz="0" w:space="0" w:color="auto"/>
                <w:left w:val="none" w:sz="0" w:space="0" w:color="auto"/>
                <w:bottom w:val="none" w:sz="0" w:space="0" w:color="auto"/>
                <w:right w:val="none" w:sz="0" w:space="0" w:color="auto"/>
              </w:divBdr>
            </w:div>
            <w:div w:id="597446926">
              <w:marLeft w:val="0"/>
              <w:marRight w:val="0"/>
              <w:marTop w:val="0"/>
              <w:marBottom w:val="0"/>
              <w:divBdr>
                <w:top w:val="none" w:sz="0" w:space="0" w:color="auto"/>
                <w:left w:val="none" w:sz="0" w:space="0" w:color="auto"/>
                <w:bottom w:val="none" w:sz="0" w:space="0" w:color="auto"/>
                <w:right w:val="none" w:sz="0" w:space="0" w:color="auto"/>
              </w:divBdr>
            </w:div>
            <w:div w:id="925767808">
              <w:marLeft w:val="0"/>
              <w:marRight w:val="0"/>
              <w:marTop w:val="0"/>
              <w:marBottom w:val="0"/>
              <w:divBdr>
                <w:top w:val="none" w:sz="0" w:space="0" w:color="auto"/>
                <w:left w:val="none" w:sz="0" w:space="0" w:color="auto"/>
                <w:bottom w:val="none" w:sz="0" w:space="0" w:color="auto"/>
                <w:right w:val="none" w:sz="0" w:space="0" w:color="auto"/>
              </w:divBdr>
            </w:div>
            <w:div w:id="2042196730">
              <w:marLeft w:val="0"/>
              <w:marRight w:val="0"/>
              <w:marTop w:val="0"/>
              <w:marBottom w:val="0"/>
              <w:divBdr>
                <w:top w:val="none" w:sz="0" w:space="0" w:color="auto"/>
                <w:left w:val="none" w:sz="0" w:space="0" w:color="auto"/>
                <w:bottom w:val="none" w:sz="0" w:space="0" w:color="auto"/>
                <w:right w:val="none" w:sz="0" w:space="0" w:color="auto"/>
              </w:divBdr>
            </w:div>
            <w:div w:id="497380089">
              <w:marLeft w:val="0"/>
              <w:marRight w:val="0"/>
              <w:marTop w:val="0"/>
              <w:marBottom w:val="0"/>
              <w:divBdr>
                <w:top w:val="none" w:sz="0" w:space="0" w:color="auto"/>
                <w:left w:val="none" w:sz="0" w:space="0" w:color="auto"/>
                <w:bottom w:val="none" w:sz="0" w:space="0" w:color="auto"/>
                <w:right w:val="none" w:sz="0" w:space="0" w:color="auto"/>
              </w:divBdr>
            </w:div>
            <w:div w:id="1884560189">
              <w:marLeft w:val="0"/>
              <w:marRight w:val="0"/>
              <w:marTop w:val="0"/>
              <w:marBottom w:val="0"/>
              <w:divBdr>
                <w:top w:val="none" w:sz="0" w:space="0" w:color="auto"/>
                <w:left w:val="none" w:sz="0" w:space="0" w:color="auto"/>
                <w:bottom w:val="none" w:sz="0" w:space="0" w:color="auto"/>
                <w:right w:val="none" w:sz="0" w:space="0" w:color="auto"/>
              </w:divBdr>
            </w:div>
            <w:div w:id="222378592">
              <w:marLeft w:val="0"/>
              <w:marRight w:val="0"/>
              <w:marTop w:val="0"/>
              <w:marBottom w:val="0"/>
              <w:divBdr>
                <w:top w:val="none" w:sz="0" w:space="0" w:color="auto"/>
                <w:left w:val="none" w:sz="0" w:space="0" w:color="auto"/>
                <w:bottom w:val="none" w:sz="0" w:space="0" w:color="auto"/>
                <w:right w:val="none" w:sz="0" w:space="0" w:color="auto"/>
              </w:divBdr>
            </w:div>
            <w:div w:id="363756440">
              <w:marLeft w:val="0"/>
              <w:marRight w:val="0"/>
              <w:marTop w:val="0"/>
              <w:marBottom w:val="0"/>
              <w:divBdr>
                <w:top w:val="none" w:sz="0" w:space="0" w:color="auto"/>
                <w:left w:val="none" w:sz="0" w:space="0" w:color="auto"/>
                <w:bottom w:val="none" w:sz="0" w:space="0" w:color="auto"/>
                <w:right w:val="none" w:sz="0" w:space="0" w:color="auto"/>
              </w:divBdr>
            </w:div>
            <w:div w:id="596862625">
              <w:marLeft w:val="0"/>
              <w:marRight w:val="0"/>
              <w:marTop w:val="0"/>
              <w:marBottom w:val="0"/>
              <w:divBdr>
                <w:top w:val="none" w:sz="0" w:space="0" w:color="auto"/>
                <w:left w:val="none" w:sz="0" w:space="0" w:color="auto"/>
                <w:bottom w:val="none" w:sz="0" w:space="0" w:color="auto"/>
                <w:right w:val="none" w:sz="0" w:space="0" w:color="auto"/>
              </w:divBdr>
            </w:div>
            <w:div w:id="1237787897">
              <w:marLeft w:val="0"/>
              <w:marRight w:val="0"/>
              <w:marTop w:val="0"/>
              <w:marBottom w:val="0"/>
              <w:divBdr>
                <w:top w:val="none" w:sz="0" w:space="0" w:color="auto"/>
                <w:left w:val="none" w:sz="0" w:space="0" w:color="auto"/>
                <w:bottom w:val="none" w:sz="0" w:space="0" w:color="auto"/>
                <w:right w:val="none" w:sz="0" w:space="0" w:color="auto"/>
              </w:divBdr>
            </w:div>
            <w:div w:id="103892170">
              <w:marLeft w:val="0"/>
              <w:marRight w:val="0"/>
              <w:marTop w:val="0"/>
              <w:marBottom w:val="0"/>
              <w:divBdr>
                <w:top w:val="none" w:sz="0" w:space="0" w:color="auto"/>
                <w:left w:val="none" w:sz="0" w:space="0" w:color="auto"/>
                <w:bottom w:val="none" w:sz="0" w:space="0" w:color="auto"/>
                <w:right w:val="none" w:sz="0" w:space="0" w:color="auto"/>
              </w:divBdr>
            </w:div>
            <w:div w:id="145249765">
              <w:marLeft w:val="0"/>
              <w:marRight w:val="0"/>
              <w:marTop w:val="0"/>
              <w:marBottom w:val="0"/>
              <w:divBdr>
                <w:top w:val="none" w:sz="0" w:space="0" w:color="auto"/>
                <w:left w:val="none" w:sz="0" w:space="0" w:color="auto"/>
                <w:bottom w:val="none" w:sz="0" w:space="0" w:color="auto"/>
                <w:right w:val="none" w:sz="0" w:space="0" w:color="auto"/>
              </w:divBdr>
            </w:div>
            <w:div w:id="1561358554">
              <w:marLeft w:val="0"/>
              <w:marRight w:val="0"/>
              <w:marTop w:val="0"/>
              <w:marBottom w:val="0"/>
              <w:divBdr>
                <w:top w:val="none" w:sz="0" w:space="0" w:color="auto"/>
                <w:left w:val="none" w:sz="0" w:space="0" w:color="auto"/>
                <w:bottom w:val="none" w:sz="0" w:space="0" w:color="auto"/>
                <w:right w:val="none" w:sz="0" w:space="0" w:color="auto"/>
              </w:divBdr>
            </w:div>
            <w:div w:id="1953391289">
              <w:marLeft w:val="0"/>
              <w:marRight w:val="0"/>
              <w:marTop w:val="0"/>
              <w:marBottom w:val="0"/>
              <w:divBdr>
                <w:top w:val="none" w:sz="0" w:space="0" w:color="auto"/>
                <w:left w:val="none" w:sz="0" w:space="0" w:color="auto"/>
                <w:bottom w:val="none" w:sz="0" w:space="0" w:color="auto"/>
                <w:right w:val="none" w:sz="0" w:space="0" w:color="auto"/>
              </w:divBdr>
            </w:div>
            <w:div w:id="49615935">
              <w:marLeft w:val="0"/>
              <w:marRight w:val="0"/>
              <w:marTop w:val="0"/>
              <w:marBottom w:val="0"/>
              <w:divBdr>
                <w:top w:val="none" w:sz="0" w:space="0" w:color="auto"/>
                <w:left w:val="none" w:sz="0" w:space="0" w:color="auto"/>
                <w:bottom w:val="none" w:sz="0" w:space="0" w:color="auto"/>
                <w:right w:val="none" w:sz="0" w:space="0" w:color="auto"/>
              </w:divBdr>
            </w:div>
            <w:div w:id="1144928832">
              <w:marLeft w:val="0"/>
              <w:marRight w:val="0"/>
              <w:marTop w:val="0"/>
              <w:marBottom w:val="0"/>
              <w:divBdr>
                <w:top w:val="none" w:sz="0" w:space="0" w:color="auto"/>
                <w:left w:val="none" w:sz="0" w:space="0" w:color="auto"/>
                <w:bottom w:val="none" w:sz="0" w:space="0" w:color="auto"/>
                <w:right w:val="none" w:sz="0" w:space="0" w:color="auto"/>
              </w:divBdr>
            </w:div>
            <w:div w:id="1218319763">
              <w:marLeft w:val="0"/>
              <w:marRight w:val="0"/>
              <w:marTop w:val="0"/>
              <w:marBottom w:val="0"/>
              <w:divBdr>
                <w:top w:val="none" w:sz="0" w:space="0" w:color="auto"/>
                <w:left w:val="none" w:sz="0" w:space="0" w:color="auto"/>
                <w:bottom w:val="none" w:sz="0" w:space="0" w:color="auto"/>
                <w:right w:val="none" w:sz="0" w:space="0" w:color="auto"/>
              </w:divBdr>
            </w:div>
            <w:div w:id="1030454738">
              <w:marLeft w:val="0"/>
              <w:marRight w:val="0"/>
              <w:marTop w:val="0"/>
              <w:marBottom w:val="0"/>
              <w:divBdr>
                <w:top w:val="none" w:sz="0" w:space="0" w:color="auto"/>
                <w:left w:val="none" w:sz="0" w:space="0" w:color="auto"/>
                <w:bottom w:val="none" w:sz="0" w:space="0" w:color="auto"/>
                <w:right w:val="none" w:sz="0" w:space="0" w:color="auto"/>
              </w:divBdr>
            </w:div>
            <w:div w:id="550312055">
              <w:marLeft w:val="0"/>
              <w:marRight w:val="0"/>
              <w:marTop w:val="0"/>
              <w:marBottom w:val="0"/>
              <w:divBdr>
                <w:top w:val="none" w:sz="0" w:space="0" w:color="auto"/>
                <w:left w:val="none" w:sz="0" w:space="0" w:color="auto"/>
                <w:bottom w:val="none" w:sz="0" w:space="0" w:color="auto"/>
                <w:right w:val="none" w:sz="0" w:space="0" w:color="auto"/>
              </w:divBdr>
            </w:div>
            <w:div w:id="763383371">
              <w:marLeft w:val="0"/>
              <w:marRight w:val="0"/>
              <w:marTop w:val="0"/>
              <w:marBottom w:val="0"/>
              <w:divBdr>
                <w:top w:val="none" w:sz="0" w:space="0" w:color="auto"/>
                <w:left w:val="none" w:sz="0" w:space="0" w:color="auto"/>
                <w:bottom w:val="none" w:sz="0" w:space="0" w:color="auto"/>
                <w:right w:val="none" w:sz="0" w:space="0" w:color="auto"/>
              </w:divBdr>
            </w:div>
            <w:div w:id="673873743">
              <w:marLeft w:val="0"/>
              <w:marRight w:val="0"/>
              <w:marTop w:val="0"/>
              <w:marBottom w:val="0"/>
              <w:divBdr>
                <w:top w:val="none" w:sz="0" w:space="0" w:color="auto"/>
                <w:left w:val="none" w:sz="0" w:space="0" w:color="auto"/>
                <w:bottom w:val="none" w:sz="0" w:space="0" w:color="auto"/>
                <w:right w:val="none" w:sz="0" w:space="0" w:color="auto"/>
              </w:divBdr>
            </w:div>
            <w:div w:id="692808109">
              <w:marLeft w:val="0"/>
              <w:marRight w:val="0"/>
              <w:marTop w:val="0"/>
              <w:marBottom w:val="0"/>
              <w:divBdr>
                <w:top w:val="none" w:sz="0" w:space="0" w:color="auto"/>
                <w:left w:val="none" w:sz="0" w:space="0" w:color="auto"/>
                <w:bottom w:val="none" w:sz="0" w:space="0" w:color="auto"/>
                <w:right w:val="none" w:sz="0" w:space="0" w:color="auto"/>
              </w:divBdr>
            </w:div>
            <w:div w:id="902832553">
              <w:marLeft w:val="0"/>
              <w:marRight w:val="0"/>
              <w:marTop w:val="0"/>
              <w:marBottom w:val="0"/>
              <w:divBdr>
                <w:top w:val="none" w:sz="0" w:space="0" w:color="auto"/>
                <w:left w:val="none" w:sz="0" w:space="0" w:color="auto"/>
                <w:bottom w:val="none" w:sz="0" w:space="0" w:color="auto"/>
                <w:right w:val="none" w:sz="0" w:space="0" w:color="auto"/>
              </w:divBdr>
            </w:div>
            <w:div w:id="1702629097">
              <w:marLeft w:val="0"/>
              <w:marRight w:val="0"/>
              <w:marTop w:val="0"/>
              <w:marBottom w:val="0"/>
              <w:divBdr>
                <w:top w:val="none" w:sz="0" w:space="0" w:color="auto"/>
                <w:left w:val="none" w:sz="0" w:space="0" w:color="auto"/>
                <w:bottom w:val="none" w:sz="0" w:space="0" w:color="auto"/>
                <w:right w:val="none" w:sz="0" w:space="0" w:color="auto"/>
              </w:divBdr>
            </w:div>
            <w:div w:id="11343241">
              <w:marLeft w:val="0"/>
              <w:marRight w:val="0"/>
              <w:marTop w:val="0"/>
              <w:marBottom w:val="0"/>
              <w:divBdr>
                <w:top w:val="none" w:sz="0" w:space="0" w:color="auto"/>
                <w:left w:val="none" w:sz="0" w:space="0" w:color="auto"/>
                <w:bottom w:val="none" w:sz="0" w:space="0" w:color="auto"/>
                <w:right w:val="none" w:sz="0" w:space="0" w:color="auto"/>
              </w:divBdr>
            </w:div>
            <w:div w:id="709188834">
              <w:marLeft w:val="0"/>
              <w:marRight w:val="0"/>
              <w:marTop w:val="0"/>
              <w:marBottom w:val="0"/>
              <w:divBdr>
                <w:top w:val="none" w:sz="0" w:space="0" w:color="auto"/>
                <w:left w:val="none" w:sz="0" w:space="0" w:color="auto"/>
                <w:bottom w:val="none" w:sz="0" w:space="0" w:color="auto"/>
                <w:right w:val="none" w:sz="0" w:space="0" w:color="auto"/>
              </w:divBdr>
            </w:div>
            <w:div w:id="1654599980">
              <w:marLeft w:val="0"/>
              <w:marRight w:val="0"/>
              <w:marTop w:val="0"/>
              <w:marBottom w:val="0"/>
              <w:divBdr>
                <w:top w:val="none" w:sz="0" w:space="0" w:color="auto"/>
                <w:left w:val="none" w:sz="0" w:space="0" w:color="auto"/>
                <w:bottom w:val="none" w:sz="0" w:space="0" w:color="auto"/>
                <w:right w:val="none" w:sz="0" w:space="0" w:color="auto"/>
              </w:divBdr>
            </w:div>
            <w:div w:id="1780832262">
              <w:marLeft w:val="0"/>
              <w:marRight w:val="0"/>
              <w:marTop w:val="0"/>
              <w:marBottom w:val="0"/>
              <w:divBdr>
                <w:top w:val="none" w:sz="0" w:space="0" w:color="auto"/>
                <w:left w:val="none" w:sz="0" w:space="0" w:color="auto"/>
                <w:bottom w:val="none" w:sz="0" w:space="0" w:color="auto"/>
                <w:right w:val="none" w:sz="0" w:space="0" w:color="auto"/>
              </w:divBdr>
            </w:div>
            <w:div w:id="1842162062">
              <w:marLeft w:val="0"/>
              <w:marRight w:val="0"/>
              <w:marTop w:val="0"/>
              <w:marBottom w:val="0"/>
              <w:divBdr>
                <w:top w:val="none" w:sz="0" w:space="0" w:color="auto"/>
                <w:left w:val="none" w:sz="0" w:space="0" w:color="auto"/>
                <w:bottom w:val="none" w:sz="0" w:space="0" w:color="auto"/>
                <w:right w:val="none" w:sz="0" w:space="0" w:color="auto"/>
              </w:divBdr>
            </w:div>
            <w:div w:id="963275088">
              <w:marLeft w:val="0"/>
              <w:marRight w:val="0"/>
              <w:marTop w:val="0"/>
              <w:marBottom w:val="0"/>
              <w:divBdr>
                <w:top w:val="none" w:sz="0" w:space="0" w:color="auto"/>
                <w:left w:val="none" w:sz="0" w:space="0" w:color="auto"/>
                <w:bottom w:val="none" w:sz="0" w:space="0" w:color="auto"/>
                <w:right w:val="none" w:sz="0" w:space="0" w:color="auto"/>
              </w:divBdr>
            </w:div>
            <w:div w:id="1345980001">
              <w:marLeft w:val="0"/>
              <w:marRight w:val="0"/>
              <w:marTop w:val="0"/>
              <w:marBottom w:val="0"/>
              <w:divBdr>
                <w:top w:val="none" w:sz="0" w:space="0" w:color="auto"/>
                <w:left w:val="none" w:sz="0" w:space="0" w:color="auto"/>
                <w:bottom w:val="none" w:sz="0" w:space="0" w:color="auto"/>
                <w:right w:val="none" w:sz="0" w:space="0" w:color="auto"/>
              </w:divBdr>
            </w:div>
            <w:div w:id="844244530">
              <w:marLeft w:val="0"/>
              <w:marRight w:val="0"/>
              <w:marTop w:val="0"/>
              <w:marBottom w:val="0"/>
              <w:divBdr>
                <w:top w:val="none" w:sz="0" w:space="0" w:color="auto"/>
                <w:left w:val="none" w:sz="0" w:space="0" w:color="auto"/>
                <w:bottom w:val="none" w:sz="0" w:space="0" w:color="auto"/>
                <w:right w:val="none" w:sz="0" w:space="0" w:color="auto"/>
              </w:divBdr>
            </w:div>
            <w:div w:id="1479155480">
              <w:marLeft w:val="0"/>
              <w:marRight w:val="0"/>
              <w:marTop w:val="0"/>
              <w:marBottom w:val="0"/>
              <w:divBdr>
                <w:top w:val="none" w:sz="0" w:space="0" w:color="auto"/>
                <w:left w:val="none" w:sz="0" w:space="0" w:color="auto"/>
                <w:bottom w:val="none" w:sz="0" w:space="0" w:color="auto"/>
                <w:right w:val="none" w:sz="0" w:space="0" w:color="auto"/>
              </w:divBdr>
            </w:div>
            <w:div w:id="2126461401">
              <w:marLeft w:val="0"/>
              <w:marRight w:val="0"/>
              <w:marTop w:val="0"/>
              <w:marBottom w:val="0"/>
              <w:divBdr>
                <w:top w:val="none" w:sz="0" w:space="0" w:color="auto"/>
                <w:left w:val="none" w:sz="0" w:space="0" w:color="auto"/>
                <w:bottom w:val="none" w:sz="0" w:space="0" w:color="auto"/>
                <w:right w:val="none" w:sz="0" w:space="0" w:color="auto"/>
              </w:divBdr>
            </w:div>
            <w:div w:id="1132867490">
              <w:marLeft w:val="0"/>
              <w:marRight w:val="0"/>
              <w:marTop w:val="0"/>
              <w:marBottom w:val="0"/>
              <w:divBdr>
                <w:top w:val="none" w:sz="0" w:space="0" w:color="auto"/>
                <w:left w:val="none" w:sz="0" w:space="0" w:color="auto"/>
                <w:bottom w:val="none" w:sz="0" w:space="0" w:color="auto"/>
                <w:right w:val="none" w:sz="0" w:space="0" w:color="auto"/>
              </w:divBdr>
            </w:div>
            <w:div w:id="1701128643">
              <w:marLeft w:val="0"/>
              <w:marRight w:val="0"/>
              <w:marTop w:val="0"/>
              <w:marBottom w:val="0"/>
              <w:divBdr>
                <w:top w:val="none" w:sz="0" w:space="0" w:color="auto"/>
                <w:left w:val="none" w:sz="0" w:space="0" w:color="auto"/>
                <w:bottom w:val="none" w:sz="0" w:space="0" w:color="auto"/>
                <w:right w:val="none" w:sz="0" w:space="0" w:color="auto"/>
              </w:divBdr>
            </w:div>
            <w:div w:id="574122611">
              <w:marLeft w:val="0"/>
              <w:marRight w:val="0"/>
              <w:marTop w:val="0"/>
              <w:marBottom w:val="0"/>
              <w:divBdr>
                <w:top w:val="none" w:sz="0" w:space="0" w:color="auto"/>
                <w:left w:val="none" w:sz="0" w:space="0" w:color="auto"/>
                <w:bottom w:val="none" w:sz="0" w:space="0" w:color="auto"/>
                <w:right w:val="none" w:sz="0" w:space="0" w:color="auto"/>
              </w:divBdr>
            </w:div>
            <w:div w:id="1826360812">
              <w:marLeft w:val="0"/>
              <w:marRight w:val="0"/>
              <w:marTop w:val="0"/>
              <w:marBottom w:val="0"/>
              <w:divBdr>
                <w:top w:val="none" w:sz="0" w:space="0" w:color="auto"/>
                <w:left w:val="none" w:sz="0" w:space="0" w:color="auto"/>
                <w:bottom w:val="none" w:sz="0" w:space="0" w:color="auto"/>
                <w:right w:val="none" w:sz="0" w:space="0" w:color="auto"/>
              </w:divBdr>
            </w:div>
            <w:div w:id="595023356">
              <w:marLeft w:val="0"/>
              <w:marRight w:val="0"/>
              <w:marTop w:val="0"/>
              <w:marBottom w:val="0"/>
              <w:divBdr>
                <w:top w:val="none" w:sz="0" w:space="0" w:color="auto"/>
                <w:left w:val="none" w:sz="0" w:space="0" w:color="auto"/>
                <w:bottom w:val="none" w:sz="0" w:space="0" w:color="auto"/>
                <w:right w:val="none" w:sz="0" w:space="0" w:color="auto"/>
              </w:divBdr>
            </w:div>
            <w:div w:id="1395466566">
              <w:marLeft w:val="0"/>
              <w:marRight w:val="0"/>
              <w:marTop w:val="0"/>
              <w:marBottom w:val="0"/>
              <w:divBdr>
                <w:top w:val="none" w:sz="0" w:space="0" w:color="auto"/>
                <w:left w:val="none" w:sz="0" w:space="0" w:color="auto"/>
                <w:bottom w:val="none" w:sz="0" w:space="0" w:color="auto"/>
                <w:right w:val="none" w:sz="0" w:space="0" w:color="auto"/>
              </w:divBdr>
            </w:div>
            <w:div w:id="164252985">
              <w:marLeft w:val="0"/>
              <w:marRight w:val="0"/>
              <w:marTop w:val="0"/>
              <w:marBottom w:val="0"/>
              <w:divBdr>
                <w:top w:val="none" w:sz="0" w:space="0" w:color="auto"/>
                <w:left w:val="none" w:sz="0" w:space="0" w:color="auto"/>
                <w:bottom w:val="none" w:sz="0" w:space="0" w:color="auto"/>
                <w:right w:val="none" w:sz="0" w:space="0" w:color="auto"/>
              </w:divBdr>
            </w:div>
            <w:div w:id="340162597">
              <w:marLeft w:val="0"/>
              <w:marRight w:val="0"/>
              <w:marTop w:val="0"/>
              <w:marBottom w:val="0"/>
              <w:divBdr>
                <w:top w:val="none" w:sz="0" w:space="0" w:color="auto"/>
                <w:left w:val="none" w:sz="0" w:space="0" w:color="auto"/>
                <w:bottom w:val="none" w:sz="0" w:space="0" w:color="auto"/>
                <w:right w:val="none" w:sz="0" w:space="0" w:color="auto"/>
              </w:divBdr>
            </w:div>
            <w:div w:id="1492214382">
              <w:marLeft w:val="0"/>
              <w:marRight w:val="0"/>
              <w:marTop w:val="0"/>
              <w:marBottom w:val="0"/>
              <w:divBdr>
                <w:top w:val="none" w:sz="0" w:space="0" w:color="auto"/>
                <w:left w:val="none" w:sz="0" w:space="0" w:color="auto"/>
                <w:bottom w:val="none" w:sz="0" w:space="0" w:color="auto"/>
                <w:right w:val="none" w:sz="0" w:space="0" w:color="auto"/>
              </w:divBdr>
            </w:div>
            <w:div w:id="923337792">
              <w:marLeft w:val="0"/>
              <w:marRight w:val="0"/>
              <w:marTop w:val="0"/>
              <w:marBottom w:val="0"/>
              <w:divBdr>
                <w:top w:val="none" w:sz="0" w:space="0" w:color="auto"/>
                <w:left w:val="none" w:sz="0" w:space="0" w:color="auto"/>
                <w:bottom w:val="none" w:sz="0" w:space="0" w:color="auto"/>
                <w:right w:val="none" w:sz="0" w:space="0" w:color="auto"/>
              </w:divBdr>
            </w:div>
            <w:div w:id="521210144">
              <w:marLeft w:val="0"/>
              <w:marRight w:val="0"/>
              <w:marTop w:val="0"/>
              <w:marBottom w:val="0"/>
              <w:divBdr>
                <w:top w:val="none" w:sz="0" w:space="0" w:color="auto"/>
                <w:left w:val="none" w:sz="0" w:space="0" w:color="auto"/>
                <w:bottom w:val="none" w:sz="0" w:space="0" w:color="auto"/>
                <w:right w:val="none" w:sz="0" w:space="0" w:color="auto"/>
              </w:divBdr>
            </w:div>
            <w:div w:id="179978731">
              <w:marLeft w:val="0"/>
              <w:marRight w:val="0"/>
              <w:marTop w:val="0"/>
              <w:marBottom w:val="0"/>
              <w:divBdr>
                <w:top w:val="none" w:sz="0" w:space="0" w:color="auto"/>
                <w:left w:val="none" w:sz="0" w:space="0" w:color="auto"/>
                <w:bottom w:val="none" w:sz="0" w:space="0" w:color="auto"/>
                <w:right w:val="none" w:sz="0" w:space="0" w:color="auto"/>
              </w:divBdr>
            </w:div>
            <w:div w:id="1760100756">
              <w:marLeft w:val="0"/>
              <w:marRight w:val="0"/>
              <w:marTop w:val="0"/>
              <w:marBottom w:val="0"/>
              <w:divBdr>
                <w:top w:val="none" w:sz="0" w:space="0" w:color="auto"/>
                <w:left w:val="none" w:sz="0" w:space="0" w:color="auto"/>
                <w:bottom w:val="none" w:sz="0" w:space="0" w:color="auto"/>
                <w:right w:val="none" w:sz="0" w:space="0" w:color="auto"/>
              </w:divBdr>
            </w:div>
            <w:div w:id="240456775">
              <w:marLeft w:val="0"/>
              <w:marRight w:val="0"/>
              <w:marTop w:val="0"/>
              <w:marBottom w:val="0"/>
              <w:divBdr>
                <w:top w:val="none" w:sz="0" w:space="0" w:color="auto"/>
                <w:left w:val="none" w:sz="0" w:space="0" w:color="auto"/>
                <w:bottom w:val="none" w:sz="0" w:space="0" w:color="auto"/>
                <w:right w:val="none" w:sz="0" w:space="0" w:color="auto"/>
              </w:divBdr>
            </w:div>
            <w:div w:id="1678002602">
              <w:marLeft w:val="0"/>
              <w:marRight w:val="0"/>
              <w:marTop w:val="0"/>
              <w:marBottom w:val="0"/>
              <w:divBdr>
                <w:top w:val="none" w:sz="0" w:space="0" w:color="auto"/>
                <w:left w:val="none" w:sz="0" w:space="0" w:color="auto"/>
                <w:bottom w:val="none" w:sz="0" w:space="0" w:color="auto"/>
                <w:right w:val="none" w:sz="0" w:space="0" w:color="auto"/>
              </w:divBdr>
            </w:div>
            <w:div w:id="383917239">
              <w:marLeft w:val="0"/>
              <w:marRight w:val="0"/>
              <w:marTop w:val="0"/>
              <w:marBottom w:val="0"/>
              <w:divBdr>
                <w:top w:val="none" w:sz="0" w:space="0" w:color="auto"/>
                <w:left w:val="none" w:sz="0" w:space="0" w:color="auto"/>
                <w:bottom w:val="none" w:sz="0" w:space="0" w:color="auto"/>
                <w:right w:val="none" w:sz="0" w:space="0" w:color="auto"/>
              </w:divBdr>
            </w:div>
            <w:div w:id="908538067">
              <w:marLeft w:val="0"/>
              <w:marRight w:val="0"/>
              <w:marTop w:val="0"/>
              <w:marBottom w:val="0"/>
              <w:divBdr>
                <w:top w:val="none" w:sz="0" w:space="0" w:color="auto"/>
                <w:left w:val="none" w:sz="0" w:space="0" w:color="auto"/>
                <w:bottom w:val="none" w:sz="0" w:space="0" w:color="auto"/>
                <w:right w:val="none" w:sz="0" w:space="0" w:color="auto"/>
              </w:divBdr>
            </w:div>
            <w:div w:id="811018553">
              <w:marLeft w:val="0"/>
              <w:marRight w:val="0"/>
              <w:marTop w:val="0"/>
              <w:marBottom w:val="0"/>
              <w:divBdr>
                <w:top w:val="none" w:sz="0" w:space="0" w:color="auto"/>
                <w:left w:val="none" w:sz="0" w:space="0" w:color="auto"/>
                <w:bottom w:val="none" w:sz="0" w:space="0" w:color="auto"/>
                <w:right w:val="none" w:sz="0" w:space="0" w:color="auto"/>
              </w:divBdr>
            </w:div>
            <w:div w:id="242574086">
              <w:marLeft w:val="0"/>
              <w:marRight w:val="0"/>
              <w:marTop w:val="0"/>
              <w:marBottom w:val="0"/>
              <w:divBdr>
                <w:top w:val="none" w:sz="0" w:space="0" w:color="auto"/>
                <w:left w:val="none" w:sz="0" w:space="0" w:color="auto"/>
                <w:bottom w:val="none" w:sz="0" w:space="0" w:color="auto"/>
                <w:right w:val="none" w:sz="0" w:space="0" w:color="auto"/>
              </w:divBdr>
            </w:div>
            <w:div w:id="1923488995">
              <w:marLeft w:val="0"/>
              <w:marRight w:val="0"/>
              <w:marTop w:val="0"/>
              <w:marBottom w:val="0"/>
              <w:divBdr>
                <w:top w:val="none" w:sz="0" w:space="0" w:color="auto"/>
                <w:left w:val="none" w:sz="0" w:space="0" w:color="auto"/>
                <w:bottom w:val="none" w:sz="0" w:space="0" w:color="auto"/>
                <w:right w:val="none" w:sz="0" w:space="0" w:color="auto"/>
              </w:divBdr>
            </w:div>
            <w:div w:id="1226187916">
              <w:marLeft w:val="0"/>
              <w:marRight w:val="0"/>
              <w:marTop w:val="0"/>
              <w:marBottom w:val="0"/>
              <w:divBdr>
                <w:top w:val="none" w:sz="0" w:space="0" w:color="auto"/>
                <w:left w:val="none" w:sz="0" w:space="0" w:color="auto"/>
                <w:bottom w:val="none" w:sz="0" w:space="0" w:color="auto"/>
                <w:right w:val="none" w:sz="0" w:space="0" w:color="auto"/>
              </w:divBdr>
            </w:div>
            <w:div w:id="471362740">
              <w:marLeft w:val="0"/>
              <w:marRight w:val="0"/>
              <w:marTop w:val="0"/>
              <w:marBottom w:val="0"/>
              <w:divBdr>
                <w:top w:val="none" w:sz="0" w:space="0" w:color="auto"/>
                <w:left w:val="none" w:sz="0" w:space="0" w:color="auto"/>
                <w:bottom w:val="none" w:sz="0" w:space="0" w:color="auto"/>
                <w:right w:val="none" w:sz="0" w:space="0" w:color="auto"/>
              </w:divBdr>
            </w:div>
            <w:div w:id="1752654816">
              <w:marLeft w:val="0"/>
              <w:marRight w:val="0"/>
              <w:marTop w:val="0"/>
              <w:marBottom w:val="0"/>
              <w:divBdr>
                <w:top w:val="none" w:sz="0" w:space="0" w:color="auto"/>
                <w:left w:val="none" w:sz="0" w:space="0" w:color="auto"/>
                <w:bottom w:val="none" w:sz="0" w:space="0" w:color="auto"/>
                <w:right w:val="none" w:sz="0" w:space="0" w:color="auto"/>
              </w:divBdr>
            </w:div>
            <w:div w:id="774908327">
              <w:marLeft w:val="0"/>
              <w:marRight w:val="0"/>
              <w:marTop w:val="0"/>
              <w:marBottom w:val="0"/>
              <w:divBdr>
                <w:top w:val="none" w:sz="0" w:space="0" w:color="auto"/>
                <w:left w:val="none" w:sz="0" w:space="0" w:color="auto"/>
                <w:bottom w:val="none" w:sz="0" w:space="0" w:color="auto"/>
                <w:right w:val="none" w:sz="0" w:space="0" w:color="auto"/>
              </w:divBdr>
            </w:div>
            <w:div w:id="1847480033">
              <w:marLeft w:val="0"/>
              <w:marRight w:val="0"/>
              <w:marTop w:val="0"/>
              <w:marBottom w:val="0"/>
              <w:divBdr>
                <w:top w:val="none" w:sz="0" w:space="0" w:color="auto"/>
                <w:left w:val="none" w:sz="0" w:space="0" w:color="auto"/>
                <w:bottom w:val="none" w:sz="0" w:space="0" w:color="auto"/>
                <w:right w:val="none" w:sz="0" w:space="0" w:color="auto"/>
              </w:divBdr>
            </w:div>
            <w:div w:id="990056616">
              <w:marLeft w:val="0"/>
              <w:marRight w:val="0"/>
              <w:marTop w:val="0"/>
              <w:marBottom w:val="0"/>
              <w:divBdr>
                <w:top w:val="none" w:sz="0" w:space="0" w:color="auto"/>
                <w:left w:val="none" w:sz="0" w:space="0" w:color="auto"/>
                <w:bottom w:val="none" w:sz="0" w:space="0" w:color="auto"/>
                <w:right w:val="none" w:sz="0" w:space="0" w:color="auto"/>
              </w:divBdr>
            </w:div>
            <w:div w:id="382599279">
              <w:marLeft w:val="0"/>
              <w:marRight w:val="0"/>
              <w:marTop w:val="0"/>
              <w:marBottom w:val="0"/>
              <w:divBdr>
                <w:top w:val="none" w:sz="0" w:space="0" w:color="auto"/>
                <w:left w:val="none" w:sz="0" w:space="0" w:color="auto"/>
                <w:bottom w:val="none" w:sz="0" w:space="0" w:color="auto"/>
                <w:right w:val="none" w:sz="0" w:space="0" w:color="auto"/>
              </w:divBdr>
            </w:div>
            <w:div w:id="629939518">
              <w:marLeft w:val="0"/>
              <w:marRight w:val="0"/>
              <w:marTop w:val="0"/>
              <w:marBottom w:val="0"/>
              <w:divBdr>
                <w:top w:val="none" w:sz="0" w:space="0" w:color="auto"/>
                <w:left w:val="none" w:sz="0" w:space="0" w:color="auto"/>
                <w:bottom w:val="none" w:sz="0" w:space="0" w:color="auto"/>
                <w:right w:val="none" w:sz="0" w:space="0" w:color="auto"/>
              </w:divBdr>
            </w:div>
            <w:div w:id="1648893616">
              <w:marLeft w:val="0"/>
              <w:marRight w:val="0"/>
              <w:marTop w:val="0"/>
              <w:marBottom w:val="0"/>
              <w:divBdr>
                <w:top w:val="none" w:sz="0" w:space="0" w:color="auto"/>
                <w:left w:val="none" w:sz="0" w:space="0" w:color="auto"/>
                <w:bottom w:val="none" w:sz="0" w:space="0" w:color="auto"/>
                <w:right w:val="none" w:sz="0" w:space="0" w:color="auto"/>
              </w:divBdr>
            </w:div>
            <w:div w:id="1283725542">
              <w:marLeft w:val="0"/>
              <w:marRight w:val="0"/>
              <w:marTop w:val="0"/>
              <w:marBottom w:val="0"/>
              <w:divBdr>
                <w:top w:val="none" w:sz="0" w:space="0" w:color="auto"/>
                <w:left w:val="none" w:sz="0" w:space="0" w:color="auto"/>
                <w:bottom w:val="none" w:sz="0" w:space="0" w:color="auto"/>
                <w:right w:val="none" w:sz="0" w:space="0" w:color="auto"/>
              </w:divBdr>
            </w:div>
            <w:div w:id="1099984579">
              <w:marLeft w:val="0"/>
              <w:marRight w:val="0"/>
              <w:marTop w:val="0"/>
              <w:marBottom w:val="0"/>
              <w:divBdr>
                <w:top w:val="none" w:sz="0" w:space="0" w:color="auto"/>
                <w:left w:val="none" w:sz="0" w:space="0" w:color="auto"/>
                <w:bottom w:val="none" w:sz="0" w:space="0" w:color="auto"/>
                <w:right w:val="none" w:sz="0" w:space="0" w:color="auto"/>
              </w:divBdr>
            </w:div>
            <w:div w:id="115560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87831">
      <w:bodyDiv w:val="1"/>
      <w:marLeft w:val="0"/>
      <w:marRight w:val="0"/>
      <w:marTop w:val="0"/>
      <w:marBottom w:val="0"/>
      <w:divBdr>
        <w:top w:val="none" w:sz="0" w:space="0" w:color="auto"/>
        <w:left w:val="none" w:sz="0" w:space="0" w:color="auto"/>
        <w:bottom w:val="none" w:sz="0" w:space="0" w:color="auto"/>
        <w:right w:val="none" w:sz="0" w:space="0" w:color="auto"/>
      </w:divBdr>
      <w:divsChild>
        <w:div w:id="1995257576">
          <w:marLeft w:val="480"/>
          <w:marRight w:val="0"/>
          <w:marTop w:val="0"/>
          <w:marBottom w:val="0"/>
          <w:divBdr>
            <w:top w:val="none" w:sz="0" w:space="0" w:color="auto"/>
            <w:left w:val="none" w:sz="0" w:space="0" w:color="auto"/>
            <w:bottom w:val="none" w:sz="0" w:space="0" w:color="auto"/>
            <w:right w:val="none" w:sz="0" w:space="0" w:color="auto"/>
          </w:divBdr>
          <w:divsChild>
            <w:div w:id="84903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3590">
      <w:bodyDiv w:val="1"/>
      <w:marLeft w:val="0"/>
      <w:marRight w:val="0"/>
      <w:marTop w:val="0"/>
      <w:marBottom w:val="0"/>
      <w:divBdr>
        <w:top w:val="none" w:sz="0" w:space="0" w:color="auto"/>
        <w:left w:val="none" w:sz="0" w:space="0" w:color="auto"/>
        <w:bottom w:val="none" w:sz="0" w:space="0" w:color="auto"/>
        <w:right w:val="none" w:sz="0" w:space="0" w:color="auto"/>
      </w:divBdr>
    </w:div>
    <w:div w:id="1928422269">
      <w:bodyDiv w:val="1"/>
      <w:marLeft w:val="0"/>
      <w:marRight w:val="0"/>
      <w:marTop w:val="0"/>
      <w:marBottom w:val="0"/>
      <w:divBdr>
        <w:top w:val="none" w:sz="0" w:space="0" w:color="auto"/>
        <w:left w:val="none" w:sz="0" w:space="0" w:color="auto"/>
        <w:bottom w:val="none" w:sz="0" w:space="0" w:color="auto"/>
        <w:right w:val="none" w:sz="0" w:space="0" w:color="auto"/>
      </w:divBdr>
      <w:divsChild>
        <w:div w:id="148599899">
          <w:marLeft w:val="480"/>
          <w:marRight w:val="0"/>
          <w:marTop w:val="0"/>
          <w:marBottom w:val="0"/>
          <w:divBdr>
            <w:top w:val="none" w:sz="0" w:space="0" w:color="auto"/>
            <w:left w:val="none" w:sz="0" w:space="0" w:color="auto"/>
            <w:bottom w:val="none" w:sz="0" w:space="0" w:color="auto"/>
            <w:right w:val="none" w:sz="0" w:space="0" w:color="auto"/>
          </w:divBdr>
          <w:divsChild>
            <w:div w:id="143297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xeu.org/content/eurozone-crisis-consensus-view-causes-and-few-possible-solutions" TargetMode="External"/><Relationship Id="rId13"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theloop.ecpr.eu/what-explains-germanys-conversion-to-common-european-union-deb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7/S153759271700217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57/s41295-016-0074-6" TargetMode="External"/><Relationship Id="rId4" Type="http://schemas.openxmlformats.org/officeDocument/2006/relationships/settings" Target="settings.xml"/><Relationship Id="rId9" Type="http://schemas.openxmlformats.org/officeDocument/2006/relationships/hyperlink" Target="https://dial.uclouvain.be/pr/boreal/object/boreal:222654" TargetMode="External"/><Relationship Id="rId14" Type="http://schemas.openxmlformats.org/officeDocument/2006/relationships/footer" Target="footer1.xml"/><Relationship Id="rId22" Type="http://schemas.microsoft.com/office/2018/08/relationships/commentsExtensible" Target="commentsExtensi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F4049-5CA8-4DEE-B749-2C2ACEE4D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8671</Words>
  <Characters>49431</Characters>
  <Application>Microsoft Office Word</Application>
  <DocSecurity>0</DocSecurity>
  <Lines>411</Lines>
  <Paragraphs>115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Université Catholique de Louvain</Company>
  <LinksUpToDate>false</LinksUpToDate>
  <CharactersWithSpaces>57987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de Cabanes</dc:creator>
  <cp:keywords/>
  <dc:description/>
  <cp:lastModifiedBy>Eval </cp:lastModifiedBy>
  <cp:revision>2</cp:revision>
  <cp:lastPrinted>2021-04-06T17:34:00Z</cp:lastPrinted>
  <dcterms:created xsi:type="dcterms:W3CDTF">2021-10-07T12:16:00Z</dcterms:created>
  <dcterms:modified xsi:type="dcterms:W3CDTF">2021-10-07T12:16:00Z</dcterms:modified>
</cp:coreProperties>
</file>